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F5481A">
      <w:pPr>
        <w:divId w:val="1990401090"/>
        <w:rPr>
          <w:rFonts w:eastAsia="Times New Roman"/>
          <w:vanish/>
        </w:rPr>
      </w:pPr>
      <w:r>
        <w:rPr>
          <w:rFonts w:eastAsia="Times New Roman"/>
          <w:vanish/>
        </w:rPr>
        <w:t>0000202058false2022FYP1YP1YP1Yhttp://fasb.org/us-gaap/2022#OtherLiabilitiesNoncurrenthttp://fasb.org/us-gaap/2022#AssetImpairmentChargeshttp://fasb.org/us-gaap/2022#AssetImpairmentCharges.001P10Y</w:t>
      </w:r>
      <w:r>
        <w:rPr>
          <w:rFonts w:eastAsia="Times New Roman"/>
          <w:vanish/>
        </w:rPr>
        <w:t>http://fasb.org/us-gaap/2022#FairValueMeasuredAtNetAssetValuePerShareMemberhttp://fasb.org/us-gaap/2022#FairValueMeasuredAtNetAssetValuePerShareMemberhttp://fasb.org/us-gaap/2022#FairValueMeasuredAtNetAssetValuePerShareMemberhttp://fasb.org/us-gaap/2022#Fa</w:t>
      </w:r>
      <w:r>
        <w:rPr>
          <w:rFonts w:eastAsia="Times New Roman"/>
          <w:vanish/>
        </w:rPr>
        <w:t>irValueMeasuredAtNetAssetValuePerShareMemberhttp://fasb.org/us-gaap/2022#FairValueMeasuredAtNetAssetValuePerShareMemberhttp://fasb.org/us-gaap/2022#FairValueMeasuredAtNetAssetValuePerShareMemberhttp://fasb.org/us-gaap/2022#FairValueMeasuredAtNetAssetValueP</w:t>
      </w:r>
      <w:r>
        <w:rPr>
          <w:rFonts w:eastAsia="Times New Roman"/>
          <w:vanish/>
        </w:rPr>
        <w:t>erShareMemberhttp://fasb.org/us-gaap/2022#FairValueMeasuredAtNetAssetValuePerShareMemberhttp://fasb.org/us-gaap/2022#FairValueMeasuredAtNetAssetValuePerShareMemberhttp://fasb.org/us-gaap/2022#FairValueMeasuredAtNetAssetValuePerShareMemberhttp://fasb.org/us</w:t>
      </w:r>
      <w:r>
        <w:rPr>
          <w:rFonts w:eastAsia="Times New Roman"/>
          <w:vanish/>
        </w:rPr>
        <w:t>-gaap/2022#FairValueMeasuredAtNetAssetValuePerShareMemberhttp://fasb.org/us-gaap/2022#FairValueMeasuredAtNetAssetValuePerShareMemberhttp://fasb.org/us-gaap/2022#OtherAccruedLiabilitiesCurrenthttp://fasb.org/us-gaap/2022#OtherAccruedLiabilitiesCurrenthttp:/</w:t>
      </w:r>
      <w:r>
        <w:rPr>
          <w:rFonts w:eastAsia="Times New Roman"/>
          <w:vanish/>
        </w:rPr>
        <w:t>/fasb.org/us-gaap/2022#OperatingLeaseLiabilityNoncurrenthttp://fasb.org/us-gaap/2022#OperatingLeaseLiabilityNoncurrenthttp://fasb.org/us-gaap/2022#LongTermDebtAndCapitalLeaseObligationsCurrenthttp://fasb.org/us-gaap/2022#LongTermDebtAndCapitalLeaseObligati</w:t>
      </w:r>
      <w:r>
        <w:rPr>
          <w:rFonts w:eastAsia="Times New Roman"/>
          <w:vanish/>
        </w:rPr>
        <w:t>onsCurrenthttp://fasb.org/us-gaap/2022#LongTermDebtAndCapitalLeaseObligationshttp://fasb.org/us-gaap/2022#LongTermDebtAndCapitalLeaseObligations201100002020582022-01-012022-12-3000002020582022-07-01iso4217:USD00002020582023-02-17xbrli:shares0000202058us-ga</w:t>
      </w:r>
      <w:r>
        <w:rPr>
          <w:rFonts w:eastAsia="Times New Roman"/>
          <w:vanish/>
        </w:rPr>
        <w:t>ap:ProductMember2022-01-012022-12-300000202058us-gaap:ProductMember2021-01-022021-12-310000202058us-gaap:ProductMember2020-01-042021-01-010000202058us-gaap:ServiceMember2022-01-012022-12-300000202058us-gaap:ServiceMember2021-01-022021-12-310000202058us-gaa</w:t>
      </w:r>
      <w:r>
        <w:rPr>
          <w:rFonts w:eastAsia="Times New Roman"/>
          <w:vanish/>
        </w:rPr>
        <w:t>p:ServiceMember2020-01-042021-01-0100002020582021-01-022021-12-3100002020582020-01-042021-01-01iso4217:USDxbrli:shares00002020582022-12-3000002020582021-12-3100002020582021-01-0100002020582020-01-030000202058us-gaap:CommonStockMember2020-01-030000202058us-</w:t>
      </w:r>
      <w:r>
        <w:rPr>
          <w:rFonts w:eastAsia="Times New Roman"/>
          <w:vanish/>
        </w:rPr>
        <w:t>gaap:OtherAdditionalCapitalMember2020-01-030000202058us-gaap:RetainedEarningsMember2020-01-030000202058us-gaap:AccumulatedOtherComprehensiveIncomeMember2020-01-030000202058us-gaap:NoncontrollingInterestMember2020-01-030000202058us-gaap:RetainedEarningsMemb</w:t>
      </w:r>
      <w:r>
        <w:rPr>
          <w:rFonts w:eastAsia="Times New Roman"/>
          <w:vanish/>
        </w:rPr>
        <w:t>er2020-01-042021-01-010000202058us-gaap:NoncontrollingInterestMember2020-01-042021-01-010000202058us-gaap:AccumulatedOtherComprehensiveIncomeMember2020-01-042021-01-010000202058us-gaap:CommonStockMember2020-01-042021-01-010000202058us-gaap:OtherAdditionalC</w:t>
      </w:r>
      <w:r>
        <w:rPr>
          <w:rFonts w:eastAsia="Times New Roman"/>
          <w:vanish/>
        </w:rPr>
        <w:t>apitalMember2020-01-042021-01-010000202058us-gaap:CommonStockMember2021-01-010000202058us-gaap:OtherAdditionalCapitalMember2021-01-010000202058us-gaap:RetainedEarningsMember2021-01-010000202058us-gaap:AccumulatedOtherComprehensiveIncomeMember2021-01-010000</w:t>
      </w:r>
      <w:r>
        <w:rPr>
          <w:rFonts w:eastAsia="Times New Roman"/>
          <w:vanish/>
        </w:rPr>
        <w:t>202058us-gaap:NoncontrollingInterestMember2021-01-010000202058us-gaap:RetainedEarningsMember2021-01-022021-12-310000202058us-gaap:NoncontrollingInterestMember2021-01-022021-12-310000202058us-gaap:AccumulatedOtherComprehensiveIncomeMember2021-01-022021-12-3</w:t>
      </w:r>
      <w:r>
        <w:rPr>
          <w:rFonts w:eastAsia="Times New Roman"/>
          <w:vanish/>
        </w:rPr>
        <w:t>10000202058us-gaap:CommonStockMember2021-01-022021-12-310000202058us-gaap:OtherAdditionalCapitalMember2021-01-022021-12-310000202058us-gaap:CommonStockMember2021-12-310000202058us-gaap:OtherAdditionalCapitalMember2021-12-310000202058us-gaap:RetainedEarning</w:t>
      </w:r>
      <w:r>
        <w:rPr>
          <w:rFonts w:eastAsia="Times New Roman"/>
          <w:vanish/>
        </w:rPr>
        <w:t>sMember2021-12-310000202058us-gaap:AccumulatedOtherComprehensiveIncomeMember2021-12-310000202058us-gaap:NoncontrollingInterestMember2021-12-310000202058us-gaap:RetainedEarningsMember2022-01-012022-12-300000202058us-gaap:NoncontrollingInterestMember2022-01-</w:t>
      </w:r>
      <w:r>
        <w:rPr>
          <w:rFonts w:eastAsia="Times New Roman"/>
          <w:vanish/>
        </w:rPr>
        <w:t>012022-12-300000202058us-gaap:AccumulatedOtherComprehensiveIncomeMember2022-01-012022-12-300000202058us-gaap:CommonStockMember2022-01-012022-12-300000202058us-gaap:OtherAdditionalCapitalMember2022-01-012022-12-300000202058us-gaap:CommonStockMember2022-12-3</w:t>
      </w:r>
      <w:r>
        <w:rPr>
          <w:rFonts w:eastAsia="Times New Roman"/>
          <w:vanish/>
        </w:rPr>
        <w:t>00000202058us-gaap:OtherAdditionalCapitalMember2022-12-300000202058us-gaap:RetainedEarningsMember2022-12-300000202058us-gaap:AccumulatedOtherComprehensiveIncomeMember2022-12-300000202058us-gaap:NoncontrollingInterestMember2022-12-30hrs:countryhrs:employee0</w:t>
      </w:r>
      <w:r>
        <w:rPr>
          <w:rFonts w:eastAsia="Times New Roman"/>
          <w:vanish/>
        </w:rPr>
        <w:t>000202058hrs:EngineersAndScientistsMember2022-12-30hrs:segment00002020582020-01-042020-04-03hrs:business0000202058us-gaap:OtherCurrentAssetsMember2022-12-300000202058us-gaap:OtherNoncurrentAssetsMember2022-12-300000202058us-gaap:OtherCurrentAssetsMember202</w:t>
      </w:r>
      <w:r>
        <w:rPr>
          <w:rFonts w:eastAsia="Times New Roman"/>
          <w:vanish/>
        </w:rPr>
        <w:t>1-12-310000202058us-gaap:OtherNoncurrentAssetsMember2021-12-310000202058us-gaap:BuildingMembersrt:MinimumMember2022-01-012022-12-300000202058us-gaap:BuildingMembersrt:MaximumMember2022-01-012022-12-300000202058us-gaap:MachineryAndEquipmentMembersrt:Minimum</w:t>
      </w:r>
      <w:r>
        <w:rPr>
          <w:rFonts w:eastAsia="Times New Roman"/>
          <w:vanish/>
        </w:rPr>
        <w:t>Member2022-01-012022-12-300000202058us-gaap:MachineryAndEquipmentMembersrt:MaximumMember2022-01-012022-12-30xbrli:pure0000202058srt:MinimumMemberhrs:IntegratedMissionSystemsMember2022-01-012022-12-300000202058srt:MaximumMemberhrs:IntegratedMissionSystemsMe</w:t>
      </w:r>
      <w:r>
        <w:rPr>
          <w:rFonts w:eastAsia="Times New Roman"/>
          <w:vanish/>
        </w:rPr>
        <w:t>mber2022-01-012022-12-300000202058hrs:SpaceandAirborneSystemsMembersrt:MinimumMember2022-01-012022-12-300000202058hrs:SpaceandAirborneSystemsMembersrt:MaximumMember2022-01-012022-12-300000202058hrs:CommunicationSystemsMembersrt:MinimumMember2022-01-012022-</w:t>
      </w:r>
      <w:r>
        <w:rPr>
          <w:rFonts w:eastAsia="Times New Roman"/>
          <w:vanish/>
        </w:rPr>
        <w:t>12-300000202058hrs:CommunicationSystemsMembersrt:MaximumMember2022-01-012022-12-300000202058us-gaap:ContractsAccountedForUnderPercentageOfCompletionMember2022-01-012022-12-300000202058us-gaap:ContractsAccountedForUnderPercentageOfCompletionMember2021-01-02</w:t>
      </w:r>
      <w:r>
        <w:rPr>
          <w:rFonts w:eastAsia="Times New Roman"/>
          <w:vanish/>
        </w:rPr>
        <w:t>2021-12-310000202058us-gaap:ContractsAccountedForUnderPercentageOfCompletionMember2020-01-042021-01-01hrs:site0000202058us-gaap:SuretyBondMember2022-12-300000202058us-gaap:StandbyLettersOfCreditMember2022-12-300000202058hrs:TacticalDataLinksTDLProductLineM</w:t>
      </w:r>
      <w:r>
        <w:rPr>
          <w:rFonts w:eastAsia="Times New Roman"/>
          <w:vanish/>
        </w:rPr>
        <w:t>ember2022-10-032022-10-030000202058hrs:AerojetRocketdyneHoldingsIncMember2022-12-172022-12-170000202058us-gaap:DisposalGroupDisposedOfBySaleNotDiscontinuedOperationsMember2022-01-012022-12-300000202058hrs:NardaMITEQBusinessMemberus-gaap:DisposalGroupDispos</w:t>
      </w:r>
      <w:r>
        <w:rPr>
          <w:rFonts w:eastAsia="Times New Roman"/>
          <w:vanish/>
        </w:rPr>
        <w:t>edOfBySaleNotDiscontinuedOperationsMemberhrs:OtherNonReportableBusinessesMember2021-12-310000202058hrs:NardaMITEQBusinessMemberus-gaap:DisposalGroupDisposedOfBySaleNotDiscontinuedOperationsMemberhrs:OtherNonReportableBusinessesMember2021-01-022021-12-31000</w:t>
      </w:r>
      <w:r>
        <w:rPr>
          <w:rFonts w:eastAsia="Times New Roman"/>
          <w:vanish/>
        </w:rPr>
        <w:t>0202058hrs:ESSCOBusinessMemberus-gaap:DisposalGroupDisposedOfBySaleNotDiscontinuedOperationsMemberhrs:OtherNonReportableBusinessesMember2021-12-310000202058hrs:ESSCOBusinessMemberus-gaap:DisposalGroupDisposedOfBySaleNotDiscontinuedOperationsMemberhrs:Other</w:t>
      </w:r>
      <w:r>
        <w:rPr>
          <w:rFonts w:eastAsia="Times New Roman"/>
          <w:vanish/>
        </w:rPr>
        <w:t>NonReportableBusinessesMember2021-01-022021-12-310000202058hrs:ElectronDevicesAndNardaMicrowaveWestMemberus-gaap:DisposalGroupDisposedOfBySaleNotDiscontinuedOperationsMemberhrs:OtherNonReportableBusinessesMember2021-12-310000202058hrs:ElectronDevicesAndNar</w:t>
      </w:r>
      <w:r>
        <w:rPr>
          <w:rFonts w:eastAsia="Times New Roman"/>
          <w:vanish/>
        </w:rPr>
        <w:t>daMicrowaveWestMemberus-gaap:DisposalGroupDisposedOfBySaleNotDiscontinuedOperationsMemberhrs:OtherNonReportableBusinessesMember2021-01-022021-12-310000202058us-gaap:DisposalGroupDisposedOfBySaleNotDiscontinuedOperationsMemberhrs:OtherNonReportableBusinesse</w:t>
      </w:r>
      <w:r>
        <w:rPr>
          <w:rFonts w:eastAsia="Times New Roman"/>
          <w:vanish/>
        </w:rPr>
        <w:t>sMemberhrs:VoiceSwitchEnterpriseMember2021-12-310000202058us-gaap:DisposalGroupDisposedOfBySaleNotDiscontinuedOperationsMemberhrs:OtherNonReportableBusinessesMemberhrs:VoiceSwitchEnterpriseMember2021-01-022021-12-310000202058us-gaap:DisposalGroupDisposedOf</w:t>
      </w:r>
      <w:r>
        <w:rPr>
          <w:rFonts w:eastAsia="Times New Roman"/>
          <w:vanish/>
        </w:rPr>
        <w:t>BySaleNotDiscontinuedOperationsMemberhrs:OtherNonReportableBusinessesMemberhrs:CombatPropulsionSystemsMember2021-12-310000202058us-gaap:DisposalGroupDisposedOfBySaleNotDiscontinuedOperationsMemberhrs:OtherNonReportableBusinessesMemberhrs:CombatPropulsionSy</w:t>
      </w:r>
      <w:r>
        <w:rPr>
          <w:rFonts w:eastAsia="Times New Roman"/>
          <w:vanish/>
        </w:rPr>
        <w:t>stemsMember2021-01-022021-12-310000202058us-gaap:DisposalGroupDisposedOfBySaleNotDiscontinuedOperationsMemberhrs:OtherNonReportableBusinessesMemberhrs:MilitaryTrainingBusinessMember2021-12-310000202058us-gaap:DisposalGroupDisposedOfBySaleNotDiscontinuedOpe</w:t>
      </w:r>
      <w:r>
        <w:rPr>
          <w:rFonts w:eastAsia="Times New Roman"/>
          <w:vanish/>
        </w:rPr>
        <w:t>rationsMemberhrs:OtherNonReportableBusinessesMemberhrs:MilitaryTrainingBusinessMember2021-01-022021-12-310000202058us-gaap:DisposalGroupDisposedOfBySaleNotDiscontinuedOperationsMember2021-12-310000202058us-gaap:DisposalGroupDisposedOfBySaleNotDiscontinuedO</w:t>
      </w:r>
      <w:r>
        <w:rPr>
          <w:rFonts w:eastAsia="Times New Roman"/>
          <w:vanish/>
        </w:rPr>
        <w:t>perationsMember2021-01-022021-12-310000202058hrs:EOTechBusinessMemberhrs:CommunicationSystemsMemberus-gaap:DisposalGroupDisposedOfBySaleNotDiscontinuedOperationsMember2021-01-010000202058hrs:EOTechBusinessMemberhrs:CommunicationSystemsMemberus-gaap:Disposa</w:t>
      </w:r>
      <w:r>
        <w:rPr>
          <w:rFonts w:eastAsia="Times New Roman"/>
          <w:vanish/>
        </w:rPr>
        <w:t>lGroupDisposedOfBySaleNotDiscontinuedOperationsMember2020-01-042021-01-010000202058hrs:AppliedKilovoltsandAnalyticalInstrumentationBusinessMemberhrs:SpaceandAirborneSystemsMemberus-gaap:DisposalGroupDisposedOfBySaleNotDiscontinuedOperationsMember2021-01-01</w:t>
      </w:r>
      <w:r>
        <w:rPr>
          <w:rFonts w:eastAsia="Times New Roman"/>
          <w:vanish/>
        </w:rPr>
        <w:t>0000202058hrs:AppliedKilovoltsandAnalyticalInstrumentationBusinessMemberhrs:SpaceandAirborneSystemsMemberus-gaap:DisposalGroupDisposedOfBySaleNotDiscontinuedOperationsMember2020-01-042021-01-010000202058hrs:AirportSecurityandAutomationBusinessMemberus-gaap</w:t>
      </w:r>
      <w:r>
        <w:rPr>
          <w:rFonts w:eastAsia="Times New Roman"/>
          <w:vanish/>
        </w:rPr>
        <w:t>:DisposalGroupDisposedOfBySaleNotDiscontinuedOperationsMemberhrs:OtherNonReportableBusinessesMember2021-01-010000202058hrs:AirportSecurityandAutomationBusinessMemberus-gaap:DisposalGroupDisposedOfBySaleNotDiscontinuedOperationsMemberhrs:OtherNonReportableB</w:t>
      </w:r>
      <w:r>
        <w:rPr>
          <w:rFonts w:eastAsia="Times New Roman"/>
          <w:vanish/>
        </w:rPr>
        <w:t>usinessesMember2020-01-042021-01-010000202058us-gaap:DisposalGroupDisposedOfBySaleNotDiscontinuedOperationsMember2021-01-010000202058us-gaap:DisposalGroupDisposedOfBySaleNotDiscontinuedOperationsMember2020-01-042021-01-010000202058us-gaap:DisposalGroupHeld</w:t>
      </w:r>
      <w:r>
        <w:rPr>
          <w:rFonts w:eastAsia="Times New Roman"/>
          <w:vanish/>
        </w:rPr>
        <w:t>forsaleNotDiscontinuedOperationsMemberhrs:VisualInformationSolutionsVISBusinessMember2022-12-210000202058us-gaap:DisposalGroupHeldforsaleNotDiscontinuedOperationsMember2022-12-300000202058hrs:ElectronDevicesAndNardaMicrowaveWestMemberus-gaap:DisposalGroupD</w:t>
      </w:r>
      <w:r>
        <w:rPr>
          <w:rFonts w:eastAsia="Times New Roman"/>
          <w:vanish/>
        </w:rPr>
        <w:t>isposedOfBySaleNotDiscontinuedOperationsMember2021-01-022021-12-310000202058hrs:ElectronDevicesAndNardaMicrowaveWestMemberus-gaap:DisposalGroupDisposedOfBySaleNotDiscontinuedOperationsMember2020-01-042021-01-010000202058us-gaap:DisposalGroupDisposedOfBySal</w:t>
      </w:r>
      <w:r>
        <w:rPr>
          <w:rFonts w:eastAsia="Times New Roman"/>
          <w:vanish/>
        </w:rPr>
        <w:t>eNotDiscontinuedOperationsMemberhrs:CombatPropulsionSystemsMember2021-01-022021-12-310000202058us-gaap:DisposalGroupDisposedOfBySaleNotDiscontinuedOperationsMemberhrs:CombatPropulsionSystemsMember2020-01-042021-01-010000202058us-gaap:DisposalGroupDisposedO</w:t>
      </w:r>
      <w:r>
        <w:rPr>
          <w:rFonts w:eastAsia="Times New Roman"/>
          <w:vanish/>
        </w:rPr>
        <w:t>fBySaleNotDiscontinuedOperationsMemberhrs:MilitaryTrainingBusinessMember2021-01-022021-12-310000202058us-gaap:DisposalGroupDisposedOfBySaleNotDiscontinuedOperationsMemberhrs:MilitaryTrainingBusinessMember2020-01-042021-01-010000202058hrs:NardaMITEQBusiness</w:t>
      </w:r>
      <w:r>
        <w:rPr>
          <w:rFonts w:eastAsia="Times New Roman"/>
          <w:vanish/>
        </w:rPr>
        <w:t>Memberus-gaap:DisposalGroupHeldForSaleOrDisposedOfBySaleNotDiscontinuedOperationsMember2021-01-022021-12-310000202058hrs:NardaMITEQBusinessMemberus-gaap:DisposalGroupHeldForSaleOrDisposedOfBySaleNotDiscontinuedOperationsMember2020-01-042021-01-010000202058</w:t>
      </w:r>
      <w:r>
        <w:rPr>
          <w:rFonts w:eastAsia="Times New Roman"/>
          <w:vanish/>
        </w:rPr>
        <w:t>hrs:ESSCOBusinessMemberus-gaap:DisposalGroupHeldForSaleOrDisposedOfBySaleNotDiscontinuedOperationsMember2021-01-022021-12-310000202058hrs:ESSCOBusinessMemberus-gaap:DisposalGroupHeldForSaleOrDisposedOfBySaleNotDiscontinuedOperationsMember2020-01-042021-01-</w:t>
      </w:r>
      <w:r>
        <w:rPr>
          <w:rFonts w:eastAsia="Times New Roman"/>
          <w:vanish/>
        </w:rPr>
        <w:t>010000202058hrs:ElectronDevicesAndNardaMicrowaveWestMemberus-gaap:DisposalGroupHeldForSaleOrDisposedOfBySaleNotDiscontinuedOperationsMember2021-01-022021-12-310000202058hrs:ElectronDevicesAndNardaMicrowaveWestMemberus-gaap:DisposalGroupHeldForSaleOrDispose</w:t>
      </w:r>
      <w:r>
        <w:rPr>
          <w:rFonts w:eastAsia="Times New Roman"/>
          <w:vanish/>
        </w:rPr>
        <w:t>dOfBySaleNotDiscontinuedOperationsMember2020-01-042021-01-010000202058us-gaap:DisposalGroupHeldForSaleOrDisposedOfBySaleNotDiscontinuedOperationsMemberhrs:VoiceSwitchEnterpriseMember2021-01-022021-12-310000202058us-gaap:DisposalGroupHeldForSaleOrDisposedOf</w:t>
      </w:r>
      <w:r>
        <w:rPr>
          <w:rFonts w:eastAsia="Times New Roman"/>
          <w:vanish/>
        </w:rPr>
        <w:t>BySaleNotDiscontinuedOperationsMemberhrs:VoiceSwitchEnterpriseMember2020-01-042021-01-010000202058hrs:CombatPropulsionSystemsMemberus-gaap:DisposalGroupHeldForSaleOrDisposedOfBySaleNotDiscontinuedOperationsMember2021-01-022021-12-310000202058hrs:CombatProp</w:t>
      </w:r>
      <w:r>
        <w:rPr>
          <w:rFonts w:eastAsia="Times New Roman"/>
          <w:vanish/>
        </w:rPr>
        <w:t>ulsionSystemsMemberus-gaap:DisposalGroupHeldForSaleOrDisposedOfBySaleNotDiscontinuedOperationsMember2020-01-042021-01-010000202058us-gaap:DisposalGroupHeldForSaleOrDisposedOfBySaleNotDiscontinuedOperationsMemberhrs:MilitaryTrainingBusinessMember2021-01-022</w:t>
      </w:r>
      <w:r>
        <w:rPr>
          <w:rFonts w:eastAsia="Times New Roman"/>
          <w:vanish/>
        </w:rPr>
        <w:t>021-12-310000202058us-gaap:DisposalGroupHeldForSaleOrDisposedOfBySaleNotDiscontinuedOperationsMemberhrs:MilitaryTrainingBusinessMember2020-01-042021-01-010000202058hrs:EOTechBusinessMemberus-gaap:DisposalGroupHeldForSaleOrDisposedOfBySaleNotDiscontinuedOpe</w:t>
      </w:r>
      <w:r>
        <w:rPr>
          <w:rFonts w:eastAsia="Times New Roman"/>
          <w:vanish/>
        </w:rPr>
        <w:t>rationsMember2021-01-022021-12-310000202058hrs:EOTechBusinessMemberus-gaap:DisposalGroupHeldForSaleOrDisposedOfBySaleNotDiscontinuedOperationsMember2020-01-042021-01-010000202058hrs:AirportSecurityandAutomationBusinessMemberus-gaap:DisposalGroupHeldForSale</w:t>
      </w:r>
      <w:r>
        <w:rPr>
          <w:rFonts w:eastAsia="Times New Roman"/>
          <w:vanish/>
        </w:rPr>
        <w:t>OrDisposedOfBySaleNotDiscontinuedOperationsMember2021-01-022021-12-310000202058hrs:AirportSecurityandAutomationBusinessMemberus-gaap:DisposalGroupHeldForSaleOrDisposedOfBySaleNotDiscontinuedOperationsMember2020-01-042021-01-010000202058us-gaap:DisposalGrou</w:t>
      </w:r>
      <w:r>
        <w:rPr>
          <w:rFonts w:eastAsia="Times New Roman"/>
          <w:vanish/>
        </w:rPr>
        <w:t>pHeldForSaleOrDisposedOfBySaleNotDiscontinuedOperationsMemberhrs:OtherCompletedDivestitureOfBusinessesMember2021-01-022021-12-310000202058us-gaap:DisposalGroupHeldForSaleOrDisposedOfBySaleNotDiscontinuedOperationsMemberhrs:OtherCompletedDivestitureOfBusine</w:t>
      </w:r>
      <w:r>
        <w:rPr>
          <w:rFonts w:eastAsia="Times New Roman"/>
          <w:vanish/>
        </w:rPr>
        <w:t>ssesMember2020-01-042021-01-010000202058us-gaap:DisposalGroupHeldForSaleOrDisposedOfBySaleNotDiscontinuedOperationsMember2021-01-022021-12-310000202058us-gaap:DisposalGroupHeldForSaleOrDisposedOfBySaleNotDiscontinuedOperationsMember2020-01-042021-01-010000</w:t>
      </w:r>
      <w:r>
        <w:rPr>
          <w:rFonts w:eastAsia="Times New Roman"/>
          <w:vanish/>
        </w:rPr>
        <w:t>202058us-gaap:DisposalGroupHeldforsaleNotDiscontinuedOperationsMemberhrs:VoiceSwitchEnterpriseMember2022-01-012022-04-010000202058us-gaap:DisposalGroupHeldforsaleNotDiscontinuedOperationsMemberhrs:CombatPropulsionSystemsMember2021-01-022021-04-020000202058</w:t>
      </w:r>
      <w:r>
        <w:rPr>
          <w:rFonts w:eastAsia="Times New Roman"/>
          <w:vanish/>
        </w:rPr>
        <w:t>us-gaap:DisposalGroupDisposedOfBySaleNotDiscontinuedOperationsMemberhrs:HarrisNightVisionBusinessMember2020-01-042021-01-010000202058us-gaap:DisposalGroupHeldForSaleOrDisposedOfBySaleNotDiscontinuedOperationsMemberhrs:HarrisNightVisionBusinessMember2019-06</w:t>
      </w:r>
      <w:r>
        <w:rPr>
          <w:rFonts w:eastAsia="Times New Roman"/>
          <w:vanish/>
        </w:rPr>
        <w:t>-292020-01-030000202058hrs:ReceivableSaleAgreementMember2022-12-30hrs:receivableSaleAgreementhrs:financialInstitution0000202058hrs:ReceivableSaleAgreementOneMember2022-12-300000202058hrs:ReceivableSaleAgreementTwoMember2022-12-300000202058us-gaap:LandMembe</w:t>
      </w:r>
      <w:r>
        <w:rPr>
          <w:rFonts w:eastAsia="Times New Roman"/>
          <w:vanish/>
        </w:rPr>
        <w:t>r2022-12-300000202058us-gaap:LandMember2021-12-310000202058hrs:SoftwareCapitalizedForInternalUseMember2022-12-300000202058hrs:SoftwareCapitalizedForInternalUseMember2021-12-310000202058us-gaap:BuildingMember2022-12-300000202058us-gaap:BuildingMember2021-12</w:t>
      </w:r>
      <w:r>
        <w:rPr>
          <w:rFonts w:eastAsia="Times New Roman"/>
          <w:vanish/>
        </w:rPr>
        <w:t>-310000202058us-gaap:MachineryAndEquipmentMember2022-12-300000202058us-gaap:MachineryAndEquipmentMember2021-12-310000202058hrs:CommercialTrainingSolutionsMember2021-01-022021-12-310000202058hrs:COVID19PandemicMemberhrs:CommercialAviationSolutionsMember2020</w:t>
      </w:r>
      <w:r>
        <w:rPr>
          <w:rFonts w:eastAsia="Times New Roman"/>
          <w:vanish/>
        </w:rPr>
        <w:t>-01-042021-01-010000202058hrs:IntegratedMissionSystemsMember2021-01-010000202058hrs:SpaceandAirborneSystemsMember2021-01-010000202058hrs:CommunicationSystemsMember2021-01-010000202058hrs:AviationSystemsMember2021-01-010000202058hrs:IntegratedMissionSystems</w:t>
      </w:r>
      <w:r>
        <w:rPr>
          <w:rFonts w:eastAsia="Times New Roman"/>
          <w:vanish/>
        </w:rPr>
        <w:t>Member2021-01-022021-12-310000202058hrs:SpaceandAirborneSystemsMember2021-01-022021-12-310000202058hrs:CommunicationSystemsMember2021-01-022021-12-310000202058hrs:AviationSystemsMember2021-01-022021-12-310000202058srt:ScenarioPreviouslyReportedMemberhrs:In</w:t>
      </w:r>
      <w:r>
        <w:rPr>
          <w:rFonts w:eastAsia="Times New Roman"/>
          <w:vanish/>
        </w:rPr>
        <w:t>tegratedMissionSystemsMember2021-12-310000202058hrs:SpaceandAirborneSystemsMembersrt:ScenarioPreviouslyReportedMember2021-12-310000202058hrs:CommunicationSystemsMembersrt:ScenarioPreviouslyReportedMember2021-12-310000202058hrs:AviationSystemsMembersrt:Scen</w:t>
      </w:r>
      <w:r>
        <w:rPr>
          <w:rFonts w:eastAsia="Times New Roman"/>
          <w:vanish/>
        </w:rPr>
        <w:t>arioPreviouslyReportedMember2021-12-310000202058srt:ScenarioPreviouslyReportedMember2021-12-310000202058hrs:IntegratedMissionSystemsMembersrt:RestatementAdjustmentMember2021-12-310000202058hrs:SpaceandAirborneSystemsMembersrt:RestatementAdjustmentMember202</w:t>
      </w:r>
      <w:r>
        <w:rPr>
          <w:rFonts w:eastAsia="Times New Roman"/>
          <w:vanish/>
        </w:rPr>
        <w:t>1-12-310000202058hrs:CommunicationSystemsMembersrt:RestatementAdjustmentMember2021-12-310000202058hrs:AviationSystemsMembersrt:RestatementAdjustmentMember2021-12-310000202058srt:RestatementAdjustmentMember2021-12-310000202058hrs:IntegratedMissionSystemsMem</w:t>
      </w:r>
      <w:r>
        <w:rPr>
          <w:rFonts w:eastAsia="Times New Roman"/>
          <w:vanish/>
        </w:rPr>
        <w:t>ber2021-12-310000202058hrs:SpaceandAirborneSystemsMember2021-12-310000202058hrs:CommunicationSystemsMember2021-12-310000202058hrs:AviationSystemsMember2021-12-310000202058hrs:IntegratedMissionSystemsMember2022-01-012022-12-300000202058hrs:SpaceandAirborneS</w:t>
      </w:r>
      <w:r>
        <w:rPr>
          <w:rFonts w:eastAsia="Times New Roman"/>
          <w:vanish/>
        </w:rPr>
        <w:t>ystemsMember2022-01-012022-12-300000202058hrs:CommunicationSystemsMember2022-01-012022-12-300000202058hrs:AviationSystemsMember2022-01-012022-12-300000202058hrs:IntegratedMissionSystemsMember2022-12-300000202058hrs:SpaceandAirborneSystemsMember2022-12-3000</w:t>
      </w:r>
      <w:r>
        <w:rPr>
          <w:rFonts w:eastAsia="Times New Roman"/>
          <w:vanish/>
        </w:rPr>
        <w:t>00202058hrs:CommunicationSystemsMember2022-12-300000202058hrs:AviationSystemsMember2022-12-300000202058us-gaap:DisposalGroupDisposedOfBySaleNotDiscontinuedOperationsMemberhrs:AppliedKilovoltsAndAnalyticalInstrumentationAirportSecurityAndAutomationAndEOTech</w:t>
      </w:r>
      <w:r>
        <w:rPr>
          <w:rFonts w:eastAsia="Times New Roman"/>
          <w:vanish/>
        </w:rPr>
        <w:t>BusinessesMember2021-01-022021-12-3100002020582020-01-042021-12-31hrs:reportingUnit0000202058hrs:ElectroOpticalReportingUnitMember2022-07-022022-09-300000202058hrs:ADGReportingUnitMember2022-01-012022-12-300000202058hrs:BroadbandAndElectroOpticalReportingU</w:t>
      </w:r>
      <w:r>
        <w:rPr>
          <w:rFonts w:eastAsia="Times New Roman"/>
          <w:vanish/>
        </w:rPr>
        <w:t>nitMember2022-01-012022-12-300000202058hrs:BroadcastCommunicationsReportingUnitMember2022-01-012022-12-300000202058hrs:ElectroOpticalReportingUnitMember2022-01-012022-12-300000202058hrs:AviationSystemsMemberus-gaap:DisposalGroupHeldforsaleNotDiscontinuedOp</w:t>
      </w:r>
      <w:r>
        <w:rPr>
          <w:rFonts w:eastAsia="Times New Roman"/>
          <w:vanish/>
        </w:rPr>
        <w:t>erationsMemberhrs:CombatPropulsionSystemsMember2021-04-020000202058us-gaap:DisposalGroupHeldforsaleNotDiscontinuedOperationsMemberhrs:AviationSystemsMemberhrs:CombatPropulsionSystemsMember2021-01-022021-04-020000202058hrs:COVID19PandemicMemberhrs:Commercia</w:t>
      </w:r>
      <w:r>
        <w:rPr>
          <w:rFonts w:eastAsia="Times New Roman"/>
          <w:vanish/>
        </w:rPr>
        <w:t>lAviationSolutionsMember2020-10-032021-01-0100002020582020-10-032021-01-010000202058hrs:CommercialAviationSolutionsMember2020-01-042021-01-010000202058hrs:AppliedKilovoltsandAnalyticalInstrumentationBusinessMemberus-gaap:DisposalGroupHeldforsaleNotDisconti</w:t>
      </w:r>
      <w:r>
        <w:rPr>
          <w:rFonts w:eastAsia="Times New Roman"/>
          <w:vanish/>
        </w:rPr>
        <w:t>nuedOperationsMemberhrs:SpaceandAirborneSystemsMember2020-04-030000202058hrs:AppliedKilovoltsandAnalyticalInstrumentationBusinessMemberus-gaap:DisposalGroupHeldforsaleNotDiscontinuedOperationsMemberhrs:SpaceandAirborneSystemsMember2020-01-042021-01-0100002</w:t>
      </w:r>
      <w:r>
        <w:rPr>
          <w:rFonts w:eastAsia="Times New Roman"/>
          <w:vanish/>
        </w:rPr>
        <w:t>02058hrs:AviationSystemsMemberus-gaap:DisposalGroupHeldforsaleNotDiscontinuedOperationsMemberhrs:VoiceSwitchEnterpriseMember2020-07-030000202058us-gaap:DisposalGroupHeldforsaleNotDiscontinuedOperationsMemberhrs:VoiceSwitchEnterpriseMember2020-01-042021-01-</w:t>
      </w:r>
      <w:r>
        <w:rPr>
          <w:rFonts w:eastAsia="Times New Roman"/>
          <w:vanish/>
        </w:rPr>
        <w:t>010000202058us-gaap:CustomerRelationshipsMember2022-12-300000202058us-gaap:CustomerRelationshipsMember2021-12-310000202058us-gaap:DevelopedTechnologyRightsMember2022-12-300000202058us-gaap:DevelopedTechnologyRightsMember2021-12-310000202058us-gaap:OrderOrP</w:t>
      </w:r>
      <w:r>
        <w:rPr>
          <w:rFonts w:eastAsia="Times New Roman"/>
          <w:vanish/>
        </w:rPr>
        <w:t>roductionBacklogMember2022-12-300000202058us-gaap:OrderOrProductionBacklogMember2021-12-310000202058us-gaap:TradeNamesMember2022-12-300000202058us-gaap:TradeNamesMember2021-12-310000202058hrs:OtherFiniteLiveIntangibleMember2022-12-300000202058hrs:OtherFini</w:t>
      </w:r>
      <w:r>
        <w:rPr>
          <w:rFonts w:eastAsia="Times New Roman"/>
          <w:vanish/>
        </w:rPr>
        <w:t>teLiveIntangibleMember2021-12-310000202058us-gaap:InProcessResearchAndDevelopmentMember2022-12-300000202058us-gaap:InProcessResearchAndDevelopmentMember2021-12-310000202058us-gaap:TradeNamesMember2022-12-300000202058us-gaap:TradeNamesMember2021-12-31000020</w:t>
      </w:r>
      <w:r>
        <w:rPr>
          <w:rFonts w:eastAsia="Times New Roman"/>
          <w:vanish/>
        </w:rPr>
        <w:t>2058hrs:AviationSystemsMemberhrs:CommercialTrainingSolutionsMember2021-01-022021-12-310000202058us-gaap:BridgeLoanMemberhrs:A2022CreditAgreementMemberus-gaap:RevolvingCreditFacilityMember2022-07-290000202058hrs:A2022CreditAgreementMemberus-gaap:LetterOfCre</w:t>
      </w:r>
      <w:r>
        <w:rPr>
          <w:rFonts w:eastAsia="Times New Roman"/>
          <w:vanish/>
        </w:rPr>
        <w:t>ditMemberus-gaap:RevolvingCreditFacilityMember2022-07-290000202058hrs:A2022CreditAgreementMemberus-gaap:LineOfCreditMemberus-gaap:RevolvingCreditFacilityMember2021-01-010000202058hrs:A2022CreditAgreementMemberus-gaap:LineOfCreditMemberus-gaap:RevolvingCred</w:t>
      </w:r>
      <w:r>
        <w:rPr>
          <w:rFonts w:eastAsia="Times New Roman"/>
          <w:vanish/>
        </w:rPr>
        <w:t>itFacilityMember2022-07-290000202058hrs:A2022CreditAgreementMemberus-gaap:LineOfCreditMemberus-gaap:RevolvingCreditFacilityMember2022-12-300000202058us-gaap:UnsecuredDebtMemberhrs:Floatingratesnotes2023Member2022-12-300000202058us-gaap:UnsecuredDebtMemberh</w:t>
      </w:r>
      <w:r>
        <w:rPr>
          <w:rFonts w:eastAsia="Times New Roman"/>
          <w:vanish/>
        </w:rPr>
        <w:t>rs:Floatingratesnotes2023Member2021-12-310000202058us-gaap:LoansPayableMemberhrs:A3.850SeniorNotesdueJune152023Member2022-12-300000202058us-gaap:LoansPayableMemberhrs:A3.850SeniorNotesdueJune152023Member2021-12-310000202058us-gaap:LoansPayableMemberhrs:A3.</w:t>
      </w:r>
      <w:r>
        <w:rPr>
          <w:rFonts w:eastAsia="Times New Roman"/>
          <w:vanish/>
        </w:rPr>
        <w:t>950SeniorNotesdueMay282024Member2022-12-300000202058us-gaap:LoansPayableMemberhrs:A3.950SeniorNotesdueMay282024Member2021-12-310000202058us-gaap:LoansPayableMemberhrs:A3.832notesdueApril272025Member2022-12-300000202058us-gaap:LoansPayableMemberhrs:A3.832no</w:t>
      </w:r>
      <w:r>
        <w:rPr>
          <w:rFonts w:eastAsia="Times New Roman"/>
          <w:vanish/>
        </w:rPr>
        <w:t>tesdueApril272025Member2021-12-310000202058hrs:DebentureTwoMemberus-gaap:LoansPayableMember2022-12-300000202058hrs:DebentureTwoMemberus-gaap:LoansPayableMember2021-12-310000202058hrs:A3.850SeniorNotesdueDecember152026Memberus-gaap:LoansPayableMember2022-12</w:t>
      </w:r>
      <w:r>
        <w:rPr>
          <w:rFonts w:eastAsia="Times New Roman"/>
          <w:vanish/>
        </w:rPr>
        <w:t>-300000202058hrs:A3.850SeniorNotesdueDecember152026Memberus-gaap:LoansPayableMember2021-12-310000202058hrs:DebentureOneMemberus-gaap:LoansPayableMember2022-12-300000202058hrs:DebentureOneMemberus-gaap:LoansPayableMember2021-12-310000202058us-gaap:LoansPaya</w:t>
      </w:r>
      <w:r>
        <w:rPr>
          <w:rFonts w:eastAsia="Times New Roman"/>
          <w:vanish/>
        </w:rPr>
        <w:t>bleMemberhrs:A4.400SeniorNotesdueJune152028Member2022-12-300000202058us-gaap:LoansPayableMemberhrs:A4.400SeniorNotesdueJune152028Member2021-12-310000202058hrs:A2.900Notesduedec152029Memberus-gaap:LoansPayableMember2022-12-300000202058hrs:A2.900Notesduedec1</w:t>
      </w:r>
      <w:r>
        <w:rPr>
          <w:rFonts w:eastAsia="Times New Roman"/>
          <w:vanish/>
        </w:rPr>
        <w:t>52029Memberus-gaap:LoansPayableMember2021-12-310000202058hrs:A180NotesDueJanuary152031Memberus-gaap:LoansPayableMember2022-12-300000202058hrs:A180NotesDueJanuary152031Memberus-gaap:LoansPayableMember2021-12-310000202058us-gaap:LoansPayableMemberhrs:A4.854n</w:t>
      </w:r>
      <w:r>
        <w:rPr>
          <w:rFonts w:eastAsia="Times New Roman"/>
          <w:vanish/>
        </w:rPr>
        <w:t>otesdueApril272035Member2022-12-300000202058us-gaap:LoansPayableMemberhrs:A4.854notesdueApril272035Member2021-12-310000202058us-gaap:LoansPayableMemberhrs:A6.15notesdueDecember152040Member2022-12-300000202058us-gaap:LoansPayableMemberhrs:A6.15notesdueDecem</w:t>
      </w:r>
      <w:r>
        <w:rPr>
          <w:rFonts w:eastAsia="Times New Roman"/>
          <w:vanish/>
        </w:rPr>
        <w:t>ber152040Member2021-12-310000202058hrs:A5.054notesdueApril272045Memberus-gaap:LoansPayableMember2022-12-300000202058hrs:A5.054notesdueApril272045Memberus-gaap:LoansPayableMember2021-12-310000202058us-gaap:LoansPayableMember2022-12-300000202058us-gaap:Loans</w:t>
      </w:r>
      <w:r>
        <w:rPr>
          <w:rFonts w:eastAsia="Times New Roman"/>
          <w:vanish/>
        </w:rPr>
        <w:t>PayableMember2021-12-310000202058us-gaap:SecuredDebtMemberhrs:TermLoanDueNovember212025Memberus-gaap:LineOfCreditMember2022-11-220000202058us-gaap:SecuredDebtMemberhrs:TermLoanDueNovember212025Member2022-11-222022-11-220000202058us-gaap:SecuredDebtMemberhr</w:t>
      </w:r>
      <w:r>
        <w:rPr>
          <w:rFonts w:eastAsia="Times New Roman"/>
          <w:vanish/>
        </w:rPr>
        <w:t>s:TermLoanDueNovember212025Member2022-11-22hrs:loanDraw0000202058us-gaap:SecuredDebtMemberhrs:TermLoanDueNovember212025Membersrt:MaximumMemberus-gaap:LineOfCreditMember2022-11-222022-11-220000202058us-gaap:SecuredDebtMemberhrs:TermLoanDueNovember212025Memb</w:t>
      </w:r>
      <w:r>
        <w:rPr>
          <w:rFonts w:eastAsia="Times New Roman"/>
          <w:vanish/>
        </w:rPr>
        <w:t>erhrs:SecuredOvernightFinancingRateSOFRMemberus-gaap:LineOfCreditMember2022-11-222022-11-220000202058us-gaap:SecuredDebtMembersrt:MinimumMemberhrs:TermLoanDueNovember212025Memberus-gaap:LineOfCreditMemberhrs:SeniorDebtRatingsMember2022-11-222022-11-2200002</w:t>
      </w:r>
      <w:r>
        <w:rPr>
          <w:rFonts w:eastAsia="Times New Roman"/>
          <w:vanish/>
        </w:rPr>
        <w:t>02058us-gaap:SecuredDebtMemberhrs:TermLoanDueNovember212025Membersrt:MaximumMemberus-gaap:LineOfCreditMemberhrs:SeniorDebtRatingsMember2022-11-222022-11-220000202058us-gaap:SecuredDebtMemberhrs:TermLoanDueNovember212025Memberus-gaap:LineOfCreditMemberhrs:S</w:t>
      </w:r>
      <w:r>
        <w:rPr>
          <w:rFonts w:eastAsia="Times New Roman"/>
          <w:vanish/>
        </w:rPr>
        <w:t>eniorDebtRatingsMember2022-11-222022-11-220000202058us-gaap:SecuredDebtMembersrt:MinimumMemberhrs:TermLoanDueNovember212025Memberus-gaap:BaseRateMemberus-gaap:LineOfCreditMember2022-11-222022-11-220000202058us-gaap:SecuredDebtMemberhrs:TermLoanDueNovember2</w:t>
      </w:r>
      <w:r>
        <w:rPr>
          <w:rFonts w:eastAsia="Times New Roman"/>
          <w:vanish/>
        </w:rPr>
        <w:t>12025Memberus-gaap:BaseRateMembersrt:MaximumMemberus-gaap:LineOfCreditMember2022-11-222022-11-220000202058us-gaap:SecuredDebtMemberhrs:TermLoanDueNovember212025Memberus-gaap:BaseRateMemberus-gaap:LineOfCreditMember2022-11-222022-11-220000202058us-gaap:Secu</w:t>
      </w:r>
      <w:r>
        <w:rPr>
          <w:rFonts w:eastAsia="Times New Roman"/>
          <w:vanish/>
        </w:rPr>
        <w:t>redDebtMembersrt:MinimumMemberhrs:TermLoanDueNovember212025Memberus-gaap:LineOfCreditMember2022-11-222022-11-220000202058us-gaap:SecuredDebtMemberhrs:TermLoanDueNovember212025Memberus-gaap:LineOfCreditMember2022-11-222022-11-220000202058us-gaap:LoansPayabl</w:t>
      </w:r>
      <w:r>
        <w:rPr>
          <w:rFonts w:eastAsia="Times New Roman"/>
          <w:vanish/>
        </w:rPr>
        <w:t>eMemberhrs:A4.950SeniorNotesdueFebruary152021Member2020-12-140000202058us-gaap:LoansPayableMemberhrs:A4.950SeniorNotesdueFebruary152021Member2020-12-142020-12-140000202058hrs:A180NotesDueJanuary152031Memberus-gaap:LoansPayableMember2020-11-250000202058hrs:</w:t>
      </w:r>
      <w:r>
        <w:rPr>
          <w:rFonts w:eastAsia="Times New Roman"/>
          <w:vanish/>
        </w:rPr>
        <w:t>A180NotesDueJanuary152031Memberus-gaap:LoansPayableMember2020-11-252020-11-250000202058hrs:TreasuryRateMemberhrs:A180NotesDueJanuary152031Memberus-gaap:LoansPayableMember2020-11-252020-11-250000202058us-gaap:UnsecuredDebtMemberhrs:Floatingratesnotes2023Mem</w:t>
      </w:r>
      <w:r>
        <w:rPr>
          <w:rFonts w:eastAsia="Times New Roman"/>
          <w:vanish/>
        </w:rPr>
        <w:t>ber2020-04-030000202058us-gaap:LondonInterbankOfferedRateLIBORMemberus-gaap:UnsecuredDebtMemberhrs:Floatingratesnotes2023Member2020-01-042020-04-030000202058hrs:L3HarrisTechnologiesInc.Memberus-gaap:UnsecuredDebtMember2019-07-022019-07-020000202058hrs:L3Ha</w:t>
      </w:r>
      <w:r>
        <w:rPr>
          <w:rFonts w:eastAsia="Times New Roman"/>
          <w:vanish/>
        </w:rPr>
        <w:t>rrisTechnologiesInc.Memberhrs:A4.950SeniorNotesdueFebruary152021Memberus-gaap:UnsecuredDebtMember2019-07-012019-07-010000202058hrs:L3HarrisTechnologiesInc.Memberhrs:A4.950SeniorNotesdueFebruary152021Memberus-gaap:UnsecuredDebtMember2019-07-022019-07-020000</w:t>
      </w:r>
      <w:r>
        <w:rPr>
          <w:rFonts w:eastAsia="Times New Roman"/>
          <w:vanish/>
        </w:rPr>
        <w:t>202058hrs:L3TechnologiesInc.Memberhrs:A4.950SeniorNotesdueFebruary152021Memberus-gaap:UnsecuredDebtMember2019-07-012019-07-010000202058hrs:L3TechnologiesInc.Memberhrs:A4.950SeniorNotesdueFebruary152021Memberus-gaap:UnsecuredDebtMember2019-07-020000202058hr</w:t>
      </w:r>
      <w:r>
        <w:rPr>
          <w:rFonts w:eastAsia="Times New Roman"/>
          <w:vanish/>
        </w:rPr>
        <w:t>s:L3HarrisTechnologiesInc.Memberhrs:A3.850SeniorNotesdueJune152023Memberus-gaap:UnsecuredDebtMember2019-07-022019-07-020000202058hrs:L3HarrisTechnologiesInc.Memberhrs:A3.850SeniorNotesdueJune152023Memberus-gaap:UnsecuredDebtMember2019-07-012019-07-01000020</w:t>
      </w:r>
      <w:r>
        <w:rPr>
          <w:rFonts w:eastAsia="Times New Roman"/>
          <w:vanish/>
        </w:rPr>
        <w:t>2058hrs:L3TechnologiesInc.Memberhrs:A3.850SeniorNotesdueJune152023Memberus-gaap:UnsecuredDebtMember2019-07-012019-07-010000202058hrs:L3TechnologiesInc.Memberhrs:A3.850SeniorNotesdueJune152023Memberus-gaap:UnsecuredDebtMember2019-07-020000202058hrs:L3Harris</w:t>
      </w:r>
      <w:r>
        <w:rPr>
          <w:rFonts w:eastAsia="Times New Roman"/>
          <w:vanish/>
        </w:rPr>
        <w:t>TechnologiesInc.Memberus-gaap:UnsecuredDebtMemberhrs:A3.950SeniorNotesdueMay282024Member2019-07-012019-07-010000202058hrs:L3HarrisTechnologiesInc.Memberus-gaap:UnsecuredDebtMemberhrs:A3.950SeniorNotesdueMay282024Member2019-07-022019-07-020000202058hrs:L3Te</w:t>
      </w:r>
      <w:r>
        <w:rPr>
          <w:rFonts w:eastAsia="Times New Roman"/>
          <w:vanish/>
        </w:rPr>
        <w:t>chnologiesInc.Memberus-gaap:UnsecuredDebtMemberhrs:A3.950SeniorNotesdueMay282024Member2019-07-012019-07-010000202058hrs:L3TechnologiesInc.Memberus-gaap:UnsecuredDebtMemberhrs:A3.950SeniorNotesdueMay282024Member2019-07-020000202058hrs:A3.850SeniorNotesdueDe</w:t>
      </w:r>
      <w:r>
        <w:rPr>
          <w:rFonts w:eastAsia="Times New Roman"/>
          <w:vanish/>
        </w:rPr>
        <w:t>cember152026Memberhrs:L3HarrisTechnologiesInc.Memberus-gaap:UnsecuredDebtMember2019-07-012019-07-010000202058hrs:A3.850SeniorNotesdueDecember152026Memberhrs:L3HarrisTechnologiesInc.Memberus-gaap:UnsecuredDebtMember2019-07-022019-07-020000202058hrs:A3.850Se</w:t>
      </w:r>
      <w:r>
        <w:rPr>
          <w:rFonts w:eastAsia="Times New Roman"/>
          <w:vanish/>
        </w:rPr>
        <w:t>niorNotesdueDecember152026Memberhrs:L3TechnologiesInc.Memberus-gaap:UnsecuredDebtMember2019-07-012019-07-010000202058hrs:A3.850SeniorNotesdueDecember152026Memberhrs:L3TechnologiesInc.Memberus-gaap:UnsecuredDebtMember2019-07-020000202058hrs:L3HarrisTechnolo</w:t>
      </w:r>
      <w:r>
        <w:rPr>
          <w:rFonts w:eastAsia="Times New Roman"/>
          <w:vanish/>
        </w:rPr>
        <w:t>giesInc.Memberus-gaap:UnsecuredDebtMemberhrs:A4.400SeniorNotesdueJune152028Member2019-07-012019-07-010000202058hrs:L3HarrisTechnologiesInc.Memberus-gaap:UnsecuredDebtMemberhrs:A4.400SeniorNotesdueJune152028Member2019-07-022019-07-020000202058hrs:L3Technolo</w:t>
      </w:r>
      <w:r>
        <w:rPr>
          <w:rFonts w:eastAsia="Times New Roman"/>
          <w:vanish/>
        </w:rPr>
        <w:t>giesInc.Memberus-gaap:UnsecuredDebtMemberhrs:A4.400SeniorNotesdueJune152028Member2019-07-012019-07-010000202058hrs:L3TechnologiesInc.Memberus-gaap:UnsecuredDebtMemberhrs:A4.400SeniorNotesdueJune152028Member2019-07-020000202058hrs:L3TechnologiesInc.Memberus</w:t>
      </w:r>
      <w:r>
        <w:rPr>
          <w:rFonts w:eastAsia="Times New Roman"/>
          <w:vanish/>
        </w:rPr>
        <w:t>-gaap:UnsecuredDebtMember2019-07-012019-07-010000202058hrs:L3TechnologiesInc.Memberus-gaap:UnsecuredDebtMember2019-07-020000202058hrs:L3TechnologiesInc.Memberhrs:L3HarrisTechnologiesInc.Memberus-gaap:UnsecuredDebtMember2019-07-020000202058hrs:L3Technologie</w:t>
      </w:r>
      <w:r>
        <w:rPr>
          <w:rFonts w:eastAsia="Times New Roman"/>
          <w:vanish/>
        </w:rPr>
        <w:t>sInc.Memberhrs:A4.950SeniorNotesdueFebruary152021Memberus-gaap:UnsecuredDebtMember2020-12-140000202058hrs:L3HarrisTechnologiesInc.Memberhrs:A3.850SeniorNotesdueJune152023Memberus-gaap:UnsecuredDebtMember2019-07-020000202058hrs:A3.850SeniorNotesdueDecember1</w:t>
      </w:r>
      <w:r>
        <w:rPr>
          <w:rFonts w:eastAsia="Times New Roman"/>
          <w:vanish/>
        </w:rPr>
        <w:t>52026Memberhrs:L3HarrisTechnologiesInc.Memberus-gaap:UnsecuredDebtMember2019-07-020000202058hrs:L3HarrisTechnologiesInc.Memberus-gaap:UnsecuredDebtMemberhrs:A4.400SeniorNotesdueJune152028Member2019-07-020000202058hrs:L3HarrisTechnologiesInc.Memberus-gaap:U</w:t>
      </w:r>
      <w:r>
        <w:rPr>
          <w:rFonts w:eastAsia="Times New Roman"/>
          <w:vanish/>
        </w:rPr>
        <w:t>nsecuredDebtMemberhrs:A3.950SeniorNotesdueMay282024Member2019-07-020000202058hrs:A3.850SeniorNotesdueJune152023Memberus-gaap:UnsecuredDebtMember2020-05-050000202058hrs:A4.950SeniorNotesdueFebruary152021Memberus-gaap:UnsecuredDebtMember2020-05-050000202058h</w:t>
      </w:r>
      <w:r>
        <w:rPr>
          <w:rFonts w:eastAsia="Times New Roman"/>
          <w:vanish/>
        </w:rPr>
        <w:t>rs:A3.850SeniorNotesdueDecember152026Memberus-gaap:UnsecuredDebtMember2020-05-050000202058us-gaap:UnsecuredDebtMemberhrs:A3.950SeniorNotesdueMay282024Member2020-05-050000202058hrs:A4.950SeniorNotesdueFebruary152021Memberus-gaap:UnsecuredDebtMember2020-05-0</w:t>
      </w:r>
      <w:r>
        <w:rPr>
          <w:rFonts w:eastAsia="Times New Roman"/>
          <w:vanish/>
        </w:rPr>
        <w:t>52020-05-050000202058hrs:A3.850SeniorNotesdueJune152023Memberus-gaap:UnsecuredDebtMember2020-05-052020-05-050000202058us-gaap:UnsecuredDebtMemberhrs:A3.950SeniorNotesdueMay282024Member2020-05-052020-05-050000202058hrs:A3.850SeniorNotesdueDecember152026Memb</w:t>
      </w:r>
      <w:r>
        <w:rPr>
          <w:rFonts w:eastAsia="Times New Roman"/>
          <w:vanish/>
        </w:rPr>
        <w:t>erus-gaap:UnsecuredDebtMember2020-05-052020-05-050000202058us-gaap:UnsecuredDebtMemberhrs:A4.400SeniorNotesdueJune152028Member2020-05-050000202058us-gaap:UnsecuredDebtMemberhrs:A4.400SeniorNotesdueJune152028Member2020-05-052020-05-050000202058hrs:A2.900Sen</w:t>
      </w:r>
      <w:r>
        <w:rPr>
          <w:rFonts w:eastAsia="Times New Roman"/>
          <w:vanish/>
        </w:rPr>
        <w:t>iorNotesdueDecember152029Memberus-gaap:LoansPayableMember2019-11-270000202058hrs:A2.900SeniorNotesdueDecember152029Memberus-gaap:LoansPayableMember2019-11-272019-11-270000202058hrs:TreasuryRateMemberhrs:A2.900SeniorNotesdueDecember152029Memberus-gaap:Loans</w:t>
      </w:r>
      <w:r>
        <w:rPr>
          <w:rFonts w:eastAsia="Times New Roman"/>
          <w:vanish/>
        </w:rPr>
        <w:t>PayableMember2019-11-272019-11-270000202058us-gaap:LoansPayableMemberhrs:NotePayableSeventeenMember2018-06-040000202058us-gaap:LoansPayableMemberhrs:NotePayableSeventeenMember2018-06-042018-06-040000202058hrs:NewNotesMemberus-gaap:LoansPayableMember2015-04</w:t>
      </w:r>
      <w:r>
        <w:rPr>
          <w:rFonts w:eastAsia="Times New Roman"/>
          <w:vanish/>
        </w:rPr>
        <w:t>-270000202058us-gaap:LoansPayableMemberhrs:A3.832notesdueApril272025Member2015-04-270000202058us-gaap:LoansPayableMemberhrs:A4.854notesdueApril272035Member2015-04-270000202058hrs:A5.054notesdueApril272045Memberus-gaap:LoansPayableMember2015-04-270000202058</w:t>
      </w:r>
      <w:r>
        <w:rPr>
          <w:rFonts w:eastAsia="Times New Roman"/>
          <w:vanish/>
        </w:rPr>
        <w:t>hrs:NewNotesMemberus-gaap:LoansPayableMember2021-01-010000202058hrs:NewNotesMemberus-gaap:LoansPayableMember2015-04-272015-04-270000202058hrs:TreasuryRateMemberus-gaap:LoansPayableMemberhrs:A3.832notesdueApril272025Member2015-04-272015-04-270000202058hrs:T</w:t>
      </w:r>
      <w:r>
        <w:rPr>
          <w:rFonts w:eastAsia="Times New Roman"/>
          <w:vanish/>
        </w:rPr>
        <w:t>reasuryRateMemberus-gaap:LoansPayableMemberhrs:A4.854notesdueApril272035Member2015-04-272015-04-270000202058hrs:TreasuryRateMemberhrs:A5.054notesdueApril272045Memberus-gaap:LoansPayableMember2015-04-272015-04-270000202058us-gaap:LoansPayableMemberhrs:A6.15</w:t>
      </w:r>
      <w:r>
        <w:rPr>
          <w:rFonts w:eastAsia="Times New Roman"/>
          <w:vanish/>
        </w:rPr>
        <w:t>notesdueDecember152040Member2010-12-030000202058us-gaap:LoansPayableMemberhrs:A6.15notesdueDecember152040Member2010-12-032010-12-030000202058hrs:DebentureOneMemberus-gaap:LoansPayableMember1998-02-280000202058hrs:DebentureOneMemberus-gaap:LoansPayableMembe</w:t>
      </w:r>
      <w:r>
        <w:rPr>
          <w:rFonts w:eastAsia="Times New Roman"/>
          <w:vanish/>
        </w:rPr>
        <w:t>r2007-12-050000202058hrs:DebentureOneMemberus-gaap:LoansPayableMember2008-02-010000202058hrs:DebentureTwoMemberus-gaap:LoansPayableMember1996-01-310000202058us-gaap:CarryingReportedAmountFairValueDisclosureMember2022-12-300000202058us-gaap:FairValueInputsL</w:t>
      </w:r>
      <w:r>
        <w:rPr>
          <w:rFonts w:eastAsia="Times New Roman"/>
          <w:vanish/>
        </w:rPr>
        <w:t>evel2Memberus-gaap:EstimateOfFairValueFairValueDisclosureMemberus-gaap:MarketApproachValuationTechniqueMember2022-12-300000202058us-gaap:CarryingReportedAmountFairValueDisclosureMember2021-12-310000202058us-gaap:FairValueInputsLevel2Memberus-gaap:EstimateO</w:t>
      </w:r>
      <w:r>
        <w:rPr>
          <w:rFonts w:eastAsia="Times New Roman"/>
          <w:vanish/>
        </w:rPr>
        <w:t>fFairValueFairValueDisclosureMemberus-gaap:MarketApproachValuationTechniqueMember2021-12-310000202058hrs:L3HarrisTechnologiesInc.Memberus-gaap:UnsecuredDebtMember2019-07-020000202058us-gaap:EstimateOfFairValueFairValueDisclosureMemberus-gaap:EquitySecuriti</w:t>
      </w:r>
      <w:r>
        <w:rPr>
          <w:rFonts w:eastAsia="Times New Roman"/>
          <w:vanish/>
        </w:rPr>
        <w:t>esMember2022-12-300000202058us-gaap:FairValueInputsLevel1Memberus-gaap:EstimateOfFairValueFairValueDisclosureMemberus-gaap:EquitySecuritiesMember2022-12-300000202058us-gaap:EstimateOfFairValueFairValueDisclosureMemberus-gaap:EquitySecuritiesMember2021-12-3</w:t>
      </w:r>
      <w:r>
        <w:rPr>
          <w:rFonts w:eastAsia="Times New Roman"/>
          <w:vanish/>
        </w:rPr>
        <w:t>10000202058us-gaap:FairValueInputsLevel1Memberus-gaap:EstimateOfFairValueFairValueDisclosureMemberus-gaap:EquitySecuritiesMember2021-12-310000202058hrs:CorporateownedlifeinsuranceMemberus-gaap:EstimateOfFairValueFairValueDisclosureMemberus-gaap:FairValueMe</w:t>
      </w:r>
      <w:r>
        <w:rPr>
          <w:rFonts w:eastAsia="Times New Roman"/>
          <w:vanish/>
        </w:rPr>
        <w:t>asuredAtNetAssetValuePerShareMember2022-12-300000202058hrs:CorporateownedlifeinsuranceMemberus-gaap:EstimateOfFairValueFairValueDisclosureMemberus-gaap:FairValueMeasuredAtNetAssetValuePerShareMember2021-12-310000202058us-gaap:EstimateOfFairValueFairValueDi</w:t>
      </w:r>
      <w:r>
        <w:rPr>
          <w:rFonts w:eastAsia="Times New Roman"/>
          <w:vanish/>
        </w:rPr>
        <w:t>sclosureMember2022-12-300000202058us-gaap:EstimateOfFairValueFairValueDisclosureMember2021-12-310000202058us-gaap:MutualFundMemberus-gaap:EstimateOfFairValueFairValueDisclosureMember2022-12-300000202058us-gaap:FairValueInputsLevel1Memberus-gaap:MutualFundM</w:t>
      </w:r>
      <w:r>
        <w:rPr>
          <w:rFonts w:eastAsia="Times New Roman"/>
          <w:vanish/>
        </w:rPr>
        <w:t>emberus-gaap:EstimateOfFairValueFairValueDisclosureMember2022-12-300000202058us-gaap:MutualFundMemberus-gaap:EstimateOfFairValueFairValueDisclosureMember2021-12-310000202058us-gaap:FairValueInputsLevel1Memberus-gaap:MutualFundMemberus-gaap:EstimateOfFairVa</w:t>
      </w:r>
      <w:r>
        <w:rPr>
          <w:rFonts w:eastAsia="Times New Roman"/>
          <w:vanish/>
        </w:rPr>
        <w:t>lueFairValueDisclosureMember2021-12-310000202058us-gaap:EstimateOfFairValueFairValueDisclosureMemberhrs:CommonCollectiveTrustsandGuaranteedInvestmentProgramMemberus-gaap:FairValueMeasuredAtNetAssetValuePerShareMember2022-12-300000202058us-gaap:EstimateOfFa</w:t>
      </w:r>
      <w:r>
        <w:rPr>
          <w:rFonts w:eastAsia="Times New Roman"/>
          <w:vanish/>
        </w:rPr>
        <w:t>irValueFairValueDisclosureMemberhrs:CommonCollectiveTrustsandGuaranteedInvestmentProgramMemberus-gaap:FairValueMeasuredAtNetAssetValuePerShareMember2021-12-310000202058country:USus-gaap:PensionPlansDefinedBenefitMember2020-01-010000202058hrs:SalariedPensio</w:t>
      </w:r>
      <w:r>
        <w:rPr>
          <w:rFonts w:eastAsia="Times New Roman"/>
          <w:vanish/>
        </w:rPr>
        <w:t>nPlanMember2022-12-300000202058us-gaap:PensionPlansDefinedBenefitMember2022-01-012022-12-300000202058us-gaap:PensionPlansDefinedBenefitMember2021-01-022021-12-310000202058us-gaap:PensionPlansDefinedBenefitMember2022-12-300000202058us-gaap:OtherPostretireme</w:t>
      </w:r>
      <w:r>
        <w:rPr>
          <w:rFonts w:eastAsia="Times New Roman"/>
          <w:vanish/>
        </w:rPr>
        <w:t>ntBenefitPlansDefinedBenefitMember2022-12-300000202058us-gaap:PensionPlansDefinedBenefitMember2021-12-310000202058us-gaap:OtherPostretirementBenefitPlansDefinedBenefitMember2021-12-310000202058us-gaap:OtherNoncurrentAssetsMemberus-gaap:PensionPlansDefinedB</w:t>
      </w:r>
      <w:r>
        <w:rPr>
          <w:rFonts w:eastAsia="Times New Roman"/>
          <w:vanish/>
        </w:rPr>
        <w:t>enefitMember2022-12-300000202058us-gaap:OtherNoncurrentAssetsMemberus-gaap:OtherPostretirementBenefitPlansDefinedBenefitMember2022-12-300000202058us-gaap:OtherNoncurrentAssetsMemberus-gaap:PensionPlansDefinedBenefitMember2021-12-310000202058us-gaap:OtherNo</w:t>
      </w:r>
      <w:r>
        <w:rPr>
          <w:rFonts w:eastAsia="Times New Roman"/>
          <w:vanish/>
        </w:rPr>
        <w:t>ncurrentAssetsMemberus-gaap:OtherPostretirementBenefitPlansDefinedBenefitMember2021-12-310000202058us-gaap:PensionPlansDefinedBenefitMemberhrs:EmployeeRelatedLiabilitiesCurrentMember2022-12-300000202058hrs:EmployeeRelatedLiabilitiesCurrentMemberus-gaap:Oth</w:t>
      </w:r>
      <w:r>
        <w:rPr>
          <w:rFonts w:eastAsia="Times New Roman"/>
          <w:vanish/>
        </w:rPr>
        <w:t>erPostretirementBenefitPlansDefinedBenefitMember2022-12-300000202058hrs:EmployeeRelatedLiabilitiesCurrentMember2022-12-300000202058us-gaap:PensionPlansDefinedBenefitMemberhrs:EmployeeRelatedLiabilitiesCurrentMember2021-12-310000202058hrs:EmployeeRelatedLia</w:t>
      </w:r>
      <w:r>
        <w:rPr>
          <w:rFonts w:eastAsia="Times New Roman"/>
          <w:vanish/>
        </w:rPr>
        <w:t>bilitiesCurrentMemberus-gaap:OtherPostretirementBenefitPlansDefinedBenefitMember2021-12-310000202058hrs:EmployeeRelatedLiabilitiesCurrentMember2021-12-310000202058hrs:DefinedBenefitPlanLiabilitiesMemberus-gaap:PensionPlansDefinedBenefitMember2022-12-300000</w:t>
      </w:r>
      <w:r>
        <w:rPr>
          <w:rFonts w:eastAsia="Times New Roman"/>
          <w:vanish/>
        </w:rPr>
        <w:t>202058hrs:DefinedBenefitPlanLiabilitiesMemberus-gaap:OtherPostretirementBenefitPlansDefinedBenefitMember2022-12-300000202058hrs:DefinedBenefitPlanLiabilitiesMember2022-12-300000202058hrs:DefinedBenefitPlanLiabilitiesMemberus-gaap:PensionPlansDefinedBenefit</w:t>
      </w:r>
      <w:r>
        <w:rPr>
          <w:rFonts w:eastAsia="Times New Roman"/>
          <w:vanish/>
        </w:rPr>
        <w:t>Member2021-12-310000202058hrs:DefinedBenefitPlanLiabilitiesMemberus-gaap:OtherPostretirementBenefitPlansDefinedBenefitMember2021-12-310000202058hrs:DefinedBenefitPlanLiabilitiesMember2021-12-310000202058us-gaap:PensionPlansDefinedBenefitMember2021-01-01000</w:t>
      </w:r>
      <w:r>
        <w:rPr>
          <w:rFonts w:eastAsia="Times New Roman"/>
          <w:vanish/>
        </w:rPr>
        <w:t>0202058us-gaap:OtherPostretirementBenefitPlansDefinedBenefitMember2021-01-010000202058us-gaap:OtherPostretirementBenefitPlansDefinedBenefitMember2022-01-012022-12-300000202058us-gaap:OtherPostretirementBenefitPlansDefinedBenefitMember2021-01-022021-12-3100</w:t>
      </w:r>
      <w:r>
        <w:rPr>
          <w:rFonts w:eastAsia="Times New Roman"/>
          <w:vanish/>
        </w:rPr>
        <w:t>00202058us-gaap:PensionPlansDefinedBenefitMember2020-01-042021-01-010000202058us-gaap:OtherPostretirementBenefitPlansDefinedBenefitMember2020-01-042021-01-010000202058hrs:SalariedPensionPlanMember2022-01-012022-12-300000202058us-gaap:PensionPlansDefinedBen</w:t>
      </w:r>
      <w:r>
        <w:rPr>
          <w:rFonts w:eastAsia="Times New Roman"/>
          <w:vanish/>
        </w:rPr>
        <w:t>efitMemberhrs:SalariedPensionPlanMember2022-12-300000202058us-gaap:PensionPlansDefinedBenefitMemberhrs:SalariedPensionPlanMember2022-01-012022-12-300000202058us-gaap:PensionPlansDefinedBenefitMembersrt:ScenarioForecastMemberhrs:SalariedPensionPlanMember202</w:t>
      </w:r>
      <w:r>
        <w:rPr>
          <w:rFonts w:eastAsia="Times New Roman"/>
          <w:vanish/>
        </w:rPr>
        <w:t>2-12-312023-12-290000202058us-gaap:OtherPensionPlansDefinedBenefitMemberhrs:SalariedPensionPlanMember2022-12-300000202058country:USsrt:ScenarioForecastMember2022-12-312023-12-290000202058us-gaap:PensionPlansDefinedBenefitMembersrt:ScenarioForecastMember202</w:t>
      </w:r>
      <w:r>
        <w:rPr>
          <w:rFonts w:eastAsia="Times New Roman"/>
          <w:vanish/>
        </w:rPr>
        <w:t>2-12-312023-12-290000202058srt:ScenarioForecastMember2030-12-310000202058srt:MinimumMemberus-gaap:DefinedBenefitPlanEquitySecuritiesMember2022-12-300000202058srt:MaximumMemberus-gaap:DefinedBenefitPlanEquitySecuritiesMember2022-12-300000202058us-gaap:Fixed</w:t>
      </w:r>
      <w:r>
        <w:rPr>
          <w:rFonts w:eastAsia="Times New Roman"/>
          <w:vanish/>
        </w:rPr>
        <w:t>IncomeSecuritiesMembersrt:MinimumMember2022-12-300000202058us-gaap:FixedIncomeSecuritiesMembersrt:MaximumMember2022-12-300000202058srt:MinimumMemberus-gaap:HedgeFundsMember2022-12-300000202058us-gaap:HedgeFundsMembersrt:MaximumMember2022-12-300000202058srt</w:t>
      </w:r>
      <w:r>
        <w:rPr>
          <w:rFonts w:eastAsia="Times New Roman"/>
          <w:vanish/>
        </w:rPr>
        <w:t>:MinimumMemberus-gaap:DefinedBenefitPlanCashAndCashEquivalentsMember2022-12-300000202058us-gaap:DefinedBenefitPlanCashAndCashEquivalentsMembersrt:MaximumMember2022-12-300000202058us-gaap:PrivateEquityFundsMember2022-12-300000202058us-gaap:PrivateEquityFund</w:t>
      </w:r>
      <w:r>
        <w:rPr>
          <w:rFonts w:eastAsia="Times New Roman"/>
          <w:vanish/>
        </w:rPr>
        <w:t>sMember2021-12-310000202058us-gaap:DefinedBenefitPlanRealEstateMember2022-01-012022-12-300000202058us-gaap:DefinedBenefitPlanRealEstateMember2022-12-300000202058us-gaap:DefinedBenefitPlanRealEstateMember2021-12-310000202058us-gaap:HedgeFundsMember2022-01-0</w:t>
      </w:r>
      <w:r>
        <w:rPr>
          <w:rFonts w:eastAsia="Times New Roman"/>
          <w:vanish/>
        </w:rPr>
        <w:t>12022-12-300000202058us-gaap:HedgeFundsMember2022-12-300000202058us-gaap:HedgeFundsMember2021-12-310000202058us-gaap:DefinedBenefitPlanEquitySecuritiesUsMember2022-12-300000202058us-gaap:FairValueInputsLevel1Memberus-gaap:DefinedBenefitPlanEquitySecurities</w:t>
      </w:r>
      <w:r>
        <w:rPr>
          <w:rFonts w:eastAsia="Times New Roman"/>
          <w:vanish/>
        </w:rPr>
        <w:t>UsMember2022-12-300000202058us-gaap:FairValueInputsLevel2Memberus-gaap:DefinedBenefitPlanEquitySecuritiesUsMember2022-12-300000202058us-gaap:FairValueInputsLevel3Memberus-gaap:DefinedBenefitPlanEquitySecuritiesUsMember2022-12-300000202058us-gaap:DefinedBen</w:t>
      </w:r>
      <w:r>
        <w:rPr>
          <w:rFonts w:eastAsia="Times New Roman"/>
          <w:vanish/>
        </w:rPr>
        <w:t>efitPlanEquitySecuritiesNonUsMember2022-12-300000202058us-gaap:DefinedBenefitPlanEquitySecuritiesNonUsMemberus-gaap:FairValueInputsLevel1Member2022-12-300000202058us-gaap:DefinedBenefitPlanEquitySecuritiesNonUsMemberus-gaap:FairValueInputsLevel2Member2022-</w:t>
      </w:r>
      <w:r>
        <w:rPr>
          <w:rFonts w:eastAsia="Times New Roman"/>
          <w:vanish/>
        </w:rPr>
        <w:t>12-300000202058us-gaap:FairValueInputsLevel3Memberus-gaap:DefinedBenefitPlanEquitySecuritiesNonUsMember2022-12-300000202058hrs:DefinedBenefitPlanEquitySecuritiesRealEstateInvestmentTrustsMember2022-12-300000202058us-gaap:FairValueInputsLevel1Memberhrs:Defi</w:t>
      </w:r>
      <w:r>
        <w:rPr>
          <w:rFonts w:eastAsia="Times New Roman"/>
          <w:vanish/>
        </w:rPr>
        <w:t>nedBenefitPlanEquitySecuritiesRealEstateInvestmentTrustsMember2022-12-300000202058us-gaap:FairValueInputsLevel2Memberhrs:DefinedBenefitPlanEquitySecuritiesRealEstateInvestmentTrustsMember2022-12-300000202058us-gaap:FairValueInputsLevel3Memberhrs:DefinedBen</w:t>
      </w:r>
      <w:r>
        <w:rPr>
          <w:rFonts w:eastAsia="Times New Roman"/>
          <w:vanish/>
        </w:rPr>
        <w:t>efitPlanEquitySecuritiesRealEstateInvestmentTrustsMember2022-12-300000202058us-gaap:CorporateBondSecuritiesMember2022-12-300000202058us-gaap:FairValueInputsLevel1Memberus-gaap:CorporateBondSecuritiesMember2022-12-300000202058us-gaap:FairValueInputsLevel2Me</w:t>
      </w:r>
      <w:r>
        <w:rPr>
          <w:rFonts w:eastAsia="Times New Roman"/>
          <w:vanish/>
        </w:rPr>
        <w:t>mberus-gaap:CorporateBondSecuritiesMember2022-12-300000202058us-gaap:FairValueInputsLevel3Memberus-gaap:CorporateBondSecuritiesMember2022-12-300000202058us-gaap:USTreasuryAndGovernmentMember2022-12-300000202058us-gaap:FairValueInputsLevel1Memberus-gaap:UST</w:t>
      </w:r>
      <w:r>
        <w:rPr>
          <w:rFonts w:eastAsia="Times New Roman"/>
          <w:vanish/>
        </w:rPr>
        <w:t>reasuryAndGovernmentMember2022-12-300000202058us-gaap:USTreasuryAndGovernmentMemberus-gaap:FairValueInputsLevel2Member2022-12-300000202058us-gaap:FairValueInputsLevel3Memberus-gaap:USTreasuryAndGovernmentMember2022-12-300000202058us-gaap:AssetBackedSecurit</w:t>
      </w:r>
      <w:r>
        <w:rPr>
          <w:rFonts w:eastAsia="Times New Roman"/>
          <w:vanish/>
        </w:rPr>
        <w:t>iesSecuritizedLoansAndReceivablesMember2022-12-300000202058us-gaap:FairValueInputsLevel1Memberus-gaap:AssetBackedSecuritiesSecuritizedLoansAndReceivablesMember2022-12-300000202058us-gaap:FairValueInputsLevel2Memberus-gaap:AssetBackedSecuritiesSecuritizedLo</w:t>
      </w:r>
      <w:r>
        <w:rPr>
          <w:rFonts w:eastAsia="Times New Roman"/>
          <w:vanish/>
        </w:rPr>
        <w:t>ansAndReceivablesMember2022-12-300000202058us-gaap:FairValueInputsLevel3Memberus-gaap:AssetBackedSecuritiesSecuritizedLoansAndReceivablesMember2022-12-300000202058hrs:DefinedBenefitPlanFixedIncomeInvestmentsMember2022-12-300000202058us-gaap:FairValueInputs</w:t>
      </w:r>
      <w:r>
        <w:rPr>
          <w:rFonts w:eastAsia="Times New Roman"/>
          <w:vanish/>
        </w:rPr>
        <w:t>Level1Memberhrs:DefinedBenefitPlanFixedIncomeInvestmentsMember2022-12-300000202058us-gaap:FairValueInputsLevel2Memberhrs:DefinedBenefitPlanFixedIncomeInvestmentsMember2022-12-300000202058us-gaap:FairValueInputsLevel3Memberhrs:DefinedBenefitPlanFixedIncomeI</w:t>
      </w:r>
      <w:r>
        <w:rPr>
          <w:rFonts w:eastAsia="Times New Roman"/>
          <w:vanish/>
        </w:rPr>
        <w:t>nvestmentsMember2022-12-300000202058us-gaap:DefinedBenefitPlanCashAndCashEquivalentsMember2022-12-300000202058us-gaap:FairValueInputsLevel1Memberus-gaap:DefinedBenefitPlanCashAndCashEquivalentsMember2022-12-300000202058us-gaap:DefinedBenefitPlanCashAndCash</w:t>
      </w:r>
      <w:r>
        <w:rPr>
          <w:rFonts w:eastAsia="Times New Roman"/>
          <w:vanish/>
        </w:rPr>
        <w:t>EquivalentsMemberus-gaap:FairValueInputsLevel2Member2022-12-300000202058us-gaap:FairValueInputsLevel3Memberus-gaap:DefinedBenefitPlanCashAndCashEquivalentsMember2022-12-300000202058us-gaap:FairValueInputsLevel12And3Memberhrs:DefinedBenefitPlanAssetsBeforeI</w:t>
      </w:r>
      <w:r>
        <w:rPr>
          <w:rFonts w:eastAsia="Times New Roman"/>
          <w:vanish/>
        </w:rPr>
        <w:t>nvestmentsSoldShortAndOtherLiabilitiesMember2022-12-300000202058hrs:DefinedBenefitPlanAssetsBeforeInvestmentsSoldShortAndOtherLiabilitiesMemberus-gaap:FairValueInputsLevel1Member2022-12-300000202058hrs:DefinedBenefitPlanAssetsBeforeInvestmentsSoldShortAndO</w:t>
      </w:r>
      <w:r>
        <w:rPr>
          <w:rFonts w:eastAsia="Times New Roman"/>
          <w:vanish/>
        </w:rPr>
        <w:t>therLiabilitiesMemberus-gaap:FairValueInputsLevel2Member2022-12-300000202058us-gaap:FairValueInputsLevel3Memberhrs:DefinedBenefitPlanAssetsBeforeInvestmentsSoldShortAndOtherLiabilitiesMember2022-12-300000202058us-gaap:PrivateEquityFundsDomesticMember2022-1</w:t>
      </w:r>
      <w:r>
        <w:rPr>
          <w:rFonts w:eastAsia="Times New Roman"/>
          <w:vanish/>
        </w:rPr>
        <w:t>2-300000202058us-gaap:FixedIncomeFundsMember2022-12-300000202058us-gaap:HedgeFundsMember2022-12-300000202058us-gaap:PrivateEquityFundsMember2022-12-300000202058us-gaap:RealEstateFundsMember2022-12-300000202058hrs:DefinedBenefitPlanOtherFundsMember2022-12-3</w:t>
      </w:r>
      <w:r>
        <w:rPr>
          <w:rFonts w:eastAsia="Times New Roman"/>
          <w:vanish/>
        </w:rPr>
        <w:t>00000202058us-gaap:FairValueMeasuredAtNetAssetValuePerShareMember2022-12-300000202058hrs:DefinedBenefitPlanPayablesReceivablesNetMember2022-12-300000202058us-gaap:DefinedBenefitPlanEquitySecuritiesUsMember2021-12-310000202058us-gaap:FairValueInputsLevel1Me</w:t>
      </w:r>
      <w:r>
        <w:rPr>
          <w:rFonts w:eastAsia="Times New Roman"/>
          <w:vanish/>
        </w:rPr>
        <w:t>mberus-gaap:DefinedBenefitPlanEquitySecuritiesUsMember2021-12-310000202058us-gaap:FairValueInputsLevel2Memberus-gaap:DefinedBenefitPlanEquitySecuritiesUsMember2021-12-310000202058us-gaap:FairValueInputsLevel3Memberus-gaap:DefinedBenefitPlanEquitySecurities</w:t>
      </w:r>
      <w:r>
        <w:rPr>
          <w:rFonts w:eastAsia="Times New Roman"/>
          <w:vanish/>
        </w:rPr>
        <w:t>UsMember2021-12-310000202058us-gaap:DefinedBenefitPlanEquitySecuritiesNonUsMember2021-12-310000202058us-gaap:DefinedBenefitPlanEquitySecuritiesNonUsMemberus-gaap:FairValueInputsLevel1Member2021-12-310000202058us-gaap:DefinedBenefitPlanEquitySecuritiesNonUs</w:t>
      </w:r>
      <w:r>
        <w:rPr>
          <w:rFonts w:eastAsia="Times New Roman"/>
          <w:vanish/>
        </w:rPr>
        <w:t>Memberus-gaap:FairValueInputsLevel2Member2021-12-310000202058us-gaap:FairValueInputsLevel3Memberus-gaap:DefinedBenefitPlanEquitySecuritiesNonUsMember2021-12-310000202058hrs:DefinedBenefitPlanEquitySecuritiesRealEstateInvestmentTrustsMember2021-12-310000202</w:t>
      </w:r>
      <w:r>
        <w:rPr>
          <w:rFonts w:eastAsia="Times New Roman"/>
          <w:vanish/>
        </w:rPr>
        <w:t>058us-gaap:FairValueInputsLevel1Memberhrs:DefinedBenefitPlanEquitySecuritiesRealEstateInvestmentTrustsMember2021-12-310000202058us-gaap:FairValueInputsLevel2Memberhrs:DefinedBenefitPlanEquitySecuritiesRealEstateInvestmentTrustsMember2021-12-310000202058us-</w:t>
      </w:r>
      <w:r>
        <w:rPr>
          <w:rFonts w:eastAsia="Times New Roman"/>
          <w:vanish/>
        </w:rPr>
        <w:t>gaap:FairValueInputsLevel3Memberhrs:DefinedBenefitPlanEquitySecuritiesRealEstateInvestmentTrustsMember2021-12-310000202058us-gaap:CorporateBondSecuritiesMember2021-12-310000202058us-gaap:FairValueInputsLevel1Memberus-gaap:CorporateBondSecuritiesMember2021-</w:t>
      </w:r>
      <w:r>
        <w:rPr>
          <w:rFonts w:eastAsia="Times New Roman"/>
          <w:vanish/>
        </w:rPr>
        <w:t>12-310000202058us-gaap:FairValueInputsLevel2Memberus-gaap:CorporateBondSecuritiesMember2021-12-310000202058us-gaap:FairValueInputsLevel3Memberus-gaap:CorporateBondSecuritiesMember2021-12-310000202058us-gaap:USTreasuryAndGovernmentMember2021-12-310000202058</w:t>
      </w:r>
      <w:r>
        <w:rPr>
          <w:rFonts w:eastAsia="Times New Roman"/>
          <w:vanish/>
        </w:rPr>
        <w:t>us-gaap:FairValueInputsLevel1Memberus-gaap:USTreasuryAndGovernmentMember2021-12-310000202058us-gaap:USTreasuryAndGovernmentMemberus-gaap:FairValueInputsLevel2Member2021-12-310000202058us-gaap:FairValueInputsLevel3Memberus-gaap:USTreasuryAndGovernmentMember</w:t>
      </w:r>
      <w:r>
        <w:rPr>
          <w:rFonts w:eastAsia="Times New Roman"/>
          <w:vanish/>
        </w:rPr>
        <w:t>2021-12-310000202058us-gaap:AssetBackedSecuritiesSecuritizedLoansAndReceivablesMember2021-12-310000202058us-gaap:FairValueInputsLevel1Memberus-gaap:AssetBackedSecuritiesSecuritizedLoansAndReceivablesMember2021-12-310000202058us-gaap:FairValueInputsLevel2Me</w:t>
      </w:r>
      <w:r>
        <w:rPr>
          <w:rFonts w:eastAsia="Times New Roman"/>
          <w:vanish/>
        </w:rPr>
        <w:t>mberus-gaap:AssetBackedSecuritiesSecuritizedLoansAndReceivablesMember2021-12-310000202058us-gaap:FairValueInputsLevel3Memberus-gaap:AssetBackedSecuritiesSecuritizedLoansAndReceivablesMember2021-12-310000202058hrs:DefinedBenefitPlanFixedIncomeInvestmentsMem</w:t>
      </w:r>
      <w:r>
        <w:rPr>
          <w:rFonts w:eastAsia="Times New Roman"/>
          <w:vanish/>
        </w:rPr>
        <w:t>ber2021-12-310000202058us-gaap:FairValueInputsLevel1Memberhrs:DefinedBenefitPlanFixedIncomeInvestmentsMember2021-12-310000202058us-gaap:FairValueInputsLevel2Memberhrs:DefinedBenefitPlanFixedIncomeInvestmentsMember2021-12-310000202058us-gaap:FairValueInputs</w:t>
      </w:r>
      <w:r>
        <w:rPr>
          <w:rFonts w:eastAsia="Times New Roman"/>
          <w:vanish/>
        </w:rPr>
        <w:t>Level3Memberhrs:DefinedBenefitPlanFixedIncomeInvestmentsMember2021-12-310000202058us-gaap:DefinedBenefitPlanCashAndCashEquivalentsMember2021-12-310000202058us-gaap:FairValueInputsLevel1Memberus-gaap:DefinedBenefitPlanCashAndCashEquivalentsMember2021-12-310</w:t>
      </w:r>
      <w:r>
        <w:rPr>
          <w:rFonts w:eastAsia="Times New Roman"/>
          <w:vanish/>
        </w:rPr>
        <w:t>000202058us-gaap:DefinedBenefitPlanCashAndCashEquivalentsMemberus-gaap:FairValueInputsLevel2Member2021-12-310000202058us-gaap:FairValueInputsLevel3Memberus-gaap:DefinedBenefitPlanCashAndCashEquivalentsMember2021-12-310000202058us-gaap:FairValueInputsLevel1</w:t>
      </w:r>
      <w:r>
        <w:rPr>
          <w:rFonts w:eastAsia="Times New Roman"/>
          <w:vanish/>
        </w:rPr>
        <w:t>2And3Member2021-12-310000202058us-gaap:FairValueInputsLevel1Member2021-12-310000202058us-gaap:FairValueInputsLevel2Member2021-12-310000202058us-gaap:FairValueInputsLevel3Member2021-12-310000202058us-gaap:PrivateEquityFundsDomesticMember2021-12-310000202058</w:t>
      </w:r>
      <w:r>
        <w:rPr>
          <w:rFonts w:eastAsia="Times New Roman"/>
          <w:vanish/>
        </w:rPr>
        <w:t>us-gaap:FixedIncomeFundsMember2021-12-310000202058us-gaap:HedgeFundsMember2021-12-310000202058us-gaap:PrivateEquityFundsMember2021-12-310000202058us-gaap:RealEstateFundsMember2021-12-310000202058hrs:DefinedBenefitPlanOtherFundsMember2021-12-310000202058us-</w:t>
      </w:r>
      <w:r>
        <w:rPr>
          <w:rFonts w:eastAsia="Times New Roman"/>
          <w:vanish/>
        </w:rPr>
        <w:t>gaap:FairValueMeasuredAtNetAssetValuePerShareMember2021-12-310000202058hrs:DefinedBenefitPlanPayablesReceivablesNetMember2021-12-31hrs:plan0000202058us-gaap:CostOfSalesMember2022-01-012022-12-300000202058us-gaap:CostOfSalesMember2021-01-022021-12-310000202</w:t>
      </w:r>
      <w:r>
        <w:rPr>
          <w:rFonts w:eastAsia="Times New Roman"/>
          <w:vanish/>
        </w:rPr>
        <w:t>058us-gaap:CostOfSalesMember2020-01-042021-01-010000202058us-gaap:SellingGeneralAndAdministrativeExpensesMember2022-01-012022-12-300000202058us-gaap:SellingGeneralAndAdministrativeExpensesMember2021-01-022021-12-310000202058us-gaap:SellingGeneralAndAdminis</w:t>
      </w:r>
      <w:r>
        <w:rPr>
          <w:rFonts w:eastAsia="Times New Roman"/>
          <w:vanish/>
        </w:rPr>
        <w:t>trativeExpensesMember2020-01-042021-01-010000202058hrs:IncomeLossFromContinuingOperationsMember2022-01-012022-12-300000202058hrs:IncomeLossFromContinuingOperationsMember2021-01-022021-12-310000202058hrs:IncomeLossFromContinuingOperationsMember2020-01-04202</w:t>
      </w:r>
      <w:r>
        <w:rPr>
          <w:rFonts w:eastAsia="Times New Roman"/>
          <w:vanish/>
        </w:rPr>
        <w:t>1-01-010000202058hrs:EquityIncentivePlan2015Member2022-12-300000202058us-gaap:EmployeeStockOptionMember2022-01-012022-12-300000202058srt:MinimumMember2022-01-012022-12-300000202058srt:MaximumMember2022-01-012022-12-300000202058us-gaap:RestrictedStockUnitsR</w:t>
      </w:r>
      <w:r>
        <w:rPr>
          <w:rFonts w:eastAsia="Times New Roman"/>
          <w:vanish/>
        </w:rPr>
        <w:t>SUMember2022-12-300000202058hrs:RestrictedStockAndRestrictedStockUnitMember2021-12-310000202058hrs:RestrictedStockAndRestrictedStockUnitMember2022-01-012022-12-300000202058hrs:RestrictedStockAndRestrictedStockUnitMember2022-12-300000202058hrs:RestrictedSto</w:t>
      </w:r>
      <w:r>
        <w:rPr>
          <w:rFonts w:eastAsia="Times New Roman"/>
          <w:vanish/>
        </w:rPr>
        <w:t>ckAndRestrictedStockUnitMember2021-01-022021-12-310000202058hrs:RestrictedStockAndRestrictedStockUnitMember2020-01-042021-01-010000202058hrs:PerformanceStockUnitsMember2022-01-012022-12-300000202058hrs:PerformanceStockUnitsMember2021-12-310000202058hrs:Per</w:t>
      </w:r>
      <w:r>
        <w:rPr>
          <w:rFonts w:eastAsia="Times New Roman"/>
          <w:vanish/>
        </w:rPr>
        <w:t>formanceStockUnitsMember2022-12-300000202058hrs:PerformanceStockUnitsMember2021-01-022021-12-310000202058hrs:PerformanceStockUnitsMember2020-01-042021-01-010000202058hrs:COVID19PandemicMemberhrs:CommercialAviationSolutionsMemberus-gaap:ContractTerminationM</w:t>
      </w:r>
      <w:r>
        <w:rPr>
          <w:rFonts w:eastAsia="Times New Roman"/>
          <w:vanish/>
        </w:rPr>
        <w:t>ember2020-01-042021-01-010000202058hrs:LandAndManufacturingFacilityMemberstpr:CA2020-11-242020-11-240000202058hrs:LandAndManufacturingFacilityMemberstpr:CA2020-11-24hrs:engineer0000202058hrs:LandAndManufacturingFacilityMemberstpr:CA2020-01-042021-01-010000</w:t>
      </w:r>
      <w:r>
        <w:rPr>
          <w:rFonts w:eastAsia="Times New Roman"/>
          <w:vanish/>
        </w:rPr>
        <w:t>202058srt:MinimumMember2022-12-300000202058srt:MaximumMember2022-12-300000202058us-gaap:ForeignExchangeForwardMemberus-gaap:CashFlowHedgingMember2022-12-300000202058us-gaap:ForeignExchangeForwardMemberus-gaap:CashFlowHedgingMember2021-12-310000202058us-gaa</w:t>
      </w:r>
      <w:r>
        <w:rPr>
          <w:rFonts w:eastAsia="Times New Roman"/>
          <w:vanish/>
        </w:rPr>
        <w:t>p:OtherCurrentLiabilitiesMember2022-12-300000202058us-gaap:OtherCurrentLiabilitiesMember2021-12-310000202058us-gaap:OtherNoncurrentLiabilitiesMember2022-12-300000202058us-gaap:OtherNoncurrentLiabilitiesMember2021-12-310000202058us-gaap:ForeignExchangeForwa</w:t>
      </w:r>
      <w:r>
        <w:rPr>
          <w:rFonts w:eastAsia="Times New Roman"/>
          <w:vanish/>
        </w:rPr>
        <w:t>rdMemberus-gaap:CashFlowHedgingMember2022-01-012022-12-300000202058us-gaap:ForeignExchangeForwardMemberus-gaap:CashFlowHedgingMember2020-01-042021-01-010000202058us-gaap:ForeignExchangeForwardMemberus-gaap:CashFlowHedgingMember2021-01-022021-12-31000020205</w:t>
      </w:r>
      <w:r>
        <w:rPr>
          <w:rFonts w:eastAsia="Times New Roman"/>
          <w:vanish/>
        </w:rPr>
        <w:t>82022-11-222022-11-220000202058us-gaap:DesignatedAsHedgingInstrumentMemberus-gaap:InterestRateContractMember2022-12-300000202058hrs:TreasuryRateMemberus-gaap:LoansPayableMemberhrs:A4.950SeniorNotesdueFebruary152021Member2020-11-250000202058hrs:TreasuryRate</w:t>
      </w:r>
      <w:r>
        <w:rPr>
          <w:rFonts w:eastAsia="Times New Roman"/>
          <w:vanish/>
        </w:rPr>
        <w:t>Memberhrs:A180NotesDueJanuary152031Memberus-gaap:LoansPayableMember2020-11-250000202058hrs:L3HarrisTechnologiesInc.Memberus-gaap:TreasuryLockMemberus-gaap:CashFlowHedgingMember2019-06-29hrs:derivativeInstrument0000202058us-gaap:TreasuryLockMemberus-gaap:Ca</w:t>
      </w:r>
      <w:r>
        <w:rPr>
          <w:rFonts w:eastAsia="Times New Roman"/>
          <w:vanish/>
        </w:rPr>
        <w:t>shFlowHedgingMember2021-12-310000202058us-gaap:AccumulatedTranslationAdjustmentMember2021-12-310000202058us-gaap:AccumulatedGainLossNetCashFlowHedgeParentMember2021-12-310000202058us-gaap:AccumulatedDefinedBenefitPlansAdjustmentMember2021-12-310000202058us</w:t>
      </w:r>
      <w:r>
        <w:rPr>
          <w:rFonts w:eastAsia="Times New Roman"/>
          <w:vanish/>
        </w:rPr>
        <w:t>-gaap:AccumulatedTranslationAdjustmentMember2022-01-012022-12-300000202058us-gaap:AccumulatedGainLossNetCashFlowHedgeParentMember2022-01-012022-12-300000202058us-gaap:AccumulatedDefinedBenefitPlansAdjustmentMember2022-01-012022-12-300000202058us-gaap:Accum</w:t>
      </w:r>
      <w:r>
        <w:rPr>
          <w:rFonts w:eastAsia="Times New Roman"/>
          <w:vanish/>
        </w:rPr>
        <w:t>ulatedTranslationAdjustmentMember2022-12-300000202058us-gaap:AccumulatedGainLossNetCashFlowHedgeParentMember2022-12-300000202058us-gaap:AccumulatedDefinedBenefitPlansAdjustmentMember2022-12-300000202058us-gaap:AccumulatedTranslationAdjustmentMember2021-01-</w:t>
      </w:r>
      <w:r>
        <w:rPr>
          <w:rFonts w:eastAsia="Times New Roman"/>
          <w:vanish/>
        </w:rPr>
        <w:t>010000202058us-gaap:AccumulatedGainLossNetCashFlowHedgeParentMember2021-01-010000202058us-gaap:AccumulatedDefinedBenefitPlansAdjustmentMember2021-01-010000202058us-gaap:AccumulatedTranslationAdjustmentMember2021-01-022021-12-310000202058us-gaap:Accumulated</w:t>
      </w:r>
      <w:r>
        <w:rPr>
          <w:rFonts w:eastAsia="Times New Roman"/>
          <w:vanish/>
        </w:rPr>
        <w:t>GainLossNetCashFlowHedgeParentMember2021-01-022021-12-310000202058us-gaap:AccumulatedDefinedBenefitPlansAdjustmentMember2021-01-022021-12-310000202058us-gaap:DomesticCountryMember2022-12-300000202058us-gaap:ForeignCountryMember2022-12-300000202058us-gaap:S</w:t>
      </w:r>
      <w:r>
        <w:rPr>
          <w:rFonts w:eastAsia="Times New Roman"/>
          <w:vanish/>
        </w:rPr>
        <w:t>tateAndLocalJurisdictionMember2022-12-3000002020582023-01-012022-12-3000002020582024-01-012022-12-300000202058us-gaap:OperatingSegmentsMemberhrs:IntegratedMissionSystemsMember2022-01-012022-12-300000202058us-gaap:OperatingSegmentsMemberhrs:IntegratedMissio</w:t>
      </w:r>
      <w:r>
        <w:rPr>
          <w:rFonts w:eastAsia="Times New Roman"/>
          <w:vanish/>
        </w:rPr>
        <w:t>nSystemsMember2021-01-022021-12-310000202058us-gaap:OperatingSegmentsMemberhrs:IntegratedMissionSystemsMember2020-01-042021-01-010000202058hrs:SpaceandAirborneSystemsMemberus-gaap:OperatingSegmentsMember2022-01-012022-12-300000202058hrs:SpaceandAirborneSys</w:t>
      </w:r>
      <w:r>
        <w:rPr>
          <w:rFonts w:eastAsia="Times New Roman"/>
          <w:vanish/>
        </w:rPr>
        <w:t>temsMemberus-gaap:OperatingSegmentsMember2021-01-022021-12-310000202058hrs:SpaceandAirborneSystemsMemberus-gaap:OperatingSegmentsMember2020-01-042021-01-010000202058hrs:CommunicationSystemsMemberus-gaap:OperatingSegmentsMember2022-01-012022-12-300000202058</w:t>
      </w:r>
      <w:r>
        <w:rPr>
          <w:rFonts w:eastAsia="Times New Roman"/>
          <w:vanish/>
        </w:rPr>
        <w:t>hrs:CommunicationSystemsMemberus-gaap:OperatingSegmentsMember2021-01-022021-12-310000202058hrs:CommunicationSystemsMemberus-gaap:OperatingSegmentsMember2020-01-042021-01-010000202058us-gaap:MaterialReconcilingItemsMember2022-01-012022-12-300000202058us-gaa</w:t>
      </w:r>
      <w:r>
        <w:rPr>
          <w:rFonts w:eastAsia="Times New Roman"/>
          <w:vanish/>
        </w:rPr>
        <w:t>p:MaterialReconcilingItemsMember2021-01-022021-12-310000202058us-gaap:MaterialReconcilingItemsMember2020-01-042021-01-010000202058us-gaap:CorporateNonSegmentMember2022-01-012022-12-300000202058us-gaap:CorporateNonSegmentMember2021-01-022021-12-310000202058</w:t>
      </w:r>
      <w:r>
        <w:rPr>
          <w:rFonts w:eastAsia="Times New Roman"/>
          <w:vanish/>
        </w:rPr>
        <w:t>us-gaap:CorporateNonSegmentMember2020-01-042021-01-010000202058us-gaap:DisposalGroupDisposedOfBySaleNotDiscontinuedOperationsMemberhrs:CommercialTrainingSolutionsMember2021-01-022021-12-310000202058us-gaap:DisposalGroupDisposedOfBySaleNotDiscontinuedOperat</w:t>
      </w:r>
      <w:r>
        <w:rPr>
          <w:rFonts w:eastAsia="Times New Roman"/>
          <w:vanish/>
        </w:rPr>
        <w:t>ionsMemberhrs:VoiceSwitchEnterpriseMember2020-01-042021-01-010000202058hrs:AppliedKilovoltsandAnalyticalInstrumentationBusinessMemberus-gaap:DisposalGroupDisposedOfBySaleNotDiscontinuedOperationsMember2020-01-042021-01-010000202058hrs:PlansUnderUSGovernmen</w:t>
      </w:r>
      <w:r>
        <w:rPr>
          <w:rFonts w:eastAsia="Times New Roman"/>
          <w:vanish/>
        </w:rPr>
        <w:t>tContractsMemberus-gaap:PensionPlansDefinedBenefitMember2022-01-012022-12-300000202058hrs:PlansUnderUSGovernmentContractsMemberus-gaap:PensionPlansDefinedBenefitMember2021-01-022021-12-310000202058hrs:PlansUnderUSGovernmentContractsMemberus-gaap:PensionPla</w:t>
      </w:r>
      <w:r>
        <w:rPr>
          <w:rFonts w:eastAsia="Times New Roman"/>
          <w:vanish/>
        </w:rPr>
        <w:t>nsDefinedBenefitMember2020-01-042021-01-010000202058us-gaap:TransferredOverTimeMemberhrs:IntegratedMissionSystemsMemberus-gaap:SalesChannelDirectlyToConsumerMember2022-01-012022-12-300000202058hrs:SpaceandAirborneSystemsMemberus-gaap:TransferredOverTimeMem</w:t>
      </w:r>
      <w:r>
        <w:rPr>
          <w:rFonts w:eastAsia="Times New Roman"/>
          <w:vanish/>
        </w:rPr>
        <w:t>berus-gaap:SalesChannelDirectlyToConsumerMember2022-01-012022-12-300000202058hrs:CommunicationSystemsMemberus-gaap:TransferredAtPointInTimeMemberus-gaap:SalesChannelDirectlyToConsumerMember2022-01-012022-12-300000202058us-gaap:TransferredOverTimeMemberhrs:</w:t>
      </w:r>
      <w:r>
        <w:rPr>
          <w:rFonts w:eastAsia="Times New Roman"/>
          <w:vanish/>
        </w:rPr>
        <w:t>IntegratedMissionSystemsMemberus-gaap:SalesChannelDirectlyToConsumerMember2021-01-022021-12-310000202058hrs:SpaceandAirborneSystemsMemberus-gaap:TransferredOverTimeMemberus-gaap:SalesChannelDirectlyToConsumerMember2021-01-022021-12-310000202058hrs:Communic</w:t>
      </w:r>
      <w:r>
        <w:rPr>
          <w:rFonts w:eastAsia="Times New Roman"/>
          <w:vanish/>
        </w:rPr>
        <w:t>ationSystemsMemberus-gaap:TransferredAtPointInTimeMemberus-gaap:SalesChannelDirectlyToConsumerMember2021-01-022021-12-310000202058us-gaap:TransferredOverTimeMemberhrs:IntegratedMissionSystemsMemberus-gaap:SalesChannelDirectlyToConsumerMember2020-01-042021-</w:t>
      </w:r>
      <w:r>
        <w:rPr>
          <w:rFonts w:eastAsia="Times New Roman"/>
          <w:vanish/>
        </w:rPr>
        <w:t>01-010000202058hrs:SpaceandAirborneSystemsMemberus-gaap:TransferredOverTimeMemberus-gaap:SalesChannelDirectlyToConsumerMember2020-01-042021-01-010000202058hrs:CommunicationSystemsMemberus-gaap:TransferredAtPointInTimeMemberus-gaap:SalesChannelDirectlyToCon</w:t>
      </w:r>
      <w:r>
        <w:rPr>
          <w:rFonts w:eastAsia="Times New Roman"/>
          <w:vanish/>
        </w:rPr>
        <w:t>sumerMember2020-01-042021-01-010000202058us-gaap:SalesChannelThroughIntermediaryMemberus-gaap:TransferredOverTimeMemberhrs:IntegratedMissionSystemsMember2022-01-012022-12-300000202058hrs:SpaceandAirborneSystemsMemberus-gaap:SalesChannelThroughIntermediaryM</w:t>
      </w:r>
      <w:r>
        <w:rPr>
          <w:rFonts w:eastAsia="Times New Roman"/>
          <w:vanish/>
        </w:rPr>
        <w:t>emberus-gaap:TransferredOverTimeMember2022-01-012022-12-300000202058hrs:CommunicationSystemsMemberus-gaap:SalesChannelThroughIntermediaryMemberus-gaap:TransferredAtPointInTimeMember2022-01-012022-12-300000202058us-gaap:SalesChannelThroughIntermediaryMember</w:t>
      </w:r>
      <w:r>
        <w:rPr>
          <w:rFonts w:eastAsia="Times New Roman"/>
          <w:vanish/>
        </w:rPr>
        <w:t>us-gaap:TransferredOverTimeMemberhrs:IntegratedMissionSystemsMember2021-01-022021-12-310000202058hrs:SpaceandAirborneSystemsMemberus-gaap:SalesChannelThroughIntermediaryMemberus-gaap:TransferredOverTimeMember2021-01-022021-12-310000202058hrs:CommunicationS</w:t>
      </w:r>
      <w:r>
        <w:rPr>
          <w:rFonts w:eastAsia="Times New Roman"/>
          <w:vanish/>
        </w:rPr>
        <w:t>ystemsMemberus-gaap:SalesChannelThroughIntermediaryMemberus-gaap:TransferredAtPointInTimeMember2021-01-022021-12-310000202058us-gaap:SalesChannelThroughIntermediaryMemberus-gaap:TransferredOverTimeMemberhrs:IntegratedMissionSystemsMember2020-01-042021-01-0</w:t>
      </w:r>
      <w:r>
        <w:rPr>
          <w:rFonts w:eastAsia="Times New Roman"/>
          <w:vanish/>
        </w:rPr>
        <w:t>10000202058hrs:SpaceandAirborneSystemsMemberus-gaap:SalesChannelThroughIntermediaryMemberus-gaap:TransferredOverTimeMember2020-01-042021-01-010000202058hrs:CommunicationSystemsMemberus-gaap:SalesChannelThroughIntermediaryMemberus-gaap:TransferredAtPointInT</w:t>
      </w:r>
      <w:r>
        <w:rPr>
          <w:rFonts w:eastAsia="Times New Roman"/>
          <w:vanish/>
        </w:rPr>
        <w:t>imeMember2020-01-042021-01-010000202058us-gaap:TransferredOverTimeMemberhrs:IntegratedMissionSystemsMemberus-gaap:IntersegmentEliminationMember2022-01-012022-12-300000202058hrs:SpaceandAirborneSystemsMemberus-gaap:TransferredOverTimeMemberus-gaap:Intersegm</w:t>
      </w:r>
      <w:r>
        <w:rPr>
          <w:rFonts w:eastAsia="Times New Roman"/>
          <w:vanish/>
        </w:rPr>
        <w:t>entEliminationMember2022-01-012022-12-300000202058hrs:CommunicationSystemsMemberus-gaap:TransferredAtPointInTimeMemberus-gaap:IntersegmentEliminationMember2022-01-012022-12-300000202058us-gaap:TransferredOverTimeMemberhrs:IntegratedMissionSystemsMemberus-g</w:t>
      </w:r>
      <w:r>
        <w:rPr>
          <w:rFonts w:eastAsia="Times New Roman"/>
          <w:vanish/>
        </w:rPr>
        <w:t>aap:IntersegmentEliminationMember2021-01-022021-12-310000202058hrs:SpaceandAirborneSystemsMemberus-gaap:TransferredOverTimeMemberus-gaap:IntersegmentEliminationMember2021-01-022021-12-310000202058hrs:CommunicationSystemsMemberus-gaap:TransferredAtPointInTi</w:t>
      </w:r>
      <w:r>
        <w:rPr>
          <w:rFonts w:eastAsia="Times New Roman"/>
          <w:vanish/>
        </w:rPr>
        <w:t>meMemberus-gaap:IntersegmentEliminationMember2021-01-022021-12-310000202058us-gaap:TransferredOverTimeMemberhrs:IntegratedMissionSystemsMemberus-gaap:IntersegmentEliminationMember2020-01-042021-01-010000202058hrs:SpaceandAirborneSystemsMemberus-gaap:Transf</w:t>
      </w:r>
      <w:r>
        <w:rPr>
          <w:rFonts w:eastAsia="Times New Roman"/>
          <w:vanish/>
        </w:rPr>
        <w:t>erredOverTimeMemberus-gaap:IntersegmentEliminationMember2020-01-042021-01-010000202058hrs:CommunicationSystemsMemberus-gaap:TransferredAtPointInTimeMemberus-gaap:IntersegmentEliminationMember2020-01-042021-01-010000202058us-gaap:TransferredOverTimeMemberhr</w:t>
      </w:r>
      <w:r>
        <w:rPr>
          <w:rFonts w:eastAsia="Times New Roman"/>
          <w:vanish/>
        </w:rPr>
        <w:t>s:IntegratedMissionSystemsMember2022-01-012022-12-300000202058hrs:SpaceandAirborneSystemsMemberus-gaap:TransferredOverTimeMember2022-01-012022-12-300000202058hrs:CommunicationSystemsMemberus-gaap:TransferredAtPointInTimeMember2022-01-012022-12-300000202058</w:t>
      </w:r>
      <w:r>
        <w:rPr>
          <w:rFonts w:eastAsia="Times New Roman"/>
          <w:vanish/>
        </w:rPr>
        <w:t>us-gaap:TransferredOverTimeMemberhrs:IntegratedMissionSystemsMember2021-01-022021-12-310000202058hrs:SpaceandAirborneSystemsMemberus-gaap:TransferredOverTimeMember2021-01-022021-12-310000202058hrs:CommunicationSystemsMemberus-gaap:TransferredAtPointInTimeM</w:t>
      </w:r>
      <w:r>
        <w:rPr>
          <w:rFonts w:eastAsia="Times New Roman"/>
          <w:vanish/>
        </w:rPr>
        <w:t>ember2021-01-022021-12-310000202058us-gaap:TransferredOverTimeMemberhrs:IntegratedMissionSystemsMember2020-01-042021-01-010000202058hrs:SpaceandAirborneSystemsMemberus-gaap:TransferredOverTimeMember2020-01-042021-01-010000202058hrs:CommunicationSystemsMemb</w:t>
      </w:r>
      <w:r>
        <w:rPr>
          <w:rFonts w:eastAsia="Times New Roman"/>
          <w:vanish/>
        </w:rPr>
        <w:t>erus-gaap:TransferredAtPointInTimeMember2020-01-042021-01-010000202058us-gaap:FixedPriceContractMemberus-gaap:TransferredOverTimeMemberhrs:IntegratedMissionSystemsMember2022-01-012022-12-300000202058hrs:SpaceandAirborneSystemsMemberus-gaap:FixedPriceContra</w:t>
      </w:r>
      <w:r>
        <w:rPr>
          <w:rFonts w:eastAsia="Times New Roman"/>
          <w:vanish/>
        </w:rPr>
        <w:t>ctMemberus-gaap:TransferredOverTimeMember2022-01-012022-12-300000202058hrs:CommunicationSystemsMemberus-gaap:FixedPriceContractMemberus-gaap:TransferredAtPointInTimeMember2022-01-012022-12-300000202058us-gaap:FixedPriceContractMemberus-gaap:TransferredOver</w:t>
      </w:r>
      <w:r>
        <w:rPr>
          <w:rFonts w:eastAsia="Times New Roman"/>
          <w:vanish/>
        </w:rPr>
        <w:t>TimeMemberhrs:IntegratedMissionSystemsMember2021-01-022021-12-310000202058hrs:SpaceandAirborneSystemsMemberus-gaap:FixedPriceContractMemberus-gaap:TransferredOverTimeMember2021-01-022021-12-310000202058hrs:CommunicationSystemsMemberus-gaap:FixedPriceContra</w:t>
      </w:r>
      <w:r>
        <w:rPr>
          <w:rFonts w:eastAsia="Times New Roman"/>
          <w:vanish/>
        </w:rPr>
        <w:t>ctMemberus-gaap:TransferredAtPointInTimeMember2021-01-022021-12-310000202058us-gaap:FixedPriceContractMemberus-gaap:TransferredOverTimeMemberhrs:IntegratedMissionSystemsMember2020-01-042021-01-010000202058hrs:SpaceandAirborneSystemsMemberus-gaap:FixedPrice</w:t>
      </w:r>
      <w:r>
        <w:rPr>
          <w:rFonts w:eastAsia="Times New Roman"/>
          <w:vanish/>
        </w:rPr>
        <w:t>ContractMemberus-gaap:TransferredOverTimeMember2020-01-042021-01-010000202058hrs:CommunicationSystemsMemberus-gaap:FixedPriceContractMemberus-gaap:TransferredAtPointInTimeMember2020-01-042021-01-010000202058hrs:CostreimbursableMemberus-gaap:TransferredOver</w:t>
      </w:r>
      <w:r>
        <w:rPr>
          <w:rFonts w:eastAsia="Times New Roman"/>
          <w:vanish/>
        </w:rPr>
        <w:t>TimeMemberhrs:IntegratedMissionSystemsMember2022-01-012022-12-300000202058hrs:SpaceandAirborneSystemsMemberhrs:CostreimbursableMemberus-gaap:TransferredOverTimeMember2022-01-012022-12-300000202058hrs:CommunicationSystemsMemberhrs:CostreimbursableMemberus-g</w:t>
      </w:r>
      <w:r>
        <w:rPr>
          <w:rFonts w:eastAsia="Times New Roman"/>
          <w:vanish/>
        </w:rPr>
        <w:t>aap:TransferredAtPointInTimeMember2022-01-012022-12-300000202058hrs:CostreimbursableMemberus-gaap:TransferredOverTimeMemberhrs:IntegratedMissionSystemsMember2021-01-022021-12-310000202058hrs:SpaceandAirborneSystemsMemberhrs:CostreimbursableMemberus-gaap:Tr</w:t>
      </w:r>
      <w:r>
        <w:rPr>
          <w:rFonts w:eastAsia="Times New Roman"/>
          <w:vanish/>
        </w:rPr>
        <w:t>ansferredOverTimeMember2021-01-022021-12-310000202058hrs:CommunicationSystemsMemberhrs:CostreimbursableMemberus-gaap:TransferredAtPointInTimeMember2021-01-022021-12-310000202058hrs:CostreimbursableMemberus-gaap:TransferredOverTimeMemberhrs:IntegratedMissio</w:t>
      </w:r>
      <w:r>
        <w:rPr>
          <w:rFonts w:eastAsia="Times New Roman"/>
          <w:vanish/>
        </w:rPr>
        <w:t>nSystemsMember2020-01-042021-01-010000202058hrs:SpaceandAirborneSystemsMemberhrs:CostreimbursableMemberus-gaap:TransferredOverTimeMember2020-01-042021-01-010000202058hrs:CommunicationSystemsMemberhrs:CostreimbursableMemberus-gaap:TransferredAtPointInTimeMe</w:t>
      </w:r>
      <w:r>
        <w:rPr>
          <w:rFonts w:eastAsia="Times New Roman"/>
          <w:vanish/>
        </w:rPr>
        <w:t>mber2020-01-042021-01-010000202058country:USus-gaap:TransferredOverTimeMemberhrs:IntegratedMissionSystemsMember2022-01-012022-12-300000202058country:UShrs:SpaceandAirborneSystemsMemberus-gaap:TransferredOverTimeMember2022-01-012022-12-300000202058hrs:Commu</w:t>
      </w:r>
      <w:r>
        <w:rPr>
          <w:rFonts w:eastAsia="Times New Roman"/>
          <w:vanish/>
        </w:rPr>
        <w:t>nicationSystemsMembercountry:USus-gaap:TransferredAtPointInTimeMember2022-01-012022-12-300000202058country:USus-gaap:TransferredOverTimeMemberhrs:IntegratedMissionSystemsMember2021-01-022021-12-310000202058country:UShrs:SpaceandAirborneSystemsMemberus-gaap</w:t>
      </w:r>
      <w:r>
        <w:rPr>
          <w:rFonts w:eastAsia="Times New Roman"/>
          <w:vanish/>
        </w:rPr>
        <w:t>:TransferredOverTimeMember2021-01-022021-12-310000202058hrs:CommunicationSystemsMembercountry:USus-gaap:TransferredAtPointInTimeMember2021-01-022021-12-310000202058country:USus-gaap:TransferredOverTimeMemberhrs:IntegratedMissionSystemsMember2020-01-042021-</w:t>
      </w:r>
      <w:r>
        <w:rPr>
          <w:rFonts w:eastAsia="Times New Roman"/>
          <w:vanish/>
        </w:rPr>
        <w:t>01-010000202058country:UShrs:SpaceandAirborneSystemsMemberus-gaap:TransferredOverTimeMember2020-01-042021-01-010000202058hrs:CommunicationSystemsMembercountry:USus-gaap:TransferredAtPointInTimeMember2020-01-042021-01-010000202058us-gaap:NonUsMemberus-gaap:</w:t>
      </w:r>
      <w:r>
        <w:rPr>
          <w:rFonts w:eastAsia="Times New Roman"/>
          <w:vanish/>
        </w:rPr>
        <w:t>TransferredOverTimeMemberhrs:IntegratedMissionSystemsMember2022-01-012022-12-300000202058us-gaap:NonUsMemberhrs:SpaceandAirborneSystemsMemberus-gaap:TransferredOverTimeMember2022-01-012022-12-300000202058us-gaap:NonUsMemberhrs:CommunicationSystemsMemberus-</w:t>
      </w:r>
      <w:r>
        <w:rPr>
          <w:rFonts w:eastAsia="Times New Roman"/>
          <w:vanish/>
        </w:rPr>
        <w:t>gaap:TransferredAtPointInTimeMember2022-01-012022-12-300000202058us-gaap:NonUsMemberus-gaap:TransferredOverTimeMemberhrs:IntegratedMissionSystemsMember2021-01-022021-12-310000202058us-gaap:NonUsMemberhrs:SpaceandAirborneSystemsMemberus-gaap:TransferredOver</w:t>
      </w:r>
      <w:r>
        <w:rPr>
          <w:rFonts w:eastAsia="Times New Roman"/>
          <w:vanish/>
        </w:rPr>
        <w:t>TimeMember2021-01-022021-12-310000202058us-gaap:NonUsMemberhrs:CommunicationSystemsMemberus-gaap:TransferredAtPointInTimeMember2021-01-022021-12-310000202058us-gaap:NonUsMemberus-gaap:TransferredOverTimeMemberhrs:IntegratedMissionSystemsMember2020-01-04202</w:t>
      </w:r>
      <w:r>
        <w:rPr>
          <w:rFonts w:eastAsia="Times New Roman"/>
          <w:vanish/>
        </w:rPr>
        <w:t>1-01-010000202058us-gaap:NonUsMemberhrs:SpaceandAirborneSystemsMemberus-gaap:TransferredOverTimeMember2020-01-042021-01-010000202058us-gaap:NonUsMemberhrs:CommunicationSystemsMemberus-gaap:TransferredAtPointInTimeMember2020-01-042021-01-010000202058country</w:t>
      </w:r>
      <w:r>
        <w:rPr>
          <w:rFonts w:eastAsia="Times New Roman"/>
          <w:vanish/>
        </w:rPr>
        <w:t>:US2022-01-012022-12-300000202058country:US2021-01-022021-12-310000202058country:US2020-01-042021-01-010000202058us-gaap:NonUsMember2022-01-012022-12-300000202058us-gaap:NonUsMember2021-01-022021-12-310000202058us-gaap:NonUsMember2020-01-042021-01-01000020</w:t>
      </w:r>
      <w:r>
        <w:rPr>
          <w:rFonts w:eastAsia="Times New Roman"/>
          <w:vanish/>
        </w:rPr>
        <w:t>2058us-gaap:GovernmentContractsConcentrationRiskMemberus-gaap:RevenueFromContractWithCustomerMemberhrs:USGovernmentMember2022-01-012022-12-300000202058us-gaap:GovernmentContractsConcentrationRiskMemberus-gaap:RevenueFromContractWithCustomerMemberhrs:USGove</w:t>
      </w:r>
      <w:r>
        <w:rPr>
          <w:rFonts w:eastAsia="Times New Roman"/>
          <w:vanish/>
        </w:rPr>
        <w:t>rnmentMember2021-01-022021-12-310000202058us-gaap:GovernmentContractsConcentrationRiskMemberus-gaap:RevenueFromContractWithCustomerMemberhrs:USGovernmentMember2020-01-042021-01-010000202058us-gaap:RevenueFromContractWithCustomerSegmentBenchmarkMemberus-gaa</w:t>
      </w:r>
      <w:r>
        <w:rPr>
          <w:rFonts w:eastAsia="Times New Roman"/>
          <w:vanish/>
        </w:rPr>
        <w:t>p:ProductConcentrationRiskMemberhrs:IntegratedMissionSystemsMember2022-01-012022-12-300000202058hrs:SpaceandAirborneSystemsMemberus-gaap:RevenueFromContractWithCustomerSegmentBenchmarkMemberus-gaap:ProductConcentrationRiskMember2022-01-012022-12-3000002020</w:t>
      </w:r>
      <w:r>
        <w:rPr>
          <w:rFonts w:eastAsia="Times New Roman"/>
          <w:vanish/>
        </w:rPr>
        <w:t>58hrs:CommunicationSystemsMemberus-gaap:RevenueFromContractWithCustomerSegmentBenchmarkMemberus-gaap:ProductConcentrationRiskMember2022-01-012022-12-300000202058us-gaap:NonUsMemberus-gaap:GeographicConcentrationRiskMemberus-gaap:RevenueFromContractWithCust</w:t>
      </w:r>
      <w:r>
        <w:rPr>
          <w:rFonts w:eastAsia="Times New Roman"/>
          <w:vanish/>
        </w:rPr>
        <w:t>omerProductAndServiceBenchmarkMember2022-01-012022-12-300000202058us-gaap:NonUsMemberus-gaap:GeographicConcentrationRiskMemberus-gaap:RevenueFromContractWithCustomerProductAndServiceBenchmarkMember2021-01-022021-12-310000202058us-gaap:NonUsMemberus-gaap:Ge</w:t>
      </w:r>
      <w:r>
        <w:rPr>
          <w:rFonts w:eastAsia="Times New Roman"/>
          <w:vanish/>
        </w:rPr>
        <w:t>ographicConcentrationRiskMemberus-gaap:RevenueFromContractWithCustomerProductAndServiceBenchmarkMember2020-01-042021-01-010000202058us-gaap:OperatingSegmentsMemberhrs:IntegratedMissionSystemsMember2022-12-300000202058us-gaap:OperatingSegmentsMemberhrs:Inte</w:t>
      </w:r>
      <w:r>
        <w:rPr>
          <w:rFonts w:eastAsia="Times New Roman"/>
          <w:vanish/>
        </w:rPr>
        <w:t>gratedMissionSystemsMember2021-12-310000202058hrs:SpaceandAirborneSystemsMemberus-gaap:OperatingSegmentsMember2022-12-300000202058hrs:SpaceandAirborneSystemsMemberus-gaap:OperatingSegmentsMember2021-12-310000202058hrs:CommunicationSystemsMemberus-gaap:Oper</w:t>
      </w:r>
      <w:r>
        <w:rPr>
          <w:rFonts w:eastAsia="Times New Roman"/>
          <w:vanish/>
        </w:rPr>
        <w:t>atingSegmentsMember2022-12-300000202058hrs:CommunicationSystemsMemberus-gaap:OperatingSegmentsMember2021-12-310000202058hrs:AviationSystemsMemberus-gaap:OperatingSegmentsMember2022-12-300000202058hrs:AviationSystemsMemberus-gaap:OperatingSegmentsMember2021</w:t>
      </w:r>
      <w:r>
        <w:rPr>
          <w:rFonts w:eastAsia="Times New Roman"/>
          <w:vanish/>
        </w:rPr>
        <w:t>-12-310000202058us-gaap:CorporateNonSegmentMember2022-12-300000202058us-gaap:CorporateNonSegmentMember2021-12-310000202058us-gaap:OperatingSegmentsMemberus-gaap:AllOtherSegmentsMember2022-01-012022-12-300000202058us-gaap:OperatingSegmentsMemberus-gaap:AllO</w:t>
      </w:r>
      <w:r>
        <w:rPr>
          <w:rFonts w:eastAsia="Times New Roman"/>
          <w:vanish/>
        </w:rPr>
        <w:t>therSegmentsMember2021-01-022021-12-310000202058us-gaap:OperatingSegmentsMemberus-gaap:AllOtherSegmentsMember2020-01-042021-01-010000202058country:US2022-12-300000202058country:US2021-12-310000202058country:US2021-01-010000202058us-gaap:NonUsMember2022-12-</w:t>
      </w:r>
      <w:r>
        <w:rPr>
          <w:rFonts w:eastAsia="Times New Roman"/>
          <w:vanish/>
        </w:rPr>
        <w:t>300000202058us-gaap:NonUsMember2021-12-310000202058us-gaap:NonUsMember2021-01-010000202058us-gaap:UnfavorableRegulatoryActionMemberus-gaap:SettledLitigationMember2019-09-300000202058us-gaap:UnfavorableRegulatoryActionMemberus-gaap:SettledLitigationMember20</w:t>
      </w:r>
      <w:r>
        <w:rPr>
          <w:rFonts w:eastAsia="Times New Roman"/>
          <w:vanish/>
        </w:rPr>
        <w:t>19-09-012019-09-300000202058hrs:ExelisMemberhrs:PassaicRiverAlaskaMember2016-03-012016-03-31hrs:responsible_party0000202058hrs:ExelisMemberhrs:PassaicRiverAlaskaMember2021-10-022021-12-310000202058us-gaap:SubsequentEventMemberhrs:TacticalDataLinksTDLProduc</w:t>
      </w:r>
      <w:r>
        <w:rPr>
          <w:rFonts w:eastAsia="Times New Roman"/>
          <w:vanish/>
        </w:rPr>
        <w:t>tLineMember2023-01-032023-01-030000202058us-gaap:SecuredDebtMemberhrs:TermLoanDueNovember212025Memberus-gaap:LineOfCreditMemberus-gaap:SubsequentEventMember2023-01-032023-01-03</w:t>
      </w:r>
    </w:p>
    <w:p w:rsidR="00000000" w:rsidRDefault="00F5481A">
      <w:pPr>
        <w:ind w:firstLine="360"/>
        <w:jc w:val="center"/>
        <w:divId w:val="756442123"/>
        <w:rPr>
          <w:rFonts w:eastAsia="Times New Roman"/>
        </w:rPr>
      </w:pPr>
    </w:p>
    <w:p w:rsidR="00000000" w:rsidRDefault="00F5481A">
      <w:pPr>
        <w:ind w:firstLine="360"/>
        <w:jc w:val="center"/>
        <w:divId w:val="606427298"/>
        <w:rPr>
          <w:rFonts w:eastAsia="Times New Roman"/>
        </w:rPr>
      </w:pPr>
    </w:p>
    <w:p w:rsidR="00000000" w:rsidRDefault="00F5481A">
      <w:pPr>
        <w:jc w:val="center"/>
        <w:divId w:val="830365835"/>
        <w:rPr>
          <w:rFonts w:eastAsia="Times New Roman"/>
        </w:rPr>
      </w:pPr>
      <w:r>
        <w:rPr>
          <w:rFonts w:eastAsia="Times New Roman"/>
          <w:b/>
          <w:bCs/>
          <w:color w:val="283030"/>
          <w:sz w:val="18"/>
          <w:szCs w:val="18"/>
        </w:rPr>
        <w:t>UNITED STATES</w:t>
      </w:r>
    </w:p>
    <w:p w:rsidR="00000000" w:rsidRDefault="00F5481A">
      <w:pPr>
        <w:jc w:val="center"/>
        <w:rPr>
          <w:rFonts w:eastAsia="Times New Roman"/>
        </w:rPr>
      </w:pPr>
      <w:r>
        <w:rPr>
          <w:rFonts w:eastAsia="Times New Roman"/>
          <w:b/>
          <w:bCs/>
          <w:color w:val="283030"/>
        </w:rPr>
        <w:t>SECURITIES AND EXCHANGE COMMISSION</w:t>
      </w:r>
    </w:p>
    <w:p w:rsidR="00000000" w:rsidRDefault="00F5481A">
      <w:pPr>
        <w:jc w:val="center"/>
        <w:rPr>
          <w:rFonts w:eastAsia="Times New Roman"/>
        </w:rPr>
      </w:pPr>
      <w:r>
        <w:rPr>
          <w:rFonts w:eastAsia="Times New Roman"/>
          <w:b/>
          <w:bCs/>
          <w:color w:val="283030"/>
          <w:sz w:val="18"/>
          <w:szCs w:val="18"/>
        </w:rPr>
        <w:t>WASHINGTON, D.C. 20549</w:t>
      </w:r>
    </w:p>
    <w:p w:rsidR="00000000" w:rsidRDefault="00F5481A">
      <w:pPr>
        <w:jc w:val="center"/>
        <w:rPr>
          <w:rFonts w:eastAsia="Times New Roman"/>
        </w:rPr>
      </w:pPr>
      <w:r>
        <w:rPr>
          <w:rFonts w:eastAsia="Times New Roman"/>
          <w:b/>
          <w:bCs/>
          <w:color w:val="283030"/>
        </w:rPr>
        <w:t>FOR</w:t>
      </w:r>
      <w:r>
        <w:rPr>
          <w:rFonts w:eastAsia="Times New Roman"/>
          <w:b/>
          <w:bCs/>
          <w:color w:val="283030"/>
        </w:rPr>
        <w:t>M 10-K</w:t>
      </w:r>
    </w:p>
    <w:p w:rsidR="00000000" w:rsidRDefault="00F5481A">
      <w:pPr>
        <w:divId w:val="1473332589"/>
        <w:rPr>
          <w:rFonts w:eastAsia="Times New Roman"/>
        </w:rPr>
      </w:pPr>
      <w:r>
        <w:rPr>
          <w:rFonts w:eastAsia="Times New Roman"/>
          <w:b/>
          <w:bCs/>
          <w:color w:val="283030"/>
          <w:sz w:val="16"/>
          <w:szCs w:val="16"/>
        </w:rPr>
        <w:t>(Mark One)</w:t>
      </w:r>
    </w:p>
    <w:tbl>
      <w:tblPr>
        <w:tblW w:w="4827" w:type="pct"/>
        <w:tblCellMar>
          <w:top w:w="15" w:type="dxa"/>
          <w:left w:w="15" w:type="dxa"/>
          <w:bottom w:w="15" w:type="dxa"/>
          <w:right w:w="15" w:type="dxa"/>
        </w:tblCellMar>
        <w:tblLook w:val="04A0" w:firstRow="1" w:lastRow="0" w:firstColumn="1" w:lastColumn="0" w:noHBand="0" w:noVBand="1"/>
      </w:tblPr>
      <w:tblGrid>
        <w:gridCol w:w="66"/>
        <w:gridCol w:w="291"/>
        <w:gridCol w:w="36"/>
        <w:gridCol w:w="66"/>
        <w:gridCol w:w="7524"/>
        <w:gridCol w:w="36"/>
      </w:tblGrid>
      <w:tr w:rsidR="00000000">
        <w:trPr>
          <w:divId w:val="107699978"/>
        </w:trPr>
        <w:tc>
          <w:tcPr>
            <w:tcW w:w="50" w:type="pct"/>
            <w:vAlign w:val="center"/>
            <w:hideMark/>
          </w:tcPr>
          <w:p w:rsidR="00000000" w:rsidRDefault="00F5481A">
            <w:pPr>
              <w:rPr>
                <w:rFonts w:eastAsia="Times New Roman"/>
              </w:rPr>
            </w:pPr>
          </w:p>
        </w:tc>
        <w:tc>
          <w:tcPr>
            <w:tcW w:w="190"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69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107699978"/>
        </w:trPr>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Segoe UI Emoji" w:eastAsia="Times New Roman" w:hAnsi="Segoe UI Emoji" w:cs="Segoe UI Emoji"/>
                <w:color w:val="283030"/>
                <w:sz w:val="18"/>
                <w:szCs w:val="18"/>
              </w:rPr>
              <w:t>☑</w:t>
            </w:r>
          </w:p>
        </w:tc>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eastAsia="Times New Roman"/>
                <w:color w:val="283030"/>
                <w:sz w:val="18"/>
                <w:szCs w:val="18"/>
              </w:rPr>
              <w:t>ANNUAL REPORT PURSUANT TO SECTION 13 OR 15(d) OF THE SECURITIES EXCHANGE ACT OF 1934</w:t>
            </w:r>
          </w:p>
        </w:tc>
      </w:tr>
    </w:tbl>
    <w:p w:rsidR="00000000" w:rsidRDefault="00F5481A">
      <w:pPr>
        <w:jc w:val="center"/>
        <w:rPr>
          <w:rFonts w:eastAsia="Times New Roman"/>
        </w:rPr>
      </w:pPr>
      <w:r>
        <w:rPr>
          <w:rFonts w:eastAsia="Times New Roman"/>
          <w:b/>
          <w:bCs/>
          <w:color w:val="283030"/>
          <w:sz w:val="18"/>
          <w:szCs w:val="18"/>
        </w:rPr>
        <w:t xml:space="preserve">For the fiscal year ended December 30, 2022 </w:t>
      </w:r>
    </w:p>
    <w:p w:rsidR="00000000" w:rsidRDefault="00F5481A">
      <w:pPr>
        <w:ind w:firstLine="360"/>
        <w:divId w:val="713042188"/>
        <w:rPr>
          <w:rFonts w:eastAsia="Times New Roman"/>
        </w:rPr>
      </w:pPr>
      <w:r>
        <w:rPr>
          <w:rFonts w:eastAsia="Times New Roman"/>
          <w:color w:val="000000"/>
          <w:sz w:val="18"/>
          <w:szCs w:val="18"/>
        </w:rPr>
        <w:t>OR</w:t>
      </w:r>
    </w:p>
    <w:tbl>
      <w:tblPr>
        <w:tblW w:w="5000" w:type="pct"/>
        <w:tblCellMar>
          <w:top w:w="15" w:type="dxa"/>
          <w:left w:w="15" w:type="dxa"/>
          <w:bottom w:w="15" w:type="dxa"/>
          <w:right w:w="15" w:type="dxa"/>
        </w:tblCellMar>
        <w:tblLook w:val="04A0" w:firstRow="1" w:lastRow="0" w:firstColumn="1" w:lastColumn="0" w:noHBand="0" w:noVBand="1"/>
      </w:tblPr>
      <w:tblGrid>
        <w:gridCol w:w="69"/>
        <w:gridCol w:w="288"/>
        <w:gridCol w:w="36"/>
        <w:gridCol w:w="69"/>
        <w:gridCol w:w="7807"/>
        <w:gridCol w:w="37"/>
      </w:tblGrid>
      <w:tr w:rsidR="00000000">
        <w:trPr>
          <w:divId w:val="1001740065"/>
        </w:trPr>
        <w:tc>
          <w:tcPr>
            <w:tcW w:w="50" w:type="pct"/>
            <w:vAlign w:val="center"/>
            <w:hideMark/>
          </w:tcPr>
          <w:p w:rsidR="00000000" w:rsidRDefault="00F5481A">
            <w:pPr>
              <w:ind w:firstLine="360"/>
              <w:rPr>
                <w:rFonts w:eastAsia="Times New Roman"/>
              </w:rPr>
            </w:pPr>
          </w:p>
        </w:tc>
        <w:tc>
          <w:tcPr>
            <w:tcW w:w="182"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707"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1001740065"/>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Segoe UI Symbol" w:eastAsia="Times New Roman" w:hAnsi="Segoe UI Symbol" w:cs="Segoe UI Symbol"/>
                <w:color w:val="283030"/>
                <w:sz w:val="18"/>
                <w:szCs w:val="18"/>
              </w:rPr>
              <w:t>☐</w:t>
            </w:r>
          </w:p>
        </w:tc>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eastAsia="Times New Roman"/>
                <w:color w:val="283030"/>
                <w:sz w:val="18"/>
                <w:szCs w:val="18"/>
              </w:rPr>
              <w:t>TRANSITION REPORT PURSUANT TO SECTION </w:t>
            </w:r>
            <w:r>
              <w:rPr>
                <w:rFonts w:eastAsia="Times New Roman"/>
                <w:color w:val="283030"/>
                <w:sz w:val="18"/>
                <w:szCs w:val="18"/>
              </w:rPr>
              <w:t>13 OR 15(d) OF THE SECURITIES EXCHANGE ACT OF 1934</w:t>
            </w:r>
          </w:p>
        </w:tc>
      </w:tr>
      <w:tr w:rsidR="00000000">
        <w:trPr>
          <w:divId w:val="1001740065"/>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eastAsia="Times New Roman"/>
                <w:b/>
                <w:bCs/>
                <w:color w:val="283030"/>
                <w:sz w:val="18"/>
                <w:szCs w:val="18"/>
              </w:rPr>
              <w:t>For the transition period from _______________ to ______________</w:t>
            </w:r>
          </w:p>
        </w:tc>
      </w:tr>
    </w:tbl>
    <w:p w:rsidR="00000000" w:rsidRDefault="00F5481A">
      <w:pPr>
        <w:jc w:val="center"/>
        <w:rPr>
          <w:rFonts w:eastAsia="Times New Roman"/>
        </w:rPr>
      </w:pPr>
      <w:r>
        <w:rPr>
          <w:rFonts w:eastAsia="Times New Roman"/>
          <w:color w:val="283030"/>
          <w:sz w:val="18"/>
          <w:szCs w:val="18"/>
        </w:rPr>
        <w:t xml:space="preserve">Commission File Number 1-3863 </w:t>
      </w:r>
    </w:p>
    <w:p w:rsidR="00000000" w:rsidRDefault="00F5481A">
      <w:pPr>
        <w:jc w:val="center"/>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5481A">
      <w:pPr>
        <w:jc w:val="center"/>
        <w:rPr>
          <w:rFonts w:eastAsia="Times New Roman"/>
        </w:rPr>
      </w:pPr>
      <w:r>
        <w:rPr>
          <w:rFonts w:eastAsia="Times New Roman"/>
          <w:b/>
          <w:bCs/>
          <w:color w:val="283030"/>
        </w:rPr>
        <w:t xml:space="preserve">L3HARRIS TECHNOLOGIES, INC. </w:t>
      </w:r>
    </w:p>
    <w:p w:rsidR="00000000" w:rsidRDefault="00F5481A">
      <w:pPr>
        <w:ind w:firstLine="360"/>
        <w:jc w:val="center"/>
        <w:rPr>
          <w:rFonts w:eastAsia="Times New Roman"/>
        </w:rPr>
      </w:pPr>
      <w:r>
        <w:rPr>
          <w:rFonts w:eastAsia="Times New Roman"/>
          <w:color w:val="000000"/>
          <w:sz w:val="18"/>
          <w:szCs w:val="18"/>
        </w:rPr>
        <w:t>(Exact name of registrant as specified in its charter)</w:t>
      </w:r>
    </w:p>
    <w:tbl>
      <w:tblPr>
        <w:tblW w:w="4913" w:type="pct"/>
        <w:jc w:val="center"/>
        <w:tblCellMar>
          <w:top w:w="15" w:type="dxa"/>
          <w:left w:w="15" w:type="dxa"/>
          <w:bottom w:w="15" w:type="dxa"/>
          <w:right w:w="15" w:type="dxa"/>
        </w:tblCellMar>
        <w:tblLook w:val="04A0" w:firstRow="1" w:lastRow="0" w:firstColumn="1" w:lastColumn="0" w:noHBand="0" w:noVBand="1"/>
      </w:tblPr>
      <w:tblGrid>
        <w:gridCol w:w="67"/>
        <w:gridCol w:w="3010"/>
        <w:gridCol w:w="37"/>
        <w:gridCol w:w="68"/>
        <w:gridCol w:w="647"/>
        <w:gridCol w:w="36"/>
        <w:gridCol w:w="68"/>
        <w:gridCol w:w="1148"/>
        <w:gridCol w:w="36"/>
        <w:gridCol w:w="68"/>
        <w:gridCol w:w="2940"/>
        <w:gridCol w:w="36"/>
      </w:tblGrid>
      <w:tr w:rsidR="00000000">
        <w:trPr>
          <w:divId w:val="964240967"/>
          <w:jc w:val="center"/>
        </w:trPr>
        <w:tc>
          <w:tcPr>
            <w:tcW w:w="50" w:type="pct"/>
            <w:vAlign w:val="center"/>
            <w:hideMark/>
          </w:tcPr>
          <w:p w:rsidR="00000000" w:rsidRDefault="00F5481A">
            <w:pPr>
              <w:ind w:firstLine="360"/>
              <w:jc w:val="center"/>
              <w:rPr>
                <w:rFonts w:eastAsia="Times New Roman"/>
              </w:rPr>
            </w:pPr>
          </w:p>
        </w:tc>
        <w:tc>
          <w:tcPr>
            <w:tcW w:w="1852"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0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2"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180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964240967"/>
          <w:jc w:val="center"/>
        </w:trPr>
        <w:tc>
          <w:tcPr>
            <w:tcW w:w="0" w:type="auto"/>
            <w:gridSpan w:val="6"/>
            <w:tcMar>
              <w:top w:w="30" w:type="dxa"/>
              <w:left w:w="20" w:type="dxa"/>
              <w:bottom w:w="30" w:type="dxa"/>
              <w:right w:w="20" w:type="dxa"/>
            </w:tcMar>
            <w:hideMark/>
          </w:tcPr>
          <w:p w:rsidR="00000000" w:rsidRDefault="00F5481A">
            <w:pPr>
              <w:spacing w:after="100"/>
              <w:jc w:val="center"/>
              <w:rPr>
                <w:rFonts w:eastAsia="Times New Roman"/>
              </w:rPr>
            </w:pPr>
            <w:r>
              <w:rPr>
                <w:rFonts w:eastAsia="Times New Roman"/>
                <w:b/>
                <w:bCs/>
                <w:color w:val="283030"/>
                <w:sz w:val="18"/>
                <w:szCs w:val="18"/>
              </w:rPr>
              <w:t>Delaware</w:t>
            </w: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eastAsia="Times New Roman"/>
                <w:color w:val="283030"/>
                <w:sz w:val="18"/>
                <w:szCs w:val="18"/>
              </w:rPr>
              <w:t> </w:t>
            </w:r>
          </w:p>
        </w:tc>
        <w:tc>
          <w:tcPr>
            <w:tcW w:w="0" w:type="auto"/>
            <w:gridSpan w:val="3"/>
            <w:tcMar>
              <w:top w:w="30" w:type="dxa"/>
              <w:left w:w="20" w:type="dxa"/>
              <w:bottom w:w="30" w:type="dxa"/>
              <w:right w:w="20" w:type="dxa"/>
            </w:tcMar>
            <w:hideMark/>
          </w:tcPr>
          <w:p w:rsidR="00000000" w:rsidRDefault="00F5481A">
            <w:pPr>
              <w:spacing w:after="100"/>
              <w:jc w:val="center"/>
              <w:rPr>
                <w:rFonts w:eastAsia="Times New Roman"/>
              </w:rPr>
            </w:pPr>
            <w:r>
              <w:rPr>
                <w:rFonts w:eastAsia="Times New Roman"/>
                <w:b/>
                <w:bCs/>
                <w:color w:val="283030"/>
                <w:sz w:val="18"/>
                <w:szCs w:val="18"/>
              </w:rPr>
              <w:t>34-0276860</w:t>
            </w:r>
          </w:p>
        </w:tc>
      </w:tr>
      <w:tr w:rsidR="00000000">
        <w:trPr>
          <w:divId w:val="964240967"/>
          <w:jc w:val="center"/>
        </w:trPr>
        <w:tc>
          <w:tcPr>
            <w:tcW w:w="0" w:type="auto"/>
            <w:gridSpan w:val="6"/>
            <w:tcMar>
              <w:top w:w="30" w:type="dxa"/>
              <w:left w:w="20" w:type="dxa"/>
              <w:bottom w:w="30" w:type="dxa"/>
              <w:right w:w="20" w:type="dxa"/>
            </w:tcMar>
            <w:hideMark/>
          </w:tcPr>
          <w:p w:rsidR="00000000" w:rsidRDefault="00F5481A">
            <w:pPr>
              <w:spacing w:after="100"/>
              <w:jc w:val="center"/>
              <w:rPr>
                <w:rFonts w:eastAsia="Times New Roman"/>
              </w:rPr>
            </w:pPr>
            <w:r>
              <w:rPr>
                <w:rFonts w:eastAsia="Times New Roman"/>
                <w:color w:val="283030"/>
                <w:sz w:val="18"/>
                <w:szCs w:val="18"/>
              </w:rPr>
              <w:t>(State or other jurisdiction of incorporation or organization)</w:t>
            </w: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eastAsia="Times New Roman"/>
                <w:color w:val="283030"/>
                <w:sz w:val="18"/>
                <w:szCs w:val="18"/>
              </w:rPr>
              <w:t> </w:t>
            </w:r>
          </w:p>
        </w:tc>
        <w:tc>
          <w:tcPr>
            <w:tcW w:w="0" w:type="auto"/>
            <w:gridSpan w:val="3"/>
            <w:tcMar>
              <w:top w:w="30" w:type="dxa"/>
              <w:left w:w="20" w:type="dxa"/>
              <w:bottom w:w="30" w:type="dxa"/>
              <w:right w:w="20" w:type="dxa"/>
            </w:tcMar>
            <w:hideMark/>
          </w:tcPr>
          <w:p w:rsidR="00000000" w:rsidRDefault="00F5481A">
            <w:pPr>
              <w:spacing w:after="100"/>
              <w:jc w:val="center"/>
              <w:rPr>
                <w:rFonts w:eastAsia="Times New Roman"/>
              </w:rPr>
            </w:pPr>
            <w:r>
              <w:rPr>
                <w:rFonts w:eastAsia="Times New Roman"/>
                <w:color w:val="283030"/>
                <w:sz w:val="18"/>
                <w:szCs w:val="18"/>
              </w:rPr>
              <w:t>(I.R.S. Employer Identification No.)</w:t>
            </w:r>
          </w:p>
        </w:tc>
      </w:tr>
    </w:tbl>
    <w:tbl>
      <w:tblPr>
        <w:tblW w:w="4906" w:type="pct"/>
        <w:tblCellMar>
          <w:top w:w="15" w:type="dxa"/>
          <w:left w:w="15" w:type="dxa"/>
          <w:bottom w:w="15" w:type="dxa"/>
          <w:right w:w="15" w:type="dxa"/>
        </w:tblCellMar>
        <w:tblLook w:val="04A0" w:firstRow="1" w:lastRow="0" w:firstColumn="1" w:lastColumn="0" w:noHBand="0" w:noVBand="1"/>
      </w:tblPr>
      <w:tblGrid>
        <w:gridCol w:w="60"/>
        <w:gridCol w:w="1714"/>
        <w:gridCol w:w="38"/>
        <w:gridCol w:w="86"/>
        <w:gridCol w:w="516"/>
        <w:gridCol w:w="37"/>
        <w:gridCol w:w="61"/>
        <w:gridCol w:w="1094"/>
        <w:gridCol w:w="36"/>
        <w:gridCol w:w="61"/>
        <w:gridCol w:w="1381"/>
        <w:gridCol w:w="36"/>
        <w:gridCol w:w="61"/>
        <w:gridCol w:w="2933"/>
        <w:gridCol w:w="36"/>
      </w:tblGrid>
      <w:tr w:rsidR="00000000">
        <w:tc>
          <w:tcPr>
            <w:tcW w:w="50" w:type="pct"/>
            <w:vAlign w:val="center"/>
            <w:hideMark/>
          </w:tcPr>
          <w:p w:rsidR="00000000" w:rsidRDefault="00F5481A">
            <w:pPr>
              <w:ind w:firstLine="360"/>
              <w:jc w:val="center"/>
              <w:rPr>
                <w:rFonts w:eastAsia="Times New Roman"/>
              </w:rPr>
            </w:pPr>
          </w:p>
        </w:tc>
        <w:tc>
          <w:tcPr>
            <w:tcW w:w="106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30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684"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860"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1811"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c>
          <w:tcPr>
            <w:tcW w:w="0" w:type="auto"/>
            <w:gridSpan w:val="9"/>
            <w:tcMar>
              <w:top w:w="30" w:type="dxa"/>
              <w:left w:w="20" w:type="dxa"/>
              <w:bottom w:w="30" w:type="dxa"/>
              <w:right w:w="20" w:type="dxa"/>
            </w:tcMar>
            <w:vAlign w:val="bottom"/>
            <w:hideMark/>
          </w:tcPr>
          <w:p w:rsidR="00000000" w:rsidRDefault="00F5481A">
            <w:pPr>
              <w:spacing w:after="100"/>
              <w:jc w:val="center"/>
              <w:rPr>
                <w:rFonts w:eastAsia="Times New Roman"/>
              </w:rPr>
            </w:pPr>
            <w:r>
              <w:rPr>
                <w:rFonts w:eastAsia="Times New Roman"/>
                <w:b/>
                <w:bCs/>
                <w:color w:val="283030"/>
                <w:sz w:val="18"/>
                <w:szCs w:val="18"/>
              </w:rPr>
              <w:t>1025 West NASA Boulevard</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F5481A">
            <w:pPr>
              <w:spacing w:after="100"/>
              <w:jc w:val="right"/>
              <w:rPr>
                <w:rFonts w:eastAsia="Times New Roman"/>
              </w:rPr>
            </w:pPr>
            <w:r>
              <w:rPr>
                <w:rFonts w:eastAsia="Times New Roman"/>
                <w:b/>
                <w:bCs/>
                <w:color w:val="283030"/>
                <w:sz w:val="18"/>
                <w:szCs w:val="18"/>
              </w:rPr>
              <w:t>Melbourne,</w:t>
            </w: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eastAsia="Times New Roman"/>
                <w:b/>
                <w:bCs/>
                <w:color w:val="283030"/>
                <w:sz w:val="18"/>
                <w:szCs w:val="18"/>
              </w:rPr>
              <w:t>Florida</w:t>
            </w: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eastAsia="Times New Roman"/>
                <w:color w:val="283030"/>
                <w:sz w:val="18"/>
                <w:szCs w:val="18"/>
              </w:rPr>
              <w:t> </w:t>
            </w: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eastAsia="Times New Roman"/>
                <w:b/>
                <w:bCs/>
                <w:color w:val="283030"/>
                <w:sz w:val="18"/>
                <w:szCs w:val="18"/>
              </w:rPr>
              <w:t>32919</w:t>
            </w:r>
          </w:p>
        </w:tc>
      </w:tr>
      <w:tr w:rsidR="00000000">
        <w:tc>
          <w:tcPr>
            <w:tcW w:w="0" w:type="auto"/>
            <w:gridSpan w:val="9"/>
            <w:tcMar>
              <w:top w:w="30" w:type="dxa"/>
              <w:left w:w="20" w:type="dxa"/>
              <w:bottom w:w="30" w:type="dxa"/>
              <w:right w:w="20" w:type="dxa"/>
            </w:tcMar>
            <w:hideMark/>
          </w:tcPr>
          <w:p w:rsidR="00000000" w:rsidRDefault="00F5481A">
            <w:pPr>
              <w:spacing w:after="100"/>
              <w:jc w:val="center"/>
              <w:rPr>
                <w:rFonts w:eastAsia="Times New Roman"/>
              </w:rPr>
            </w:pPr>
            <w:r>
              <w:rPr>
                <w:rFonts w:eastAsia="Times New Roman"/>
                <w:color w:val="283030"/>
                <w:sz w:val="18"/>
                <w:szCs w:val="18"/>
              </w:rPr>
              <w:t>(Address of principal executive offices)</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5481A">
            <w:pPr>
              <w:spacing w:after="100"/>
              <w:jc w:val="center"/>
              <w:rPr>
                <w:rFonts w:eastAsia="Times New Roman"/>
              </w:rPr>
            </w:pPr>
            <w:r>
              <w:rPr>
                <w:rFonts w:eastAsia="Times New Roman"/>
                <w:color w:val="283030"/>
                <w:sz w:val="18"/>
                <w:szCs w:val="18"/>
              </w:rPr>
              <w:t>(Zip Code)</w:t>
            </w:r>
          </w:p>
        </w:tc>
      </w:tr>
    </w:tbl>
    <w:p w:rsidR="00000000" w:rsidRDefault="00F5481A">
      <w:pPr>
        <w:jc w:val="center"/>
        <w:rPr>
          <w:rFonts w:eastAsia="Times New Roman"/>
        </w:rPr>
      </w:pPr>
      <w:r>
        <w:rPr>
          <w:rFonts w:eastAsia="Times New Roman"/>
          <w:b/>
          <w:bCs/>
          <w:color w:val="283030"/>
          <w:sz w:val="18"/>
          <w:szCs w:val="18"/>
        </w:rPr>
        <w:t xml:space="preserve">Registrant’s telephone number, including area code: (321) 727-9100 </w:t>
      </w:r>
    </w:p>
    <w:tbl>
      <w:tblPr>
        <w:tblW w:w="4892" w:type="pct"/>
        <w:tblCellMar>
          <w:top w:w="15" w:type="dxa"/>
          <w:left w:w="15" w:type="dxa"/>
          <w:bottom w:w="15" w:type="dxa"/>
          <w:right w:w="15" w:type="dxa"/>
        </w:tblCellMar>
        <w:tblLook w:val="04A0" w:firstRow="1" w:lastRow="0" w:firstColumn="1" w:lastColumn="0" w:noHBand="0" w:noVBand="1"/>
      </w:tblPr>
      <w:tblGrid>
        <w:gridCol w:w="66"/>
        <w:gridCol w:w="2844"/>
        <w:gridCol w:w="39"/>
        <w:gridCol w:w="66"/>
        <w:gridCol w:w="218"/>
        <w:gridCol w:w="37"/>
        <w:gridCol w:w="67"/>
        <w:gridCol w:w="1483"/>
        <w:gridCol w:w="37"/>
        <w:gridCol w:w="67"/>
        <w:gridCol w:w="218"/>
        <w:gridCol w:w="36"/>
        <w:gridCol w:w="67"/>
        <w:gridCol w:w="2845"/>
        <w:gridCol w:w="37"/>
      </w:tblGrid>
      <w:tr w:rsidR="00000000">
        <w:trPr>
          <w:divId w:val="1530682562"/>
        </w:trPr>
        <w:tc>
          <w:tcPr>
            <w:tcW w:w="50" w:type="pct"/>
            <w:vAlign w:val="center"/>
            <w:hideMark/>
          </w:tcPr>
          <w:p w:rsidR="00000000" w:rsidRDefault="00F5481A">
            <w:pPr>
              <w:jc w:val="center"/>
              <w:rPr>
                <w:rFonts w:eastAsia="Times New Roman"/>
              </w:rPr>
            </w:pPr>
          </w:p>
        </w:tc>
        <w:tc>
          <w:tcPr>
            <w:tcW w:w="175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14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921"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14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175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1530682562"/>
        </w:trPr>
        <w:tc>
          <w:tcPr>
            <w:tcW w:w="0" w:type="auto"/>
            <w:gridSpan w:val="15"/>
            <w:tcMar>
              <w:top w:w="30" w:type="dxa"/>
              <w:left w:w="20" w:type="dxa"/>
              <w:bottom w:w="30" w:type="dxa"/>
              <w:right w:w="20" w:type="dxa"/>
            </w:tcMar>
            <w:vAlign w:val="bottom"/>
            <w:hideMark/>
          </w:tcPr>
          <w:p w:rsidR="00000000" w:rsidRDefault="00F5481A">
            <w:pPr>
              <w:spacing w:after="100"/>
              <w:jc w:val="center"/>
              <w:rPr>
                <w:rFonts w:eastAsia="Times New Roman"/>
              </w:rPr>
            </w:pPr>
            <w:r>
              <w:rPr>
                <w:rFonts w:eastAsia="Times New Roman"/>
                <w:b/>
                <w:bCs/>
                <w:color w:val="283030"/>
                <w:sz w:val="18"/>
                <w:szCs w:val="18"/>
              </w:rPr>
              <w:t>Securities registered pursuant to Section 12(b) of the Act:</w:t>
            </w:r>
          </w:p>
        </w:tc>
      </w:tr>
      <w:tr w:rsidR="00000000">
        <w:trPr>
          <w:divId w:val="1530682562"/>
        </w:trPr>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eastAsia="Times New Roman"/>
                <w:b/>
                <w:bCs/>
                <w:color w:val="283030"/>
                <w:sz w:val="18"/>
                <w:szCs w:val="18"/>
              </w:rPr>
              <w:t>Title of each class</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eastAsia="Times New Roman"/>
                <w:b/>
                <w:bCs/>
                <w:color w:val="283030"/>
                <w:sz w:val="18"/>
                <w:szCs w:val="18"/>
              </w:rPr>
              <w:t>Trading Symbol(s)</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eastAsia="Times New Roman"/>
                <w:b/>
                <w:bCs/>
                <w:color w:val="283030"/>
                <w:sz w:val="18"/>
                <w:szCs w:val="18"/>
              </w:rPr>
              <w:t>Name of each exchange on which registered</w:t>
            </w:r>
          </w:p>
        </w:tc>
      </w:tr>
      <w:tr w:rsidR="00000000">
        <w:trPr>
          <w:divId w:val="153068256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eastAsia="Times New Roman"/>
                <w:color w:val="283030"/>
                <w:sz w:val="18"/>
                <w:szCs w:val="18"/>
              </w:rPr>
              <w:t>Common Stock, par value $1.00 per share</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eastAsia="Times New Roman"/>
                <w:color w:val="283030"/>
                <w:sz w:val="18"/>
                <w:szCs w:val="18"/>
              </w:rPr>
              <w:t>LHX</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eastAsia="Times New Roman"/>
                <w:color w:val="283030"/>
                <w:sz w:val="18"/>
                <w:szCs w:val="18"/>
              </w:rPr>
              <w:t>New York Stock Exchange</w:t>
            </w:r>
          </w:p>
        </w:tc>
      </w:tr>
    </w:tbl>
    <w:p w:rsidR="00000000" w:rsidRDefault="00F5481A">
      <w:pPr>
        <w:jc w:val="center"/>
        <w:rPr>
          <w:rFonts w:eastAsia="Times New Roman"/>
        </w:rPr>
      </w:pPr>
      <w:r>
        <w:rPr>
          <w:rFonts w:eastAsia="Times New Roman"/>
          <w:b/>
          <w:bCs/>
          <w:color w:val="283030"/>
          <w:sz w:val="18"/>
          <w:szCs w:val="18"/>
        </w:rPr>
        <w:t xml:space="preserve">Securities Registered Pursuant to Section 12(g) of the Act: </w:t>
      </w:r>
      <w:r>
        <w:rPr>
          <w:rFonts w:eastAsia="Times New Roman"/>
          <w:color w:val="283030"/>
          <w:sz w:val="18"/>
          <w:szCs w:val="18"/>
        </w:rPr>
        <w:t>None</w:t>
      </w:r>
      <w:r>
        <w:rPr>
          <w:rFonts w:eastAsia="Times New Roman"/>
          <w:b/>
          <w:bCs/>
          <w:color w:val="283030"/>
          <w:sz w:val="18"/>
          <w:szCs w:val="18"/>
        </w:rPr>
        <w:t xml:space="preserve"> </w:t>
      </w:r>
    </w:p>
    <w:p w:rsidR="00000000" w:rsidRDefault="00F5481A">
      <w:pPr>
        <w:ind w:firstLine="360"/>
        <w:divId w:val="627708883"/>
        <w:rPr>
          <w:rFonts w:eastAsia="Times New Roman"/>
        </w:rPr>
      </w:pPr>
      <w:r>
        <w:rPr>
          <w:rFonts w:eastAsia="Times New Roman"/>
          <w:color w:val="000000"/>
          <w:sz w:val="18"/>
          <w:szCs w:val="18"/>
        </w:rPr>
        <w:t>Indicate by check mark if the registrant is a well-known seasoned issuer, as defined in Rule 405 of the Securities Act.   Yes  </w:t>
      </w:r>
      <w:r>
        <w:rPr>
          <w:rFonts w:ascii="Segoe UI Emoji" w:eastAsia="Times New Roman" w:hAnsi="Segoe UI Emoji" w:cs="Segoe UI Emoji"/>
          <w:color w:val="000000"/>
          <w:sz w:val="18"/>
          <w:szCs w:val="18"/>
        </w:rPr>
        <w:t>☑</w:t>
      </w:r>
      <w:r>
        <w:rPr>
          <w:rFonts w:eastAsia="Times New Roman"/>
          <w:color w:val="000000"/>
          <w:sz w:val="18"/>
          <w:szCs w:val="18"/>
        </w:rPr>
        <w:t>   No  </w:t>
      </w:r>
      <w:r>
        <w:rPr>
          <w:rFonts w:ascii="Segoe UI Symbol" w:eastAsia="Times New Roman" w:hAnsi="Segoe UI Symbol" w:cs="Segoe UI Symbol"/>
          <w:color w:val="000000"/>
          <w:sz w:val="18"/>
          <w:szCs w:val="18"/>
        </w:rPr>
        <w:t>☐</w:t>
      </w:r>
    </w:p>
    <w:p w:rsidR="00000000" w:rsidRDefault="00F5481A">
      <w:pPr>
        <w:ind w:firstLine="360"/>
        <w:divId w:val="456921744"/>
        <w:rPr>
          <w:rFonts w:eastAsia="Times New Roman"/>
        </w:rPr>
      </w:pPr>
      <w:r>
        <w:rPr>
          <w:rFonts w:eastAsia="Times New Roman"/>
          <w:color w:val="000000"/>
          <w:sz w:val="18"/>
          <w:szCs w:val="18"/>
        </w:rPr>
        <w:t>Indicate by check mark if the registrant is not required to file reports pursuant to Section 13 or Section 15(d) of the</w:t>
      </w:r>
      <w:r>
        <w:rPr>
          <w:rFonts w:eastAsia="Times New Roman"/>
          <w:color w:val="000000"/>
          <w:sz w:val="18"/>
          <w:szCs w:val="18"/>
        </w:rPr>
        <w:t xml:space="preserve"> Act.   Yes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ascii="Segoe UI Emoji" w:eastAsia="Times New Roman" w:hAnsi="Segoe UI Emoji" w:cs="Segoe UI Emoji"/>
          <w:color w:val="000000"/>
          <w:sz w:val="18"/>
          <w:szCs w:val="18"/>
        </w:rPr>
        <w:t>☑</w:t>
      </w:r>
    </w:p>
    <w:p w:rsidR="00000000" w:rsidRDefault="00F5481A">
      <w:pPr>
        <w:ind w:firstLine="360"/>
        <w:divId w:val="936328882"/>
        <w:rPr>
          <w:rFonts w:eastAsia="Times New Roman"/>
        </w:rPr>
      </w:pPr>
      <w:r>
        <w:rPr>
          <w:rFonts w:eastAsia="Times New Roman"/>
          <w:color w:val="000000"/>
          <w:sz w:val="18"/>
          <w:szCs w:val="18"/>
        </w:rPr>
        <w:t>Indicate by check mark whether the registrant (1) has filed all reports required to be filed by Section </w:t>
      </w:r>
      <w:r>
        <w:rPr>
          <w:rFonts w:eastAsia="Times New Roman"/>
          <w:color w:val="000000"/>
          <w:sz w:val="18"/>
          <w:szCs w:val="18"/>
        </w:rPr>
        <w:t>13 or 15(d) of the Securities Exchange Act of 1934 during the preceding 12 months (or for such shorter period that the registrant was required to file such reports), and (2) has been subject to such filing requirements for the past 90 days.   Yes  </w:t>
      </w:r>
      <w:r>
        <w:rPr>
          <w:rFonts w:ascii="Segoe UI Emoji" w:eastAsia="Times New Roman" w:hAnsi="Segoe UI Emoji" w:cs="Segoe UI Emoji"/>
          <w:color w:val="000000"/>
          <w:sz w:val="18"/>
          <w:szCs w:val="18"/>
        </w:rPr>
        <w:t>☑</w:t>
      </w:r>
      <w:r>
        <w:rPr>
          <w:rFonts w:eastAsia="Times New Roman"/>
          <w:color w:val="000000"/>
          <w:sz w:val="18"/>
          <w:szCs w:val="18"/>
        </w:rPr>
        <w:t>   No </w:t>
      </w:r>
      <w:r>
        <w:rPr>
          <w:rFonts w:ascii="Segoe UI Symbol" w:eastAsia="Times New Roman" w:hAnsi="Segoe UI Symbol" w:cs="Segoe UI Symbol"/>
          <w:color w:val="000000"/>
          <w:sz w:val="18"/>
          <w:szCs w:val="18"/>
        </w:rPr>
        <w:t>☐</w:t>
      </w:r>
    </w:p>
    <w:p w:rsidR="00000000" w:rsidRDefault="00F5481A">
      <w:pPr>
        <w:ind w:firstLine="360"/>
        <w:divId w:val="1039478882"/>
        <w:rPr>
          <w:rFonts w:eastAsia="Times New Roman"/>
        </w:rPr>
      </w:pPr>
      <w:r>
        <w:rPr>
          <w:rFonts w:eastAsia="Times New Roman"/>
          <w:color w:val="000000"/>
          <w:sz w:val="18"/>
          <w:szCs w:val="18"/>
        </w:rPr>
        <w:t>Indicate by check mark whether the registrant has submitted electronically every Interactive Data File required to be submitted pursuant to Rule 405 of Regulation S-T during the preceding 12 months (or for such shorter period that the registrant was requi</w:t>
      </w:r>
      <w:r>
        <w:rPr>
          <w:rFonts w:eastAsia="Times New Roman"/>
          <w:color w:val="000000"/>
          <w:sz w:val="18"/>
          <w:szCs w:val="18"/>
        </w:rPr>
        <w:t>red to submit such files).   Yes  </w:t>
      </w:r>
      <w:r>
        <w:rPr>
          <w:rFonts w:ascii="Segoe UI Emoji" w:eastAsia="Times New Roman" w:hAnsi="Segoe UI Emoji" w:cs="Segoe UI Emoji"/>
          <w:color w:val="000000"/>
          <w:sz w:val="18"/>
          <w:szCs w:val="18"/>
        </w:rPr>
        <w:t>☑</w:t>
      </w:r>
      <w:r>
        <w:rPr>
          <w:rFonts w:eastAsia="Times New Roman"/>
          <w:color w:val="000000"/>
          <w:sz w:val="18"/>
          <w:szCs w:val="18"/>
        </w:rPr>
        <w:t xml:space="preserve">   No  </w:t>
      </w:r>
      <w:r>
        <w:rPr>
          <w:rFonts w:ascii="Segoe UI Symbol" w:eastAsia="Times New Roman" w:hAnsi="Segoe UI Symbol" w:cs="Segoe UI Symbol"/>
          <w:color w:val="000000"/>
          <w:sz w:val="18"/>
          <w:szCs w:val="18"/>
        </w:rPr>
        <w:t>☐</w:t>
      </w:r>
    </w:p>
    <w:p w:rsidR="00000000" w:rsidRDefault="00F5481A">
      <w:pPr>
        <w:ind w:firstLine="360"/>
        <w:divId w:val="1147211136"/>
        <w:rPr>
          <w:rFonts w:eastAsia="Times New Roman"/>
        </w:rPr>
      </w:pPr>
      <w:r>
        <w:rPr>
          <w:rFonts w:eastAsia="Times New Roman"/>
          <w:color w:val="000000"/>
          <w:sz w:val="18"/>
          <w:szCs w:val="18"/>
        </w:rPr>
        <w:t xml:space="preserve">Indicate by check mark whether the registrant is a large accelerated filer, an accelerated filer, a non-accelerated filer, a smaller reporting company or an emerging growth company. See the definitions of “large </w:t>
      </w:r>
      <w:r>
        <w:rPr>
          <w:rFonts w:eastAsia="Times New Roman"/>
          <w:color w:val="000000"/>
          <w:sz w:val="18"/>
          <w:szCs w:val="18"/>
        </w:rPr>
        <w:t>accelerated filer,” “accelerated filer,” “smaller reporting company” and “emerging growth company” in Rule 12b-2 of the Exchange Act.</w:t>
      </w:r>
    </w:p>
    <w:tbl>
      <w:tblPr>
        <w:tblW w:w="4698" w:type="pct"/>
        <w:tblCellMar>
          <w:top w:w="15" w:type="dxa"/>
          <w:left w:w="15" w:type="dxa"/>
          <w:bottom w:w="15" w:type="dxa"/>
          <w:right w:w="15" w:type="dxa"/>
        </w:tblCellMar>
        <w:tblLook w:val="04A0" w:firstRow="1" w:lastRow="0" w:firstColumn="1" w:lastColumn="0" w:noHBand="0" w:noVBand="1"/>
      </w:tblPr>
      <w:tblGrid>
        <w:gridCol w:w="39"/>
        <w:gridCol w:w="1583"/>
        <w:gridCol w:w="36"/>
        <w:gridCol w:w="36"/>
        <w:gridCol w:w="36"/>
        <w:gridCol w:w="36"/>
        <w:gridCol w:w="37"/>
        <w:gridCol w:w="3314"/>
        <w:gridCol w:w="36"/>
        <w:gridCol w:w="38"/>
        <w:gridCol w:w="140"/>
        <w:gridCol w:w="36"/>
        <w:gridCol w:w="83"/>
        <w:gridCol w:w="1919"/>
        <w:gridCol w:w="36"/>
        <w:gridCol w:w="36"/>
        <w:gridCol w:w="71"/>
        <w:gridCol w:w="36"/>
        <w:gridCol w:w="37"/>
        <w:gridCol w:w="183"/>
        <w:gridCol w:w="36"/>
      </w:tblGrid>
      <w:tr w:rsidR="00000000">
        <w:trPr>
          <w:divId w:val="87507943"/>
        </w:trPr>
        <w:tc>
          <w:tcPr>
            <w:tcW w:w="50" w:type="pct"/>
            <w:vAlign w:val="center"/>
            <w:hideMark/>
          </w:tcPr>
          <w:p w:rsidR="00000000" w:rsidRDefault="00F5481A">
            <w:pPr>
              <w:ind w:firstLine="360"/>
              <w:rPr>
                <w:rFonts w:eastAsia="Times New Roman"/>
              </w:rPr>
            </w:pPr>
          </w:p>
        </w:tc>
        <w:tc>
          <w:tcPr>
            <w:tcW w:w="104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1"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2154"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120"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116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74"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3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87507943"/>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eastAsia="Times New Roman"/>
                <w:color w:val="000000"/>
                <w:sz w:val="18"/>
                <w:szCs w:val="18"/>
              </w:rPr>
              <w:t>Large accelerated filer</w:t>
            </w: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F5481A">
            <w:pPr>
              <w:spacing w:after="100"/>
              <w:ind w:firstLine="360"/>
              <w:rPr>
                <w:rFonts w:eastAsia="Times New Roman"/>
              </w:rPr>
            </w:pPr>
            <w:r>
              <w:rPr>
                <w:rFonts w:eastAsia="Times New Roman"/>
                <w:color w:val="000000"/>
                <w:sz w:val="18"/>
                <w:szCs w:val="18"/>
              </w:rPr>
              <w:t> </w:t>
            </w:r>
            <w:r>
              <w:rPr>
                <w:rFonts w:ascii="Segoe UI Emoji" w:eastAsia="Times New Roman" w:hAnsi="Segoe UI Emoji" w:cs="Segoe UI Emoji"/>
                <w:color w:val="000000"/>
                <w:sz w:val="18"/>
                <w:szCs w:val="18"/>
              </w:rPr>
              <w:t>☑</w:t>
            </w: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eastAsia="Times New Roman"/>
                <w:color w:val="000000"/>
                <w:sz w:val="18"/>
                <w:szCs w:val="18"/>
              </w:rPr>
              <w:t>Accelerated filer</w:t>
            </w: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Segoe UI Symbol" w:eastAsia="Times New Roman" w:hAnsi="Segoe UI Symbol" w:cs="Segoe UI Symbol"/>
                <w:color w:val="000000"/>
                <w:sz w:val="18"/>
                <w:szCs w:val="18"/>
              </w:rPr>
              <w:t>☐</w:t>
            </w:r>
          </w:p>
        </w:tc>
      </w:tr>
      <w:tr w:rsidR="00000000">
        <w:trPr>
          <w:divId w:val="87507943"/>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eastAsia="Times New Roman"/>
                <w:color w:val="000000"/>
                <w:sz w:val="18"/>
                <w:szCs w:val="18"/>
              </w:rPr>
              <w:t>Non-accelerated filer</w:t>
            </w: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eastAsia="Times New Roman"/>
                <w:color w:val="000000"/>
                <w:sz w:val="18"/>
                <w:szCs w:val="18"/>
              </w:rPr>
              <w:t>         </w:t>
            </w:r>
            <w:r>
              <w:rPr>
                <w:rFonts w:ascii="Segoe UI Symbol" w:eastAsia="Times New Roman" w:hAnsi="Segoe UI Symbol" w:cs="Segoe UI Symbol"/>
                <w:color w:val="000000"/>
                <w:sz w:val="18"/>
                <w:szCs w:val="18"/>
              </w:rPr>
              <w:t>☐</w:t>
            </w: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eastAsia="Times New Roman"/>
                <w:color w:val="000000"/>
                <w:sz w:val="18"/>
                <w:szCs w:val="18"/>
              </w:rPr>
              <w:t>Smaller reporting company</w:t>
            </w: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Segoe UI Symbol" w:eastAsia="Times New Roman" w:hAnsi="Segoe UI Symbol" w:cs="Segoe UI Symbol"/>
                <w:color w:val="000000"/>
                <w:sz w:val="18"/>
                <w:szCs w:val="18"/>
              </w:rPr>
              <w:t>☐</w:t>
            </w:r>
          </w:p>
        </w:tc>
      </w:tr>
      <w:tr w:rsidR="00000000">
        <w:trPr>
          <w:divId w:val="87507943"/>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eastAsia="Times New Roman"/>
                <w:color w:val="000000"/>
                <w:sz w:val="18"/>
                <w:szCs w:val="18"/>
              </w:rPr>
              <w:t>Emerging growth company</w:t>
            </w: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Segoe UI Symbol" w:eastAsia="Times New Roman" w:hAnsi="Segoe UI Symbol" w:cs="Segoe UI Symbol"/>
                <w:color w:val="000000"/>
                <w:sz w:val="18"/>
                <w:szCs w:val="18"/>
              </w:rPr>
              <w:t>☐</w:t>
            </w:r>
          </w:p>
        </w:tc>
      </w:tr>
    </w:tbl>
    <w:p w:rsidR="00000000" w:rsidRDefault="00F5481A">
      <w:pPr>
        <w:ind w:firstLine="360"/>
        <w:divId w:val="432407419"/>
        <w:rPr>
          <w:rFonts w:eastAsia="Times New Roman"/>
        </w:rPr>
      </w:pPr>
      <w:r>
        <w:rPr>
          <w:rFonts w:eastAsia="Times New Roman"/>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8"/>
          <w:szCs w:val="18"/>
        </w:rPr>
        <w:t>☐</w:t>
      </w:r>
      <w:r>
        <w:rPr>
          <w:rFonts w:eastAsia="Times New Roman"/>
          <w:color w:val="000000"/>
          <w:sz w:val="18"/>
          <w:szCs w:val="18"/>
        </w:rPr>
        <w:t> </w:t>
      </w:r>
    </w:p>
    <w:p w:rsidR="00000000" w:rsidRDefault="00F5481A">
      <w:pPr>
        <w:ind w:firstLine="360"/>
        <w:divId w:val="444616415"/>
        <w:rPr>
          <w:rFonts w:eastAsia="Times New Roman"/>
        </w:rPr>
      </w:pPr>
      <w:r>
        <w:rPr>
          <w:rFonts w:eastAsia="Times New Roman"/>
          <w:color w:val="000000"/>
          <w:sz w:val="18"/>
          <w:szCs w:val="18"/>
        </w:rPr>
        <w:t>In</w:t>
      </w:r>
      <w:r>
        <w:rPr>
          <w:rFonts w:eastAsia="Times New Roman"/>
          <w:color w:val="000000"/>
          <w:sz w:val="18"/>
          <w:szCs w:val="18"/>
        </w:rPr>
        <w:t>dicate by check mark whether the registrant has filed a report on and attestation to its management’s assessment of the effectiveness of its internal control over financial reporting under Section 404(b) of the Sarbanes-Oxley Act (15 U.S.C. 7262(b)) by the</w:t>
      </w:r>
      <w:r>
        <w:rPr>
          <w:rFonts w:eastAsia="Times New Roman"/>
          <w:color w:val="000000"/>
          <w:sz w:val="18"/>
          <w:szCs w:val="18"/>
        </w:rPr>
        <w:t xml:space="preserve"> registered public accounting firm that prepared or issued its audit report. </w:t>
      </w:r>
      <w:r>
        <w:rPr>
          <w:rFonts w:ascii="Segoe UI Emoji" w:eastAsia="Times New Roman" w:hAnsi="Segoe UI Emoji" w:cs="Segoe UI Emoji"/>
          <w:color w:val="000000"/>
          <w:sz w:val="18"/>
          <w:szCs w:val="18"/>
        </w:rPr>
        <w:t>☑</w:t>
      </w:r>
    </w:p>
    <w:p w:rsidR="00000000" w:rsidRDefault="00F5481A">
      <w:pPr>
        <w:ind w:firstLine="360"/>
        <w:divId w:val="1822580699"/>
        <w:rPr>
          <w:rFonts w:eastAsia="Times New Roman"/>
        </w:rPr>
      </w:pPr>
      <w:r>
        <w:rPr>
          <w:rFonts w:eastAsia="Times New Roman"/>
          <w:color w:val="000000"/>
          <w:sz w:val="18"/>
          <w:szCs w:val="18"/>
        </w:rPr>
        <w:t>If securities are registered pursuant to Section 12(b) of the Act, indicate by check mark whether the financial statements of the registrant</w:t>
      </w:r>
    </w:p>
    <w:p w:rsidR="00000000" w:rsidRDefault="00F5481A">
      <w:pPr>
        <w:ind w:firstLine="360"/>
        <w:divId w:val="190538955"/>
        <w:rPr>
          <w:rFonts w:eastAsia="Times New Roman"/>
        </w:rPr>
      </w:pPr>
      <w:r>
        <w:rPr>
          <w:rFonts w:eastAsia="Times New Roman"/>
          <w:color w:val="000000"/>
          <w:sz w:val="18"/>
          <w:szCs w:val="18"/>
        </w:rPr>
        <w:t>included in the filing reflect the c</w:t>
      </w:r>
      <w:r>
        <w:rPr>
          <w:rFonts w:eastAsia="Times New Roman"/>
          <w:color w:val="000000"/>
          <w:sz w:val="18"/>
          <w:szCs w:val="18"/>
        </w:rPr>
        <w:t>orrection of an error to previously issued financial statements.</w:t>
      </w:r>
      <w:r>
        <w:rPr>
          <w:rFonts w:ascii="Segoe UI Symbol" w:eastAsia="Times New Roman" w:hAnsi="Segoe UI Symbol" w:cs="Segoe UI Symbol"/>
          <w:color w:val="000000"/>
          <w:sz w:val="18"/>
          <w:szCs w:val="18"/>
        </w:rPr>
        <w:t>☐</w:t>
      </w:r>
    </w:p>
    <w:p w:rsidR="00000000" w:rsidRDefault="00F5481A">
      <w:pPr>
        <w:ind w:firstLine="360"/>
        <w:divId w:val="1898276639"/>
        <w:rPr>
          <w:rFonts w:eastAsia="Times New Roman"/>
        </w:rPr>
      </w:pPr>
      <w:r>
        <w:rPr>
          <w:rFonts w:eastAsia="Times New Roman"/>
          <w:color w:val="000000"/>
          <w:sz w:val="18"/>
          <w:szCs w:val="18"/>
        </w:rPr>
        <w:t>Indicate by check mark whether any of those error corrections are restatements that required a recovery analysis of incentive-based</w:t>
      </w:r>
    </w:p>
    <w:p w:rsidR="00000000" w:rsidRDefault="00F5481A">
      <w:pPr>
        <w:ind w:firstLine="360"/>
        <w:divId w:val="804393121"/>
        <w:rPr>
          <w:rFonts w:eastAsia="Times New Roman"/>
        </w:rPr>
      </w:pPr>
      <w:r>
        <w:rPr>
          <w:rFonts w:eastAsia="Times New Roman"/>
          <w:color w:val="000000"/>
          <w:sz w:val="18"/>
          <w:szCs w:val="18"/>
        </w:rPr>
        <w:t>compensation received by any of the registrant’s executive</w:t>
      </w:r>
      <w:r>
        <w:rPr>
          <w:rFonts w:eastAsia="Times New Roman"/>
          <w:color w:val="000000"/>
          <w:sz w:val="18"/>
          <w:szCs w:val="18"/>
        </w:rPr>
        <w:t xml:space="preserve"> officers during the relevant recovery period pursuant to §240.10D-1(b).</w:t>
      </w:r>
      <w:r>
        <w:rPr>
          <w:rFonts w:ascii="Segoe UI Symbol" w:eastAsia="Times New Roman" w:hAnsi="Segoe UI Symbol" w:cs="Segoe UI Symbol"/>
          <w:color w:val="000000"/>
          <w:sz w:val="18"/>
          <w:szCs w:val="18"/>
        </w:rPr>
        <w:t>☐</w:t>
      </w:r>
    </w:p>
    <w:p w:rsidR="00000000" w:rsidRDefault="00F5481A">
      <w:pPr>
        <w:ind w:firstLine="360"/>
        <w:divId w:val="1828014471"/>
        <w:rPr>
          <w:rFonts w:eastAsia="Times New Roman"/>
        </w:rPr>
      </w:pPr>
      <w:r>
        <w:rPr>
          <w:rFonts w:eastAsia="Times New Roman"/>
          <w:color w:val="000000"/>
          <w:sz w:val="18"/>
          <w:szCs w:val="18"/>
        </w:rPr>
        <w:t>Indicate by check mark whether the registrant is a shell company (as defined in Rule 12b-2 of the Exchange Act).    Yes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ascii="Segoe UI Emoji" w:eastAsia="Times New Roman" w:hAnsi="Segoe UI Emoji" w:cs="Segoe UI Emoji"/>
          <w:color w:val="000000"/>
          <w:sz w:val="18"/>
          <w:szCs w:val="18"/>
        </w:rPr>
        <w:t>☑</w:t>
      </w:r>
    </w:p>
    <w:p w:rsidR="00000000" w:rsidRDefault="00F5481A">
      <w:pPr>
        <w:ind w:firstLine="360"/>
        <w:divId w:val="1852842054"/>
        <w:rPr>
          <w:rFonts w:eastAsia="Times New Roman"/>
        </w:rPr>
      </w:pPr>
      <w:r>
        <w:rPr>
          <w:rFonts w:eastAsia="Times New Roman"/>
          <w:color w:val="000000"/>
          <w:sz w:val="18"/>
          <w:szCs w:val="18"/>
        </w:rPr>
        <w:t>The aggregate market value of the voting common eq</w:t>
      </w:r>
      <w:r>
        <w:rPr>
          <w:rFonts w:eastAsia="Times New Roman"/>
          <w:color w:val="000000"/>
          <w:sz w:val="18"/>
          <w:szCs w:val="18"/>
        </w:rPr>
        <w:t>uity held by non-affiliates of the registrant at July 1, 2022 was $46,385,211,550 (based on the quoted closing sale price per share of the stock on the New York Stock Exchange). For purposes of this calculation, the registrant has assumed that its director</w:t>
      </w:r>
      <w:r>
        <w:rPr>
          <w:rFonts w:eastAsia="Times New Roman"/>
          <w:color w:val="000000"/>
          <w:sz w:val="18"/>
          <w:szCs w:val="18"/>
        </w:rPr>
        <w:t>s and executive officers as of July 1, 2022 are affiliates.</w:t>
      </w:r>
    </w:p>
    <w:p w:rsidR="00000000" w:rsidRDefault="00F5481A">
      <w:pPr>
        <w:ind w:firstLine="360"/>
        <w:divId w:val="825705341"/>
        <w:rPr>
          <w:rFonts w:eastAsia="Times New Roman"/>
        </w:rPr>
      </w:pPr>
      <w:r>
        <w:rPr>
          <w:rFonts w:eastAsia="Times New Roman"/>
          <w:color w:val="000000"/>
          <w:sz w:val="18"/>
          <w:szCs w:val="18"/>
        </w:rPr>
        <w:t>The number of shares outstanding of the registrant’s common stock as of February 17, 2023 was 190,089,405.</w:t>
      </w:r>
    </w:p>
    <w:p w:rsidR="00000000" w:rsidRDefault="00F5481A">
      <w:pPr>
        <w:jc w:val="center"/>
        <w:rPr>
          <w:rFonts w:eastAsia="Times New Roman"/>
        </w:rPr>
      </w:pPr>
      <w:r>
        <w:rPr>
          <w:rFonts w:eastAsia="Times New Roman"/>
          <w:b/>
          <w:bCs/>
          <w:color w:val="000000"/>
          <w:sz w:val="18"/>
          <w:szCs w:val="18"/>
        </w:rPr>
        <w:t>Documents Incorporated by Reference:</w:t>
      </w:r>
    </w:p>
    <w:p w:rsidR="00000000" w:rsidRDefault="00F5481A">
      <w:pPr>
        <w:ind w:firstLine="360"/>
        <w:divId w:val="530269113"/>
        <w:rPr>
          <w:rFonts w:eastAsia="Times New Roman"/>
        </w:rPr>
      </w:pPr>
      <w:r>
        <w:rPr>
          <w:rFonts w:eastAsia="Times New Roman"/>
          <w:color w:val="000000"/>
          <w:sz w:val="18"/>
          <w:szCs w:val="18"/>
        </w:rPr>
        <w:t>Portions of the registrant’s definitive Proxy Statem</w:t>
      </w:r>
      <w:r>
        <w:rPr>
          <w:rFonts w:eastAsia="Times New Roman"/>
          <w:color w:val="000000"/>
          <w:sz w:val="18"/>
          <w:szCs w:val="18"/>
        </w:rPr>
        <w:t xml:space="preserve">ent for the 2023 Annual Meeting of Shareholders scheduled to be held on April 21, 2023, which will be filed with the Securities and Exchange Commission within 120 days after the end of the registrant’s fiscal year ended December 30, 2022, are incorporated </w:t>
      </w:r>
      <w:r>
        <w:rPr>
          <w:rFonts w:eastAsia="Times New Roman"/>
          <w:color w:val="000000"/>
          <w:sz w:val="18"/>
          <w:szCs w:val="18"/>
        </w:rPr>
        <w:t>by reference into Part III of this Annual Report on Form 10-K to the extent described therein.</w:t>
      </w:r>
    </w:p>
    <w:p w:rsidR="00000000" w:rsidRDefault="00F5481A">
      <w:pPr>
        <w:ind w:firstLine="360"/>
        <w:divId w:val="1058626722"/>
        <w:rPr>
          <w:rFonts w:eastAsia="Times New Roman"/>
        </w:rPr>
      </w:pPr>
    </w:p>
    <w:p w:rsidR="00000000" w:rsidRDefault="00F5481A">
      <w:pPr>
        <w:rPr>
          <w:rFonts w:eastAsia="Times New Roman"/>
        </w:rPr>
      </w:pPr>
      <w:r>
        <w:rPr>
          <w:rFonts w:eastAsia="Times New Roman"/>
        </w:rPr>
        <w:pict>
          <v:rect id="_x0000_i1026" style="width:0;height:1.5pt" o:hralign="center" o:hrstd="t" o:hr="t" fillcolor="#a0a0a0" stroked="f"/>
        </w:pict>
      </w:r>
    </w:p>
    <w:p w:rsidR="00000000" w:rsidRDefault="00F5481A">
      <w:pPr>
        <w:ind w:firstLine="360"/>
        <w:divId w:val="260069355"/>
        <w:rPr>
          <w:rFonts w:eastAsia="Times New Roman"/>
        </w:rPr>
      </w:pPr>
    </w:p>
    <w:p w:rsidR="00000000" w:rsidRDefault="00F5481A">
      <w:pPr>
        <w:ind w:firstLine="360"/>
        <w:jc w:val="center"/>
        <w:divId w:val="2047901359"/>
        <w:rPr>
          <w:rFonts w:eastAsia="Times New Roman"/>
        </w:rPr>
      </w:pPr>
      <w:r>
        <w:rPr>
          <w:rFonts w:ascii="IBM Plex Sans" w:eastAsia="Times New Roman" w:hAnsi="IBM Plex Sans"/>
          <w:b/>
          <w:bCs/>
          <w:color w:val="283030"/>
          <w:sz w:val="20"/>
          <w:szCs w:val="20"/>
        </w:rPr>
        <w:t>L3HARRIS TECHNOLOGIES, INC.</w:t>
      </w:r>
    </w:p>
    <w:p w:rsidR="00000000" w:rsidRDefault="00F5481A">
      <w:pPr>
        <w:ind w:firstLine="360"/>
        <w:jc w:val="center"/>
        <w:divId w:val="681712261"/>
        <w:rPr>
          <w:rFonts w:eastAsia="Times New Roman"/>
        </w:rPr>
      </w:pPr>
      <w:r>
        <w:rPr>
          <w:rFonts w:ascii="IBM Plex Sans" w:eastAsia="Times New Roman" w:hAnsi="IBM Plex Sans"/>
          <w:b/>
          <w:bCs/>
          <w:color w:val="283030"/>
          <w:sz w:val="20"/>
          <w:szCs w:val="20"/>
        </w:rPr>
        <w:t>ANNUAL REPORT ON FORM </w:t>
      </w:r>
      <w:r>
        <w:rPr>
          <w:rFonts w:ascii="IBM Plex Sans" w:eastAsia="Times New Roman" w:hAnsi="IBM Plex Sans"/>
          <w:b/>
          <w:bCs/>
          <w:color w:val="283030"/>
          <w:sz w:val="20"/>
          <w:szCs w:val="20"/>
        </w:rPr>
        <w:t>10-K FOR THE FISCAL YEAR ENDED DECEMBER 30, 2022</w:t>
      </w:r>
    </w:p>
    <w:p w:rsidR="00000000" w:rsidRDefault="00F5481A">
      <w:pPr>
        <w:ind w:firstLine="360"/>
        <w:jc w:val="center"/>
        <w:divId w:val="74784498"/>
        <w:rPr>
          <w:rFonts w:eastAsia="Times New Roman"/>
        </w:rPr>
      </w:pPr>
      <w:r>
        <w:rPr>
          <w:rFonts w:ascii="IBM Plex Sans" w:eastAsia="Times New Roman" w:hAnsi="IBM Plex Sans"/>
          <w:b/>
          <w:bCs/>
          <w:color w:val="283030"/>
          <w:sz w:val="20"/>
          <w:szCs w:val="20"/>
        </w:rPr>
        <w:t>TABLE OF CONTENTS</w:t>
      </w:r>
    </w:p>
    <w:tbl>
      <w:tblPr>
        <w:tblW w:w="4899" w:type="pct"/>
        <w:jc w:val="center"/>
        <w:tblCellMar>
          <w:top w:w="15" w:type="dxa"/>
          <w:left w:w="15" w:type="dxa"/>
          <w:bottom w:w="15" w:type="dxa"/>
          <w:right w:w="15" w:type="dxa"/>
        </w:tblCellMar>
        <w:tblLook w:val="04A0" w:firstRow="1" w:lastRow="0" w:firstColumn="1" w:lastColumn="0" w:noHBand="0" w:noVBand="1"/>
      </w:tblPr>
      <w:tblGrid>
        <w:gridCol w:w="87"/>
        <w:gridCol w:w="623"/>
        <w:gridCol w:w="36"/>
        <w:gridCol w:w="39"/>
        <w:gridCol w:w="6562"/>
        <w:gridCol w:w="38"/>
        <w:gridCol w:w="83"/>
        <w:gridCol w:w="634"/>
        <w:gridCol w:w="36"/>
      </w:tblGrid>
      <w:tr w:rsidR="00000000">
        <w:trPr>
          <w:divId w:val="74784498"/>
          <w:jc w:val="center"/>
        </w:trPr>
        <w:tc>
          <w:tcPr>
            <w:tcW w:w="50" w:type="pct"/>
            <w:vAlign w:val="center"/>
            <w:hideMark/>
          </w:tcPr>
          <w:p w:rsidR="00000000" w:rsidRDefault="00F5481A">
            <w:pPr>
              <w:ind w:firstLine="360"/>
              <w:jc w:val="center"/>
              <w:rPr>
                <w:rFonts w:eastAsia="Times New Roman"/>
              </w:rPr>
            </w:pPr>
          </w:p>
        </w:tc>
        <w:tc>
          <w:tcPr>
            <w:tcW w:w="362"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087"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384"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74784498"/>
          <w:jc w:val="center"/>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Page No.</w:t>
            </w:r>
          </w:p>
        </w:tc>
      </w:tr>
      <w:tr w:rsidR="00000000">
        <w:trPr>
          <w:divId w:val="74784498"/>
          <w:trHeight w:val="300"/>
          <w:jc w:val="center"/>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74784498"/>
          <w:jc w:val="center"/>
        </w:trPr>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283030"/>
                <w:sz w:val="20"/>
                <w:szCs w:val="20"/>
              </w:rPr>
              <w:t>Part I:</w:t>
            </w: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74784498"/>
          <w:jc w:val="center"/>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F5481A">
            <w:pPr>
              <w:spacing w:after="100"/>
              <w:divId w:val="2073963460"/>
              <w:rPr>
                <w:rFonts w:eastAsia="Times New Roman"/>
              </w:rPr>
            </w:pPr>
            <w:hyperlink w:anchor="iefe78000fcc84d7eb9dad62280c74976_16" w:history="1">
              <w:r>
                <w:rPr>
                  <w:rStyle w:val="a3"/>
                  <w:rFonts w:ascii="IBM Plex Sans" w:eastAsia="Times New Roman" w:hAnsi="IBM Plex Sans"/>
                  <w:color w:val="000000"/>
                  <w:sz w:val="20"/>
                  <w:szCs w:val="20"/>
                  <w:u w:val="none"/>
                </w:rPr>
                <w:t>ITEM 1.        Business</w:t>
              </w:r>
            </w:hyperlink>
          </w:p>
        </w:tc>
        <w:tc>
          <w:tcPr>
            <w:tcW w:w="0" w:type="auto"/>
            <w:gridSpan w:val="3"/>
            <w:tcMar>
              <w:top w:w="30" w:type="dxa"/>
              <w:left w:w="20" w:type="dxa"/>
              <w:bottom w:w="30" w:type="dxa"/>
              <w:right w:w="20" w:type="dxa"/>
            </w:tcMar>
            <w:vAlign w:val="bottom"/>
            <w:hideMark/>
          </w:tcPr>
          <w:p w:rsidR="00000000" w:rsidRDefault="00F5481A">
            <w:pPr>
              <w:spacing w:after="100"/>
              <w:jc w:val="right"/>
              <w:rPr>
                <w:rFonts w:eastAsia="Times New Roman"/>
              </w:rPr>
            </w:pPr>
            <w:hyperlink w:anchor="iefe78000fcc84d7eb9dad62280c74976_16" w:history="1">
              <w:r>
                <w:rPr>
                  <w:rStyle w:val="a3"/>
                  <w:rFonts w:ascii="IBM Plex Sans" w:eastAsia="Times New Roman" w:hAnsi="IBM Plex Sans"/>
                  <w:color w:val="000000"/>
                  <w:sz w:val="20"/>
                  <w:szCs w:val="20"/>
                  <w:u w:val="none"/>
                </w:rPr>
                <w:t>1</w:t>
              </w:r>
            </w:hyperlink>
          </w:p>
        </w:tc>
      </w:tr>
      <w:tr w:rsidR="00000000">
        <w:trPr>
          <w:divId w:val="74784498"/>
          <w:jc w:val="center"/>
        </w:trPr>
        <w:tc>
          <w:tcPr>
            <w:tcW w:w="0" w:type="auto"/>
            <w:gridSpan w:val="3"/>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F5481A">
            <w:pPr>
              <w:spacing w:after="100"/>
              <w:divId w:val="372464171"/>
              <w:rPr>
                <w:rFonts w:eastAsia="Times New Roman"/>
              </w:rPr>
            </w:pPr>
            <w:hyperlink w:anchor="iefe78000fcc84d7eb9dad62280c74976_19" w:history="1">
              <w:r>
                <w:rPr>
                  <w:rStyle w:val="a3"/>
                  <w:rFonts w:ascii="IBM Plex Sans" w:eastAsia="Times New Roman" w:hAnsi="IBM Plex Sans"/>
                  <w:color w:val="000000"/>
                  <w:sz w:val="20"/>
                  <w:szCs w:val="20"/>
                  <w:u w:val="none"/>
                </w:rPr>
                <w:t>ITEM 1A.     Risk Factors</w:t>
              </w:r>
            </w:hyperlink>
          </w:p>
        </w:tc>
        <w:tc>
          <w:tcPr>
            <w:tcW w:w="0" w:type="auto"/>
            <w:gridSpan w:val="3"/>
            <w:tcMar>
              <w:top w:w="30" w:type="dxa"/>
              <w:left w:w="20" w:type="dxa"/>
              <w:bottom w:w="30" w:type="dxa"/>
              <w:right w:w="20" w:type="dxa"/>
            </w:tcMar>
            <w:vAlign w:val="bottom"/>
            <w:hideMark/>
          </w:tcPr>
          <w:p w:rsidR="00000000" w:rsidRDefault="00F5481A">
            <w:pPr>
              <w:spacing w:after="100"/>
              <w:jc w:val="right"/>
              <w:rPr>
                <w:rFonts w:eastAsia="Times New Roman"/>
              </w:rPr>
            </w:pPr>
            <w:hyperlink w:anchor="iefe78000fcc84d7eb9dad62280c74976_19" w:history="1">
              <w:r>
                <w:rPr>
                  <w:rStyle w:val="a3"/>
                  <w:rFonts w:ascii="IBM Plex Sans" w:eastAsia="Times New Roman" w:hAnsi="IBM Plex Sans"/>
                  <w:color w:val="000000"/>
                  <w:sz w:val="20"/>
                  <w:szCs w:val="20"/>
                  <w:u w:val="none"/>
                </w:rPr>
                <w:t>11</w:t>
              </w:r>
            </w:hyperlink>
          </w:p>
        </w:tc>
      </w:tr>
      <w:tr w:rsidR="00000000">
        <w:trPr>
          <w:divId w:val="74784498"/>
          <w:jc w:val="center"/>
        </w:trPr>
        <w:tc>
          <w:tcPr>
            <w:tcW w:w="0" w:type="auto"/>
            <w:gridSpan w:val="3"/>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F5481A">
            <w:pPr>
              <w:spacing w:after="100"/>
              <w:divId w:val="925918420"/>
              <w:rPr>
                <w:rFonts w:eastAsia="Times New Roman"/>
              </w:rPr>
            </w:pPr>
            <w:hyperlink w:anchor="iefe78000fcc84d7eb9dad62280c74976_22" w:history="1">
              <w:r>
                <w:rPr>
                  <w:rStyle w:val="a3"/>
                  <w:rFonts w:ascii="IBM Plex Sans" w:eastAsia="Times New Roman" w:hAnsi="IBM Plex Sans"/>
                  <w:color w:val="000000"/>
                  <w:sz w:val="20"/>
                  <w:szCs w:val="20"/>
                  <w:u w:val="none"/>
                </w:rPr>
                <w:t>ITEM 1B.     Unresolved Staff Comments</w:t>
              </w:r>
            </w:hyperlink>
          </w:p>
        </w:tc>
        <w:tc>
          <w:tcPr>
            <w:tcW w:w="0" w:type="auto"/>
            <w:gridSpan w:val="3"/>
            <w:tcMar>
              <w:top w:w="30" w:type="dxa"/>
              <w:left w:w="20" w:type="dxa"/>
              <w:bottom w:w="30" w:type="dxa"/>
              <w:right w:w="20" w:type="dxa"/>
            </w:tcMar>
            <w:vAlign w:val="bottom"/>
            <w:hideMark/>
          </w:tcPr>
          <w:p w:rsidR="00000000" w:rsidRDefault="00F5481A">
            <w:pPr>
              <w:spacing w:after="100"/>
              <w:jc w:val="right"/>
              <w:rPr>
                <w:rFonts w:eastAsia="Times New Roman"/>
              </w:rPr>
            </w:pPr>
            <w:hyperlink w:anchor="iefe78000fcc84d7eb9dad62280c74976_22" w:history="1">
              <w:r>
                <w:rPr>
                  <w:rStyle w:val="a3"/>
                  <w:rFonts w:ascii="IBM Plex Sans" w:eastAsia="Times New Roman" w:hAnsi="IBM Plex Sans"/>
                  <w:color w:val="000000"/>
                  <w:sz w:val="20"/>
                  <w:szCs w:val="20"/>
                  <w:u w:val="none"/>
                </w:rPr>
                <w:t>24</w:t>
              </w:r>
            </w:hyperlink>
          </w:p>
        </w:tc>
      </w:tr>
      <w:tr w:rsidR="00000000">
        <w:trPr>
          <w:divId w:val="74784498"/>
          <w:jc w:val="center"/>
        </w:trPr>
        <w:tc>
          <w:tcPr>
            <w:tcW w:w="0" w:type="auto"/>
            <w:gridSpan w:val="3"/>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F5481A">
            <w:pPr>
              <w:spacing w:after="100"/>
              <w:divId w:val="744691830"/>
              <w:rPr>
                <w:rFonts w:eastAsia="Times New Roman"/>
              </w:rPr>
            </w:pPr>
            <w:hyperlink w:anchor="iefe78000fcc84d7eb9dad62280c74976_25" w:history="1">
              <w:r>
                <w:rPr>
                  <w:rStyle w:val="a3"/>
                  <w:rFonts w:ascii="IBM Plex Sans" w:eastAsia="Times New Roman" w:hAnsi="IBM Plex Sans"/>
                  <w:color w:val="000000"/>
                  <w:sz w:val="20"/>
                  <w:szCs w:val="20"/>
                  <w:u w:val="none"/>
                </w:rPr>
                <w:t>ITEM 2.        Properties</w:t>
              </w:r>
            </w:hyperlink>
          </w:p>
        </w:tc>
        <w:tc>
          <w:tcPr>
            <w:tcW w:w="0" w:type="auto"/>
            <w:gridSpan w:val="3"/>
            <w:tcMar>
              <w:top w:w="30" w:type="dxa"/>
              <w:left w:w="20" w:type="dxa"/>
              <w:bottom w:w="30" w:type="dxa"/>
              <w:right w:w="20" w:type="dxa"/>
            </w:tcMar>
            <w:vAlign w:val="bottom"/>
            <w:hideMark/>
          </w:tcPr>
          <w:p w:rsidR="00000000" w:rsidRDefault="00F5481A">
            <w:pPr>
              <w:spacing w:after="100"/>
              <w:jc w:val="right"/>
              <w:rPr>
                <w:rFonts w:eastAsia="Times New Roman"/>
              </w:rPr>
            </w:pPr>
            <w:hyperlink w:anchor="iefe78000fcc84d7eb9dad62280c74976_25" w:history="1">
              <w:r>
                <w:rPr>
                  <w:rStyle w:val="a3"/>
                  <w:rFonts w:ascii="IBM Plex Sans" w:eastAsia="Times New Roman" w:hAnsi="IBM Plex Sans"/>
                  <w:color w:val="000000"/>
                  <w:sz w:val="20"/>
                  <w:szCs w:val="20"/>
                  <w:u w:val="none"/>
                </w:rPr>
                <w:t>24</w:t>
              </w:r>
            </w:hyperlink>
          </w:p>
        </w:tc>
      </w:tr>
      <w:tr w:rsidR="00000000">
        <w:trPr>
          <w:divId w:val="74784498"/>
          <w:jc w:val="center"/>
        </w:trPr>
        <w:tc>
          <w:tcPr>
            <w:tcW w:w="0" w:type="auto"/>
            <w:gridSpan w:val="3"/>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F5481A">
            <w:pPr>
              <w:spacing w:after="100"/>
              <w:divId w:val="1674453920"/>
              <w:rPr>
                <w:rFonts w:eastAsia="Times New Roman"/>
              </w:rPr>
            </w:pPr>
            <w:hyperlink w:anchor="iefe78000fcc84d7eb9dad62280c74976_28" w:history="1">
              <w:r>
                <w:rPr>
                  <w:rStyle w:val="a3"/>
                  <w:rFonts w:ascii="IBM Plex Sans" w:eastAsia="Times New Roman" w:hAnsi="IBM Plex Sans"/>
                  <w:color w:val="000000"/>
                  <w:sz w:val="20"/>
                  <w:szCs w:val="20"/>
                  <w:u w:val="none"/>
                </w:rPr>
                <w:t>ITEM 3.        Legal Proceedings</w:t>
              </w:r>
            </w:hyperlink>
          </w:p>
        </w:tc>
        <w:tc>
          <w:tcPr>
            <w:tcW w:w="0" w:type="auto"/>
            <w:gridSpan w:val="3"/>
            <w:tcMar>
              <w:top w:w="30" w:type="dxa"/>
              <w:left w:w="20" w:type="dxa"/>
              <w:bottom w:w="30" w:type="dxa"/>
              <w:right w:w="20" w:type="dxa"/>
            </w:tcMar>
            <w:vAlign w:val="bottom"/>
            <w:hideMark/>
          </w:tcPr>
          <w:p w:rsidR="00000000" w:rsidRDefault="00F5481A">
            <w:pPr>
              <w:spacing w:after="100"/>
              <w:jc w:val="right"/>
              <w:rPr>
                <w:rFonts w:eastAsia="Times New Roman"/>
              </w:rPr>
            </w:pPr>
            <w:hyperlink w:anchor="iefe78000fcc84d7eb9dad62280c74976_28" w:history="1">
              <w:r>
                <w:rPr>
                  <w:rStyle w:val="a3"/>
                  <w:rFonts w:ascii="IBM Plex Sans" w:eastAsia="Times New Roman" w:hAnsi="IBM Plex Sans"/>
                  <w:color w:val="000000"/>
                  <w:sz w:val="20"/>
                  <w:szCs w:val="20"/>
                  <w:u w:val="none"/>
                </w:rPr>
                <w:t>24</w:t>
              </w:r>
            </w:hyperlink>
          </w:p>
        </w:tc>
      </w:tr>
      <w:tr w:rsidR="00000000">
        <w:trPr>
          <w:divId w:val="74784498"/>
          <w:jc w:val="center"/>
        </w:trPr>
        <w:tc>
          <w:tcPr>
            <w:tcW w:w="0" w:type="auto"/>
            <w:gridSpan w:val="3"/>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F5481A">
            <w:pPr>
              <w:spacing w:after="100"/>
              <w:divId w:val="1295987806"/>
              <w:rPr>
                <w:rFonts w:eastAsia="Times New Roman"/>
              </w:rPr>
            </w:pPr>
            <w:hyperlink w:anchor="iefe78000fcc84d7eb9dad62280c74976_31" w:history="1">
              <w:r>
                <w:rPr>
                  <w:rStyle w:val="a3"/>
                  <w:rFonts w:ascii="IBM Plex Sans" w:eastAsia="Times New Roman" w:hAnsi="IBM Plex Sans"/>
                  <w:color w:val="000000"/>
                  <w:sz w:val="20"/>
                  <w:szCs w:val="20"/>
                  <w:u w:val="none"/>
                </w:rPr>
                <w:t>ITEM 4.        Mine Safety Disclosures</w:t>
              </w:r>
            </w:hyperlink>
          </w:p>
        </w:tc>
        <w:tc>
          <w:tcPr>
            <w:tcW w:w="0" w:type="auto"/>
            <w:gridSpan w:val="3"/>
            <w:tcMar>
              <w:top w:w="30" w:type="dxa"/>
              <w:left w:w="20" w:type="dxa"/>
              <w:bottom w:w="30" w:type="dxa"/>
              <w:right w:w="20" w:type="dxa"/>
            </w:tcMar>
            <w:vAlign w:val="bottom"/>
            <w:hideMark/>
          </w:tcPr>
          <w:p w:rsidR="00000000" w:rsidRDefault="00F5481A">
            <w:pPr>
              <w:spacing w:after="100"/>
              <w:jc w:val="right"/>
              <w:rPr>
                <w:rFonts w:eastAsia="Times New Roman"/>
              </w:rPr>
            </w:pPr>
            <w:hyperlink w:anchor="iefe78000fcc84d7eb9dad62280c74976_31" w:history="1">
              <w:r>
                <w:rPr>
                  <w:rStyle w:val="a3"/>
                  <w:rFonts w:ascii="IBM Plex Sans" w:eastAsia="Times New Roman" w:hAnsi="IBM Plex Sans"/>
                  <w:color w:val="000000"/>
                  <w:sz w:val="20"/>
                  <w:szCs w:val="20"/>
                  <w:u w:val="none"/>
                </w:rPr>
                <w:t>25</w:t>
              </w:r>
            </w:hyperlink>
          </w:p>
        </w:tc>
      </w:tr>
      <w:tr w:rsidR="00000000">
        <w:trPr>
          <w:divId w:val="74784498"/>
          <w:jc w:val="center"/>
        </w:trPr>
        <w:tc>
          <w:tcPr>
            <w:tcW w:w="0" w:type="auto"/>
            <w:gridSpan w:val="3"/>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divId w:val="552734526"/>
              <w:rPr>
                <w:rFonts w:eastAsia="Times New Roman"/>
              </w:rPr>
            </w:pPr>
            <w:r>
              <w:rPr>
                <w:rFonts w:ascii="IBM Plex Sans" w:eastAsia="Times New Roman" w:hAnsi="IBM Plex Sans"/>
                <w:color w:val="283030"/>
                <w:sz w:val="20"/>
                <w:szCs w:val="20"/>
              </w:rPr>
              <w:t xml:space="preserve">Information about our </w:t>
            </w:r>
            <w:hyperlink w:anchor="iefe78000fcc84d7eb9dad62280c74976_34" w:history="1">
              <w:r>
                <w:rPr>
                  <w:rStyle w:val="a3"/>
                  <w:rFonts w:ascii="IBM Plex Sans" w:eastAsia="Times New Roman" w:hAnsi="IBM Plex Sans"/>
                  <w:color w:val="000000"/>
                  <w:sz w:val="20"/>
                  <w:szCs w:val="20"/>
                  <w:u w:val="none"/>
                </w:rPr>
                <w:t>Executi</w:t>
              </w:r>
              <w:r>
                <w:rPr>
                  <w:rStyle w:val="a3"/>
                  <w:rFonts w:ascii="IBM Plex Sans" w:eastAsia="Times New Roman" w:hAnsi="IBM Plex Sans"/>
                  <w:color w:val="000000"/>
                  <w:sz w:val="20"/>
                  <w:szCs w:val="20"/>
                  <w:u w:val="none"/>
                </w:rPr>
                <w:t>ve Officers</w:t>
              </w:r>
            </w:hyperlink>
          </w:p>
        </w:tc>
        <w:tc>
          <w:tcPr>
            <w:tcW w:w="0" w:type="auto"/>
            <w:gridSpan w:val="3"/>
            <w:tcMar>
              <w:top w:w="30" w:type="dxa"/>
              <w:left w:w="20" w:type="dxa"/>
              <w:bottom w:w="30" w:type="dxa"/>
              <w:right w:w="20" w:type="dxa"/>
            </w:tcMar>
            <w:vAlign w:val="bottom"/>
            <w:hideMark/>
          </w:tcPr>
          <w:p w:rsidR="00000000" w:rsidRDefault="00F5481A">
            <w:pPr>
              <w:spacing w:after="100"/>
              <w:jc w:val="right"/>
              <w:rPr>
                <w:rFonts w:eastAsia="Times New Roman"/>
              </w:rPr>
            </w:pPr>
            <w:hyperlink w:anchor="iefe78000fcc84d7eb9dad62280c74976_34" w:history="1">
              <w:r>
                <w:rPr>
                  <w:rStyle w:val="a3"/>
                  <w:rFonts w:ascii="IBM Plex Sans" w:eastAsia="Times New Roman" w:hAnsi="IBM Plex Sans"/>
                  <w:color w:val="000000"/>
                  <w:sz w:val="20"/>
                  <w:szCs w:val="20"/>
                  <w:u w:val="none"/>
                </w:rPr>
                <w:t>26</w:t>
              </w:r>
            </w:hyperlink>
          </w:p>
        </w:tc>
      </w:tr>
      <w:tr w:rsidR="00000000">
        <w:trPr>
          <w:divId w:val="74784498"/>
          <w:trHeight w:val="300"/>
          <w:jc w:val="center"/>
        </w:trPr>
        <w:tc>
          <w:tcPr>
            <w:tcW w:w="0" w:type="auto"/>
            <w:gridSpan w:val="3"/>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74784498"/>
          <w:jc w:val="center"/>
        </w:trPr>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283030"/>
                <w:sz w:val="20"/>
                <w:szCs w:val="20"/>
              </w:rPr>
              <w:t>Part II:</w:t>
            </w: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74784498"/>
          <w:jc w:val="center"/>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F5481A">
            <w:pPr>
              <w:spacing w:after="100"/>
              <w:ind w:hanging="1080"/>
              <w:divId w:val="1043672376"/>
              <w:rPr>
                <w:rFonts w:eastAsia="Times New Roman"/>
              </w:rPr>
            </w:pPr>
            <w:hyperlink w:anchor="iefe78000fcc84d7eb9dad62280c74976_40" w:history="1">
              <w:r>
                <w:rPr>
                  <w:rStyle w:val="a3"/>
                  <w:rFonts w:ascii="IBM Plex Sans" w:eastAsia="Times New Roman" w:hAnsi="IBM Plex Sans"/>
                  <w:color w:val="000000"/>
                  <w:sz w:val="20"/>
                  <w:szCs w:val="20"/>
                  <w:u w:val="none"/>
                </w:rPr>
                <w:t>ITEM 5.        Market for Registrant’</w:t>
              </w:r>
              <w:r>
                <w:rPr>
                  <w:rStyle w:val="a3"/>
                  <w:rFonts w:ascii="IBM Plex Sans" w:eastAsia="Times New Roman" w:hAnsi="IBM Plex Sans"/>
                  <w:color w:val="000000"/>
                  <w:sz w:val="20"/>
                  <w:szCs w:val="20"/>
                  <w:u w:val="none"/>
                </w:rPr>
                <w:t>s Common Equity, Related Stockholder Matters and Issuer Purchases of Equity Securities</w:t>
              </w:r>
            </w:hyperlink>
          </w:p>
        </w:tc>
        <w:tc>
          <w:tcPr>
            <w:tcW w:w="0" w:type="auto"/>
            <w:gridSpan w:val="3"/>
            <w:tcMar>
              <w:top w:w="30" w:type="dxa"/>
              <w:left w:w="20" w:type="dxa"/>
              <w:bottom w:w="30" w:type="dxa"/>
              <w:right w:w="20" w:type="dxa"/>
            </w:tcMar>
            <w:vAlign w:val="bottom"/>
            <w:hideMark/>
          </w:tcPr>
          <w:p w:rsidR="00000000" w:rsidRDefault="00F5481A">
            <w:pPr>
              <w:spacing w:after="100"/>
              <w:jc w:val="right"/>
              <w:rPr>
                <w:rFonts w:eastAsia="Times New Roman"/>
              </w:rPr>
            </w:pPr>
            <w:hyperlink w:anchor="iefe78000fcc84d7eb9dad62280c74976_40" w:history="1">
              <w:r>
                <w:rPr>
                  <w:rStyle w:val="a3"/>
                  <w:rFonts w:ascii="IBM Plex Sans" w:eastAsia="Times New Roman" w:hAnsi="IBM Plex Sans"/>
                  <w:color w:val="000000"/>
                  <w:sz w:val="20"/>
                  <w:szCs w:val="20"/>
                  <w:u w:val="none"/>
                </w:rPr>
                <w:t>27</w:t>
              </w:r>
            </w:hyperlink>
          </w:p>
        </w:tc>
      </w:tr>
      <w:tr w:rsidR="00000000">
        <w:trPr>
          <w:divId w:val="74784498"/>
          <w:jc w:val="center"/>
        </w:trPr>
        <w:tc>
          <w:tcPr>
            <w:tcW w:w="0" w:type="auto"/>
            <w:gridSpan w:val="3"/>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F5481A">
            <w:pPr>
              <w:spacing w:after="100"/>
              <w:divId w:val="1560436161"/>
              <w:rPr>
                <w:rFonts w:eastAsia="Times New Roman"/>
              </w:rPr>
            </w:pPr>
            <w:hyperlink w:anchor="iefe78000fcc84d7eb9dad62280c74976_43" w:history="1">
              <w:r>
                <w:rPr>
                  <w:rStyle w:val="a3"/>
                  <w:rFonts w:ascii="IBM Plex Sans" w:eastAsia="Times New Roman" w:hAnsi="IBM Plex Sans"/>
                  <w:color w:val="000000"/>
                  <w:sz w:val="20"/>
                  <w:szCs w:val="20"/>
                  <w:u w:val="none"/>
                </w:rPr>
                <w:t>ITEM 6.       [Reserved]</w:t>
              </w:r>
            </w:hyperlink>
          </w:p>
        </w:tc>
        <w:tc>
          <w:tcPr>
            <w:tcW w:w="0" w:type="auto"/>
            <w:gridSpan w:val="3"/>
            <w:tcMar>
              <w:top w:w="30" w:type="dxa"/>
              <w:left w:w="20" w:type="dxa"/>
              <w:bottom w:w="30" w:type="dxa"/>
              <w:right w:w="20" w:type="dxa"/>
            </w:tcMar>
            <w:vAlign w:val="bottom"/>
            <w:hideMark/>
          </w:tcPr>
          <w:p w:rsidR="00000000" w:rsidRDefault="00F5481A">
            <w:pPr>
              <w:spacing w:after="100"/>
              <w:jc w:val="right"/>
              <w:rPr>
                <w:rFonts w:eastAsia="Times New Roman"/>
              </w:rPr>
            </w:pPr>
            <w:hyperlink w:anchor="iefe78000fcc84d7eb9dad62280c74976_43" w:history="1">
              <w:r>
                <w:rPr>
                  <w:rStyle w:val="a3"/>
                  <w:rFonts w:ascii="IBM Plex Sans" w:eastAsia="Times New Roman" w:hAnsi="IBM Plex Sans"/>
                  <w:color w:val="000000"/>
                  <w:sz w:val="20"/>
                  <w:szCs w:val="20"/>
                  <w:u w:val="none"/>
                </w:rPr>
                <w:t>29</w:t>
              </w:r>
            </w:hyperlink>
          </w:p>
        </w:tc>
      </w:tr>
      <w:tr w:rsidR="00000000">
        <w:trPr>
          <w:divId w:val="74784498"/>
          <w:jc w:val="center"/>
        </w:trPr>
        <w:tc>
          <w:tcPr>
            <w:tcW w:w="0" w:type="auto"/>
            <w:gridSpan w:val="3"/>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F5481A">
            <w:pPr>
              <w:spacing w:after="100"/>
              <w:ind w:hanging="1080"/>
              <w:divId w:val="1466460824"/>
              <w:rPr>
                <w:rFonts w:eastAsia="Times New Roman"/>
              </w:rPr>
            </w:pPr>
            <w:hyperlink w:anchor="iefe78000fcc84d7eb9dad62280c74976_46" w:history="1">
              <w:r>
                <w:rPr>
                  <w:rStyle w:val="a3"/>
                  <w:rFonts w:ascii="IBM Plex Sans" w:eastAsia="Times New Roman" w:hAnsi="IBM Plex Sans"/>
                  <w:color w:val="000000"/>
                  <w:sz w:val="20"/>
                  <w:szCs w:val="20"/>
                  <w:u w:val="none"/>
                </w:rPr>
                <w:t>ITEM 7.</w:t>
              </w:r>
            </w:hyperlink>
            <w:r>
              <w:rPr>
                <w:rFonts w:ascii="IBM Plex Sans" w:eastAsia="Times New Roman" w:hAnsi="IBM Plex Sans"/>
                <w:color w:val="283030"/>
                <w:sz w:val="20"/>
                <w:szCs w:val="20"/>
              </w:rPr>
              <w:t>  </w:t>
            </w:r>
            <w:hyperlink w:anchor="iefe78000fcc84d7eb9dad62280c74976_220" w:history="1">
              <w:r>
                <w:rPr>
                  <w:rStyle w:val="a3"/>
                  <w:rFonts w:ascii="IBM Plex Sans" w:eastAsia="Times New Roman" w:hAnsi="IBM Plex Sans"/>
                  <w:color w:val="000000"/>
                  <w:sz w:val="20"/>
                  <w:szCs w:val="20"/>
                  <w:u w:val="none"/>
                </w:rPr>
                <w:t>  </w:t>
              </w:r>
            </w:hyperlink>
            <w:r>
              <w:rPr>
                <w:rFonts w:ascii="IBM Plex Sans" w:eastAsia="Times New Roman" w:hAnsi="IBM Plex Sans"/>
                <w:color w:val="283030"/>
                <w:sz w:val="20"/>
                <w:szCs w:val="20"/>
              </w:rPr>
              <w:t>    M</w:t>
            </w:r>
            <w:hyperlink w:anchor="iefe78000fcc84d7eb9dad62280c74976_46" w:history="1">
              <w:r>
                <w:rPr>
                  <w:rStyle w:val="a3"/>
                  <w:rFonts w:ascii="IBM Plex Sans" w:eastAsia="Times New Roman" w:hAnsi="IBM Plex Sans"/>
                  <w:color w:val="000000"/>
                  <w:sz w:val="20"/>
                  <w:szCs w:val="20"/>
                  <w:u w:val="none"/>
                </w:rPr>
                <w:t>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rsidR="00000000" w:rsidRDefault="00F5481A">
            <w:pPr>
              <w:spacing w:after="100"/>
              <w:jc w:val="right"/>
              <w:rPr>
                <w:rFonts w:eastAsia="Times New Roman"/>
              </w:rPr>
            </w:pPr>
            <w:hyperlink w:anchor="iefe78000fcc84d7eb9dad62280c74976_46" w:history="1">
              <w:r>
                <w:rPr>
                  <w:rStyle w:val="a3"/>
                  <w:rFonts w:ascii="IBM Plex Sans" w:eastAsia="Times New Roman" w:hAnsi="IBM Plex Sans"/>
                  <w:color w:val="000000"/>
                  <w:sz w:val="20"/>
                  <w:szCs w:val="20"/>
                  <w:u w:val="none"/>
                </w:rPr>
                <w:t>29</w:t>
              </w:r>
            </w:hyperlink>
          </w:p>
        </w:tc>
      </w:tr>
      <w:tr w:rsidR="00000000">
        <w:trPr>
          <w:divId w:val="74784498"/>
          <w:jc w:val="center"/>
        </w:trPr>
        <w:tc>
          <w:tcPr>
            <w:tcW w:w="0" w:type="auto"/>
            <w:gridSpan w:val="3"/>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F5481A">
            <w:pPr>
              <w:spacing w:after="100"/>
              <w:divId w:val="1671634452"/>
              <w:rPr>
                <w:rFonts w:eastAsia="Times New Roman"/>
              </w:rPr>
            </w:pPr>
            <w:hyperlink w:anchor="iefe78000fcc84d7eb9dad62280c74976_64" w:history="1">
              <w:r>
                <w:rPr>
                  <w:rStyle w:val="a3"/>
                  <w:rFonts w:ascii="IBM Plex Sans" w:eastAsia="Times New Roman" w:hAnsi="IBM Plex Sans"/>
                  <w:color w:val="000000"/>
                  <w:sz w:val="20"/>
                  <w:szCs w:val="20"/>
                  <w:u w:val="none"/>
                </w:rPr>
                <w:t>ITEM 7A.     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F5481A">
            <w:pPr>
              <w:spacing w:after="100"/>
              <w:jc w:val="right"/>
              <w:rPr>
                <w:rFonts w:eastAsia="Times New Roman"/>
              </w:rPr>
            </w:pPr>
            <w:hyperlink w:anchor="iefe78000fcc84d7eb9dad62280c74976_64" w:history="1">
              <w:r>
                <w:rPr>
                  <w:rStyle w:val="a3"/>
                  <w:rFonts w:ascii="IBM Plex Sans" w:eastAsia="Times New Roman" w:hAnsi="IBM Plex Sans"/>
                  <w:color w:val="000000"/>
                  <w:sz w:val="20"/>
                  <w:szCs w:val="20"/>
                  <w:u w:val="none"/>
                </w:rPr>
                <w:t>53</w:t>
              </w:r>
            </w:hyperlink>
          </w:p>
        </w:tc>
      </w:tr>
      <w:tr w:rsidR="00000000">
        <w:trPr>
          <w:divId w:val="74784498"/>
          <w:jc w:val="center"/>
        </w:trPr>
        <w:tc>
          <w:tcPr>
            <w:tcW w:w="0" w:type="auto"/>
            <w:gridSpan w:val="3"/>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F5481A">
            <w:pPr>
              <w:spacing w:after="100"/>
              <w:divId w:val="1726638394"/>
              <w:rPr>
                <w:rFonts w:eastAsia="Times New Roman"/>
              </w:rPr>
            </w:pPr>
            <w:hyperlink w:anchor="iefe78000fcc84d7eb9dad62280c74976_67" w:history="1">
              <w:r>
                <w:rPr>
                  <w:rStyle w:val="a3"/>
                  <w:rFonts w:ascii="IBM Plex Sans" w:eastAsia="Times New Roman" w:hAnsi="IBM Plex Sans"/>
                  <w:color w:val="000000"/>
                  <w:sz w:val="20"/>
                  <w:szCs w:val="20"/>
                  <w:u w:val="none"/>
                </w:rPr>
                <w:t>ITEM 8.        Financial Statements and Supplementary Data</w:t>
              </w:r>
            </w:hyperlink>
          </w:p>
        </w:tc>
        <w:tc>
          <w:tcPr>
            <w:tcW w:w="0" w:type="auto"/>
            <w:gridSpan w:val="3"/>
            <w:tcMar>
              <w:top w:w="30" w:type="dxa"/>
              <w:left w:w="20" w:type="dxa"/>
              <w:bottom w:w="30" w:type="dxa"/>
              <w:right w:w="20" w:type="dxa"/>
            </w:tcMar>
            <w:vAlign w:val="bottom"/>
            <w:hideMark/>
          </w:tcPr>
          <w:p w:rsidR="00000000" w:rsidRDefault="00F5481A">
            <w:pPr>
              <w:spacing w:after="100"/>
              <w:jc w:val="right"/>
              <w:rPr>
                <w:rFonts w:eastAsia="Times New Roman"/>
              </w:rPr>
            </w:pPr>
            <w:hyperlink w:anchor="iefe78000fcc84d7eb9dad62280c74976_67" w:history="1">
              <w:r>
                <w:rPr>
                  <w:rStyle w:val="a3"/>
                  <w:rFonts w:ascii="IBM Plex Sans" w:eastAsia="Times New Roman" w:hAnsi="IBM Plex Sans"/>
                  <w:color w:val="000000"/>
                  <w:sz w:val="20"/>
                  <w:szCs w:val="20"/>
                  <w:u w:val="none"/>
                </w:rPr>
                <w:t>54</w:t>
              </w:r>
            </w:hyperlink>
          </w:p>
        </w:tc>
      </w:tr>
      <w:tr w:rsidR="00000000">
        <w:trPr>
          <w:divId w:val="74784498"/>
          <w:jc w:val="center"/>
        </w:trPr>
        <w:tc>
          <w:tcPr>
            <w:tcW w:w="0" w:type="auto"/>
            <w:gridSpan w:val="3"/>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F5481A">
            <w:pPr>
              <w:spacing w:after="100"/>
              <w:ind w:hanging="1080"/>
              <w:divId w:val="1825928143"/>
              <w:rPr>
                <w:rFonts w:eastAsia="Times New Roman"/>
              </w:rPr>
            </w:pPr>
            <w:hyperlink w:anchor="iefe78000fcc84d7eb9dad62280c74976_187" w:history="1">
              <w:r>
                <w:rPr>
                  <w:rStyle w:val="a3"/>
                  <w:rFonts w:ascii="IBM Plex Sans" w:eastAsia="Times New Roman" w:hAnsi="IBM Plex Sans"/>
                  <w:color w:val="000000"/>
                  <w:sz w:val="20"/>
                  <w:szCs w:val="20"/>
                  <w:u w:val="none"/>
                </w:rPr>
                <w:t>ITEM 9. </w:t>
              </w:r>
              <w:r>
                <w:rPr>
                  <w:rStyle w:val="a3"/>
                  <w:rFonts w:ascii="IBM Plex Sans" w:eastAsia="Times New Roman" w:hAnsi="IBM Plex Sans"/>
                  <w:color w:val="000000"/>
                  <w:sz w:val="20"/>
                  <w:szCs w:val="20"/>
                  <w:u w:val="none"/>
                </w:rPr>
                <w:t>       Changes in and Disagreements with Accountants on Accounting and Financial Disclosure</w:t>
              </w:r>
            </w:hyperlink>
          </w:p>
        </w:tc>
        <w:tc>
          <w:tcPr>
            <w:tcW w:w="0" w:type="auto"/>
            <w:gridSpan w:val="3"/>
            <w:tcMar>
              <w:top w:w="30" w:type="dxa"/>
              <w:left w:w="20" w:type="dxa"/>
              <w:bottom w:w="30" w:type="dxa"/>
              <w:right w:w="20" w:type="dxa"/>
            </w:tcMar>
            <w:vAlign w:val="bottom"/>
            <w:hideMark/>
          </w:tcPr>
          <w:p w:rsidR="00000000" w:rsidRDefault="00F5481A">
            <w:pPr>
              <w:spacing w:after="100"/>
              <w:jc w:val="right"/>
              <w:rPr>
                <w:rFonts w:eastAsia="Times New Roman"/>
              </w:rPr>
            </w:pPr>
            <w:hyperlink w:anchor="iefe78000fcc84d7eb9dad62280c74976_187" w:history="1">
              <w:r>
                <w:rPr>
                  <w:rStyle w:val="a3"/>
                  <w:rFonts w:ascii="IBM Plex Sans" w:eastAsia="Times New Roman" w:hAnsi="IBM Plex Sans"/>
                  <w:color w:val="000000"/>
                  <w:sz w:val="20"/>
                  <w:szCs w:val="20"/>
                  <w:u w:val="none"/>
                </w:rPr>
                <w:t>115</w:t>
              </w:r>
            </w:hyperlink>
          </w:p>
        </w:tc>
      </w:tr>
      <w:tr w:rsidR="00000000">
        <w:trPr>
          <w:divId w:val="74784498"/>
          <w:jc w:val="center"/>
        </w:trPr>
        <w:tc>
          <w:tcPr>
            <w:tcW w:w="0" w:type="auto"/>
            <w:gridSpan w:val="3"/>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F5481A">
            <w:pPr>
              <w:spacing w:after="100"/>
              <w:divId w:val="2075925784"/>
              <w:rPr>
                <w:rFonts w:eastAsia="Times New Roman"/>
              </w:rPr>
            </w:pPr>
            <w:hyperlink w:anchor="iefe78000fcc84d7eb9dad62280c74976_190" w:history="1">
              <w:r>
                <w:rPr>
                  <w:rStyle w:val="a3"/>
                  <w:rFonts w:ascii="IBM Plex Sans" w:eastAsia="Times New Roman" w:hAnsi="IBM Plex Sans"/>
                  <w:color w:val="000000"/>
                  <w:sz w:val="20"/>
                  <w:szCs w:val="20"/>
                  <w:u w:val="none"/>
                </w:rPr>
                <w:t>ITEM 9A.     Controls and Procedures</w:t>
              </w:r>
            </w:hyperlink>
          </w:p>
        </w:tc>
        <w:tc>
          <w:tcPr>
            <w:tcW w:w="0" w:type="auto"/>
            <w:gridSpan w:val="3"/>
            <w:tcMar>
              <w:top w:w="30" w:type="dxa"/>
              <w:left w:w="20" w:type="dxa"/>
              <w:bottom w:w="30" w:type="dxa"/>
              <w:right w:w="20" w:type="dxa"/>
            </w:tcMar>
            <w:vAlign w:val="bottom"/>
            <w:hideMark/>
          </w:tcPr>
          <w:p w:rsidR="00000000" w:rsidRDefault="00F5481A">
            <w:pPr>
              <w:spacing w:after="100"/>
              <w:jc w:val="right"/>
              <w:rPr>
                <w:rFonts w:eastAsia="Times New Roman"/>
              </w:rPr>
            </w:pPr>
            <w:hyperlink w:anchor="iefe78000fcc84d7eb9dad62280c74976_190" w:history="1">
              <w:r>
                <w:rPr>
                  <w:rStyle w:val="a3"/>
                  <w:rFonts w:ascii="IBM Plex Sans" w:eastAsia="Times New Roman" w:hAnsi="IBM Plex Sans"/>
                  <w:color w:val="000000"/>
                  <w:sz w:val="20"/>
                  <w:szCs w:val="20"/>
                  <w:u w:val="none"/>
                </w:rPr>
                <w:t>115</w:t>
              </w:r>
            </w:hyperlink>
          </w:p>
        </w:tc>
      </w:tr>
      <w:tr w:rsidR="00000000">
        <w:trPr>
          <w:divId w:val="74784498"/>
          <w:jc w:val="center"/>
        </w:trPr>
        <w:tc>
          <w:tcPr>
            <w:tcW w:w="0" w:type="auto"/>
            <w:gridSpan w:val="3"/>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F5481A">
            <w:pPr>
              <w:spacing w:after="100"/>
              <w:divId w:val="537204732"/>
              <w:rPr>
                <w:rFonts w:eastAsia="Times New Roman"/>
              </w:rPr>
            </w:pPr>
            <w:hyperlink w:anchor="iefe78000fcc84d7eb9dad62280c74976_193" w:history="1">
              <w:r>
                <w:rPr>
                  <w:rStyle w:val="a3"/>
                  <w:rFonts w:ascii="IBM Plex Sans" w:eastAsia="Times New Roman" w:hAnsi="IBM Plex Sans"/>
                  <w:color w:val="000000"/>
                  <w:sz w:val="20"/>
                  <w:szCs w:val="20"/>
                  <w:u w:val="none"/>
                </w:rPr>
                <w:t>ITEM 9B.     Other Informat</w:t>
              </w:r>
              <w:r>
                <w:rPr>
                  <w:rStyle w:val="a3"/>
                  <w:rFonts w:ascii="IBM Plex Sans" w:eastAsia="Times New Roman" w:hAnsi="IBM Plex Sans"/>
                  <w:color w:val="000000"/>
                  <w:sz w:val="20"/>
                  <w:szCs w:val="20"/>
                  <w:u w:val="none"/>
                </w:rPr>
                <w:t>ion</w:t>
              </w:r>
            </w:hyperlink>
          </w:p>
        </w:tc>
        <w:tc>
          <w:tcPr>
            <w:tcW w:w="0" w:type="auto"/>
            <w:gridSpan w:val="3"/>
            <w:tcMar>
              <w:top w:w="30" w:type="dxa"/>
              <w:left w:w="20" w:type="dxa"/>
              <w:bottom w:w="30" w:type="dxa"/>
              <w:right w:w="20" w:type="dxa"/>
            </w:tcMar>
            <w:vAlign w:val="bottom"/>
            <w:hideMark/>
          </w:tcPr>
          <w:p w:rsidR="00000000" w:rsidRDefault="00F5481A">
            <w:pPr>
              <w:spacing w:after="100"/>
              <w:jc w:val="right"/>
              <w:rPr>
                <w:rFonts w:eastAsia="Times New Roman"/>
              </w:rPr>
            </w:pPr>
            <w:hyperlink w:anchor="iefe78000fcc84d7eb9dad62280c74976_193" w:history="1">
              <w:r>
                <w:rPr>
                  <w:rStyle w:val="a3"/>
                  <w:rFonts w:ascii="IBM Plex Sans" w:eastAsia="Times New Roman" w:hAnsi="IBM Plex Sans"/>
                  <w:color w:val="000000"/>
                  <w:sz w:val="20"/>
                  <w:szCs w:val="20"/>
                  <w:u w:val="none"/>
                </w:rPr>
                <w:t>115</w:t>
              </w:r>
            </w:hyperlink>
          </w:p>
        </w:tc>
      </w:tr>
      <w:tr w:rsidR="00000000">
        <w:trPr>
          <w:divId w:val="74784498"/>
          <w:jc w:val="center"/>
        </w:trPr>
        <w:tc>
          <w:tcPr>
            <w:tcW w:w="0" w:type="auto"/>
            <w:gridSpan w:val="3"/>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F5481A">
            <w:pPr>
              <w:spacing w:after="100"/>
              <w:divId w:val="1048916917"/>
              <w:rPr>
                <w:rFonts w:eastAsia="Times New Roman"/>
              </w:rPr>
            </w:pPr>
            <w:hyperlink w:anchor="iefe78000fcc84d7eb9dad62280c74976_196" w:history="1">
              <w:r>
                <w:rPr>
                  <w:rStyle w:val="a3"/>
                  <w:rFonts w:ascii="IBM Plex Sans" w:eastAsia="Times New Roman" w:hAnsi="IBM Plex Sans"/>
                  <w:color w:val="000000"/>
                  <w:sz w:val="20"/>
                  <w:szCs w:val="20"/>
                  <w:u w:val="none"/>
                </w:rPr>
                <w:t xml:space="preserve">ITEM 9C.    </w:t>
              </w:r>
              <w:r>
                <w:rPr>
                  <w:rStyle w:val="a3"/>
                  <w:rFonts w:ascii="IBM Plex Sans" w:eastAsia="Times New Roman" w:hAnsi="IBM Plex Sans"/>
                  <w:color w:val="000000"/>
                  <w:sz w:val="20"/>
                  <w:szCs w:val="20"/>
                  <w:u w:val="none"/>
                </w:rPr>
                <w:t>Disclosure Regarding Foreign Jurisdictions That Prevent Inspections</w:t>
              </w:r>
            </w:hyperlink>
          </w:p>
        </w:tc>
        <w:tc>
          <w:tcPr>
            <w:tcW w:w="0" w:type="auto"/>
            <w:gridSpan w:val="3"/>
            <w:tcMar>
              <w:top w:w="30" w:type="dxa"/>
              <w:left w:w="20" w:type="dxa"/>
              <w:bottom w:w="30" w:type="dxa"/>
              <w:right w:w="20" w:type="dxa"/>
            </w:tcMar>
            <w:vAlign w:val="bottom"/>
            <w:hideMark/>
          </w:tcPr>
          <w:p w:rsidR="00000000" w:rsidRDefault="00F5481A">
            <w:pPr>
              <w:spacing w:after="100"/>
              <w:jc w:val="right"/>
              <w:rPr>
                <w:rFonts w:eastAsia="Times New Roman"/>
              </w:rPr>
            </w:pPr>
            <w:hyperlink w:anchor="iefe78000fcc84d7eb9dad62280c74976_193" w:history="1">
              <w:r>
                <w:rPr>
                  <w:rStyle w:val="a3"/>
                  <w:rFonts w:ascii="IBM Plex Sans" w:eastAsia="Times New Roman" w:hAnsi="IBM Plex Sans"/>
                  <w:color w:val="000000"/>
                  <w:sz w:val="20"/>
                  <w:szCs w:val="20"/>
                  <w:u w:val="none"/>
                </w:rPr>
                <w:t>115</w:t>
              </w:r>
            </w:hyperlink>
          </w:p>
        </w:tc>
      </w:tr>
      <w:tr w:rsidR="00000000">
        <w:trPr>
          <w:divId w:val="74784498"/>
          <w:trHeight w:val="300"/>
          <w:jc w:val="center"/>
        </w:trPr>
        <w:tc>
          <w:tcPr>
            <w:tcW w:w="0" w:type="auto"/>
            <w:gridSpan w:val="3"/>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74784498"/>
          <w:jc w:val="center"/>
        </w:trPr>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283030"/>
                <w:sz w:val="20"/>
                <w:szCs w:val="20"/>
              </w:rPr>
              <w:t>Part III:</w:t>
            </w: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74784498"/>
          <w:jc w:val="center"/>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F5481A">
            <w:pPr>
              <w:spacing w:after="100"/>
              <w:divId w:val="765417860"/>
              <w:rPr>
                <w:rFonts w:eastAsia="Times New Roman"/>
              </w:rPr>
            </w:pPr>
            <w:hyperlink w:anchor="iefe78000fcc84d7eb9dad62280c74976_202" w:history="1">
              <w:r>
                <w:rPr>
                  <w:rStyle w:val="a3"/>
                  <w:rFonts w:ascii="IBM Plex Sans" w:eastAsia="Times New Roman" w:hAnsi="IBM Plex Sans"/>
                  <w:color w:val="000000"/>
                  <w:sz w:val="20"/>
                  <w:szCs w:val="20"/>
                  <w:u w:val="none"/>
                </w:rPr>
                <w:t>ITEM 10.      Directors, Executive Officers and Corporate Governance</w:t>
              </w:r>
            </w:hyperlink>
          </w:p>
        </w:tc>
        <w:tc>
          <w:tcPr>
            <w:tcW w:w="0" w:type="auto"/>
            <w:gridSpan w:val="3"/>
            <w:tcMar>
              <w:top w:w="30" w:type="dxa"/>
              <w:left w:w="20" w:type="dxa"/>
              <w:bottom w:w="30" w:type="dxa"/>
              <w:right w:w="20" w:type="dxa"/>
            </w:tcMar>
            <w:vAlign w:val="bottom"/>
            <w:hideMark/>
          </w:tcPr>
          <w:p w:rsidR="00000000" w:rsidRDefault="00F5481A">
            <w:pPr>
              <w:spacing w:after="100"/>
              <w:jc w:val="right"/>
              <w:rPr>
                <w:rFonts w:eastAsia="Times New Roman"/>
              </w:rPr>
            </w:pPr>
            <w:hyperlink w:anchor="iefe78000fcc84d7eb9dad62280c74976_202" w:history="1">
              <w:r>
                <w:rPr>
                  <w:rStyle w:val="a3"/>
                  <w:rFonts w:ascii="IBM Plex Sans" w:eastAsia="Times New Roman" w:hAnsi="IBM Plex Sans"/>
                  <w:color w:val="000000"/>
                  <w:sz w:val="20"/>
                  <w:szCs w:val="20"/>
                  <w:u w:val="none"/>
                </w:rPr>
                <w:t>116</w:t>
              </w:r>
            </w:hyperlink>
          </w:p>
        </w:tc>
      </w:tr>
      <w:tr w:rsidR="00000000">
        <w:trPr>
          <w:divId w:val="74784498"/>
          <w:jc w:val="center"/>
        </w:trPr>
        <w:tc>
          <w:tcPr>
            <w:tcW w:w="0" w:type="auto"/>
            <w:gridSpan w:val="3"/>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F5481A">
            <w:pPr>
              <w:spacing w:after="100"/>
              <w:divId w:val="961573440"/>
              <w:rPr>
                <w:rFonts w:eastAsia="Times New Roman"/>
              </w:rPr>
            </w:pPr>
            <w:hyperlink w:anchor="iefe78000fcc84d7eb9dad62280c74976_205" w:history="1">
              <w:r>
                <w:rPr>
                  <w:rStyle w:val="a3"/>
                  <w:rFonts w:ascii="IBM Plex Sans" w:eastAsia="Times New Roman" w:hAnsi="IBM Plex Sans"/>
                  <w:color w:val="000000"/>
                  <w:sz w:val="20"/>
                  <w:szCs w:val="20"/>
                  <w:u w:val="none"/>
                </w:rPr>
                <w:t>ITEM 11.      Executive Compensation</w:t>
              </w:r>
            </w:hyperlink>
          </w:p>
        </w:tc>
        <w:tc>
          <w:tcPr>
            <w:tcW w:w="0" w:type="auto"/>
            <w:gridSpan w:val="3"/>
            <w:tcMar>
              <w:top w:w="30" w:type="dxa"/>
              <w:left w:w="20" w:type="dxa"/>
              <w:bottom w:w="30" w:type="dxa"/>
              <w:right w:w="20" w:type="dxa"/>
            </w:tcMar>
            <w:vAlign w:val="bottom"/>
            <w:hideMark/>
          </w:tcPr>
          <w:p w:rsidR="00000000" w:rsidRDefault="00F5481A">
            <w:pPr>
              <w:spacing w:after="100"/>
              <w:jc w:val="right"/>
              <w:rPr>
                <w:rFonts w:eastAsia="Times New Roman"/>
              </w:rPr>
            </w:pPr>
            <w:hyperlink w:anchor="iefe78000fcc84d7eb9dad62280c74976_205" w:history="1">
              <w:r>
                <w:rPr>
                  <w:rStyle w:val="a3"/>
                  <w:rFonts w:ascii="IBM Plex Sans" w:eastAsia="Times New Roman" w:hAnsi="IBM Plex Sans"/>
                  <w:color w:val="000000"/>
                  <w:sz w:val="20"/>
                  <w:szCs w:val="20"/>
                  <w:u w:val="none"/>
                </w:rPr>
                <w:t>117</w:t>
              </w:r>
            </w:hyperlink>
          </w:p>
        </w:tc>
      </w:tr>
      <w:tr w:rsidR="00000000">
        <w:trPr>
          <w:divId w:val="74784498"/>
          <w:jc w:val="center"/>
        </w:trPr>
        <w:tc>
          <w:tcPr>
            <w:tcW w:w="0" w:type="auto"/>
            <w:gridSpan w:val="3"/>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F5481A">
            <w:pPr>
              <w:spacing w:after="100"/>
              <w:ind w:hanging="1080"/>
              <w:divId w:val="785973425"/>
              <w:rPr>
                <w:rFonts w:eastAsia="Times New Roman"/>
              </w:rPr>
            </w:pPr>
            <w:hyperlink w:anchor="iefe78000fcc84d7eb9dad62280c74976_208" w:history="1">
              <w:r>
                <w:rPr>
                  <w:rStyle w:val="a3"/>
                  <w:rFonts w:ascii="IBM Plex Sans" w:eastAsia="Times New Roman" w:hAnsi="IBM Plex Sans"/>
                  <w:color w:val="000000"/>
                  <w:sz w:val="20"/>
                  <w:szCs w:val="20"/>
                  <w:u w:val="none"/>
                </w:rPr>
                <w:t xml:space="preserve">ITEM 12.      </w:t>
              </w:r>
              <w:r>
                <w:rPr>
                  <w:rStyle w:val="a3"/>
                  <w:rFonts w:ascii="IBM Plex Sans" w:eastAsia="Times New Roman" w:hAnsi="IBM Plex Sans"/>
                  <w:color w:val="000000"/>
                  <w:sz w:val="20"/>
                  <w:szCs w:val="20"/>
                  <w:u w:val="none"/>
                </w:rPr>
                <w:t>Security Ownership of Certain Beneficial Owners and Management and Related Stockholder Matters</w:t>
              </w:r>
            </w:hyperlink>
          </w:p>
        </w:tc>
        <w:tc>
          <w:tcPr>
            <w:tcW w:w="0" w:type="auto"/>
            <w:gridSpan w:val="3"/>
            <w:tcMar>
              <w:top w:w="30" w:type="dxa"/>
              <w:left w:w="20" w:type="dxa"/>
              <w:bottom w:w="30" w:type="dxa"/>
              <w:right w:w="20" w:type="dxa"/>
            </w:tcMar>
            <w:vAlign w:val="bottom"/>
            <w:hideMark/>
          </w:tcPr>
          <w:p w:rsidR="00000000" w:rsidRDefault="00F5481A">
            <w:pPr>
              <w:spacing w:after="100"/>
              <w:jc w:val="right"/>
              <w:rPr>
                <w:rFonts w:eastAsia="Times New Roman"/>
              </w:rPr>
            </w:pPr>
            <w:hyperlink w:anchor="iefe78000fcc84d7eb9dad62280c74976_208" w:history="1">
              <w:r>
                <w:rPr>
                  <w:rStyle w:val="a3"/>
                  <w:rFonts w:ascii="IBM Plex Sans" w:eastAsia="Times New Roman" w:hAnsi="IBM Plex Sans"/>
                  <w:color w:val="000000"/>
                  <w:sz w:val="20"/>
                  <w:szCs w:val="20"/>
                  <w:u w:val="none"/>
                </w:rPr>
                <w:t>117</w:t>
              </w:r>
            </w:hyperlink>
          </w:p>
        </w:tc>
      </w:tr>
      <w:tr w:rsidR="00000000">
        <w:trPr>
          <w:divId w:val="74784498"/>
          <w:jc w:val="center"/>
        </w:trPr>
        <w:tc>
          <w:tcPr>
            <w:tcW w:w="0" w:type="auto"/>
            <w:gridSpan w:val="3"/>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F5481A">
            <w:pPr>
              <w:spacing w:after="100"/>
              <w:divId w:val="19866825"/>
              <w:rPr>
                <w:rFonts w:eastAsia="Times New Roman"/>
              </w:rPr>
            </w:pPr>
            <w:hyperlink w:anchor="iefe78000fcc84d7eb9dad62280c74976_211" w:history="1">
              <w:r>
                <w:rPr>
                  <w:rStyle w:val="a3"/>
                  <w:rFonts w:ascii="IBM Plex Sans" w:eastAsia="Times New Roman" w:hAnsi="IBM Plex Sans"/>
                  <w:color w:val="000000"/>
                  <w:sz w:val="20"/>
                  <w:szCs w:val="20"/>
                  <w:u w:val="none"/>
                </w:rPr>
                <w:t>ITEM 13</w:t>
              </w:r>
            </w:hyperlink>
            <w:hyperlink w:anchor="iefe78000fcc84d7eb9dad62280c74976_220" w:history="1">
              <w:r>
                <w:rPr>
                  <w:rStyle w:val="a3"/>
                  <w:rFonts w:ascii="IBM Plex Sans" w:eastAsia="Times New Roman" w:hAnsi="IBM Plex Sans"/>
                  <w:color w:val="000000"/>
                  <w:sz w:val="20"/>
                  <w:szCs w:val="20"/>
                  <w:u w:val="none"/>
                </w:rPr>
                <w:t>.      </w:t>
              </w:r>
            </w:hyperlink>
            <w:hyperlink w:anchor="iefe78000fcc84d7eb9dad62280c74976_211" w:history="1">
              <w:r>
                <w:rPr>
                  <w:rStyle w:val="a3"/>
                  <w:rFonts w:ascii="IBM Plex Sans" w:eastAsia="Times New Roman" w:hAnsi="IBM Plex Sans"/>
                  <w:color w:val="000000"/>
                  <w:sz w:val="20"/>
                  <w:szCs w:val="20"/>
                  <w:u w:val="none"/>
                </w:rPr>
                <w:t>Certain Relationships and Related Transactions, and Director Independence</w:t>
              </w:r>
            </w:hyperlink>
          </w:p>
        </w:tc>
        <w:tc>
          <w:tcPr>
            <w:tcW w:w="0" w:type="auto"/>
            <w:gridSpan w:val="3"/>
            <w:tcMar>
              <w:top w:w="30" w:type="dxa"/>
              <w:left w:w="20" w:type="dxa"/>
              <w:bottom w:w="30" w:type="dxa"/>
              <w:right w:w="20" w:type="dxa"/>
            </w:tcMar>
            <w:vAlign w:val="bottom"/>
            <w:hideMark/>
          </w:tcPr>
          <w:p w:rsidR="00000000" w:rsidRDefault="00F5481A">
            <w:pPr>
              <w:spacing w:after="100"/>
              <w:jc w:val="right"/>
              <w:rPr>
                <w:rFonts w:eastAsia="Times New Roman"/>
              </w:rPr>
            </w:pPr>
            <w:hyperlink w:anchor="iefe78000fcc84d7eb9dad62280c74976_211" w:history="1">
              <w:r>
                <w:rPr>
                  <w:rStyle w:val="a3"/>
                  <w:rFonts w:ascii="IBM Plex Sans" w:eastAsia="Times New Roman" w:hAnsi="IBM Plex Sans"/>
                  <w:color w:val="000000"/>
                  <w:sz w:val="20"/>
                  <w:szCs w:val="20"/>
                  <w:u w:val="none"/>
                </w:rPr>
                <w:t>117</w:t>
              </w:r>
            </w:hyperlink>
          </w:p>
        </w:tc>
      </w:tr>
      <w:tr w:rsidR="00000000">
        <w:trPr>
          <w:divId w:val="74784498"/>
          <w:jc w:val="center"/>
        </w:trPr>
        <w:tc>
          <w:tcPr>
            <w:tcW w:w="0" w:type="auto"/>
            <w:gridSpan w:val="3"/>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F5481A">
            <w:pPr>
              <w:spacing w:after="100"/>
              <w:divId w:val="856040439"/>
              <w:rPr>
                <w:rFonts w:eastAsia="Times New Roman"/>
              </w:rPr>
            </w:pPr>
            <w:hyperlink w:anchor="iefe78000fcc84d7eb9dad62280c74976_214" w:history="1">
              <w:r>
                <w:rPr>
                  <w:rStyle w:val="a3"/>
                  <w:rFonts w:ascii="IBM Plex Sans" w:eastAsia="Times New Roman" w:hAnsi="IBM Plex Sans"/>
                  <w:color w:val="000000"/>
                  <w:sz w:val="20"/>
                  <w:szCs w:val="20"/>
                  <w:u w:val="none"/>
                </w:rPr>
                <w:t>ITEM 14.      Principal Accounting Fees and Services</w:t>
              </w:r>
            </w:hyperlink>
          </w:p>
        </w:tc>
        <w:tc>
          <w:tcPr>
            <w:tcW w:w="0" w:type="auto"/>
            <w:gridSpan w:val="3"/>
            <w:tcMar>
              <w:top w:w="30" w:type="dxa"/>
              <w:left w:w="20" w:type="dxa"/>
              <w:bottom w:w="30" w:type="dxa"/>
              <w:right w:w="20" w:type="dxa"/>
            </w:tcMar>
            <w:vAlign w:val="bottom"/>
            <w:hideMark/>
          </w:tcPr>
          <w:p w:rsidR="00000000" w:rsidRDefault="00F5481A">
            <w:pPr>
              <w:spacing w:after="100"/>
              <w:jc w:val="right"/>
              <w:rPr>
                <w:rFonts w:eastAsia="Times New Roman"/>
              </w:rPr>
            </w:pPr>
            <w:hyperlink w:anchor="iefe78000fcc84d7eb9dad62280c74976_214" w:history="1">
              <w:r>
                <w:rPr>
                  <w:rStyle w:val="a3"/>
                  <w:rFonts w:ascii="IBM Plex Sans" w:eastAsia="Times New Roman" w:hAnsi="IBM Plex Sans"/>
                  <w:color w:val="000000"/>
                  <w:sz w:val="20"/>
                  <w:szCs w:val="20"/>
                  <w:u w:val="none"/>
                </w:rPr>
                <w:t>117</w:t>
              </w:r>
            </w:hyperlink>
          </w:p>
        </w:tc>
      </w:tr>
      <w:tr w:rsidR="00000000">
        <w:trPr>
          <w:divId w:val="74784498"/>
          <w:trHeight w:val="300"/>
          <w:jc w:val="center"/>
        </w:trPr>
        <w:tc>
          <w:tcPr>
            <w:tcW w:w="0" w:type="auto"/>
            <w:gridSpan w:val="3"/>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74784498"/>
          <w:jc w:val="center"/>
        </w:trPr>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283030"/>
                <w:sz w:val="20"/>
                <w:szCs w:val="20"/>
              </w:rPr>
              <w:t>Part IV:</w:t>
            </w: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74784498"/>
          <w:jc w:val="center"/>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F5481A">
            <w:pPr>
              <w:spacing w:after="100"/>
              <w:divId w:val="1280993727"/>
              <w:rPr>
                <w:rFonts w:eastAsia="Times New Roman"/>
              </w:rPr>
            </w:pPr>
            <w:hyperlink w:anchor="iefe78000fcc84d7eb9dad62280c74976_220" w:history="1">
              <w:r>
                <w:rPr>
                  <w:rStyle w:val="a3"/>
                  <w:rFonts w:ascii="IBM Plex Sans" w:eastAsia="Times New Roman" w:hAnsi="IBM Plex Sans"/>
                  <w:color w:val="000000"/>
                  <w:sz w:val="20"/>
                  <w:szCs w:val="20"/>
                  <w:u w:val="none"/>
                </w:rPr>
                <w:t>ITEM 15.      Exhibits, Financial Statement Schedules</w:t>
              </w:r>
            </w:hyperlink>
          </w:p>
        </w:tc>
        <w:tc>
          <w:tcPr>
            <w:tcW w:w="0" w:type="auto"/>
            <w:gridSpan w:val="3"/>
            <w:tcMar>
              <w:top w:w="30" w:type="dxa"/>
              <w:left w:w="20" w:type="dxa"/>
              <w:bottom w:w="30" w:type="dxa"/>
              <w:right w:w="20" w:type="dxa"/>
            </w:tcMar>
            <w:vAlign w:val="bottom"/>
            <w:hideMark/>
          </w:tcPr>
          <w:p w:rsidR="00000000" w:rsidRDefault="00F5481A">
            <w:pPr>
              <w:spacing w:after="100"/>
              <w:jc w:val="right"/>
              <w:rPr>
                <w:rFonts w:eastAsia="Times New Roman"/>
              </w:rPr>
            </w:pPr>
            <w:hyperlink w:anchor="iefe78000fcc84d7eb9dad62280c74976_220" w:history="1">
              <w:r>
                <w:rPr>
                  <w:rStyle w:val="a3"/>
                  <w:rFonts w:ascii="IBM Plex Sans" w:eastAsia="Times New Roman" w:hAnsi="IBM Plex Sans"/>
                  <w:color w:val="000000"/>
                  <w:sz w:val="20"/>
                  <w:szCs w:val="20"/>
                  <w:u w:val="none"/>
                </w:rPr>
                <w:t>118</w:t>
              </w:r>
            </w:hyperlink>
          </w:p>
        </w:tc>
      </w:tr>
      <w:tr w:rsidR="00000000">
        <w:trPr>
          <w:divId w:val="74784498"/>
          <w:jc w:val="center"/>
        </w:trPr>
        <w:tc>
          <w:tcPr>
            <w:tcW w:w="0" w:type="auto"/>
            <w:gridSpan w:val="3"/>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F5481A">
            <w:pPr>
              <w:spacing w:after="100"/>
              <w:divId w:val="1954095618"/>
              <w:rPr>
                <w:rFonts w:eastAsia="Times New Roman"/>
              </w:rPr>
            </w:pPr>
            <w:hyperlink w:anchor="iefe78000fcc84d7eb9dad62280c74976_226" w:history="1">
              <w:r>
                <w:rPr>
                  <w:rStyle w:val="a3"/>
                  <w:rFonts w:ascii="IBM Plex Sans" w:eastAsia="Times New Roman" w:hAnsi="IBM Plex Sans"/>
                  <w:color w:val="000000"/>
                  <w:sz w:val="20"/>
                  <w:szCs w:val="20"/>
                  <w:u w:val="none"/>
                </w:rPr>
                <w:t>I</w:t>
              </w:r>
            </w:hyperlink>
            <w:hyperlink w:anchor="iefe78000fcc84d7eb9dad62280c74976_226" w:history="1">
              <w:r>
                <w:rPr>
                  <w:rStyle w:val="a3"/>
                  <w:rFonts w:ascii="IBM Plex Sans" w:eastAsia="Times New Roman" w:hAnsi="IBM Plex Sans"/>
                  <w:color w:val="000000"/>
                  <w:sz w:val="20"/>
                  <w:szCs w:val="20"/>
                  <w:u w:val="none"/>
                </w:rPr>
                <w:t>TEM 16. Form 10-K S</w:t>
              </w:r>
            </w:hyperlink>
            <w:hyperlink w:anchor="iefe78000fcc84d7eb9dad62280c74976_226" w:history="1">
              <w:r>
                <w:rPr>
                  <w:rStyle w:val="a3"/>
                  <w:rFonts w:ascii="IBM Plex Sans" w:eastAsia="Times New Roman" w:hAnsi="IBM Plex Sans"/>
                  <w:color w:val="000000"/>
                  <w:sz w:val="20"/>
                  <w:szCs w:val="20"/>
                  <w:u w:val="none"/>
                </w:rPr>
                <w:t>ummary</w:t>
              </w:r>
            </w:hyperlink>
            <w:r>
              <w:rPr>
                <w:rFonts w:ascii="IBM Plex Sans" w:eastAsia="Times New Roman" w:hAnsi="IBM Plex Sans"/>
                <w:color w:val="283030"/>
                <w:sz w:val="20"/>
                <w:szCs w:val="20"/>
              </w:rPr>
              <w:t xml:space="preserve"> </w:t>
            </w:r>
          </w:p>
        </w:tc>
        <w:tc>
          <w:tcPr>
            <w:tcW w:w="0" w:type="auto"/>
            <w:gridSpan w:val="3"/>
            <w:tcMar>
              <w:top w:w="30" w:type="dxa"/>
              <w:left w:w="20" w:type="dxa"/>
              <w:bottom w:w="30" w:type="dxa"/>
              <w:right w:w="20" w:type="dxa"/>
            </w:tcMar>
            <w:vAlign w:val="bottom"/>
            <w:hideMark/>
          </w:tcPr>
          <w:p w:rsidR="00000000" w:rsidRDefault="00F5481A">
            <w:pPr>
              <w:spacing w:after="100"/>
              <w:jc w:val="right"/>
              <w:rPr>
                <w:rFonts w:eastAsia="Times New Roman"/>
              </w:rPr>
            </w:pPr>
            <w:hyperlink w:anchor="iefe78000fcc84d7eb9dad62280c74976_226" w:history="1">
              <w:r>
                <w:rPr>
                  <w:rStyle w:val="a3"/>
                  <w:rFonts w:ascii="IBM Plex Sans" w:eastAsia="Times New Roman" w:hAnsi="IBM Plex Sans"/>
                  <w:color w:val="000000"/>
                  <w:sz w:val="20"/>
                  <w:szCs w:val="20"/>
                  <w:u w:val="none"/>
                </w:rPr>
                <w:t>126</w:t>
              </w:r>
            </w:hyperlink>
          </w:p>
        </w:tc>
      </w:tr>
      <w:tr w:rsidR="00000000">
        <w:trPr>
          <w:divId w:val="74784498"/>
          <w:trHeight w:val="300"/>
          <w:jc w:val="center"/>
        </w:trPr>
        <w:tc>
          <w:tcPr>
            <w:tcW w:w="0" w:type="auto"/>
            <w:gridSpan w:val="6"/>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74784498"/>
          <w:jc w:val="center"/>
        </w:trPr>
        <w:tc>
          <w:tcPr>
            <w:tcW w:w="0" w:type="auto"/>
            <w:gridSpan w:val="6"/>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283030"/>
                <w:sz w:val="20"/>
                <w:szCs w:val="20"/>
              </w:rPr>
              <w:t>Signatures</w:t>
            </w:r>
          </w:p>
        </w:tc>
        <w:tc>
          <w:tcPr>
            <w:tcW w:w="0" w:type="auto"/>
            <w:gridSpan w:val="3"/>
            <w:tcMar>
              <w:top w:w="30" w:type="dxa"/>
              <w:left w:w="20" w:type="dxa"/>
              <w:bottom w:w="30" w:type="dxa"/>
              <w:right w:w="20" w:type="dxa"/>
            </w:tcMar>
            <w:vAlign w:val="bottom"/>
            <w:hideMark/>
          </w:tcPr>
          <w:p w:rsidR="00000000" w:rsidRDefault="00F5481A">
            <w:pPr>
              <w:spacing w:after="100"/>
              <w:jc w:val="right"/>
              <w:rPr>
                <w:rFonts w:eastAsia="Times New Roman"/>
              </w:rPr>
            </w:pPr>
            <w:hyperlink w:anchor="iefe78000fcc84d7eb9dad62280c74976_229" w:history="1">
              <w:r>
                <w:rPr>
                  <w:rStyle w:val="a3"/>
                  <w:rFonts w:ascii="IBM Plex Sans" w:eastAsia="Times New Roman" w:hAnsi="IBM Plex Sans"/>
                  <w:color w:val="000000"/>
                  <w:sz w:val="20"/>
                  <w:szCs w:val="20"/>
                  <w:u w:val="none"/>
                </w:rPr>
                <w:t>127</w:t>
              </w:r>
            </w:hyperlink>
          </w:p>
        </w:tc>
      </w:tr>
    </w:tbl>
    <w:p w:rsidR="00000000" w:rsidRDefault="00F5481A">
      <w:pPr>
        <w:divId w:val="896016640"/>
        <w:rPr>
          <w:rFonts w:eastAsia="Times New Roman"/>
        </w:rPr>
      </w:pPr>
      <w:r>
        <w:rPr>
          <w:rFonts w:ascii="IBM Plex Sans SemiBold" w:eastAsia="Times New Roman" w:hAnsi="IBM Plex Sans SemiBold"/>
          <w:b/>
          <w:bCs/>
          <w:color w:val="016676"/>
          <w:sz w:val="20"/>
          <w:szCs w:val="20"/>
        </w:rPr>
        <w:t>Exhibits</w:t>
      </w:r>
    </w:p>
    <w:p w:rsidR="00000000" w:rsidRDefault="00F5481A">
      <w:pPr>
        <w:ind w:firstLine="360"/>
        <w:divId w:val="567618282"/>
        <w:rPr>
          <w:rFonts w:eastAsia="Times New Roman"/>
        </w:rPr>
      </w:pPr>
      <w:r>
        <w:rPr>
          <w:rFonts w:ascii="IBM Plex Sans" w:eastAsia="Times New Roman" w:hAnsi="IBM Plex Sans"/>
          <w:color w:val="283030"/>
          <w:sz w:val="20"/>
          <w:szCs w:val="20"/>
        </w:rPr>
        <w:t>This Annual Report on Form </w:t>
      </w:r>
      <w:r>
        <w:rPr>
          <w:rFonts w:ascii="IBM Plex Sans" w:eastAsia="Times New Roman" w:hAnsi="IBM Plex Sans"/>
          <w:color w:val="283030"/>
          <w:sz w:val="20"/>
          <w:szCs w:val="20"/>
        </w:rPr>
        <w:t xml:space="preserve">10-K contains trademarks, service marks and registered marks of L3Harris Technologies, Inc. and its subsidiaries. All other trademarks are the property of their respective owners. </w:t>
      </w:r>
    </w:p>
    <w:p w:rsidR="00000000" w:rsidRDefault="00F5481A">
      <w:pPr>
        <w:ind w:firstLine="360"/>
        <w:divId w:val="1730035958"/>
        <w:rPr>
          <w:rFonts w:eastAsia="Times New Roman"/>
        </w:rPr>
      </w:pPr>
    </w:p>
    <w:p w:rsidR="00000000" w:rsidRDefault="00F5481A">
      <w:pPr>
        <w:rPr>
          <w:rFonts w:eastAsia="Times New Roman"/>
        </w:rPr>
      </w:pPr>
      <w:r>
        <w:rPr>
          <w:rFonts w:eastAsia="Times New Roman"/>
        </w:rPr>
        <w:pict>
          <v:rect id="_x0000_i1027" style="width:0;height:1.5pt" o:hralign="center" o:hrstd="t" o:hr="t" fillcolor="#a0a0a0" stroked="f"/>
        </w:pict>
      </w:r>
    </w:p>
    <w:p w:rsidR="00000000" w:rsidRDefault="00F5481A">
      <w:pPr>
        <w:ind w:firstLine="360"/>
        <w:divId w:val="921448562"/>
        <w:rPr>
          <w:rFonts w:eastAsia="Times New Roman"/>
        </w:rPr>
      </w:pPr>
    </w:p>
    <w:p w:rsidR="00000000" w:rsidRDefault="00F5481A">
      <w:pPr>
        <w:divId w:val="858130284"/>
        <w:rPr>
          <w:rFonts w:eastAsia="Times New Roman"/>
        </w:rPr>
      </w:pPr>
      <w:r>
        <w:rPr>
          <w:rFonts w:ascii="IBM Plex Sans SemiBold" w:eastAsia="Times New Roman" w:hAnsi="IBM Plex Sans SemiBold"/>
          <w:b/>
          <w:bCs/>
          <w:color w:val="016676"/>
          <w:sz w:val="20"/>
          <w:szCs w:val="20"/>
        </w:rPr>
        <w:t>Cautionary Statement Regarding For</w:t>
      </w:r>
      <w:r>
        <w:rPr>
          <w:rFonts w:ascii="IBM Plex Sans SemiBold" w:eastAsia="Times New Roman" w:hAnsi="IBM Plex Sans SemiBold"/>
          <w:b/>
          <w:bCs/>
          <w:color w:val="016676"/>
          <w:sz w:val="20"/>
          <w:szCs w:val="20"/>
        </w:rPr>
        <w:t>ward-Looking Statements</w:t>
      </w:r>
    </w:p>
    <w:p w:rsidR="00000000" w:rsidRDefault="00F5481A">
      <w:pPr>
        <w:ind w:firstLine="360"/>
        <w:divId w:val="1293973324"/>
        <w:rPr>
          <w:rFonts w:eastAsia="Times New Roman"/>
        </w:rPr>
      </w:pPr>
      <w:r>
        <w:rPr>
          <w:rFonts w:ascii="IBM Plex Sans" w:eastAsia="Times New Roman" w:hAnsi="IBM Plex Sans"/>
          <w:color w:val="283030"/>
          <w:sz w:val="20"/>
          <w:szCs w:val="20"/>
        </w:rPr>
        <w:t>This Annual Report on Form 10-K (this “Report”), including “Item 7. Management’s Discussion and Analysis of Financial Condition and Results of Operations,” contains forward-looking statements that involve risks and uncertainties, as</w:t>
      </w:r>
      <w:r>
        <w:rPr>
          <w:rFonts w:ascii="IBM Plex Sans" w:eastAsia="Times New Roman" w:hAnsi="IBM Plex Sans"/>
          <w:color w:val="283030"/>
          <w:sz w:val="20"/>
          <w:szCs w:val="20"/>
        </w:rPr>
        <w:t xml:space="preserve"> well as assumptions that may not materialize or prove correct, which could cause our results to differ materially from those expressed in or implied by such forward-looking statements. All statements other than statements of historical fact are statements</w:t>
      </w:r>
      <w:r>
        <w:rPr>
          <w:rFonts w:ascii="IBM Plex Sans" w:eastAsia="Times New Roman" w:hAnsi="IBM Plex Sans"/>
          <w:color w:val="283030"/>
          <w:sz w:val="20"/>
          <w:szCs w:val="20"/>
        </w:rPr>
        <w:t xml:space="preserve"> that could be deemed forward-looking statements, including, but not limited to, statements concerning: our plans, strategies and objectives for future operations; new products, systems, technologies, services or developments; future economic conditions, p</w:t>
      </w:r>
      <w:r>
        <w:rPr>
          <w:rFonts w:ascii="IBM Plex Sans" w:eastAsia="Times New Roman" w:hAnsi="IBM Plex Sans"/>
          <w:color w:val="283030"/>
          <w:sz w:val="20"/>
          <w:szCs w:val="20"/>
        </w:rPr>
        <w:t xml:space="preserve">erformance or outlook; future political conditions; the outcome of contingencies or litigation; environmental remediation cost estimates; the potential level of share repurchases, dividends or pension contributions; potential acquisitions or divestitures; </w:t>
      </w:r>
      <w:r>
        <w:rPr>
          <w:rFonts w:ascii="IBM Plex Sans" w:eastAsia="Times New Roman" w:hAnsi="IBM Plex Sans"/>
          <w:color w:val="283030"/>
          <w:sz w:val="20"/>
          <w:szCs w:val="20"/>
        </w:rPr>
        <w:lastRenderedPageBreak/>
        <w:t>the integration of our acquisitions; the value of contract awards and programs; expected revenue; expected cash flows or capital expenditures; our beliefs or expectations; activities, events or developments that we intend, expect, project, believe or antic</w:t>
      </w:r>
      <w:r>
        <w:rPr>
          <w:rFonts w:ascii="IBM Plex Sans" w:eastAsia="Times New Roman" w:hAnsi="IBM Plex Sans"/>
          <w:color w:val="283030"/>
          <w:sz w:val="20"/>
          <w:szCs w:val="20"/>
        </w:rPr>
        <w:t>ipate will or may occur in the future; and assumptions underlying any of the foregoing. Forward-looking statements may be identified by their use of forward-looking terminology, such as “believes,” “expects,” “may,” “could,” “should,” “would,” “will,” “int</w:t>
      </w:r>
      <w:r>
        <w:rPr>
          <w:rFonts w:ascii="IBM Plex Sans" w:eastAsia="Times New Roman" w:hAnsi="IBM Plex Sans"/>
          <w:color w:val="283030"/>
          <w:sz w:val="20"/>
          <w:szCs w:val="20"/>
        </w:rPr>
        <w:t>ends,” “plans,” “estimates,” “anticipates,” “projects” and similar words or expressions. You should not place undue reliance on these forward-looking statements, which reflect our management’s opinions only as of the date of filing of this Report and are n</w:t>
      </w:r>
      <w:r>
        <w:rPr>
          <w:rFonts w:ascii="IBM Plex Sans" w:eastAsia="Times New Roman" w:hAnsi="IBM Plex Sans"/>
          <w:color w:val="283030"/>
          <w:sz w:val="20"/>
          <w:szCs w:val="20"/>
        </w:rPr>
        <w:t>ot guarantees of future performance or actual results. Factors that might cause our results to differ materially from those expressed in or implied by these forward-looking statements, from our current expectations or projections or from our historical res</w:t>
      </w:r>
      <w:r>
        <w:rPr>
          <w:rFonts w:ascii="IBM Plex Sans" w:eastAsia="Times New Roman" w:hAnsi="IBM Plex Sans"/>
          <w:color w:val="283030"/>
          <w:sz w:val="20"/>
          <w:szCs w:val="20"/>
        </w:rPr>
        <w:t>ults include, but are not limited to, those discussed in “Item 1A. Risk Factors” of this Report. All forward-looking statements are qualified by, and should be read in conjunction with, those risk factors. Forward-looking statements are made in reliance on</w:t>
      </w:r>
      <w:r>
        <w:rPr>
          <w:rFonts w:ascii="IBM Plex Sans" w:eastAsia="Times New Roman" w:hAnsi="IBM Plex Sans"/>
          <w:color w:val="283030"/>
          <w:sz w:val="20"/>
          <w:szCs w:val="20"/>
        </w:rPr>
        <w:t xml:space="preserve"> the safe harbor provisions of Section 27A of the Securities Act of 1933, as amended (the “Securities Act”), and Section 21E of the Securities Exchange Act of 1934, as amended (the “Exchange Act”), and are made as of the date of filing of this Report, and </w:t>
      </w:r>
      <w:r>
        <w:rPr>
          <w:rFonts w:ascii="IBM Plex Sans" w:eastAsia="Times New Roman" w:hAnsi="IBM Plex Sans"/>
          <w:color w:val="283030"/>
          <w:sz w:val="20"/>
          <w:szCs w:val="20"/>
        </w:rPr>
        <w:t>we disclaim any intention or obligation, other than imposed by law, to update or revise any forward-looking statements, whether as a result of new information, future events or developments or otherwise, after the date of filing of this Report or, in the c</w:t>
      </w:r>
      <w:r>
        <w:rPr>
          <w:rFonts w:ascii="IBM Plex Sans" w:eastAsia="Times New Roman" w:hAnsi="IBM Plex Sans"/>
          <w:color w:val="283030"/>
          <w:sz w:val="20"/>
          <w:szCs w:val="20"/>
        </w:rPr>
        <w:t>ase of any document incorporated by reference, the date of that document.</w:t>
      </w:r>
    </w:p>
    <w:p w:rsidR="00000000" w:rsidRDefault="00F5481A">
      <w:pPr>
        <w:ind w:firstLine="360"/>
        <w:divId w:val="1147092209"/>
        <w:rPr>
          <w:rFonts w:eastAsia="Times New Roman"/>
        </w:rPr>
      </w:pPr>
      <w:r>
        <w:rPr>
          <w:rFonts w:ascii="IBM Plex Sans" w:eastAsia="Times New Roman" w:hAnsi="IBM Plex Sans"/>
          <w:color w:val="283030"/>
          <w:sz w:val="20"/>
          <w:szCs w:val="20"/>
        </w:rPr>
        <w:t xml:space="preserve">Amounts contained in this Report may not always add to totals due to rounding. </w:t>
      </w:r>
    </w:p>
    <w:p w:rsidR="00000000" w:rsidRDefault="00F5481A">
      <w:pPr>
        <w:ind w:firstLine="360"/>
        <w:jc w:val="center"/>
        <w:divId w:val="1958944504"/>
        <w:rPr>
          <w:rFonts w:eastAsia="Times New Roman"/>
        </w:rPr>
      </w:pPr>
      <w:r>
        <w:rPr>
          <w:rFonts w:ascii="IBM Plex Sans" w:eastAsia="Times New Roman" w:hAnsi="IBM Plex Sans"/>
          <w:b/>
          <w:bCs/>
          <w:color w:val="016676"/>
        </w:rPr>
        <w:t>PART I</w:t>
      </w:r>
    </w:p>
    <w:p w:rsidR="00000000" w:rsidRDefault="00F5481A">
      <w:pPr>
        <w:ind w:firstLine="360"/>
        <w:divId w:val="331760478"/>
        <w:rPr>
          <w:rFonts w:eastAsia="Times New Roman"/>
        </w:rPr>
      </w:pPr>
      <w:r>
        <w:rPr>
          <w:rFonts w:ascii="IBM Plex Sans" w:eastAsia="Times New Roman" w:hAnsi="IBM Plex Sans"/>
          <w:color w:val="283030"/>
          <w:sz w:val="18"/>
          <w:szCs w:val="18"/>
        </w:rPr>
        <w:t> </w:t>
      </w:r>
    </w:p>
    <w:tbl>
      <w:tblPr>
        <w:tblW w:w="1537" w:type="pct"/>
        <w:tblCellMar>
          <w:top w:w="15" w:type="dxa"/>
          <w:left w:w="15" w:type="dxa"/>
          <w:bottom w:w="15" w:type="dxa"/>
          <w:right w:w="15" w:type="dxa"/>
        </w:tblCellMar>
        <w:tblLook w:val="04A0" w:firstRow="1" w:lastRow="0" w:firstColumn="1" w:lastColumn="0" w:noHBand="0" w:noVBand="1"/>
      </w:tblPr>
      <w:tblGrid>
        <w:gridCol w:w="37"/>
        <w:gridCol w:w="893"/>
        <w:gridCol w:w="36"/>
        <w:gridCol w:w="37"/>
        <w:gridCol w:w="1514"/>
        <w:gridCol w:w="36"/>
      </w:tblGrid>
      <w:tr w:rsidR="00000000">
        <w:trPr>
          <w:divId w:val="415980837"/>
        </w:trPr>
        <w:tc>
          <w:tcPr>
            <w:tcW w:w="50" w:type="pct"/>
            <w:vAlign w:val="center"/>
            <w:hideMark/>
          </w:tcPr>
          <w:p w:rsidR="00000000" w:rsidRDefault="00F5481A">
            <w:pPr>
              <w:ind w:firstLine="360"/>
              <w:rPr>
                <w:rFonts w:eastAsia="Times New Roman"/>
              </w:rPr>
            </w:pPr>
          </w:p>
        </w:tc>
        <w:tc>
          <w:tcPr>
            <w:tcW w:w="1837"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3052"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415980837"/>
        </w:trPr>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016676"/>
                <w:sz w:val="20"/>
                <w:szCs w:val="20"/>
              </w:rPr>
              <w:t> ITEM 1.</w:t>
            </w:r>
          </w:p>
        </w:tc>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283030"/>
                <w:sz w:val="20"/>
                <w:szCs w:val="20"/>
              </w:rPr>
              <w:t>BUSINESS.</w:t>
            </w:r>
          </w:p>
        </w:tc>
      </w:tr>
    </w:tbl>
    <w:p w:rsidR="00000000" w:rsidRDefault="00F5481A">
      <w:pPr>
        <w:jc w:val="center"/>
        <w:divId w:val="2144812512"/>
        <w:rPr>
          <w:rFonts w:eastAsia="Times New Roman"/>
        </w:rPr>
      </w:pPr>
      <w:r>
        <w:rPr>
          <w:rFonts w:ascii="IBM Plex Sans SemiBold" w:eastAsia="Times New Roman" w:hAnsi="IBM Plex Sans SemiBold"/>
          <w:b/>
          <w:bCs/>
          <w:color w:val="016676"/>
          <w:sz w:val="20"/>
          <w:szCs w:val="20"/>
        </w:rPr>
        <w:t>L3HARRIS</w:t>
      </w:r>
    </w:p>
    <w:p w:rsidR="00000000" w:rsidRDefault="00F5481A">
      <w:pPr>
        <w:divId w:val="1414356565"/>
        <w:rPr>
          <w:rFonts w:eastAsia="Times New Roman"/>
        </w:rPr>
      </w:pPr>
      <w:r>
        <w:rPr>
          <w:rFonts w:ascii="IBM Plex Sans SemiBold" w:eastAsia="Times New Roman" w:hAnsi="IBM Plex Sans SemiBold"/>
          <w:b/>
          <w:bCs/>
          <w:color w:val="016676"/>
          <w:sz w:val="20"/>
          <w:szCs w:val="20"/>
        </w:rPr>
        <w:t>General</w:t>
      </w:r>
    </w:p>
    <w:p w:rsidR="00000000" w:rsidRDefault="00F5481A">
      <w:pPr>
        <w:ind w:firstLine="360"/>
        <w:divId w:val="1984697152"/>
        <w:rPr>
          <w:rFonts w:eastAsia="Times New Roman"/>
        </w:rPr>
      </w:pPr>
      <w:r>
        <w:rPr>
          <w:rFonts w:ascii="IBM Plex Sans" w:eastAsia="Times New Roman" w:hAnsi="IBM Plex Sans"/>
          <w:color w:val="283030"/>
          <w:sz w:val="20"/>
          <w:szCs w:val="20"/>
        </w:rPr>
        <w:t>L3Harris Technologies, Inc. is a Trusted Disruptor for the aerospace and defense industry. With customers’ mission-critical needs in mind, we deliver end-to-end technology solutions connecting the space, air, land, sea and cyber domains. We support governm</w:t>
      </w:r>
      <w:r>
        <w:rPr>
          <w:rFonts w:ascii="IBM Plex Sans" w:eastAsia="Times New Roman" w:hAnsi="IBM Plex Sans"/>
          <w:color w:val="283030"/>
          <w:sz w:val="20"/>
          <w:szCs w:val="20"/>
        </w:rPr>
        <w:t>ent and commercial customers in more than 100 countries, with our largest customers being various departments and agencies of the U.S. Government and their prime contractors. Our products and services have defense and civil government applications, as well</w:t>
      </w:r>
      <w:r>
        <w:rPr>
          <w:rFonts w:ascii="IBM Plex Sans" w:eastAsia="Times New Roman" w:hAnsi="IBM Plex Sans"/>
          <w:color w:val="283030"/>
          <w:sz w:val="20"/>
          <w:szCs w:val="20"/>
        </w:rPr>
        <w:t xml:space="preserve"> as commercial applications. </w:t>
      </w:r>
    </w:p>
    <w:p w:rsidR="00000000" w:rsidRDefault="00F5481A">
      <w:pPr>
        <w:ind w:firstLine="360"/>
        <w:divId w:val="425540277"/>
        <w:rPr>
          <w:rFonts w:eastAsia="Times New Roman"/>
        </w:rPr>
      </w:pPr>
      <w:r>
        <w:rPr>
          <w:rFonts w:ascii="IBM Plex Sans" w:eastAsia="Times New Roman" w:hAnsi="IBM Plex Sans"/>
          <w:color w:val="283030"/>
          <w:sz w:val="20"/>
          <w:szCs w:val="20"/>
        </w:rPr>
        <w:t>Our fiscal year ends on the Friday nearest December 31. Each of our fiscal years ended December 30, 2022 (“fiscal 2022”), December 31, 2021 (“fiscal 2021”) and January 1, 2021 (“fiscal 2020”) included 52 weeks. Unless the cont</w:t>
      </w:r>
      <w:r>
        <w:rPr>
          <w:rFonts w:ascii="IBM Plex Sans" w:eastAsia="Times New Roman" w:hAnsi="IBM Plex Sans"/>
          <w:color w:val="283030"/>
          <w:sz w:val="20"/>
          <w:szCs w:val="20"/>
        </w:rPr>
        <w:t xml:space="preserve">ext otherwise requires, the terms “we,” “our,” “us,” “Company” and “L3Harris” as used in this Report mean the combined company L3Harris Technologies, Inc. and its subsidiaries. </w:t>
      </w:r>
    </w:p>
    <w:p w:rsidR="00000000" w:rsidRDefault="00F5481A">
      <w:pPr>
        <w:ind w:firstLine="495"/>
        <w:divId w:val="1152067590"/>
        <w:rPr>
          <w:rFonts w:eastAsia="Times New Roman"/>
        </w:rPr>
      </w:pPr>
      <w:r>
        <w:rPr>
          <w:rFonts w:ascii="IBM Plex Sans" w:eastAsia="Times New Roman" w:hAnsi="IBM Plex Sans"/>
          <w:color w:val="283030"/>
          <w:sz w:val="20"/>
          <w:szCs w:val="20"/>
        </w:rPr>
        <w:t>We structure our operations primarily around the products, systems and service</w:t>
      </w:r>
      <w:r>
        <w:rPr>
          <w:rFonts w:ascii="IBM Plex Sans" w:eastAsia="Times New Roman" w:hAnsi="IBM Plex Sans"/>
          <w:color w:val="283030"/>
          <w:sz w:val="20"/>
          <w:szCs w:val="20"/>
        </w:rPr>
        <w:t>s we sell and the markets we serve, and we report the financial results of our continuing operations in three operating segments: Integrated Mission Systems (“IMS”); Space &amp; Airborne Systems (“SAS”); and Communication Systems (“CS”). Our operating segments</w:t>
      </w:r>
      <w:r>
        <w:rPr>
          <w:rFonts w:ascii="IBM Plex Sans" w:eastAsia="Times New Roman" w:hAnsi="IBM Plex Sans"/>
          <w:color w:val="283030"/>
          <w:sz w:val="20"/>
          <w:szCs w:val="20"/>
        </w:rPr>
        <w:t xml:space="preserve"> are also our reportable segments and are referred to as our business segments. See </w:t>
      </w:r>
      <w:r>
        <w:rPr>
          <w:rFonts w:ascii="IBM Plex Sans" w:eastAsia="Times New Roman" w:hAnsi="IBM Plex Sans"/>
          <w:i/>
          <w:iCs/>
          <w:color w:val="283030"/>
          <w:sz w:val="20"/>
          <w:szCs w:val="20"/>
        </w:rPr>
        <w:t>Note 24: Business Segments</w:t>
      </w:r>
      <w:r>
        <w:rPr>
          <w:rFonts w:ascii="IBM Plex Sans" w:eastAsia="Times New Roman" w:hAnsi="IBM Plex Sans"/>
          <w:color w:val="283030"/>
          <w:sz w:val="20"/>
          <w:szCs w:val="20"/>
        </w:rPr>
        <w:t xml:space="preserve"> in the Notes to Consolidated Financial Statements in this Report (the “Notes”) for further information regarding our business segments, including</w:t>
      </w:r>
      <w:r>
        <w:rPr>
          <w:rFonts w:ascii="IBM Plex Sans" w:eastAsia="Times New Roman" w:hAnsi="IBM Plex Sans"/>
          <w:color w:val="283030"/>
          <w:sz w:val="20"/>
          <w:szCs w:val="20"/>
        </w:rPr>
        <w:t xml:space="preserve"> how we define segment operating income or loss. </w:t>
      </w:r>
    </w:p>
    <w:p w:rsidR="00000000" w:rsidRDefault="00F5481A">
      <w:pPr>
        <w:ind w:firstLine="360"/>
        <w:divId w:val="189150371"/>
        <w:rPr>
          <w:rFonts w:eastAsia="Times New Roman"/>
        </w:rPr>
      </w:pPr>
      <w:r>
        <w:rPr>
          <w:rFonts w:ascii="IBM Plex Sans" w:eastAsia="Times New Roman" w:hAnsi="IBM Plex Sans"/>
          <w:color w:val="283030"/>
          <w:sz w:val="20"/>
          <w:szCs w:val="20"/>
        </w:rPr>
        <w:t>Effective January 1, 2022, we streamlined our business segments from four business segments to three business segments. As a result of the segment reorganization, the Aviation Systems segment was eliminated</w:t>
      </w:r>
      <w:r>
        <w:rPr>
          <w:rFonts w:ascii="IBM Plex Sans" w:eastAsia="Times New Roman" w:hAnsi="IBM Plex Sans"/>
          <w:color w:val="283030"/>
          <w:sz w:val="20"/>
          <w:szCs w:val="20"/>
        </w:rPr>
        <w:t xml:space="preserve"> as a business segment and the ongoing operations that had been part of the Aviation Systems segment were integrated into the remaining segments. Defense aviation, commercial aviation products and commercial pilot training </w:t>
      </w:r>
    </w:p>
    <w:p w:rsidR="00000000" w:rsidRDefault="00F5481A">
      <w:pPr>
        <w:ind w:firstLine="360"/>
        <w:jc w:val="center"/>
        <w:divId w:val="1884251133"/>
        <w:rPr>
          <w:rFonts w:eastAsia="Times New Roman"/>
        </w:rPr>
      </w:pPr>
      <w:r>
        <w:rPr>
          <w:rFonts w:ascii="Arial" w:eastAsia="Times New Roman" w:hAnsi="Arial" w:cs="Arial"/>
          <w:b/>
          <w:bCs/>
          <w:color w:val="016676"/>
        </w:rPr>
        <w:lastRenderedPageBreak/>
        <w:t>________________________________</w:t>
      </w:r>
      <w:r>
        <w:rPr>
          <w:rFonts w:ascii="Arial" w:eastAsia="Times New Roman" w:hAnsi="Arial" w:cs="Arial"/>
          <w:b/>
          <w:bCs/>
          <w:color w:val="016676"/>
        </w:rPr>
        <w:t>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1</w:t>
      </w:r>
    </w:p>
    <w:p w:rsidR="00000000" w:rsidRDefault="00F5481A">
      <w:pPr>
        <w:rPr>
          <w:rFonts w:eastAsia="Times New Roman"/>
        </w:rPr>
      </w:pPr>
      <w:r>
        <w:rPr>
          <w:rFonts w:eastAsia="Times New Roman"/>
        </w:rPr>
        <w:pict>
          <v:rect id="_x0000_i1028" style="width:0;height:1.5pt" o:hralign="center" o:hrstd="t" o:hr="t" fillcolor="#a0a0a0" stroked="f"/>
        </w:pict>
      </w:r>
    </w:p>
    <w:p w:rsidR="00000000" w:rsidRDefault="00F5481A">
      <w:pPr>
        <w:ind w:firstLine="360"/>
        <w:divId w:val="1510438813"/>
        <w:rPr>
          <w:rFonts w:eastAsia="Times New Roman"/>
        </w:rPr>
      </w:pPr>
    </w:p>
    <w:p w:rsidR="00000000" w:rsidRDefault="00F5481A">
      <w:pPr>
        <w:divId w:val="395511511"/>
        <w:rPr>
          <w:rFonts w:eastAsia="Times New Roman"/>
        </w:rPr>
      </w:pPr>
      <w:r>
        <w:rPr>
          <w:rFonts w:ascii="IBM Plex Sans" w:eastAsia="Times New Roman" w:hAnsi="IBM Plex Sans"/>
          <w:color w:val="283030"/>
          <w:sz w:val="20"/>
          <w:szCs w:val="20"/>
        </w:rPr>
        <w:t>operations were moved into the Integrated Mission Systems segment; and mission networks for air traffic management operations were moved into the Space &amp; Airborne Systems segment</w:t>
      </w:r>
      <w:r>
        <w:rPr>
          <w:rFonts w:ascii="IBM Plex Sans" w:eastAsia="Times New Roman" w:hAnsi="IBM Plex Sans"/>
          <w:color w:val="283030"/>
          <w:sz w:val="20"/>
          <w:szCs w:val="20"/>
        </w:rPr>
        <w:t xml:space="preserve">. </w:t>
      </w:r>
    </w:p>
    <w:p w:rsidR="00000000" w:rsidRDefault="00F5481A">
      <w:pPr>
        <w:divId w:val="1963151621"/>
        <w:rPr>
          <w:rFonts w:eastAsia="Times New Roman"/>
        </w:rPr>
      </w:pPr>
      <w:r>
        <w:rPr>
          <w:rFonts w:ascii="IBM Plex Sans SemiBold" w:eastAsia="Times New Roman" w:hAnsi="IBM Plex Sans SemiBold"/>
          <w:b/>
          <w:bCs/>
          <w:color w:val="016676"/>
          <w:sz w:val="20"/>
          <w:szCs w:val="20"/>
        </w:rPr>
        <w:t>Acquisition of Viasat, Inc’s Tactical Data Links (“TDL”) Product Line</w:t>
      </w:r>
    </w:p>
    <w:p w:rsidR="00000000" w:rsidRDefault="00F5481A">
      <w:pPr>
        <w:ind w:firstLine="360"/>
        <w:divId w:val="1217476865"/>
        <w:rPr>
          <w:rFonts w:eastAsia="Times New Roman"/>
        </w:rPr>
      </w:pPr>
      <w:r>
        <w:rPr>
          <w:rFonts w:ascii="IBM Plex Sans" w:eastAsia="Times New Roman" w:hAnsi="IBM Plex Sans"/>
          <w:color w:val="283030"/>
          <w:sz w:val="20"/>
          <w:szCs w:val="20"/>
        </w:rPr>
        <w:t>On October 3, 2022, we entered into a definitive agreement to acquire the TDL product line for a purchase price of approximately $1.96 billion, subject to customary adjustments. The a</w:t>
      </w:r>
      <w:r>
        <w:rPr>
          <w:rFonts w:ascii="IBM Plex Sans" w:eastAsia="Times New Roman" w:hAnsi="IBM Plex Sans"/>
          <w:color w:val="283030"/>
          <w:sz w:val="20"/>
          <w:szCs w:val="20"/>
        </w:rPr>
        <w:t>cquisition was completed on January 3, 2023. This acquisition will enhance our networking capability and provide immediate access to the ubiquitous Link 16 waveform, better positioning us to enable the integrated architecture goal of the U.S. Department of</w:t>
      </w:r>
      <w:r>
        <w:rPr>
          <w:rFonts w:ascii="IBM Plex Sans" w:eastAsia="Times New Roman" w:hAnsi="IBM Plex Sans"/>
          <w:color w:val="283030"/>
          <w:sz w:val="20"/>
          <w:szCs w:val="20"/>
        </w:rPr>
        <w:t xml:space="preserve"> Defense (“DoD”) in joint all-domain command and control (“JADC2”). The TDL product line will be reported within our CS segment in fiscal 2023. See </w:t>
      </w:r>
      <w:r>
        <w:rPr>
          <w:rFonts w:ascii="IBM Plex Sans" w:eastAsia="Times New Roman" w:hAnsi="IBM Plex Sans"/>
          <w:i/>
          <w:iCs/>
          <w:color w:val="283030"/>
          <w:sz w:val="20"/>
          <w:szCs w:val="20"/>
        </w:rPr>
        <w:t>Note 3: Acquisitions</w:t>
      </w:r>
      <w:r>
        <w:rPr>
          <w:rFonts w:ascii="IBM Plex Sans" w:eastAsia="Times New Roman" w:hAnsi="IBM Plex Sans"/>
          <w:color w:val="283030"/>
          <w:sz w:val="20"/>
          <w:szCs w:val="20"/>
        </w:rPr>
        <w:t xml:space="preserve"> and </w:t>
      </w:r>
      <w:r>
        <w:rPr>
          <w:rFonts w:ascii="IBM Plex Sans" w:eastAsia="Times New Roman" w:hAnsi="IBM Plex Sans"/>
          <w:i/>
          <w:iCs/>
          <w:color w:val="283030"/>
          <w:sz w:val="20"/>
          <w:szCs w:val="20"/>
        </w:rPr>
        <w:t>Note 26: Subsequent Events</w:t>
      </w:r>
      <w:r>
        <w:rPr>
          <w:rFonts w:ascii="IBM Plex Sans" w:eastAsia="Times New Roman" w:hAnsi="IBM Plex Sans"/>
          <w:color w:val="283030"/>
          <w:sz w:val="20"/>
          <w:szCs w:val="20"/>
        </w:rPr>
        <w:t xml:space="preserve"> in the Notes for further information. </w:t>
      </w:r>
    </w:p>
    <w:p w:rsidR="00000000" w:rsidRDefault="00F5481A">
      <w:pPr>
        <w:divId w:val="1981956653"/>
        <w:rPr>
          <w:rFonts w:eastAsia="Times New Roman"/>
        </w:rPr>
      </w:pPr>
      <w:r>
        <w:rPr>
          <w:rFonts w:ascii="IBM Plex Sans SemiBold" w:eastAsia="Times New Roman" w:hAnsi="IBM Plex Sans SemiBold"/>
          <w:b/>
          <w:bCs/>
          <w:color w:val="016676"/>
          <w:sz w:val="20"/>
          <w:szCs w:val="20"/>
        </w:rPr>
        <w:t>Pending Acquisiti</w:t>
      </w:r>
      <w:r>
        <w:rPr>
          <w:rFonts w:ascii="IBM Plex Sans SemiBold" w:eastAsia="Times New Roman" w:hAnsi="IBM Plex Sans SemiBold"/>
          <w:b/>
          <w:bCs/>
          <w:color w:val="016676"/>
          <w:sz w:val="20"/>
          <w:szCs w:val="20"/>
        </w:rPr>
        <w:t>on of Aerojet Rocketdyne Holdings, Inc. (“AJRD”)</w:t>
      </w:r>
    </w:p>
    <w:p w:rsidR="00000000" w:rsidRDefault="00F5481A">
      <w:pPr>
        <w:ind w:firstLine="360"/>
        <w:divId w:val="1682393728"/>
        <w:rPr>
          <w:rFonts w:eastAsia="Times New Roman"/>
        </w:rPr>
      </w:pPr>
      <w:r>
        <w:rPr>
          <w:rFonts w:ascii="IBM Plex Sans" w:eastAsia="Times New Roman" w:hAnsi="IBM Plex Sans"/>
          <w:color w:val="283030"/>
          <w:sz w:val="20"/>
          <w:szCs w:val="20"/>
        </w:rPr>
        <w:t>On December 17, 2022, we entered into a definitive agreement to acquire AJRD in an all-cash transaction of approximately $4.7 billion. AJRD is a provider of propulsion systems and energetics for tactical and</w:t>
      </w:r>
      <w:r>
        <w:rPr>
          <w:rFonts w:ascii="IBM Plex Sans" w:eastAsia="Times New Roman" w:hAnsi="IBM Plex Sans"/>
          <w:color w:val="283030"/>
          <w:sz w:val="20"/>
          <w:szCs w:val="20"/>
        </w:rPr>
        <w:t xml:space="preserve"> strategic missiles, missile defense systems and hypersonic applications. AJRD also provides liquid-fuel engines and the propulsion and power systems for in-space crew and cargo transports. </w:t>
      </w:r>
      <w:r>
        <w:rPr>
          <w:rFonts w:ascii="IBM Plex Sans" w:eastAsia="Times New Roman" w:hAnsi="IBM Plex Sans"/>
          <w:color w:val="172430"/>
          <w:sz w:val="20"/>
          <w:szCs w:val="20"/>
        </w:rPr>
        <w:t>Upon closure of the acquisition, we anticipate creating a new busi</w:t>
      </w:r>
      <w:r>
        <w:rPr>
          <w:rFonts w:ascii="IBM Plex Sans" w:eastAsia="Times New Roman" w:hAnsi="IBM Plex Sans"/>
          <w:color w:val="172430"/>
          <w:sz w:val="20"/>
          <w:szCs w:val="20"/>
        </w:rPr>
        <w:t xml:space="preserve">ness segment. The </w:t>
      </w:r>
      <w:r>
        <w:rPr>
          <w:rFonts w:ascii="IBM Plex Sans" w:eastAsia="Times New Roman" w:hAnsi="IBM Plex Sans"/>
          <w:color w:val="283030"/>
          <w:sz w:val="20"/>
          <w:szCs w:val="20"/>
        </w:rPr>
        <w:t>acquisition is expected to close in fiscal 2023, pending required regulatory approvals and clearances and other customary closing conditions. See “Item 1A - Risk Factors” in this Report for a discussion of risks related to the acquisition</w:t>
      </w:r>
      <w:r>
        <w:rPr>
          <w:rFonts w:ascii="IBM Plex Sans" w:eastAsia="Times New Roman" w:hAnsi="IBM Plex Sans"/>
          <w:color w:val="283030"/>
          <w:sz w:val="20"/>
          <w:szCs w:val="20"/>
        </w:rPr>
        <w:t xml:space="preserve">. Also, see </w:t>
      </w:r>
      <w:r>
        <w:rPr>
          <w:rFonts w:ascii="IBM Plex Sans" w:eastAsia="Times New Roman" w:hAnsi="IBM Plex Sans"/>
          <w:i/>
          <w:iCs/>
          <w:color w:val="283030"/>
          <w:sz w:val="20"/>
          <w:szCs w:val="20"/>
        </w:rPr>
        <w:t>Note 3: Acquisitions</w:t>
      </w:r>
      <w:r>
        <w:rPr>
          <w:rFonts w:ascii="IBM Plex Sans" w:eastAsia="Times New Roman" w:hAnsi="IBM Plex Sans"/>
          <w:color w:val="283030"/>
          <w:sz w:val="20"/>
          <w:szCs w:val="20"/>
        </w:rPr>
        <w:t xml:space="preserve"> in the Notes for further information.</w:t>
      </w:r>
    </w:p>
    <w:p w:rsidR="00000000" w:rsidRDefault="00F5481A">
      <w:pPr>
        <w:divId w:val="462383683"/>
        <w:rPr>
          <w:rFonts w:eastAsia="Times New Roman"/>
        </w:rPr>
      </w:pPr>
      <w:r>
        <w:rPr>
          <w:rFonts w:ascii="IBM Plex Sans SemiBold" w:eastAsia="Times New Roman" w:hAnsi="IBM Plex Sans SemiBold"/>
          <w:b/>
          <w:bCs/>
          <w:color w:val="016676"/>
          <w:sz w:val="20"/>
          <w:szCs w:val="20"/>
        </w:rPr>
        <w:t>Description of Business by Segment</w:t>
      </w:r>
    </w:p>
    <w:p w:rsidR="00000000" w:rsidRDefault="00F5481A">
      <w:pPr>
        <w:ind w:firstLine="360"/>
        <w:divId w:val="832066983"/>
        <w:rPr>
          <w:rFonts w:eastAsia="Times New Roman"/>
        </w:rPr>
      </w:pPr>
      <w:r>
        <w:rPr>
          <w:rFonts w:ascii="IBM Plex Sans" w:eastAsia="Times New Roman" w:hAnsi="IBM Plex Sans"/>
          <w:color w:val="283030"/>
          <w:sz w:val="20"/>
          <w:szCs w:val="20"/>
        </w:rPr>
        <w:t>Our business segments provide a wide-range of products, systems and services to various customers and are described below. For financial information w</w:t>
      </w:r>
      <w:r>
        <w:rPr>
          <w:rFonts w:ascii="IBM Plex Sans" w:eastAsia="Times New Roman" w:hAnsi="IBM Plex Sans"/>
          <w:color w:val="283030"/>
          <w:sz w:val="20"/>
          <w:szCs w:val="20"/>
        </w:rPr>
        <w:t xml:space="preserve">ith respect to our business segments, including revenue, operating income and total assets, and with respect to our operations outside the United States, see </w:t>
      </w:r>
      <w:r>
        <w:rPr>
          <w:rFonts w:ascii="IBM Plex Sans" w:eastAsia="Times New Roman" w:hAnsi="IBM Plex Sans"/>
          <w:i/>
          <w:iCs/>
          <w:color w:val="283030"/>
          <w:sz w:val="20"/>
          <w:szCs w:val="20"/>
        </w:rPr>
        <w:t>Note 24: Business Segments</w:t>
      </w:r>
      <w:r>
        <w:rPr>
          <w:rFonts w:ascii="IBM Plex Sans" w:eastAsia="Times New Roman" w:hAnsi="IBM Plex Sans"/>
          <w:color w:val="283030"/>
          <w:sz w:val="20"/>
          <w:szCs w:val="20"/>
        </w:rPr>
        <w:t xml:space="preserve"> in the Notes, and for additional information with respect to our busine</w:t>
      </w:r>
      <w:r>
        <w:rPr>
          <w:rFonts w:ascii="IBM Plex Sans" w:eastAsia="Times New Roman" w:hAnsi="IBM Plex Sans"/>
          <w:color w:val="283030"/>
          <w:sz w:val="20"/>
          <w:szCs w:val="20"/>
        </w:rPr>
        <w:t>ss segments, see “Discussion of Business Segment Results of Operations” in “Item 7. Management’s Discussion and Analysis of Financial Condition and Results of Operations” of this Report. For a discussion of certain risks affecting our business segments, in</w:t>
      </w:r>
      <w:r>
        <w:rPr>
          <w:rFonts w:ascii="IBM Plex Sans" w:eastAsia="Times New Roman" w:hAnsi="IBM Plex Sans"/>
          <w:color w:val="283030"/>
          <w:sz w:val="20"/>
          <w:szCs w:val="20"/>
        </w:rPr>
        <w:t xml:space="preserve">cluding risks relating to our U.S. Government contracts and subcontracts, see “Item 1. Business - Principal Customers; Government Contracts,” “Item 1A. Risk Factors” and “Item 3. Legal Proceedings” of this Report. </w:t>
      </w:r>
    </w:p>
    <w:p w:rsidR="00000000" w:rsidRDefault="00F5481A">
      <w:pPr>
        <w:divId w:val="422842833"/>
        <w:rPr>
          <w:rFonts w:eastAsia="Times New Roman"/>
        </w:rPr>
      </w:pPr>
      <w:r>
        <w:rPr>
          <w:rFonts w:ascii="IBM Plex Sans SemiBold" w:eastAsia="Times New Roman" w:hAnsi="IBM Plex Sans SemiBold"/>
          <w:b/>
          <w:bCs/>
          <w:i/>
          <w:iCs/>
          <w:color w:val="016676"/>
          <w:sz w:val="20"/>
          <w:szCs w:val="20"/>
        </w:rPr>
        <w:t>Integrated Mission Systems</w:t>
      </w:r>
    </w:p>
    <w:p w:rsidR="00000000" w:rsidRDefault="00F5481A">
      <w:pPr>
        <w:ind w:firstLine="360"/>
        <w:divId w:val="117067714"/>
        <w:rPr>
          <w:rFonts w:eastAsia="Times New Roman"/>
        </w:rPr>
      </w:pPr>
      <w:r>
        <w:rPr>
          <w:rFonts w:ascii="IBM Plex Sans" w:eastAsia="Times New Roman" w:hAnsi="IBM Plex Sans"/>
          <w:color w:val="283030"/>
          <w:sz w:val="20"/>
          <w:szCs w:val="20"/>
        </w:rPr>
        <w:t>IMS is a leadi</w:t>
      </w:r>
      <w:r>
        <w:rPr>
          <w:rFonts w:ascii="IBM Plex Sans" w:eastAsia="Times New Roman" w:hAnsi="IBM Plex Sans"/>
          <w:color w:val="283030"/>
          <w:sz w:val="20"/>
          <w:szCs w:val="20"/>
        </w:rPr>
        <w:t>ng developer and integrator of mission systems in the air, land and sea domains. We provide top tier capabilities in the design, development, integration, production and sustainment of intelligence, surveillance and reconnaissance (“ISR”), integrated marit</w:t>
      </w:r>
      <w:r>
        <w:rPr>
          <w:rFonts w:ascii="IBM Plex Sans" w:eastAsia="Times New Roman" w:hAnsi="IBM Plex Sans"/>
          <w:color w:val="283030"/>
          <w:sz w:val="20"/>
          <w:szCs w:val="20"/>
        </w:rPr>
        <w:t xml:space="preserve">ime communications systems and electro optical sensors for U.S. and allied military, civil government and commercial customers in our five business sectors: </w:t>
      </w:r>
    </w:p>
    <w:p w:rsidR="00000000" w:rsidRDefault="00F5481A">
      <w:pPr>
        <w:ind w:firstLine="360"/>
        <w:divId w:val="1387333540"/>
        <w:rPr>
          <w:rFonts w:eastAsia="Times New Roman"/>
        </w:rPr>
      </w:pPr>
      <w:r>
        <w:rPr>
          <w:rFonts w:ascii="IBM Plex Sans" w:eastAsia="Times New Roman" w:hAnsi="IBM Plex Sans"/>
          <w:i/>
          <w:iCs/>
          <w:color w:val="283030"/>
          <w:sz w:val="20"/>
          <w:szCs w:val="20"/>
        </w:rPr>
        <w:t>ISR:</w:t>
      </w:r>
      <w:r>
        <w:rPr>
          <w:rFonts w:ascii="IBM Plex Sans" w:eastAsia="Times New Roman" w:hAnsi="IBM Plex Sans"/>
          <w:color w:val="283030"/>
          <w:sz w:val="20"/>
          <w:szCs w:val="20"/>
        </w:rPr>
        <w:t xml:space="preserve"> We develop, integrate and maintain multi-mission ISR, signals intelligence and communication </w:t>
      </w:r>
      <w:r>
        <w:rPr>
          <w:rFonts w:ascii="IBM Plex Sans" w:eastAsia="Times New Roman" w:hAnsi="IBM Plex Sans"/>
          <w:color w:val="283030"/>
          <w:sz w:val="20"/>
          <w:szCs w:val="20"/>
        </w:rPr>
        <w:t>systems, including fleet management support services, sensor development, modifications and periodic depot maintenance for ISR and airborne missions. Significant customers include DoD and classified customers within the U.S. Government, U.K. Ministry of De</w:t>
      </w:r>
      <w:r>
        <w:rPr>
          <w:rFonts w:ascii="IBM Plex Sans" w:eastAsia="Times New Roman" w:hAnsi="IBM Plex Sans"/>
          <w:color w:val="283030"/>
          <w:sz w:val="20"/>
          <w:szCs w:val="20"/>
        </w:rPr>
        <w:t>fence, Royal Australian Air Force and other select foreign military services. For example, we provide premier signals intelligence and electronic warfare capability for the U.S. Air Force (“USAF”) Rivet Joint and Compass Call programs.</w:t>
      </w:r>
    </w:p>
    <w:p w:rsidR="00000000" w:rsidRDefault="00F5481A">
      <w:pPr>
        <w:ind w:firstLine="360"/>
        <w:divId w:val="365521930"/>
        <w:rPr>
          <w:rFonts w:eastAsia="Times New Roman"/>
        </w:rPr>
      </w:pPr>
      <w:r>
        <w:rPr>
          <w:rFonts w:ascii="IBM Plex Sans" w:eastAsia="Times New Roman" w:hAnsi="IBM Plex Sans"/>
          <w:i/>
          <w:iCs/>
          <w:color w:val="283030"/>
          <w:sz w:val="20"/>
          <w:szCs w:val="20"/>
        </w:rPr>
        <w:t>Maritime:</w:t>
      </w:r>
      <w:r>
        <w:rPr>
          <w:rFonts w:ascii="IBM Plex Sans" w:eastAsia="Times New Roman" w:hAnsi="IBM Plex Sans"/>
          <w:color w:val="283030"/>
          <w:sz w:val="20"/>
          <w:szCs w:val="20"/>
        </w:rPr>
        <w:t xml:space="preserve"> We develop</w:t>
      </w:r>
      <w:r>
        <w:rPr>
          <w:rFonts w:ascii="IBM Plex Sans" w:eastAsia="Times New Roman" w:hAnsi="IBM Plex Sans"/>
          <w:color w:val="283030"/>
          <w:sz w:val="20"/>
          <w:szCs w:val="20"/>
        </w:rPr>
        <w:t>, integrate, manufacture and sustain mission systems in the maritime domain, specializing in integrated command, control, computers, communications, cyber, intelligence, surveillance and reconnaissance systems (“C5ISR”), bridge control, operational securit</w:t>
      </w:r>
      <w:r>
        <w:rPr>
          <w:rFonts w:ascii="IBM Plex Sans" w:eastAsia="Times New Roman" w:hAnsi="IBM Plex Sans"/>
          <w:color w:val="283030"/>
          <w:sz w:val="20"/>
          <w:szCs w:val="20"/>
        </w:rPr>
        <w:t xml:space="preserve">y solutions, signals intelligence and multi-intelligence platforms; ship and </w:t>
      </w:r>
      <w:r>
        <w:rPr>
          <w:rFonts w:ascii="IBM Plex Sans" w:eastAsia="Times New Roman" w:hAnsi="IBM Plex Sans"/>
          <w:color w:val="283030"/>
          <w:sz w:val="20"/>
          <w:szCs w:val="20"/>
        </w:rPr>
        <w:lastRenderedPageBreak/>
        <w:t>submarine-sensors; autonomous, unmanned surface and undersea solutions; power and platform control systems and other electronic and electrical products and systems. Significant cu</w:t>
      </w:r>
      <w:r>
        <w:rPr>
          <w:rFonts w:ascii="IBM Plex Sans" w:eastAsia="Times New Roman" w:hAnsi="IBM Plex Sans"/>
          <w:color w:val="283030"/>
          <w:sz w:val="20"/>
          <w:szCs w:val="20"/>
        </w:rPr>
        <w:t xml:space="preserve">stomers include the U.S. Navy (“USN”), the U.S. Coast Guard, allied navies and other defense users. </w:t>
      </w:r>
    </w:p>
    <w:p w:rsidR="00000000" w:rsidRDefault="00F5481A">
      <w:pPr>
        <w:ind w:firstLine="360"/>
        <w:divId w:val="1829055939"/>
        <w:rPr>
          <w:rFonts w:eastAsia="Times New Roman"/>
        </w:rPr>
      </w:pPr>
      <w:r>
        <w:rPr>
          <w:rFonts w:ascii="IBM Plex Sans" w:eastAsia="Times New Roman" w:hAnsi="IBM Plex Sans"/>
          <w:i/>
          <w:iCs/>
          <w:color w:val="283030"/>
          <w:sz w:val="20"/>
          <w:szCs w:val="20"/>
        </w:rPr>
        <w:t>Electro Optical</w:t>
      </w:r>
      <w:r>
        <w:rPr>
          <w:rFonts w:ascii="IBM Plex Sans" w:eastAsia="Times New Roman" w:hAnsi="IBM Plex Sans"/>
          <w:color w:val="283030"/>
          <w:sz w:val="20"/>
          <w:szCs w:val="20"/>
        </w:rPr>
        <w:t>: We design and manufacture advanced electro-optical and infrared (“EO/IR”</w:t>
      </w:r>
      <w:r>
        <w:rPr>
          <w:rFonts w:ascii="IBM Plex Sans" w:eastAsia="Times New Roman" w:hAnsi="IBM Plex Sans"/>
          <w:color w:val="283030"/>
          <w:sz w:val="20"/>
          <w:szCs w:val="20"/>
        </w:rPr>
        <w:t>) sensors and surveillance and targeting systems and provide modernization and life extension maintenance upgrade and support services across all domains; Space communications and launch vehicle avionics; and military Global Positioning System (“GPS”) user</w:t>
      </w:r>
      <w:r>
        <w:rPr>
          <w:rFonts w:ascii="IBM Plex Sans" w:eastAsia="Times New Roman" w:hAnsi="IBM Plex Sans"/>
          <w:color w:val="283030"/>
          <w:sz w:val="20"/>
          <w:szCs w:val="20"/>
        </w:rPr>
        <w:t xml:space="preserve"> equipment and fuzing and ordnance systems. Significant customers include the U.S. Army, the USAF, USN, National Aeronautics and Space Administration, Canadian Department of National Defense, commercial space companies and more than 80 foreign militaries. </w:t>
      </w:r>
      <w:r>
        <w:rPr>
          <w:rFonts w:ascii="IBM Plex Sans" w:eastAsia="Times New Roman" w:hAnsi="IBM Plex Sans"/>
          <w:color w:val="283030"/>
          <w:sz w:val="20"/>
          <w:szCs w:val="20"/>
        </w:rPr>
        <w:t>For example, our Wescam system provides the MX and CMX family of turreted EO/IR solutions to airborne, maritime and ground domains for both commercial and military users around the globe.</w:t>
      </w:r>
    </w:p>
    <w:p w:rsidR="00000000" w:rsidRDefault="00F5481A">
      <w:pPr>
        <w:ind w:firstLine="360"/>
        <w:jc w:val="center"/>
        <w:divId w:val="442459436"/>
        <w:rPr>
          <w:rFonts w:eastAsia="Times New Roman"/>
        </w:rPr>
      </w:pPr>
      <w:r>
        <w:rPr>
          <w:rFonts w:ascii="Arial" w:eastAsia="Times New Roman" w:hAnsi="Arial" w:cs="Arial"/>
          <w:b/>
          <w:bCs/>
          <w:color w:val="016676"/>
        </w:rPr>
        <w:t>____________________________________________________________________</w:t>
      </w:r>
      <w:r>
        <w:rPr>
          <w:rFonts w:ascii="Arial" w:eastAsia="Times New Roman" w:hAnsi="Arial" w:cs="Arial"/>
          <w:b/>
          <w:bCs/>
          <w:color w:val="016676"/>
        </w:rPr>
        <w:t>_</w:t>
      </w:r>
      <w:r>
        <w:rPr>
          <w:rFonts w:ascii="Arial" w:eastAsia="Times New Roman" w:hAnsi="Arial" w:cs="Arial"/>
          <w:b/>
          <w:bCs/>
          <w:color w:val="233D6F"/>
        </w:rPr>
        <w:br/>
      </w:r>
      <w:r>
        <w:rPr>
          <w:rFonts w:ascii="IBM Plex Sans" w:eastAsia="Times New Roman" w:hAnsi="IBM Plex Sans"/>
          <w:color w:val="283030"/>
          <w:sz w:val="20"/>
          <w:szCs w:val="20"/>
        </w:rPr>
        <w:t>2</w:t>
      </w:r>
    </w:p>
    <w:p w:rsidR="00000000" w:rsidRDefault="00F5481A">
      <w:pPr>
        <w:rPr>
          <w:rFonts w:eastAsia="Times New Roman"/>
        </w:rPr>
      </w:pPr>
      <w:r>
        <w:rPr>
          <w:rFonts w:eastAsia="Times New Roman"/>
        </w:rPr>
        <w:pict>
          <v:rect id="_x0000_i1029" style="width:0;height:1.5pt" o:hralign="center" o:hrstd="t" o:hr="t" fillcolor="#a0a0a0" stroked="f"/>
        </w:pict>
      </w:r>
    </w:p>
    <w:p w:rsidR="00000000" w:rsidRDefault="00F5481A">
      <w:pPr>
        <w:ind w:firstLine="360"/>
        <w:divId w:val="202594121"/>
        <w:rPr>
          <w:rFonts w:eastAsia="Times New Roman"/>
        </w:rPr>
      </w:pPr>
    </w:p>
    <w:p w:rsidR="00000000" w:rsidRDefault="00F5481A">
      <w:pPr>
        <w:ind w:firstLine="360"/>
        <w:divId w:val="734008712"/>
        <w:rPr>
          <w:rFonts w:eastAsia="Times New Roman"/>
        </w:rPr>
      </w:pPr>
      <w:r>
        <w:rPr>
          <w:rFonts w:ascii="IBM Plex Sans" w:eastAsia="Times New Roman" w:hAnsi="IBM Plex Sans"/>
          <w:i/>
          <w:iCs/>
          <w:color w:val="283030"/>
          <w:sz w:val="20"/>
          <w:szCs w:val="20"/>
        </w:rPr>
        <w:t xml:space="preserve">Commercial Aviation Solutions: </w:t>
      </w:r>
      <w:r>
        <w:rPr>
          <w:rFonts w:ascii="IBM Plex Sans" w:eastAsia="Times New Roman" w:hAnsi="IBM Plex Sans"/>
          <w:color w:val="000000"/>
          <w:sz w:val="20"/>
          <w:szCs w:val="20"/>
        </w:rPr>
        <w:t xml:space="preserve">We design and manufacture advanced avionics for commercial, unmanned and military applications. </w:t>
      </w:r>
      <w:r>
        <w:rPr>
          <w:rFonts w:ascii="IBM Plex Sans" w:eastAsia="Times New Roman" w:hAnsi="IBM Plex Sans"/>
          <w:color w:val="283030"/>
          <w:sz w:val="20"/>
          <w:szCs w:val="20"/>
        </w:rPr>
        <w:t>We develop, install and maintain flight simulators and training systems that are custom</w:t>
      </w:r>
      <w:r>
        <w:rPr>
          <w:rFonts w:ascii="IBM Plex Sans" w:eastAsia="Times New Roman" w:hAnsi="IBM Plex Sans"/>
          <w:color w:val="283030"/>
          <w:sz w:val="20"/>
          <w:szCs w:val="20"/>
        </w:rPr>
        <w:t>ized to commercial aircraft. We also provide commercial pilot training services, including airline training for licensed pilots, academy programs for new cadets and flight school training for pilots. Significant customers include commercial airlines, aircr</w:t>
      </w:r>
      <w:r>
        <w:rPr>
          <w:rFonts w:ascii="IBM Plex Sans" w:eastAsia="Times New Roman" w:hAnsi="IBM Plex Sans"/>
          <w:color w:val="283030"/>
          <w:sz w:val="20"/>
          <w:szCs w:val="20"/>
        </w:rPr>
        <w:t>aft manufacturers and foreign military agencies.</w:t>
      </w:r>
    </w:p>
    <w:p w:rsidR="00000000" w:rsidRDefault="00F5481A">
      <w:pPr>
        <w:ind w:firstLine="360"/>
        <w:divId w:val="56973200"/>
        <w:rPr>
          <w:rFonts w:eastAsia="Times New Roman"/>
        </w:rPr>
      </w:pPr>
      <w:r>
        <w:rPr>
          <w:rFonts w:ascii="IBM Plex Sans" w:eastAsia="Times New Roman" w:hAnsi="IBM Plex Sans"/>
          <w:i/>
          <w:iCs/>
          <w:color w:val="283030"/>
          <w:sz w:val="20"/>
          <w:szCs w:val="20"/>
        </w:rPr>
        <w:t xml:space="preserve">Agile Development Group (“ADG”): </w:t>
      </w:r>
      <w:r>
        <w:rPr>
          <w:rFonts w:ascii="IBM Plex Sans" w:eastAsia="Times New Roman" w:hAnsi="IBM Plex Sans"/>
          <w:color w:val="000000"/>
          <w:sz w:val="20"/>
          <w:szCs w:val="20"/>
        </w:rPr>
        <w:t>ADG is an innovation accelerator and collaboration initiative established to rapidly address near-peer, national security threats. ADG is focused on advanced, front-end and r</w:t>
      </w:r>
      <w:r>
        <w:rPr>
          <w:rFonts w:ascii="IBM Plex Sans" w:eastAsia="Times New Roman" w:hAnsi="IBM Plex Sans"/>
          <w:color w:val="000000"/>
          <w:sz w:val="20"/>
          <w:szCs w:val="20"/>
        </w:rPr>
        <w:t xml:space="preserve">apid capability development, including advanced sensors, mission systems, unmanned systems and weapons systems, which align with customers’ critical needs and where the Company has existing differentiated technologies. </w:t>
      </w:r>
    </w:p>
    <w:p w:rsidR="00000000" w:rsidRDefault="00F5481A">
      <w:pPr>
        <w:ind w:firstLine="360"/>
        <w:divId w:val="1216507721"/>
        <w:rPr>
          <w:rFonts w:eastAsia="Times New Roman"/>
        </w:rPr>
      </w:pPr>
      <w:r>
        <w:rPr>
          <w:rFonts w:ascii="IBM Plex Sans" w:eastAsia="Times New Roman" w:hAnsi="IBM Plex Sans"/>
          <w:color w:val="283030"/>
          <w:sz w:val="20"/>
          <w:szCs w:val="20"/>
        </w:rPr>
        <w:t>Additional information regarding the</w:t>
      </w:r>
      <w:r>
        <w:rPr>
          <w:rFonts w:ascii="IBM Plex Sans" w:eastAsia="Times New Roman" w:hAnsi="IBM Plex Sans"/>
          <w:color w:val="283030"/>
          <w:sz w:val="20"/>
          <w:szCs w:val="20"/>
        </w:rPr>
        <w:t xml:space="preserve"> composition of IMS revenue of $6.9 billion for fiscal 2022 is as follows:</w:t>
      </w:r>
    </w:p>
    <w:p w:rsidR="00000000" w:rsidRDefault="00F5481A">
      <w:pPr>
        <w:spacing w:after="100"/>
        <w:ind w:firstLine="360"/>
        <w:divId w:val="1992444992"/>
        <w:rPr>
          <w:rFonts w:eastAsia="Times New Roman"/>
        </w:rPr>
      </w:pPr>
      <w:r>
        <w:rPr>
          <w:rFonts w:eastAsia="Times New Roman"/>
          <w:noProof/>
        </w:rPr>
        <w:drawing>
          <wp:inline distT="0" distB="0" distL="0" distR="0">
            <wp:extent cx="304800" cy="304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5481A">
      <w:pPr>
        <w:ind w:firstLine="360"/>
        <w:divId w:val="1611929827"/>
        <w:rPr>
          <w:rFonts w:eastAsia="Times New Roman"/>
        </w:rPr>
      </w:pPr>
      <w:r>
        <w:rPr>
          <w:rFonts w:ascii="IBM Plex Sans" w:eastAsia="Times New Roman" w:hAnsi="IBM Plex Sans"/>
          <w:color w:val="283030"/>
          <w:sz w:val="20"/>
          <w:szCs w:val="20"/>
        </w:rPr>
        <w:t>“U.S. Government Revenue” includes foreign military sales funded through the U.S. Government, whether directl</w:t>
      </w:r>
      <w:r>
        <w:rPr>
          <w:rFonts w:ascii="IBM Plex Sans" w:eastAsia="Times New Roman" w:hAnsi="IBM Plex Sans"/>
          <w:color w:val="283030"/>
          <w:sz w:val="20"/>
          <w:szCs w:val="20"/>
        </w:rPr>
        <w:t>y or through prime contractors. “International Revenue” refers to product and service revenue for which the end consumer is located outside the U.S.</w:t>
      </w:r>
    </w:p>
    <w:p w:rsidR="00000000" w:rsidRDefault="00F5481A">
      <w:pPr>
        <w:ind w:firstLine="360"/>
        <w:divId w:val="1296259641"/>
        <w:rPr>
          <w:rFonts w:eastAsia="Times New Roman"/>
        </w:rPr>
      </w:pPr>
      <w:r>
        <w:rPr>
          <w:rFonts w:ascii="IBM Plex Sans" w:eastAsia="Times New Roman" w:hAnsi="IBM Plex Sans"/>
          <w:color w:val="283030"/>
          <w:sz w:val="20"/>
          <w:szCs w:val="20"/>
        </w:rPr>
        <w:t>For a discussion of certain risks affecting this segment, including risks relating to our U.S. Government c</w:t>
      </w:r>
      <w:r>
        <w:rPr>
          <w:rFonts w:ascii="IBM Plex Sans" w:eastAsia="Times New Roman" w:hAnsi="IBM Plex Sans"/>
          <w:color w:val="283030"/>
          <w:sz w:val="20"/>
          <w:szCs w:val="20"/>
        </w:rPr>
        <w:t>ontracts and subcontracts, see “Item 1. Business - Principal Customers; Government Contracts,” “Item 1A. Risk Factors” and “Item 3. Legal Proceedings” of this Report.</w:t>
      </w:r>
    </w:p>
    <w:p w:rsidR="00000000" w:rsidRDefault="00F5481A">
      <w:pPr>
        <w:divId w:val="1413509818"/>
        <w:rPr>
          <w:rFonts w:eastAsia="Times New Roman"/>
        </w:rPr>
      </w:pPr>
      <w:r>
        <w:rPr>
          <w:rFonts w:ascii="IBM Plex Sans SemiBold" w:eastAsia="Times New Roman" w:hAnsi="IBM Plex Sans SemiBold"/>
          <w:b/>
          <w:bCs/>
          <w:i/>
          <w:iCs/>
          <w:color w:val="016676"/>
          <w:sz w:val="20"/>
          <w:szCs w:val="20"/>
        </w:rPr>
        <w:t xml:space="preserve">Space &amp; Airborne Systems </w:t>
      </w:r>
    </w:p>
    <w:p w:rsidR="00000000" w:rsidRDefault="00F5481A">
      <w:pPr>
        <w:ind w:firstLine="360"/>
        <w:divId w:val="79985779"/>
        <w:rPr>
          <w:rFonts w:eastAsia="Times New Roman"/>
        </w:rPr>
      </w:pPr>
      <w:r>
        <w:rPr>
          <w:rFonts w:ascii="IBM Plex Sans" w:eastAsia="Times New Roman" w:hAnsi="IBM Plex Sans"/>
          <w:color w:val="283030"/>
          <w:sz w:val="20"/>
          <w:szCs w:val="20"/>
        </w:rPr>
        <w:t xml:space="preserve">SAS is a leading provider of full mission solutions as a prime and subsystem integrator in the space, airborne and cyber domains. We provide top tier capabilities in the design, development, integration, production and sustainment of major weapons systems </w:t>
      </w:r>
      <w:r>
        <w:rPr>
          <w:rFonts w:ascii="IBM Plex Sans" w:eastAsia="Times New Roman" w:hAnsi="IBM Plex Sans"/>
          <w:color w:val="283030"/>
          <w:sz w:val="20"/>
          <w:szCs w:val="20"/>
        </w:rPr>
        <w:t xml:space="preserve">for national security, civil government, commercial and international customers in our five business sectors: </w:t>
      </w:r>
    </w:p>
    <w:p w:rsidR="00000000" w:rsidRDefault="00F5481A">
      <w:pPr>
        <w:ind w:firstLine="360"/>
        <w:divId w:val="1985548613"/>
        <w:rPr>
          <w:rFonts w:eastAsia="Times New Roman"/>
        </w:rPr>
      </w:pPr>
      <w:r>
        <w:rPr>
          <w:rFonts w:ascii="IBM Plex Sans" w:eastAsia="Times New Roman" w:hAnsi="IBM Plex Sans"/>
          <w:i/>
          <w:iCs/>
          <w:color w:val="283030"/>
          <w:sz w:val="20"/>
          <w:szCs w:val="20"/>
        </w:rPr>
        <w:t>Space Systems:</w:t>
      </w:r>
      <w:r>
        <w:rPr>
          <w:rFonts w:ascii="IBM Plex Sans" w:eastAsia="Times New Roman" w:hAnsi="IBM Plex Sans"/>
          <w:color w:val="283030"/>
          <w:sz w:val="20"/>
          <w:szCs w:val="20"/>
        </w:rPr>
        <w:t xml:space="preserve"> We provide end-to-end space and ground-based solutions in support of intelligence, GPS, space exploration, weather and missile def</w:t>
      </w:r>
      <w:r>
        <w:rPr>
          <w:rFonts w:ascii="IBM Plex Sans" w:eastAsia="Times New Roman" w:hAnsi="IBM Plex Sans"/>
          <w:color w:val="283030"/>
          <w:sz w:val="20"/>
          <w:szCs w:val="20"/>
        </w:rPr>
        <w:t>ense missions. We are a prime contractor on complete satellite systems, providing advanced payloads and integrated ground systems. Our products, systems and services primarily support the U.S. Space Force, the USAF, the U.S. Intelligence Community, U.S. ci</w:t>
      </w:r>
      <w:r>
        <w:rPr>
          <w:rFonts w:ascii="IBM Plex Sans" w:eastAsia="Times New Roman" w:hAnsi="IBM Plex Sans"/>
          <w:color w:val="283030"/>
          <w:sz w:val="20"/>
          <w:szCs w:val="20"/>
        </w:rPr>
        <w:t>vil agencies and other national security space prime customers. For example, we are the prime contractor on Space Development Agency (“SDA”) Tracking layer Tranche 0 and 1, building a constellation of space vehicles to provide persistent global missile war</w:t>
      </w:r>
      <w:r>
        <w:rPr>
          <w:rFonts w:ascii="IBM Plex Sans" w:eastAsia="Times New Roman" w:hAnsi="IBM Plex Sans"/>
          <w:color w:val="283030"/>
          <w:sz w:val="20"/>
          <w:szCs w:val="20"/>
        </w:rPr>
        <w:t>ning and tracking to national defense authorities.</w:t>
      </w:r>
    </w:p>
    <w:p w:rsidR="00000000" w:rsidRDefault="00F5481A">
      <w:pPr>
        <w:ind w:firstLine="360"/>
        <w:divId w:val="345060744"/>
        <w:rPr>
          <w:rFonts w:eastAsia="Times New Roman"/>
        </w:rPr>
      </w:pPr>
      <w:r>
        <w:rPr>
          <w:rFonts w:ascii="IBM Plex Sans" w:eastAsia="Times New Roman" w:hAnsi="IBM Plex Sans"/>
          <w:i/>
          <w:iCs/>
          <w:color w:val="283030"/>
          <w:sz w:val="20"/>
          <w:szCs w:val="20"/>
        </w:rPr>
        <w:t>Intel &amp; Cyber:</w:t>
      </w:r>
      <w:r>
        <w:rPr>
          <w:rFonts w:ascii="IBM Plex Sans" w:eastAsia="Times New Roman" w:hAnsi="IBM Plex Sans"/>
          <w:color w:val="283030"/>
          <w:sz w:val="20"/>
          <w:szCs w:val="20"/>
        </w:rPr>
        <w:t xml:space="preserve"> We provide situational awareness, advanced wireless and cyber solutions for classified intelligence and defense customers. </w:t>
      </w:r>
    </w:p>
    <w:p w:rsidR="00000000" w:rsidRDefault="00F5481A">
      <w:pPr>
        <w:ind w:firstLine="360"/>
        <w:divId w:val="886449058"/>
        <w:rPr>
          <w:rFonts w:eastAsia="Times New Roman"/>
        </w:rPr>
      </w:pPr>
      <w:r>
        <w:rPr>
          <w:rFonts w:ascii="IBM Plex Sans" w:eastAsia="Times New Roman" w:hAnsi="IBM Plex Sans"/>
          <w:i/>
          <w:iCs/>
          <w:color w:val="283030"/>
          <w:sz w:val="20"/>
          <w:szCs w:val="20"/>
        </w:rPr>
        <w:t xml:space="preserve">Mission Avionics: </w:t>
      </w:r>
      <w:r>
        <w:rPr>
          <w:rFonts w:ascii="IBM Plex Sans" w:eastAsia="Times New Roman" w:hAnsi="IBM Plex Sans"/>
          <w:color w:val="283030"/>
          <w:sz w:val="20"/>
          <w:szCs w:val="20"/>
        </w:rPr>
        <w:t>We provide military airborne mission system proc</w:t>
      </w:r>
      <w:r>
        <w:rPr>
          <w:rFonts w:ascii="IBM Plex Sans" w:eastAsia="Times New Roman" w:hAnsi="IBM Plex Sans"/>
          <w:color w:val="283030"/>
          <w:sz w:val="20"/>
          <w:szCs w:val="20"/>
        </w:rPr>
        <w:t xml:space="preserve">essing computers, avionics systems and displays, hardened electronics, weapons release systems, data links and antennas supporting fixed wing and rotary platforms, including F-35, F/A-18 and C-130. </w:t>
      </w:r>
    </w:p>
    <w:p w:rsidR="00000000" w:rsidRDefault="00F5481A">
      <w:pPr>
        <w:ind w:firstLine="360"/>
        <w:divId w:val="2106338969"/>
        <w:rPr>
          <w:rFonts w:eastAsia="Times New Roman"/>
        </w:rPr>
      </w:pPr>
      <w:r>
        <w:rPr>
          <w:rFonts w:ascii="IBM Plex Sans" w:eastAsia="Times New Roman" w:hAnsi="IBM Plex Sans"/>
          <w:i/>
          <w:iCs/>
          <w:color w:val="283030"/>
          <w:sz w:val="20"/>
          <w:szCs w:val="20"/>
        </w:rPr>
        <w:t xml:space="preserve">Electronic Warfare: </w:t>
      </w:r>
      <w:r>
        <w:rPr>
          <w:rFonts w:ascii="IBM Plex Sans" w:eastAsia="Times New Roman" w:hAnsi="IBM Plex Sans"/>
          <w:color w:val="283030"/>
          <w:sz w:val="20"/>
          <w:szCs w:val="20"/>
        </w:rPr>
        <w:t>We provide full suite electronic warf</w:t>
      </w:r>
      <w:r>
        <w:rPr>
          <w:rFonts w:ascii="IBM Plex Sans" w:eastAsia="Times New Roman" w:hAnsi="IBM Plex Sans"/>
          <w:color w:val="283030"/>
          <w:sz w:val="20"/>
          <w:szCs w:val="20"/>
        </w:rPr>
        <w:t>are capabilities including multi-spectral situational awareness, threat warning and countermeasures capabilities for airborne and maritime platforms, including F/A-18, F-16, and B-52.</w:t>
      </w:r>
    </w:p>
    <w:p w:rsidR="00000000" w:rsidRDefault="00F5481A">
      <w:pPr>
        <w:ind w:firstLine="360"/>
        <w:divId w:val="801462349"/>
        <w:rPr>
          <w:rFonts w:eastAsia="Times New Roman"/>
        </w:rPr>
      </w:pPr>
      <w:r>
        <w:rPr>
          <w:rFonts w:ascii="IBM Plex Sans" w:eastAsia="Times New Roman" w:hAnsi="IBM Plex Sans"/>
          <w:i/>
          <w:iCs/>
          <w:color w:val="283030"/>
          <w:sz w:val="20"/>
          <w:szCs w:val="20"/>
        </w:rPr>
        <w:t>Mission Networks:</w:t>
      </w:r>
      <w:r>
        <w:rPr>
          <w:rFonts w:ascii="IBM Plex Sans" w:eastAsia="Times New Roman" w:hAnsi="IBM Plex Sans"/>
          <w:color w:val="283030"/>
          <w:sz w:val="20"/>
          <w:szCs w:val="20"/>
        </w:rPr>
        <w:t xml:space="preserve"> We provide mission-critical infrastructure communicati</w:t>
      </w:r>
      <w:r>
        <w:rPr>
          <w:rFonts w:ascii="IBM Plex Sans" w:eastAsia="Times New Roman" w:hAnsi="IBM Plex Sans"/>
          <w:color w:val="283030"/>
          <w:sz w:val="20"/>
          <w:szCs w:val="20"/>
        </w:rPr>
        <w:t>ons and networking solutions for air traffic management for the U.S. Federal Aviation Administration and international airspace national service providers.</w:t>
      </w:r>
    </w:p>
    <w:p w:rsidR="00000000" w:rsidRDefault="00F5481A">
      <w:pPr>
        <w:ind w:firstLine="360"/>
        <w:divId w:val="406197787"/>
        <w:rPr>
          <w:rFonts w:eastAsia="Times New Roman"/>
        </w:rPr>
      </w:pPr>
      <w:r>
        <w:rPr>
          <w:rFonts w:ascii="IBM Plex Sans" w:eastAsia="Times New Roman" w:hAnsi="IBM Plex Sans"/>
          <w:color w:val="283030"/>
          <w:sz w:val="20"/>
          <w:szCs w:val="20"/>
        </w:rPr>
        <w:t>Additional information regarding the composition of SAS revenue of $6.1 billion for fiscal 2022 is a</w:t>
      </w:r>
      <w:r>
        <w:rPr>
          <w:rFonts w:ascii="IBM Plex Sans" w:eastAsia="Times New Roman" w:hAnsi="IBM Plex Sans"/>
          <w:color w:val="283030"/>
          <w:sz w:val="20"/>
          <w:szCs w:val="20"/>
        </w:rPr>
        <w:t>s follows:</w:t>
      </w:r>
    </w:p>
    <w:p w:rsidR="00000000" w:rsidRDefault="00F5481A">
      <w:pPr>
        <w:ind w:firstLine="360"/>
        <w:jc w:val="center"/>
        <w:divId w:val="190341070"/>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3</w:t>
      </w:r>
    </w:p>
    <w:p w:rsidR="00000000" w:rsidRDefault="00F5481A">
      <w:pPr>
        <w:rPr>
          <w:rFonts w:eastAsia="Times New Roman"/>
        </w:rPr>
      </w:pPr>
      <w:r>
        <w:rPr>
          <w:rFonts w:eastAsia="Times New Roman"/>
        </w:rPr>
        <w:pict>
          <v:rect id="_x0000_i1031" style="width:0;height:1.5pt" o:hralign="center" o:hrstd="t" o:hr="t" fillcolor="#a0a0a0" stroked="f"/>
        </w:pict>
      </w:r>
    </w:p>
    <w:p w:rsidR="00000000" w:rsidRDefault="00F5481A">
      <w:pPr>
        <w:ind w:firstLine="360"/>
        <w:divId w:val="76365849"/>
        <w:rPr>
          <w:rFonts w:eastAsia="Times New Roman"/>
        </w:rPr>
      </w:pPr>
    </w:p>
    <w:p w:rsidR="00000000" w:rsidRDefault="00F5481A">
      <w:pPr>
        <w:spacing w:after="100"/>
        <w:ind w:firstLine="360"/>
        <w:divId w:val="551618630"/>
        <w:rPr>
          <w:rFonts w:eastAsia="Times New Roman"/>
        </w:rPr>
      </w:pPr>
      <w:r>
        <w:rPr>
          <w:rFonts w:eastAsia="Times New Roman"/>
          <w:noProof/>
        </w:rPr>
        <w:drawing>
          <wp:inline distT="0" distB="0" distL="0" distR="0">
            <wp:extent cx="30480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5481A">
      <w:pPr>
        <w:ind w:firstLine="360"/>
        <w:divId w:val="1623998353"/>
        <w:rPr>
          <w:rFonts w:eastAsia="Times New Roman"/>
        </w:rPr>
      </w:pPr>
      <w:r>
        <w:rPr>
          <w:rFonts w:ascii="IBM Plex Sans" w:eastAsia="Times New Roman" w:hAnsi="IBM Plex Sans"/>
          <w:color w:val="283030"/>
          <w:sz w:val="20"/>
          <w:szCs w:val="20"/>
        </w:rPr>
        <w:t>For a discussion of certain risks affecting this segment, including risks relating to our U.S. Government contracts and subcontracts, see “Item 1. Business - Principal Customers; Government Contracts,” “Item 1A. Risk Factors” and “Item 3. Lega</w:t>
      </w:r>
      <w:r>
        <w:rPr>
          <w:rFonts w:ascii="IBM Plex Sans" w:eastAsia="Times New Roman" w:hAnsi="IBM Plex Sans"/>
          <w:color w:val="283030"/>
          <w:sz w:val="20"/>
          <w:szCs w:val="20"/>
        </w:rPr>
        <w:t>l Proceedings” of this Report.</w:t>
      </w:r>
    </w:p>
    <w:p w:rsidR="00000000" w:rsidRDefault="00F5481A">
      <w:pPr>
        <w:divId w:val="802427031"/>
        <w:rPr>
          <w:rFonts w:eastAsia="Times New Roman"/>
        </w:rPr>
      </w:pPr>
      <w:r>
        <w:rPr>
          <w:rFonts w:ascii="IBM Plex Sans SemiBold" w:eastAsia="Times New Roman" w:hAnsi="IBM Plex Sans SemiBold"/>
          <w:b/>
          <w:bCs/>
          <w:i/>
          <w:iCs/>
          <w:color w:val="016676"/>
          <w:sz w:val="20"/>
          <w:szCs w:val="20"/>
        </w:rPr>
        <w:t xml:space="preserve">Communication Systems </w:t>
      </w:r>
    </w:p>
    <w:p w:rsidR="00000000" w:rsidRDefault="00F5481A">
      <w:pPr>
        <w:ind w:firstLine="360"/>
        <w:divId w:val="23990586"/>
        <w:rPr>
          <w:rFonts w:eastAsia="Times New Roman"/>
        </w:rPr>
      </w:pPr>
      <w:r>
        <w:rPr>
          <w:rFonts w:ascii="IBM Plex Sans" w:eastAsia="Times New Roman" w:hAnsi="IBM Plex Sans"/>
          <w:color w:val="283030"/>
          <w:sz w:val="20"/>
          <w:szCs w:val="20"/>
        </w:rPr>
        <w:t>CS is focused on enabling warfighters in the multi-domain environment with the resources, capabilities and agility to support today’s mission and innovate solutions for the future. We are a leading provider of communications solutions for DoD, internationa</w:t>
      </w:r>
      <w:r>
        <w:rPr>
          <w:rFonts w:ascii="IBM Plex Sans" w:eastAsia="Times New Roman" w:hAnsi="IBM Plex Sans"/>
          <w:color w:val="283030"/>
          <w:sz w:val="20"/>
          <w:szCs w:val="20"/>
        </w:rPr>
        <w:t xml:space="preserve">l customers, Federal and state agencies and commercial customers in our five business sectors: </w:t>
      </w:r>
    </w:p>
    <w:p w:rsidR="00000000" w:rsidRDefault="00F5481A">
      <w:pPr>
        <w:ind w:firstLine="360"/>
        <w:divId w:val="1898709817"/>
        <w:rPr>
          <w:rFonts w:eastAsia="Times New Roman"/>
        </w:rPr>
      </w:pPr>
      <w:r>
        <w:rPr>
          <w:rFonts w:ascii="IBM Plex Sans" w:eastAsia="Times New Roman" w:hAnsi="IBM Plex Sans"/>
          <w:i/>
          <w:iCs/>
          <w:color w:val="283030"/>
          <w:sz w:val="20"/>
          <w:szCs w:val="20"/>
        </w:rPr>
        <w:t>Tactical Communications:</w:t>
      </w:r>
      <w:r>
        <w:rPr>
          <w:rFonts w:ascii="IBM Plex Sans" w:eastAsia="Times New Roman" w:hAnsi="IBM Plex Sans"/>
          <w:color w:val="283030"/>
          <w:sz w:val="20"/>
          <w:szCs w:val="20"/>
        </w:rPr>
        <w:t xml:space="preserve"> We provide tactical radios to the U.S. Army, the USAF, the U.S. Marine Corps, the USN, the U.S. Special Operations Command and internat</w:t>
      </w:r>
      <w:r>
        <w:rPr>
          <w:rFonts w:ascii="IBM Plex Sans" w:eastAsia="Times New Roman" w:hAnsi="IBM Plex Sans"/>
          <w:color w:val="283030"/>
          <w:sz w:val="20"/>
          <w:szCs w:val="20"/>
        </w:rPr>
        <w:t>ional defense customers, including developing and manufacturing software-defined radios for key DoD network modernization programs and satellite communication (“SATCOM”) terminals and battlefield management networks for U.S. and international defense custo</w:t>
      </w:r>
      <w:r>
        <w:rPr>
          <w:rFonts w:ascii="IBM Plex Sans" w:eastAsia="Times New Roman" w:hAnsi="IBM Plex Sans"/>
          <w:color w:val="283030"/>
          <w:sz w:val="20"/>
          <w:szCs w:val="20"/>
        </w:rPr>
        <w:t>mers. For example, we are providing Handheld, Manpack and Small Form-Fit radios to the U.S. Army.</w:t>
      </w:r>
    </w:p>
    <w:p w:rsidR="00000000" w:rsidRDefault="00F5481A">
      <w:pPr>
        <w:ind w:firstLine="360"/>
        <w:divId w:val="479076868"/>
        <w:rPr>
          <w:rFonts w:eastAsia="Times New Roman"/>
        </w:rPr>
      </w:pPr>
      <w:r>
        <w:rPr>
          <w:rFonts w:ascii="IBM Plex Sans" w:eastAsia="Times New Roman" w:hAnsi="IBM Plex Sans"/>
          <w:color w:val="283030"/>
          <w:sz w:val="20"/>
          <w:szCs w:val="20"/>
        </w:rPr>
        <w:t xml:space="preserve">We operate in this market principally on a commercial market-driven business model. </w:t>
      </w:r>
    </w:p>
    <w:p w:rsidR="00000000" w:rsidRDefault="00F5481A">
      <w:pPr>
        <w:ind w:firstLine="360"/>
        <w:divId w:val="305358412"/>
        <w:rPr>
          <w:rFonts w:eastAsia="Times New Roman"/>
        </w:rPr>
      </w:pPr>
      <w:r>
        <w:rPr>
          <w:rFonts w:ascii="IBM Plex Sans" w:eastAsia="Times New Roman" w:hAnsi="IBM Plex Sans"/>
          <w:i/>
          <w:iCs/>
          <w:color w:val="283030"/>
          <w:sz w:val="20"/>
          <w:szCs w:val="20"/>
        </w:rPr>
        <w:t xml:space="preserve">Broadband Communications: </w:t>
      </w:r>
      <w:r>
        <w:rPr>
          <w:rFonts w:ascii="IBM Plex Sans" w:eastAsia="Times New Roman" w:hAnsi="IBM Plex Sans"/>
          <w:color w:val="283030"/>
          <w:sz w:val="20"/>
          <w:szCs w:val="20"/>
        </w:rPr>
        <w:t>We provide resilient and trusted mission critic</w:t>
      </w:r>
      <w:r>
        <w:rPr>
          <w:rFonts w:ascii="IBM Plex Sans" w:eastAsia="Times New Roman" w:hAnsi="IBM Plex Sans"/>
          <w:color w:val="283030"/>
          <w:sz w:val="20"/>
          <w:szCs w:val="20"/>
        </w:rPr>
        <w:t>al networks across all domains, providing connectivity and interoperability to support ISR, tactical operations, networking and electronic attack under any operational scenario in the world.</w:t>
      </w:r>
    </w:p>
    <w:p w:rsidR="00000000" w:rsidRDefault="00F5481A">
      <w:pPr>
        <w:ind w:firstLine="360"/>
        <w:divId w:val="311640748"/>
        <w:rPr>
          <w:rFonts w:eastAsia="Times New Roman"/>
        </w:rPr>
      </w:pPr>
      <w:r>
        <w:rPr>
          <w:rFonts w:ascii="IBM Plex Sans" w:eastAsia="Times New Roman" w:hAnsi="IBM Plex Sans"/>
          <w:i/>
          <w:iCs/>
          <w:color w:val="283030"/>
          <w:sz w:val="20"/>
          <w:szCs w:val="20"/>
        </w:rPr>
        <w:t>Integrated Visions Solutions</w:t>
      </w:r>
      <w:r>
        <w:rPr>
          <w:rFonts w:ascii="IBM Plex Sans" w:eastAsia="Times New Roman" w:hAnsi="IBM Plex Sans"/>
          <w:color w:val="283030"/>
          <w:sz w:val="20"/>
          <w:szCs w:val="20"/>
        </w:rPr>
        <w:t xml:space="preserve">: We design, manufacture and sustain </w:t>
      </w:r>
      <w:r>
        <w:rPr>
          <w:rFonts w:ascii="IBM Plex Sans" w:eastAsia="Times New Roman" w:hAnsi="IBM Plex Sans"/>
          <w:color w:val="283030"/>
          <w:sz w:val="20"/>
          <w:szCs w:val="20"/>
        </w:rPr>
        <w:t>a full suite of helmet-mounted integrated night vision goggles and heads up displays along with Clip-on Weapon Sights and weapon-mounted aiming lasers and range finders.</w:t>
      </w:r>
    </w:p>
    <w:p w:rsidR="00000000" w:rsidRDefault="00F5481A">
      <w:pPr>
        <w:ind w:firstLine="360"/>
        <w:divId w:val="1427113479"/>
        <w:rPr>
          <w:rFonts w:eastAsia="Times New Roman"/>
        </w:rPr>
      </w:pPr>
      <w:r>
        <w:rPr>
          <w:rFonts w:ascii="IBM Plex Sans" w:eastAsia="Times New Roman" w:hAnsi="IBM Plex Sans"/>
          <w:i/>
          <w:iCs/>
          <w:color w:val="283030"/>
          <w:sz w:val="20"/>
          <w:szCs w:val="20"/>
        </w:rPr>
        <w:t>Public Safety:</w:t>
      </w:r>
      <w:r>
        <w:rPr>
          <w:rFonts w:ascii="IBM Plex Sans" w:eastAsia="Times New Roman" w:hAnsi="IBM Plex Sans"/>
          <w:color w:val="283030"/>
          <w:sz w:val="20"/>
          <w:szCs w:val="20"/>
        </w:rPr>
        <w:t xml:space="preserve"> We provide state-of-art Long-Term Evolution solutions and Land Mobile R</w:t>
      </w:r>
      <w:r>
        <w:rPr>
          <w:rFonts w:ascii="IBM Plex Sans" w:eastAsia="Times New Roman" w:hAnsi="IBM Plex Sans"/>
          <w:color w:val="283030"/>
          <w:sz w:val="20"/>
          <w:szCs w:val="20"/>
        </w:rPr>
        <w:t xml:space="preserve">adios as well as mission critical systems applications and equipment for Federal, state and local government police and fire first responders, as well as providing integrated professional communications and system solutions for utilities, transit agencies </w:t>
      </w:r>
      <w:r>
        <w:rPr>
          <w:rFonts w:ascii="IBM Plex Sans" w:eastAsia="Times New Roman" w:hAnsi="IBM Plex Sans"/>
          <w:color w:val="283030"/>
          <w:sz w:val="20"/>
          <w:szCs w:val="20"/>
        </w:rPr>
        <w:t>and commercial customers</w:t>
      </w:r>
      <w:r>
        <w:rPr>
          <w:rFonts w:eastAsia="Times New Roman"/>
          <w:color w:val="000000"/>
          <w:sz w:val="20"/>
          <w:szCs w:val="20"/>
        </w:rPr>
        <w:t xml:space="preserve">. </w:t>
      </w:r>
    </w:p>
    <w:p w:rsidR="00000000" w:rsidRDefault="00F5481A">
      <w:pPr>
        <w:ind w:firstLine="360"/>
        <w:divId w:val="847215192"/>
        <w:rPr>
          <w:rFonts w:eastAsia="Times New Roman"/>
        </w:rPr>
      </w:pPr>
      <w:r>
        <w:rPr>
          <w:rFonts w:ascii="IBM Plex Sans" w:eastAsia="Times New Roman" w:hAnsi="IBM Plex Sans"/>
          <w:color w:val="283030"/>
          <w:sz w:val="20"/>
          <w:szCs w:val="20"/>
        </w:rPr>
        <w:t>Additional information regarding the composition of CS revenue of $4.2 billion for fiscal 2022 is as follows:</w:t>
      </w:r>
    </w:p>
    <w:p w:rsidR="00000000" w:rsidRDefault="00F5481A">
      <w:pPr>
        <w:spacing w:after="100"/>
        <w:ind w:firstLine="360"/>
        <w:divId w:val="824130417"/>
        <w:rPr>
          <w:rFonts w:eastAsia="Times New Roman"/>
        </w:rPr>
      </w:pPr>
      <w:r>
        <w:rPr>
          <w:rFonts w:eastAsia="Times New Roman"/>
          <w:noProof/>
        </w:rPr>
        <w:drawing>
          <wp:inline distT="0" distB="0" distL="0" distR="0">
            <wp:extent cx="304800" cy="304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5481A">
      <w:pPr>
        <w:ind w:firstLine="360"/>
        <w:divId w:val="7295160"/>
        <w:rPr>
          <w:rFonts w:eastAsia="Times New Roman"/>
        </w:rPr>
      </w:pPr>
      <w:r>
        <w:rPr>
          <w:rFonts w:ascii="IBM Plex Sans" w:eastAsia="Times New Roman" w:hAnsi="IBM Plex Sans"/>
          <w:color w:val="283030"/>
          <w:sz w:val="20"/>
          <w:szCs w:val="20"/>
        </w:rPr>
        <w:t xml:space="preserve">For a discussion of certain risks affecting this segment, including risks relating to our supply chain disruptions, see “Item 1. Business - Materials, Suppliers and Seasonality” and “Item 1A. Risk Factors” of this Report. </w:t>
      </w:r>
    </w:p>
    <w:p w:rsidR="00000000" w:rsidRDefault="00F5481A">
      <w:pPr>
        <w:divId w:val="1150563276"/>
        <w:rPr>
          <w:rFonts w:eastAsia="Times New Roman"/>
        </w:rPr>
      </w:pPr>
      <w:r>
        <w:rPr>
          <w:rFonts w:ascii="IBM Plex Sans SemiBold" w:eastAsia="Times New Roman" w:hAnsi="IBM Plex Sans SemiBold"/>
          <w:b/>
          <w:bCs/>
          <w:color w:val="016676"/>
          <w:sz w:val="20"/>
          <w:szCs w:val="20"/>
        </w:rPr>
        <w:t>Inte</w:t>
      </w:r>
      <w:r>
        <w:rPr>
          <w:rFonts w:ascii="IBM Plex Sans SemiBold" w:eastAsia="Times New Roman" w:hAnsi="IBM Plex Sans SemiBold"/>
          <w:b/>
          <w:bCs/>
          <w:color w:val="016676"/>
          <w:sz w:val="20"/>
          <w:szCs w:val="20"/>
        </w:rPr>
        <w:t>rnational Business</w:t>
      </w:r>
    </w:p>
    <w:p w:rsidR="00000000" w:rsidRDefault="00F5481A">
      <w:pPr>
        <w:ind w:firstLine="360"/>
        <w:divId w:val="798500733"/>
        <w:rPr>
          <w:rFonts w:eastAsia="Times New Roman"/>
        </w:rPr>
      </w:pPr>
      <w:r>
        <w:rPr>
          <w:rFonts w:ascii="IBM Plex Sans" w:eastAsia="Times New Roman" w:hAnsi="IBM Plex Sans"/>
          <w:color w:val="283030"/>
          <w:sz w:val="20"/>
          <w:szCs w:val="20"/>
        </w:rPr>
        <w:t>Revenue from products and services where the end consumer is located outside the U.S., including foreign military sales funded through the U.S. Government, whether directly or through prime contractors, was $3.9 billion (23% of our revenue), $3.9 billion (</w:t>
      </w:r>
      <w:r>
        <w:rPr>
          <w:rFonts w:ascii="IBM Plex Sans" w:eastAsia="Times New Roman" w:hAnsi="IBM Plex Sans"/>
          <w:color w:val="283030"/>
          <w:sz w:val="20"/>
          <w:szCs w:val="20"/>
        </w:rPr>
        <w:t xml:space="preserve">22% of our revenue) and $3.7 billion (20% of our revenue), in fiscal 2022, 2021 </w:t>
      </w:r>
    </w:p>
    <w:p w:rsidR="00000000" w:rsidRDefault="00F5481A">
      <w:pPr>
        <w:ind w:firstLine="360"/>
        <w:jc w:val="center"/>
        <w:divId w:val="51511837"/>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4</w:t>
      </w:r>
    </w:p>
    <w:p w:rsidR="00000000" w:rsidRDefault="00F5481A">
      <w:pPr>
        <w:rPr>
          <w:rFonts w:eastAsia="Times New Roman"/>
        </w:rPr>
      </w:pPr>
      <w:r>
        <w:rPr>
          <w:rFonts w:eastAsia="Times New Roman"/>
        </w:rPr>
        <w:pict>
          <v:rect id="_x0000_i1034" style="width:0;height:1.5pt" o:hralign="center" o:hrstd="t" o:hr="t" fillcolor="#a0a0a0" stroked="f"/>
        </w:pict>
      </w:r>
    </w:p>
    <w:p w:rsidR="00000000" w:rsidRDefault="00F5481A">
      <w:pPr>
        <w:ind w:firstLine="360"/>
        <w:divId w:val="2032536174"/>
        <w:rPr>
          <w:rFonts w:eastAsia="Times New Roman"/>
        </w:rPr>
      </w:pPr>
    </w:p>
    <w:p w:rsidR="00000000" w:rsidRDefault="00F5481A">
      <w:pPr>
        <w:divId w:val="707225106"/>
        <w:rPr>
          <w:rFonts w:eastAsia="Times New Roman"/>
        </w:rPr>
      </w:pPr>
      <w:r>
        <w:rPr>
          <w:rFonts w:ascii="IBM Plex Sans" w:eastAsia="Times New Roman" w:hAnsi="IBM Plex Sans"/>
          <w:color w:val="283030"/>
          <w:sz w:val="20"/>
          <w:szCs w:val="20"/>
        </w:rPr>
        <w:t>and 2020, respectively. Direct export sales are primarily denominated in U.S. Dollars, whereas sales from foreign subsidiaries are generally denominated in the local currency of the subsidiary. For financial informatio</w:t>
      </w:r>
      <w:r>
        <w:rPr>
          <w:rFonts w:ascii="IBM Plex Sans" w:eastAsia="Times New Roman" w:hAnsi="IBM Plex Sans"/>
          <w:color w:val="283030"/>
          <w:sz w:val="20"/>
          <w:szCs w:val="20"/>
        </w:rPr>
        <w:t xml:space="preserve">n regarding our domestic and international operations, including long-lived assets, see </w:t>
      </w:r>
      <w:r>
        <w:rPr>
          <w:rFonts w:ascii="IBM Plex Sans" w:eastAsia="Times New Roman" w:hAnsi="IBM Plex Sans"/>
          <w:i/>
          <w:iCs/>
          <w:color w:val="283030"/>
          <w:sz w:val="20"/>
          <w:szCs w:val="20"/>
        </w:rPr>
        <w:t>Note 24: Business Segments</w:t>
      </w:r>
      <w:r>
        <w:rPr>
          <w:rFonts w:ascii="IBM Plex Sans" w:eastAsia="Times New Roman" w:hAnsi="IBM Plex Sans"/>
          <w:color w:val="283030"/>
          <w:sz w:val="20"/>
          <w:szCs w:val="20"/>
        </w:rPr>
        <w:t xml:space="preserve"> in the Notes.</w:t>
      </w:r>
    </w:p>
    <w:p w:rsidR="00000000" w:rsidRDefault="00F5481A">
      <w:pPr>
        <w:ind w:firstLine="360"/>
        <w:divId w:val="1453597397"/>
        <w:rPr>
          <w:rFonts w:eastAsia="Times New Roman"/>
        </w:rPr>
      </w:pPr>
      <w:r>
        <w:rPr>
          <w:rFonts w:ascii="IBM Plex Sans" w:eastAsia="Times New Roman" w:hAnsi="IBM Plex Sans"/>
          <w:color w:val="283030"/>
          <w:sz w:val="20"/>
          <w:szCs w:val="20"/>
        </w:rPr>
        <w:t>The majority of our international marketing activities are conducted through subsidiaries that operate in the Europe, Middle Ea</w:t>
      </w:r>
      <w:r>
        <w:rPr>
          <w:rFonts w:ascii="IBM Plex Sans" w:eastAsia="Times New Roman" w:hAnsi="IBM Plex Sans"/>
          <w:color w:val="283030"/>
          <w:sz w:val="20"/>
          <w:szCs w:val="20"/>
        </w:rPr>
        <w:t>st and Africa (“EMEA”) and Asia-Pacific (“APAC”) regions and Canada. We also have established international marketing organizations and several regional sales offices. For further information regarding our international subsidiaries, see Exhibit 21 of this</w:t>
      </w:r>
      <w:r>
        <w:rPr>
          <w:rFonts w:ascii="IBM Plex Sans" w:eastAsia="Times New Roman" w:hAnsi="IBM Plex Sans"/>
          <w:color w:val="283030"/>
          <w:sz w:val="20"/>
          <w:szCs w:val="20"/>
        </w:rPr>
        <w:t xml:space="preserve"> Report.</w:t>
      </w:r>
    </w:p>
    <w:p w:rsidR="00000000" w:rsidRDefault="00F5481A">
      <w:pPr>
        <w:ind w:firstLine="360"/>
        <w:divId w:val="1624384912"/>
        <w:rPr>
          <w:rFonts w:eastAsia="Times New Roman"/>
        </w:rPr>
      </w:pPr>
      <w:r>
        <w:rPr>
          <w:rFonts w:ascii="IBM Plex Sans" w:eastAsia="Times New Roman" w:hAnsi="IBM Plex Sans"/>
          <w:color w:val="283030"/>
          <w:sz w:val="20"/>
          <w:szCs w:val="20"/>
        </w:rPr>
        <w:t xml:space="preserve">International revenue for fiscal 2022 came from a large number of countries, and no single foreign country accounted for more than 5% of our total revenue. Some of our exports are paid for by letters of credit, with the balance carried on an open </w:t>
      </w:r>
      <w:r>
        <w:rPr>
          <w:rFonts w:ascii="IBM Plex Sans" w:eastAsia="Times New Roman" w:hAnsi="IBM Plex Sans"/>
          <w:color w:val="283030"/>
          <w:sz w:val="20"/>
          <w:szCs w:val="20"/>
        </w:rPr>
        <w:t>account. Advance payments, progress payments or other similar payments received prior to or upon shipment often cover most of the related costs incurred. Significant foreign government contracts generally require us to provide performance guarantees. In or</w:t>
      </w:r>
      <w:r>
        <w:rPr>
          <w:rFonts w:ascii="IBM Plex Sans" w:eastAsia="Times New Roman" w:hAnsi="IBM Plex Sans"/>
          <w:color w:val="283030"/>
          <w:sz w:val="20"/>
          <w:szCs w:val="20"/>
        </w:rPr>
        <w:t>der to remain competitive in international markets, we also enter into offset agreements or recourse or vendor financing arrangements to facilitate sales to certain customers.</w:t>
      </w:r>
    </w:p>
    <w:p w:rsidR="00000000" w:rsidRDefault="00F5481A">
      <w:pPr>
        <w:ind w:firstLine="360"/>
        <w:divId w:val="223610440"/>
        <w:rPr>
          <w:rFonts w:eastAsia="Times New Roman"/>
        </w:rPr>
      </w:pPr>
      <w:r>
        <w:rPr>
          <w:rFonts w:ascii="IBM Plex Sans" w:eastAsia="Times New Roman" w:hAnsi="IBM Plex Sans"/>
          <w:color w:val="283030"/>
          <w:sz w:val="20"/>
          <w:szCs w:val="20"/>
        </w:rPr>
        <w:t>We utilize indirect sales channels, including dealers, distributors and sales re</w:t>
      </w:r>
      <w:r>
        <w:rPr>
          <w:rFonts w:ascii="IBM Plex Sans" w:eastAsia="Times New Roman" w:hAnsi="IBM Plex Sans"/>
          <w:color w:val="283030"/>
          <w:sz w:val="20"/>
          <w:szCs w:val="20"/>
        </w:rPr>
        <w:t>presentatives, in the marketing and sale of some lines of products and equipment, both domestically and internationally. These independent representatives may buy for resale or, in some cases, solicit orders from commercial or government customers for dire</w:t>
      </w:r>
      <w:r>
        <w:rPr>
          <w:rFonts w:ascii="IBM Plex Sans" w:eastAsia="Times New Roman" w:hAnsi="IBM Plex Sans"/>
          <w:color w:val="283030"/>
          <w:sz w:val="20"/>
          <w:szCs w:val="20"/>
        </w:rPr>
        <w:t xml:space="preserve">ct sales by us. Prices to the ultimate customer in many instances may be recommended or established by the independent representative and may be above or below our list prices. Our dealers and distributors generally receive a discount from our list prices </w:t>
      </w:r>
      <w:r>
        <w:rPr>
          <w:rFonts w:ascii="IBM Plex Sans" w:eastAsia="Times New Roman" w:hAnsi="IBM Plex Sans"/>
          <w:color w:val="283030"/>
          <w:sz w:val="20"/>
          <w:szCs w:val="20"/>
        </w:rPr>
        <w:t xml:space="preserve">and may mark up those prices in setting the final sales prices paid by the customer. </w:t>
      </w:r>
    </w:p>
    <w:p w:rsidR="00000000" w:rsidRDefault="00F5481A">
      <w:pPr>
        <w:ind w:firstLine="360"/>
        <w:divId w:val="91319098"/>
        <w:rPr>
          <w:rFonts w:eastAsia="Times New Roman"/>
        </w:rPr>
      </w:pPr>
      <w:r>
        <w:rPr>
          <w:rFonts w:ascii="IBM Plex Sans" w:eastAsia="Times New Roman" w:hAnsi="IBM Plex Sans"/>
          <w:color w:val="283030"/>
          <w:sz w:val="20"/>
          <w:szCs w:val="20"/>
        </w:rPr>
        <w:t>The particular economic, social and political conditions for business conducted outside the U.S. differ from those encountered by U.S. businesses. We believe that the ove</w:t>
      </w:r>
      <w:r>
        <w:rPr>
          <w:rFonts w:ascii="IBM Plex Sans" w:eastAsia="Times New Roman" w:hAnsi="IBM Plex Sans"/>
          <w:color w:val="283030"/>
          <w:sz w:val="20"/>
          <w:szCs w:val="20"/>
        </w:rPr>
        <w:t>rall business risk for our international business as a whole is somewhat greater than that faced by our domestic businesses as a whole. A description of the types of risks to which we are subject in our international business is contained in “Item 1A. Risk</w:t>
      </w:r>
      <w:r>
        <w:rPr>
          <w:rFonts w:ascii="IBM Plex Sans" w:eastAsia="Times New Roman" w:hAnsi="IBM Plex Sans"/>
          <w:color w:val="283030"/>
          <w:sz w:val="20"/>
          <w:szCs w:val="20"/>
        </w:rPr>
        <w:t xml:space="preserve"> Factors” of this Report. In our opinion, these risks are partially mitigated by the diversification of our international business and the protection provided by letters of credit and advance payments, progress payments and other similar payments.</w:t>
      </w:r>
    </w:p>
    <w:p w:rsidR="00000000" w:rsidRDefault="00F5481A">
      <w:pPr>
        <w:divId w:val="1074082657"/>
        <w:rPr>
          <w:rFonts w:eastAsia="Times New Roman"/>
        </w:rPr>
      </w:pPr>
      <w:r>
        <w:rPr>
          <w:rFonts w:ascii="IBM Plex Sans SemiBold" w:eastAsia="Times New Roman" w:hAnsi="IBM Plex Sans SemiBold"/>
          <w:b/>
          <w:bCs/>
          <w:color w:val="016676"/>
          <w:sz w:val="20"/>
          <w:szCs w:val="20"/>
        </w:rPr>
        <w:t>Competit</w:t>
      </w:r>
      <w:r>
        <w:rPr>
          <w:rFonts w:ascii="IBM Plex Sans SemiBold" w:eastAsia="Times New Roman" w:hAnsi="IBM Plex Sans SemiBold"/>
          <w:b/>
          <w:bCs/>
          <w:color w:val="016676"/>
          <w:sz w:val="20"/>
          <w:szCs w:val="20"/>
        </w:rPr>
        <w:t>ive Conditions and Trends in Market Demand</w:t>
      </w:r>
    </w:p>
    <w:p w:rsidR="00000000" w:rsidRDefault="00F5481A">
      <w:pPr>
        <w:ind w:firstLine="360"/>
        <w:divId w:val="362943693"/>
        <w:rPr>
          <w:rFonts w:eastAsia="Times New Roman"/>
        </w:rPr>
      </w:pPr>
      <w:r>
        <w:rPr>
          <w:rFonts w:ascii="IBM Plex Sans" w:eastAsia="Times New Roman" w:hAnsi="IBM Plex Sans"/>
          <w:color w:val="283030"/>
          <w:sz w:val="20"/>
          <w:szCs w:val="20"/>
        </w:rPr>
        <w:t>We operate in highly competitive markets that are sensitive to technological advances. Some of our competitors in each of our markets are larger than we are and can maintain higher levels of expenditures for resea</w:t>
      </w:r>
      <w:r>
        <w:rPr>
          <w:rFonts w:ascii="IBM Plex Sans" w:eastAsia="Times New Roman" w:hAnsi="IBM Plex Sans"/>
          <w:color w:val="283030"/>
          <w:sz w:val="20"/>
          <w:szCs w:val="20"/>
        </w:rPr>
        <w:t>rch and development (“R&amp;D”). In each of our markets, we concentrate on the opportunities that we believe are compatible with our resources, overall technological capabilities and objectives. Principal competitive factors in these markets are product and sy</w:t>
      </w:r>
      <w:r>
        <w:rPr>
          <w:rFonts w:ascii="IBM Plex Sans" w:eastAsia="Times New Roman" w:hAnsi="IBM Plex Sans"/>
          <w:color w:val="283030"/>
          <w:sz w:val="20"/>
          <w:szCs w:val="20"/>
        </w:rPr>
        <w:t>stems quality and reliability; technological capabilities, including reliable, resilient and innovative cyber capabilities; service; past performance; ability to develop and implement complex, integrated solutions; ability to meet delivery schedules; the e</w:t>
      </w:r>
      <w:r>
        <w:rPr>
          <w:rFonts w:ascii="IBM Plex Sans" w:eastAsia="Times New Roman" w:hAnsi="IBM Plex Sans"/>
          <w:color w:val="283030"/>
          <w:sz w:val="20"/>
          <w:szCs w:val="20"/>
        </w:rPr>
        <w:t>ffectiveness of third-party sales channels in international markets; and cost-effectiveness. We frequently “partner” or are involved in subcontracting and teaming relationships with companies that are, from time to time, competitors on other programs. We c</w:t>
      </w:r>
      <w:r>
        <w:rPr>
          <w:rFonts w:ascii="IBM Plex Sans" w:eastAsia="Times New Roman" w:hAnsi="IBM Plex Sans"/>
          <w:color w:val="283030"/>
          <w:sz w:val="20"/>
          <w:szCs w:val="20"/>
        </w:rPr>
        <w:t>ompete domestically and internationally against large aerospace and defense companies; principally BAE Systems, Boeing, General Dynamics, Lockheed Martin, Northrop Grumman, Raytheon Technologies and Thales; and, increasingly, non-traditional defense contra</w:t>
      </w:r>
      <w:r>
        <w:rPr>
          <w:rFonts w:ascii="IBM Plex Sans" w:eastAsia="Times New Roman" w:hAnsi="IBM Plex Sans"/>
          <w:color w:val="283030"/>
          <w:sz w:val="20"/>
          <w:szCs w:val="20"/>
        </w:rPr>
        <w:t xml:space="preserve">ctors. </w:t>
      </w:r>
    </w:p>
    <w:p w:rsidR="00000000" w:rsidRDefault="00F5481A">
      <w:pPr>
        <w:ind w:firstLine="360"/>
        <w:divId w:val="298535731"/>
        <w:rPr>
          <w:rFonts w:eastAsia="Times New Roman"/>
        </w:rPr>
      </w:pPr>
      <w:r>
        <w:rPr>
          <w:rFonts w:ascii="IBM Plex Sans" w:eastAsia="Times New Roman" w:hAnsi="IBM Plex Sans"/>
          <w:color w:val="283030"/>
          <w:sz w:val="20"/>
          <w:szCs w:val="20"/>
        </w:rPr>
        <w:t xml:space="preserve">For further discussion of trends in market demand, see “Item 7. Management’s Discussion and Analysis of Financial Condition and Results of Operations” of this Report. </w:t>
      </w:r>
    </w:p>
    <w:p w:rsidR="00000000" w:rsidRDefault="00F5481A">
      <w:pPr>
        <w:divId w:val="278682028"/>
        <w:rPr>
          <w:rFonts w:eastAsia="Times New Roman"/>
        </w:rPr>
      </w:pPr>
      <w:r>
        <w:rPr>
          <w:rFonts w:ascii="IBM Plex Sans SemiBold" w:eastAsia="Times New Roman" w:hAnsi="IBM Plex Sans SemiBold"/>
          <w:b/>
          <w:bCs/>
          <w:color w:val="016676"/>
          <w:sz w:val="20"/>
          <w:szCs w:val="20"/>
        </w:rPr>
        <w:t>Principal Customers; Government Contracts</w:t>
      </w:r>
    </w:p>
    <w:p w:rsidR="00000000" w:rsidRDefault="00F5481A">
      <w:pPr>
        <w:ind w:firstLine="360"/>
        <w:divId w:val="1182550248"/>
        <w:rPr>
          <w:rFonts w:eastAsia="Times New Roman"/>
        </w:rPr>
      </w:pPr>
      <w:r>
        <w:rPr>
          <w:rFonts w:ascii="IBM Plex Sans" w:eastAsia="Times New Roman" w:hAnsi="IBM Plex Sans"/>
          <w:color w:val="283030"/>
          <w:sz w:val="20"/>
          <w:szCs w:val="20"/>
        </w:rPr>
        <w:t>The percentage of our revenue that was</w:t>
      </w:r>
      <w:r>
        <w:rPr>
          <w:rFonts w:ascii="IBM Plex Sans" w:eastAsia="Times New Roman" w:hAnsi="IBM Plex Sans"/>
          <w:color w:val="283030"/>
          <w:sz w:val="20"/>
          <w:szCs w:val="20"/>
        </w:rPr>
        <w:t xml:space="preserve"> derived from sales to U.S. Government customers, including foreign military sales funded through the U.S. Government, whether directly or through prime contractors, was 74%, 75% and 78% in fiscal 2022, 2021 and 2020, respectively. No other customer accoun</w:t>
      </w:r>
      <w:r>
        <w:rPr>
          <w:rFonts w:ascii="IBM Plex Sans" w:eastAsia="Times New Roman" w:hAnsi="IBM Plex Sans"/>
          <w:color w:val="283030"/>
          <w:sz w:val="20"/>
          <w:szCs w:val="20"/>
        </w:rPr>
        <w:t>ted for more than 5% of our revenue in fiscal 2022. Additional information regarding customers for each of our segments is provided under “Item 1. Business — Description of Business by Segment” of this Report. Our U.S. Government sales are predominantly de</w:t>
      </w:r>
      <w:r>
        <w:rPr>
          <w:rFonts w:ascii="IBM Plex Sans" w:eastAsia="Times New Roman" w:hAnsi="IBM Plex Sans"/>
          <w:color w:val="283030"/>
          <w:sz w:val="20"/>
          <w:szCs w:val="20"/>
        </w:rPr>
        <w:t>rived from contracts with departments and agencies of, and prime contractors to, the U.S. Government. Most of the sales in our SAS and IMS segments are made directly or indirectly to the U.S. Government under contracts or subcontracts containing standard g</w:t>
      </w:r>
      <w:r>
        <w:rPr>
          <w:rFonts w:ascii="IBM Plex Sans" w:eastAsia="Times New Roman" w:hAnsi="IBM Plex Sans"/>
          <w:color w:val="283030"/>
          <w:sz w:val="20"/>
          <w:szCs w:val="20"/>
        </w:rPr>
        <w:t>overnment contract clauses providing for redetermination of profits, if applicable, and for termination for the convenience of the U.S. Government or for default based on performance.</w:t>
      </w:r>
    </w:p>
    <w:p w:rsidR="00000000" w:rsidRDefault="00F5481A">
      <w:pPr>
        <w:ind w:firstLine="360"/>
        <w:divId w:val="9140374"/>
        <w:rPr>
          <w:rFonts w:eastAsia="Times New Roman"/>
        </w:rPr>
      </w:pPr>
      <w:r>
        <w:rPr>
          <w:rFonts w:ascii="IBM Plex Sans" w:eastAsia="Times New Roman" w:hAnsi="IBM Plex Sans"/>
          <w:color w:val="283030"/>
          <w:sz w:val="20"/>
          <w:szCs w:val="20"/>
        </w:rPr>
        <w:t>Our U.S. Government contracts and subcontracts include both cost-reimbur</w:t>
      </w:r>
      <w:r>
        <w:rPr>
          <w:rFonts w:ascii="IBM Plex Sans" w:eastAsia="Times New Roman" w:hAnsi="IBM Plex Sans"/>
          <w:color w:val="283030"/>
          <w:sz w:val="20"/>
          <w:szCs w:val="20"/>
        </w:rPr>
        <w:t xml:space="preserve">sable and fixed-price contracts. Government-wide Acquisition Contracts (“GWACs”) and multi-vendor indefinite delivery-indefinite quantity (“IDIQ”) </w:t>
      </w:r>
    </w:p>
    <w:p w:rsidR="00000000" w:rsidRDefault="00F5481A">
      <w:pPr>
        <w:ind w:firstLine="360"/>
        <w:jc w:val="center"/>
        <w:divId w:val="835533842"/>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5</w:t>
      </w:r>
    </w:p>
    <w:p w:rsidR="00000000" w:rsidRDefault="00F5481A">
      <w:pPr>
        <w:rPr>
          <w:rFonts w:eastAsia="Times New Roman"/>
        </w:rPr>
      </w:pPr>
      <w:r>
        <w:rPr>
          <w:rFonts w:eastAsia="Times New Roman"/>
        </w:rPr>
        <w:pict>
          <v:rect id="_x0000_i1035" style="width:0;height:1.5pt" o:hralign="center" o:hrstd="t" o:hr="t" fillcolor="#a0a0a0" stroked="f"/>
        </w:pict>
      </w:r>
    </w:p>
    <w:p w:rsidR="00000000" w:rsidRDefault="00F5481A">
      <w:pPr>
        <w:ind w:firstLine="360"/>
        <w:divId w:val="13699071"/>
        <w:rPr>
          <w:rFonts w:eastAsia="Times New Roman"/>
        </w:rPr>
      </w:pPr>
    </w:p>
    <w:p w:rsidR="00000000" w:rsidRDefault="00F5481A">
      <w:pPr>
        <w:divId w:val="2064257477"/>
        <w:rPr>
          <w:rFonts w:eastAsia="Times New Roman"/>
        </w:rPr>
      </w:pPr>
      <w:r>
        <w:rPr>
          <w:rFonts w:ascii="IBM Plex Sans" w:eastAsia="Times New Roman" w:hAnsi="IBM Plex Sans"/>
          <w:color w:val="283030"/>
          <w:sz w:val="20"/>
          <w:szCs w:val="20"/>
        </w:rPr>
        <w:t>contracts, which can include task orders for each contract type, require us to compete both for the initial contract and then for individual task or delivery orders under such contracts.</w:t>
      </w:r>
    </w:p>
    <w:p w:rsidR="00000000" w:rsidRDefault="00F5481A">
      <w:pPr>
        <w:ind w:firstLine="360"/>
        <w:divId w:val="1379740483"/>
        <w:rPr>
          <w:rFonts w:eastAsia="Times New Roman"/>
        </w:rPr>
      </w:pPr>
      <w:r>
        <w:rPr>
          <w:rFonts w:ascii="IBM Plex Sans" w:eastAsia="Times New Roman" w:hAnsi="IBM Plex Sans"/>
          <w:color w:val="283030"/>
          <w:sz w:val="20"/>
          <w:szCs w:val="20"/>
        </w:rPr>
        <w:t>Our U.S. Government cost-reimbursable contracts provide for the rei</w:t>
      </w:r>
      <w:r>
        <w:rPr>
          <w:rFonts w:ascii="IBM Plex Sans" w:eastAsia="Times New Roman" w:hAnsi="IBM Plex Sans"/>
          <w:color w:val="283030"/>
          <w:sz w:val="20"/>
          <w:szCs w:val="20"/>
        </w:rPr>
        <w:t>mbursement of allowable costs plus payment of a fee and fall into three basic types: (i) cost-plus fixed-fee contracts, which provide for payment of a fixed fee irrespective of the final cost of performance; (ii) cost-plus incentive-fee contracts, which pr</w:t>
      </w:r>
      <w:r>
        <w:rPr>
          <w:rFonts w:ascii="IBM Plex Sans" w:eastAsia="Times New Roman" w:hAnsi="IBM Plex Sans"/>
          <w:color w:val="283030"/>
          <w:sz w:val="20"/>
          <w:szCs w:val="20"/>
        </w:rPr>
        <w:t>ovide for payment of a fee that may increase or decrease, within specified limits, based on actual results compared with contractual targets relating to factors such as cost, performance and delivery schedule; and (iii) cost-plus award-fee contracts, which</w:t>
      </w:r>
      <w:r>
        <w:rPr>
          <w:rFonts w:ascii="IBM Plex Sans" w:eastAsia="Times New Roman" w:hAnsi="IBM Plex Sans"/>
          <w:color w:val="283030"/>
          <w:sz w:val="20"/>
          <w:szCs w:val="20"/>
        </w:rPr>
        <w:t xml:space="preserve"> provide for payment of an award fee determined at the customer’s discretion based on our performance against pre-established performance criteria. Under our U.S. Government cost-reimbursable contracts, we are reimbursed periodically for allowable costs an</w:t>
      </w:r>
      <w:r>
        <w:rPr>
          <w:rFonts w:ascii="IBM Plex Sans" w:eastAsia="Times New Roman" w:hAnsi="IBM Plex Sans"/>
          <w:color w:val="283030"/>
          <w:sz w:val="20"/>
          <w:szCs w:val="20"/>
        </w:rPr>
        <w:t>d are paid a portion of the fee based on contract progress. Some overhead costs have been made partially or wholly unallowable for reimbursement by statute or regulation. Examples include certain merger and acquisition costs, lobbying costs, charitable con</w:t>
      </w:r>
      <w:r>
        <w:rPr>
          <w:rFonts w:ascii="IBM Plex Sans" w:eastAsia="Times New Roman" w:hAnsi="IBM Plex Sans"/>
          <w:color w:val="283030"/>
          <w:sz w:val="20"/>
          <w:szCs w:val="20"/>
        </w:rPr>
        <w:t>tributions, interest expense and certain litigation defense costs.</w:t>
      </w:r>
    </w:p>
    <w:p w:rsidR="00000000" w:rsidRDefault="00F5481A">
      <w:pPr>
        <w:ind w:firstLine="360"/>
        <w:divId w:val="972635025"/>
        <w:rPr>
          <w:rFonts w:eastAsia="Times New Roman"/>
        </w:rPr>
      </w:pPr>
      <w:r>
        <w:rPr>
          <w:rFonts w:ascii="IBM Plex Sans" w:eastAsia="Times New Roman" w:hAnsi="IBM Plex Sans"/>
          <w:color w:val="283030"/>
          <w:sz w:val="20"/>
          <w:szCs w:val="20"/>
        </w:rPr>
        <w:t>Our U.S. Government fixed-price contracts are either firm fixed-price contracts or fixed-price incentive contracts. Under our U.S. Government firm fixed-price contracts, we agree to perform</w:t>
      </w:r>
      <w:r>
        <w:rPr>
          <w:rFonts w:ascii="IBM Plex Sans" w:eastAsia="Times New Roman" w:hAnsi="IBM Plex Sans"/>
          <w:color w:val="283030"/>
          <w:sz w:val="20"/>
          <w:szCs w:val="20"/>
        </w:rPr>
        <w:t xml:space="preserve"> a specific scope of work or sell a specific product for a fixed price and, as a result, benefit from cost savings and carry the burden of cost overruns. Under our U.S. Government fixed-price incentive contracts, we share with the U.S. Government both savi</w:t>
      </w:r>
      <w:r>
        <w:rPr>
          <w:rFonts w:ascii="IBM Plex Sans" w:eastAsia="Times New Roman" w:hAnsi="IBM Plex Sans"/>
          <w:color w:val="283030"/>
          <w:sz w:val="20"/>
          <w:szCs w:val="20"/>
        </w:rPr>
        <w:t>ngs accrued for performance at less than target cost as well as costs incurred in excess of target cost up to a negotiated ceiling price, which is higher than the target cost, but carry the entire burden of costs exceeding the negotiated ceiling price. Acc</w:t>
      </w:r>
      <w:r>
        <w:rPr>
          <w:rFonts w:ascii="IBM Plex Sans" w:eastAsia="Times New Roman" w:hAnsi="IBM Plex Sans"/>
          <w:color w:val="283030"/>
          <w:sz w:val="20"/>
          <w:szCs w:val="20"/>
        </w:rPr>
        <w:t>ordingly, under such incentive contracts, profit may also be adjusted up or down depending on whether specified performance objectives are met. Under our U.S. Government firm fixed-price and fixed-price incentive contracts, we generally receive from the U.</w:t>
      </w:r>
      <w:r>
        <w:rPr>
          <w:rFonts w:ascii="IBM Plex Sans" w:eastAsia="Times New Roman" w:hAnsi="IBM Plex Sans"/>
          <w:color w:val="283030"/>
          <w:sz w:val="20"/>
          <w:szCs w:val="20"/>
        </w:rPr>
        <w:t xml:space="preserve">S. Government either milestone payments totaling 100% of the contract price or monthly progress payments in amounts equaling 80% of costs incurred under the contract. The remaining amounts, including profits or incentive fees, are billed upon delivery and </w:t>
      </w:r>
      <w:r>
        <w:rPr>
          <w:rFonts w:ascii="IBM Plex Sans" w:eastAsia="Times New Roman" w:hAnsi="IBM Plex Sans"/>
          <w:color w:val="283030"/>
          <w:sz w:val="20"/>
          <w:szCs w:val="20"/>
        </w:rPr>
        <w:t xml:space="preserve">final acceptance of end items and deliverables under the contract. Our production contracts are mainly fixed-price contracts and development contracts are generally cost-reimbursable contracts. </w:t>
      </w:r>
    </w:p>
    <w:p w:rsidR="00000000" w:rsidRDefault="00F5481A">
      <w:pPr>
        <w:ind w:firstLine="360"/>
        <w:divId w:val="1072579756"/>
        <w:rPr>
          <w:rFonts w:eastAsia="Times New Roman"/>
        </w:rPr>
      </w:pPr>
      <w:r>
        <w:rPr>
          <w:rFonts w:ascii="IBM Plex Sans" w:eastAsia="Times New Roman" w:hAnsi="IBM Plex Sans"/>
          <w:color w:val="283030"/>
          <w:sz w:val="20"/>
          <w:szCs w:val="20"/>
        </w:rPr>
        <w:t>As stated above, U.S. Government contracts are terminable for</w:t>
      </w:r>
      <w:r>
        <w:rPr>
          <w:rFonts w:ascii="IBM Plex Sans" w:eastAsia="Times New Roman" w:hAnsi="IBM Plex Sans"/>
          <w:color w:val="283030"/>
          <w:sz w:val="20"/>
          <w:szCs w:val="20"/>
        </w:rPr>
        <w:t xml:space="preserve"> the convenience of the U.S. Government, as well as for default based on performance. Companies supplying goods and services to the U.S. Government are dependent on Congressional appropriations and administrative allotment of funds and may be affected by c</w:t>
      </w:r>
      <w:r>
        <w:rPr>
          <w:rFonts w:ascii="IBM Plex Sans" w:eastAsia="Times New Roman" w:hAnsi="IBM Plex Sans"/>
          <w:color w:val="283030"/>
          <w:sz w:val="20"/>
          <w:szCs w:val="20"/>
        </w:rPr>
        <w:t xml:space="preserve">hanges in U.S. Government policies resulting from various military, political, economic and international developments. Long-term U.S. Government contracts and related orders are subject to cancellation if appropriations for subsequent performance periods </w:t>
      </w:r>
      <w:r>
        <w:rPr>
          <w:rFonts w:ascii="IBM Plex Sans" w:eastAsia="Times New Roman" w:hAnsi="IBM Plex Sans"/>
          <w:color w:val="283030"/>
          <w:sz w:val="20"/>
          <w:szCs w:val="20"/>
        </w:rPr>
        <w:t>become unavailable. Under contracts terminable for the convenience of the U.S. Government, a contractor is entitled to receive payments for its allowable costs and, in general, the proportionate share of fees or earnings for the work done. Contracts that a</w:t>
      </w:r>
      <w:r>
        <w:rPr>
          <w:rFonts w:ascii="IBM Plex Sans" w:eastAsia="Times New Roman" w:hAnsi="IBM Plex Sans"/>
          <w:color w:val="283030"/>
          <w:sz w:val="20"/>
          <w:szCs w:val="20"/>
        </w:rPr>
        <w:t>re terminable for default generally provide that the U.S. Government pays only for the work it has accepted and may require the contractor to pay for the incremental cost of re-procurement and may hold the contractor liable for damages. In many cases, ther</w:t>
      </w:r>
      <w:r>
        <w:rPr>
          <w:rFonts w:ascii="IBM Plex Sans" w:eastAsia="Times New Roman" w:hAnsi="IBM Plex Sans"/>
          <w:color w:val="283030"/>
          <w:sz w:val="20"/>
          <w:szCs w:val="20"/>
        </w:rPr>
        <w:t>e is also uncertainty relating to the complexity of designs, necessity for design improvements and difficulty in forecasting costs and schedules when bidding on developmental and highly sophisticated technical work. Under many U.S. Government contracts, we</w:t>
      </w:r>
      <w:r>
        <w:rPr>
          <w:rFonts w:ascii="IBM Plex Sans" w:eastAsia="Times New Roman" w:hAnsi="IBM Plex Sans"/>
          <w:color w:val="283030"/>
          <w:sz w:val="20"/>
          <w:szCs w:val="20"/>
        </w:rPr>
        <w:t xml:space="preserve"> are required to maintain facility and personnel security clearances complying with DoD and other Federal agency requirements. </w:t>
      </w:r>
    </w:p>
    <w:p w:rsidR="00000000" w:rsidRDefault="00F5481A">
      <w:pPr>
        <w:ind w:firstLine="360"/>
        <w:divId w:val="276451513"/>
        <w:rPr>
          <w:rFonts w:eastAsia="Times New Roman"/>
        </w:rPr>
      </w:pPr>
      <w:r>
        <w:rPr>
          <w:rFonts w:ascii="IBM Plex Sans" w:eastAsia="Times New Roman" w:hAnsi="IBM Plex Sans"/>
          <w:color w:val="283030"/>
          <w:sz w:val="20"/>
          <w:szCs w:val="20"/>
        </w:rPr>
        <w:t>From time to time, we may begin performance of a U.S. Government contract under an undefinitized contract action with a not-to-e</w:t>
      </w:r>
      <w:r>
        <w:rPr>
          <w:rFonts w:ascii="IBM Plex Sans" w:eastAsia="Times New Roman" w:hAnsi="IBM Plex Sans"/>
          <w:color w:val="283030"/>
          <w:sz w:val="20"/>
          <w:szCs w:val="20"/>
        </w:rPr>
        <w:t>xceed price before the terms, specifications or price are finally agreed to between the parties. In these arrangements, the U.S. Government has the ability to unilaterally definitize the contract if a mutual agreement regarding terms, specifications and pr</w:t>
      </w:r>
      <w:r>
        <w:rPr>
          <w:rFonts w:ascii="IBM Plex Sans" w:eastAsia="Times New Roman" w:hAnsi="IBM Plex Sans"/>
          <w:color w:val="283030"/>
          <w:sz w:val="20"/>
          <w:szCs w:val="20"/>
        </w:rPr>
        <w:t xml:space="preserve">ice cannot be reached. </w:t>
      </w:r>
    </w:p>
    <w:p w:rsidR="00000000" w:rsidRDefault="00F5481A">
      <w:pPr>
        <w:ind w:firstLine="360"/>
        <w:divId w:val="1814715385"/>
        <w:rPr>
          <w:rFonts w:eastAsia="Times New Roman"/>
        </w:rPr>
      </w:pPr>
      <w:r>
        <w:rPr>
          <w:rFonts w:ascii="IBM Plex Sans" w:eastAsia="Times New Roman" w:hAnsi="IBM Plex Sans"/>
          <w:color w:val="283030"/>
          <w:sz w:val="20"/>
          <w:szCs w:val="20"/>
        </w:rPr>
        <w:t>The U.S. Government has increased its focus on procurement process improvement initiatives and has implemented certain changes in its procurement practices. These developments may change the way U.S. Government contracts are solicit</w:t>
      </w:r>
      <w:r>
        <w:rPr>
          <w:rFonts w:ascii="IBM Plex Sans" w:eastAsia="Times New Roman" w:hAnsi="IBM Plex Sans"/>
          <w:color w:val="283030"/>
          <w:sz w:val="20"/>
          <w:szCs w:val="20"/>
        </w:rPr>
        <w:t>ed, negotiated and managed, which may affect whether and how we pursue opportunities to provide our products and services to the U.S. Government, including the terms and conditions under which we do so, which may have an adverse impact to our business, fin</w:t>
      </w:r>
      <w:r>
        <w:rPr>
          <w:rFonts w:ascii="IBM Plex Sans" w:eastAsia="Times New Roman" w:hAnsi="IBM Plex Sans"/>
          <w:color w:val="283030"/>
          <w:sz w:val="20"/>
          <w:szCs w:val="20"/>
        </w:rPr>
        <w:t xml:space="preserve">ancial condition, results of operations, cash flows and equity. </w:t>
      </w:r>
    </w:p>
    <w:p w:rsidR="00000000" w:rsidRDefault="00F5481A">
      <w:pPr>
        <w:ind w:firstLine="360"/>
        <w:divId w:val="2122217766"/>
        <w:rPr>
          <w:rFonts w:eastAsia="Times New Roman"/>
        </w:rPr>
      </w:pPr>
      <w:r>
        <w:rPr>
          <w:rFonts w:ascii="IBM Plex Sans" w:eastAsia="Times New Roman" w:hAnsi="IBM Plex Sans"/>
          <w:color w:val="283030"/>
          <w:sz w:val="20"/>
          <w:szCs w:val="20"/>
        </w:rPr>
        <w:t>For further discussion of risks relating to U.S. Government contracts, see “Item 1A. Risk Factors”, “Item 3. Legal Proceedings” and “Item 7. M</w:t>
      </w:r>
      <w:hyperlink w:anchor="iefe78000fcc84d7eb9dad62280c74976_46" w:history="1">
        <w:r>
          <w:rPr>
            <w:rStyle w:val="a3"/>
            <w:rFonts w:ascii="IBM Plex Sans" w:eastAsia="Times New Roman" w:hAnsi="IBM Plex Sans"/>
            <w:color w:val="000000"/>
            <w:sz w:val="20"/>
            <w:szCs w:val="20"/>
            <w:u w:val="none"/>
          </w:rPr>
          <w:t>anagement’s Discussion and Analysis of Financial Condition and Results of Operation</w:t>
        </w:r>
      </w:hyperlink>
      <w:r>
        <w:rPr>
          <w:rFonts w:ascii="IBM Plex Sans" w:eastAsia="Times New Roman" w:hAnsi="IBM Plex Sans"/>
          <w:color w:val="000000"/>
          <w:sz w:val="20"/>
          <w:szCs w:val="20"/>
        </w:rPr>
        <w:t xml:space="preserve">s” </w:t>
      </w:r>
      <w:r>
        <w:rPr>
          <w:rFonts w:ascii="IBM Plex Sans" w:eastAsia="Times New Roman" w:hAnsi="IBM Plex Sans"/>
          <w:color w:val="283030"/>
          <w:sz w:val="20"/>
          <w:szCs w:val="20"/>
        </w:rPr>
        <w:t>of this Report.</w:t>
      </w:r>
      <w:r>
        <w:rPr>
          <w:rFonts w:ascii="IBM Plex Sans" w:eastAsia="Times New Roman" w:hAnsi="IBM Plex Sans"/>
          <w:b/>
          <w:bCs/>
          <w:i/>
          <w:iCs/>
          <w:color w:val="283030"/>
          <w:sz w:val="20"/>
          <w:szCs w:val="20"/>
        </w:rPr>
        <w:t xml:space="preserve"> </w:t>
      </w:r>
    </w:p>
    <w:p w:rsidR="00000000" w:rsidRDefault="00F5481A">
      <w:pPr>
        <w:ind w:firstLine="360"/>
        <w:jc w:val="center"/>
        <w:divId w:val="1525368166"/>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6</w:t>
      </w:r>
    </w:p>
    <w:p w:rsidR="00000000" w:rsidRDefault="00F5481A">
      <w:pPr>
        <w:rPr>
          <w:rFonts w:eastAsia="Times New Roman"/>
        </w:rPr>
      </w:pPr>
      <w:r>
        <w:rPr>
          <w:rFonts w:eastAsia="Times New Roman"/>
        </w:rPr>
        <w:pict>
          <v:rect id="_x0000_i1036" style="width:0;height:1.5pt" o:hralign="center" o:hrstd="t" o:hr="t" fillcolor="#a0a0a0" stroked="f"/>
        </w:pict>
      </w:r>
    </w:p>
    <w:p w:rsidR="00000000" w:rsidRDefault="00F5481A">
      <w:pPr>
        <w:ind w:firstLine="360"/>
        <w:divId w:val="954756393"/>
        <w:rPr>
          <w:rFonts w:eastAsia="Times New Roman"/>
        </w:rPr>
      </w:pPr>
    </w:p>
    <w:p w:rsidR="00000000" w:rsidRDefault="00F5481A">
      <w:pPr>
        <w:divId w:val="1239167846"/>
        <w:rPr>
          <w:rFonts w:eastAsia="Times New Roman"/>
        </w:rPr>
      </w:pPr>
      <w:r>
        <w:rPr>
          <w:rFonts w:ascii="IBM Plex Sans SemiBold" w:eastAsia="Times New Roman" w:hAnsi="IBM Plex Sans SemiBold"/>
          <w:b/>
          <w:bCs/>
          <w:color w:val="016676"/>
          <w:sz w:val="20"/>
          <w:szCs w:val="20"/>
        </w:rPr>
        <w:t>Backlog</w:t>
      </w:r>
    </w:p>
    <w:p w:rsidR="00000000" w:rsidRDefault="00F5481A">
      <w:pPr>
        <w:ind w:firstLine="360"/>
        <w:divId w:val="1597128730"/>
        <w:rPr>
          <w:rFonts w:eastAsia="Times New Roman"/>
        </w:rPr>
      </w:pPr>
      <w:r>
        <w:rPr>
          <w:rFonts w:ascii="IBM Plex Sans" w:eastAsia="Times New Roman" w:hAnsi="IBM Plex Sans"/>
          <w:color w:val="283030"/>
          <w:sz w:val="20"/>
          <w:szCs w:val="20"/>
        </w:rPr>
        <w:t>Company-wide total backlog was $22.3 billion at December </w:t>
      </w:r>
      <w:r>
        <w:rPr>
          <w:rFonts w:ascii="IBM Plex Sans" w:eastAsia="Times New Roman" w:hAnsi="IBM Plex Sans"/>
          <w:color w:val="283030"/>
          <w:sz w:val="20"/>
          <w:szCs w:val="20"/>
        </w:rPr>
        <w:t xml:space="preserve">30, 2022, of which $16.2 billion was funded backlog, compared with $21.1 billion at December 31, 2021, of which $15.2 billion was funded backlog. We expect to recognize approximately 55% of the revenue associated with Company-wide total backlog by the end </w:t>
      </w:r>
      <w:r>
        <w:rPr>
          <w:rFonts w:ascii="IBM Plex Sans" w:eastAsia="Times New Roman" w:hAnsi="IBM Plex Sans"/>
          <w:color w:val="283030"/>
          <w:sz w:val="20"/>
          <w:szCs w:val="20"/>
        </w:rPr>
        <w:t>of 2023 and approximately 75% of the revenue associated with Company-wide total backlog by the end of 2024, with the remainder to be recognized thereafter. However, we can give no assurance of such fulfillment or that our backlog will become revenue in any</w:t>
      </w:r>
      <w:r>
        <w:rPr>
          <w:rFonts w:ascii="IBM Plex Sans" w:eastAsia="Times New Roman" w:hAnsi="IBM Plex Sans"/>
          <w:color w:val="283030"/>
          <w:sz w:val="20"/>
          <w:szCs w:val="20"/>
        </w:rPr>
        <w:t xml:space="preserve"> particular period, if at all. Backlog is subject to delivery delays and program cancellations, which are beyond our control.</w:t>
      </w:r>
    </w:p>
    <w:p w:rsidR="00000000" w:rsidRDefault="00F5481A">
      <w:pPr>
        <w:ind w:firstLine="360"/>
        <w:divId w:val="1199782551"/>
        <w:rPr>
          <w:rFonts w:eastAsia="Times New Roman"/>
        </w:rPr>
      </w:pPr>
      <w:r>
        <w:rPr>
          <w:rFonts w:ascii="IBM Plex Sans" w:eastAsia="Times New Roman" w:hAnsi="IBM Plex Sans"/>
          <w:color w:val="283030"/>
          <w:sz w:val="20"/>
          <w:szCs w:val="20"/>
        </w:rPr>
        <w:t xml:space="preserve">We define funded backlog as unfilled firm orders for products and services for which funding has been authorized and, in the case </w:t>
      </w:r>
      <w:r>
        <w:rPr>
          <w:rFonts w:ascii="IBM Plex Sans" w:eastAsia="Times New Roman" w:hAnsi="IBM Plex Sans"/>
          <w:color w:val="283030"/>
          <w:sz w:val="20"/>
          <w:szCs w:val="20"/>
        </w:rPr>
        <w:t>of U.S. Government customers, appropriated.</w:t>
      </w:r>
      <w:r>
        <w:rPr>
          <w:rFonts w:ascii="IBM Plex Sans" w:eastAsia="Times New Roman" w:hAnsi="IBM Plex Sans"/>
          <w:b/>
          <w:bCs/>
          <w:color w:val="283030"/>
          <w:sz w:val="20"/>
          <w:szCs w:val="20"/>
        </w:rPr>
        <w:t xml:space="preserve"> </w:t>
      </w:r>
      <w:r>
        <w:rPr>
          <w:rFonts w:ascii="IBM Plex Sans" w:eastAsia="Times New Roman" w:hAnsi="IBM Plex Sans"/>
          <w:color w:val="283030"/>
          <w:sz w:val="20"/>
          <w:szCs w:val="20"/>
        </w:rPr>
        <w:t>The level of order activity related to U.S. Government programs can be affected by the timing of U.S. Government funding authorizations and project evaluation cycles. Year-over-year comparisons could, at times, b</w:t>
      </w:r>
      <w:r>
        <w:rPr>
          <w:rFonts w:ascii="IBM Plex Sans" w:eastAsia="Times New Roman" w:hAnsi="IBM Plex Sans"/>
          <w:color w:val="283030"/>
          <w:sz w:val="20"/>
          <w:szCs w:val="20"/>
        </w:rPr>
        <w:t xml:space="preserve">e impacted by these factors, among others. </w:t>
      </w:r>
    </w:p>
    <w:p w:rsidR="00000000" w:rsidRDefault="00F5481A">
      <w:pPr>
        <w:ind w:firstLine="360"/>
        <w:divId w:val="1183475856"/>
        <w:rPr>
          <w:rFonts w:eastAsia="Times New Roman"/>
        </w:rPr>
      </w:pPr>
      <w:r>
        <w:rPr>
          <w:rFonts w:ascii="IBM Plex Sans" w:eastAsia="Times New Roman" w:hAnsi="IBM Plex Sans"/>
          <w:color w:val="283030"/>
          <w:sz w:val="20"/>
          <w:szCs w:val="20"/>
        </w:rPr>
        <w:t>We define unfunded backlog as unfilled firm orders for products and services for which funding has not been authorized and, in the case of U.S. Government customers, appropriated. The determination of the unfunde</w:t>
      </w:r>
      <w:r>
        <w:rPr>
          <w:rFonts w:ascii="IBM Plex Sans" w:eastAsia="Times New Roman" w:hAnsi="IBM Plex Sans"/>
          <w:color w:val="283030"/>
          <w:sz w:val="20"/>
          <w:szCs w:val="20"/>
        </w:rPr>
        <w:t>d portion of total backlog involves substantial estimating, particularly with respect to customer requirements contracts and development and production contracts of a cost-reimbursable or incentive nature. We do not include the value of unexercised contrac</w:t>
      </w:r>
      <w:r>
        <w:rPr>
          <w:rFonts w:ascii="IBM Plex Sans" w:eastAsia="Times New Roman" w:hAnsi="IBM Plex Sans"/>
          <w:color w:val="283030"/>
          <w:sz w:val="20"/>
          <w:szCs w:val="20"/>
        </w:rPr>
        <w:t>t options or potential orders under IDIQ contracts in our unfunded backlog.</w:t>
      </w:r>
    </w:p>
    <w:p w:rsidR="00000000" w:rsidRDefault="00F5481A">
      <w:pPr>
        <w:ind w:firstLine="360"/>
        <w:divId w:val="333530180"/>
        <w:rPr>
          <w:rFonts w:eastAsia="Times New Roman"/>
        </w:rPr>
      </w:pPr>
      <w:r>
        <w:rPr>
          <w:rFonts w:ascii="IBM Plex Sans" w:eastAsia="Times New Roman" w:hAnsi="IBM Plex Sans"/>
          <w:color w:val="283030"/>
          <w:sz w:val="20"/>
          <w:szCs w:val="20"/>
        </w:rPr>
        <w:t>For backlog information for each of our business segments, see “Item 7. Management’s Discussion and Analysis of Financial Condition and Results of Operations” of this Report.</w:t>
      </w:r>
    </w:p>
    <w:p w:rsidR="00000000" w:rsidRDefault="00F5481A">
      <w:pPr>
        <w:ind w:firstLine="360"/>
        <w:divId w:val="157163237"/>
        <w:rPr>
          <w:rFonts w:eastAsia="Times New Roman"/>
        </w:rPr>
      </w:pPr>
      <w:r>
        <w:rPr>
          <w:rFonts w:ascii="IBM Plex Sans" w:eastAsia="Times New Roman" w:hAnsi="IBM Plex Sans"/>
          <w:color w:val="283030"/>
          <w:sz w:val="20"/>
          <w:szCs w:val="20"/>
        </w:rPr>
        <w:t xml:space="preserve">See </w:t>
      </w:r>
      <w:r>
        <w:rPr>
          <w:rFonts w:ascii="IBM Plex Sans" w:eastAsia="Times New Roman" w:hAnsi="IBM Plex Sans"/>
          <w:i/>
          <w:iCs/>
          <w:color w:val="283030"/>
          <w:sz w:val="20"/>
          <w:szCs w:val="20"/>
        </w:rPr>
        <w:t>N</w:t>
      </w:r>
      <w:r>
        <w:rPr>
          <w:rFonts w:ascii="IBM Plex Sans" w:eastAsia="Times New Roman" w:hAnsi="IBM Plex Sans"/>
          <w:i/>
          <w:iCs/>
          <w:color w:val="283030"/>
          <w:sz w:val="20"/>
          <w:szCs w:val="20"/>
        </w:rPr>
        <w:t xml:space="preserve">ote 23: Backlog </w:t>
      </w:r>
      <w:r>
        <w:rPr>
          <w:rFonts w:ascii="IBM Plex Sans" w:eastAsia="Times New Roman" w:hAnsi="IBM Plex Sans"/>
          <w:color w:val="283030"/>
          <w:sz w:val="20"/>
          <w:szCs w:val="20"/>
        </w:rPr>
        <w:t xml:space="preserve">in the Notes for additional information regarding Company-wide total backlog. </w:t>
      </w:r>
    </w:p>
    <w:p w:rsidR="00000000" w:rsidRDefault="00F5481A">
      <w:pPr>
        <w:divId w:val="1207571145"/>
        <w:rPr>
          <w:rFonts w:eastAsia="Times New Roman"/>
        </w:rPr>
      </w:pPr>
      <w:r>
        <w:rPr>
          <w:rFonts w:ascii="IBM Plex Sans SemiBold" w:eastAsia="Times New Roman" w:hAnsi="IBM Plex Sans SemiBold"/>
          <w:b/>
          <w:bCs/>
          <w:color w:val="016676"/>
          <w:sz w:val="20"/>
          <w:szCs w:val="20"/>
        </w:rPr>
        <w:t>Research and Development</w:t>
      </w:r>
    </w:p>
    <w:p w:rsidR="00000000" w:rsidRDefault="00F5481A">
      <w:pPr>
        <w:ind w:firstLine="360"/>
        <w:divId w:val="806047936"/>
        <w:rPr>
          <w:rFonts w:eastAsia="Times New Roman"/>
        </w:rPr>
      </w:pPr>
      <w:r>
        <w:rPr>
          <w:rFonts w:ascii="IBM Plex Sans" w:eastAsia="Times New Roman" w:hAnsi="IBM Plex Sans"/>
          <w:color w:val="283030"/>
          <w:sz w:val="20"/>
          <w:szCs w:val="20"/>
        </w:rPr>
        <w:t>Company-sponsored R&amp;D costs, which include R&amp;</w:t>
      </w:r>
      <w:r>
        <w:rPr>
          <w:rFonts w:ascii="IBM Plex Sans" w:eastAsia="Times New Roman" w:hAnsi="IBM Plex Sans"/>
          <w:color w:val="283030"/>
          <w:sz w:val="20"/>
          <w:szCs w:val="20"/>
        </w:rPr>
        <w:t>D for commercial products and services and independent R&amp;D related to government products and services, were $603 million, $692 million and $684 million in fiscal 2022, 2021 and 2020, respectively. A portion of our independent R&amp;D costs are allocated among</w:t>
      </w:r>
      <w:r>
        <w:rPr>
          <w:rFonts w:ascii="IBM Plex Sans" w:eastAsia="Times New Roman" w:hAnsi="IBM Plex Sans"/>
          <w:color w:val="283030"/>
          <w:sz w:val="20"/>
          <w:szCs w:val="20"/>
        </w:rPr>
        <w:t xml:space="preserve"> contracts and programs in process under U.S. Government contractual arrangements. Company-sponsored R&amp;D costs not otherwise allocable are charged to expense when incurred. Company-sponsored research is directed to the development of new products and servi</w:t>
      </w:r>
      <w:r>
        <w:rPr>
          <w:rFonts w:ascii="IBM Plex Sans" w:eastAsia="Times New Roman" w:hAnsi="IBM Plex Sans"/>
          <w:color w:val="283030"/>
          <w:sz w:val="20"/>
          <w:szCs w:val="20"/>
        </w:rPr>
        <w:t xml:space="preserve">ces and to building technological capability in various markets. </w:t>
      </w:r>
    </w:p>
    <w:p w:rsidR="00000000" w:rsidRDefault="00F5481A">
      <w:pPr>
        <w:ind w:firstLine="495"/>
        <w:divId w:val="59988399"/>
        <w:rPr>
          <w:rFonts w:eastAsia="Times New Roman"/>
        </w:rPr>
      </w:pPr>
      <w:r>
        <w:rPr>
          <w:rFonts w:ascii="IBM Plex Sans" w:eastAsia="Times New Roman" w:hAnsi="IBM Plex Sans"/>
          <w:color w:val="283030"/>
          <w:sz w:val="20"/>
          <w:szCs w:val="20"/>
        </w:rPr>
        <w:t>Customer-sponsored R&amp;D costs are incurred pursuant to contractual arrangements, principally U.S. Government-sponsored contracts requiring us to provide a product or service meeting certain d</w:t>
      </w:r>
      <w:r>
        <w:rPr>
          <w:rFonts w:ascii="IBM Plex Sans" w:eastAsia="Times New Roman" w:hAnsi="IBM Plex Sans"/>
          <w:color w:val="283030"/>
          <w:sz w:val="20"/>
          <w:szCs w:val="20"/>
        </w:rPr>
        <w:t>efined performance or other specifications (such as designs). This research helps strengthen and broaden our technical capabilities. Customer-sponsored research costs are accounted for principally by the percentage-of-completion cost-to-cost method and inc</w:t>
      </w:r>
      <w:r>
        <w:rPr>
          <w:rFonts w:ascii="IBM Plex Sans" w:eastAsia="Times New Roman" w:hAnsi="IBM Plex Sans"/>
          <w:color w:val="283030"/>
          <w:sz w:val="20"/>
          <w:szCs w:val="20"/>
        </w:rPr>
        <w:t xml:space="preserve">luded in our revenue and cost of product sales and services. See </w:t>
      </w:r>
      <w:r>
        <w:rPr>
          <w:rFonts w:ascii="IBM Plex Sans" w:eastAsia="Times New Roman" w:hAnsi="IBM Plex Sans"/>
          <w:i/>
          <w:iCs/>
          <w:color w:val="283030"/>
          <w:sz w:val="20"/>
          <w:szCs w:val="20"/>
        </w:rPr>
        <w:t>Note 1: Significant Accounting Policies</w:t>
      </w:r>
      <w:r>
        <w:rPr>
          <w:rFonts w:ascii="IBM Plex Sans" w:eastAsia="Times New Roman" w:hAnsi="IBM Plex Sans"/>
          <w:color w:val="283030"/>
          <w:sz w:val="20"/>
          <w:szCs w:val="20"/>
        </w:rPr>
        <w:t xml:space="preserve"> in the Notes for further information on the cost-to-cost percentage-of-completion method of revenue recognition.</w:t>
      </w:r>
    </w:p>
    <w:p w:rsidR="00000000" w:rsidRDefault="00F5481A">
      <w:pPr>
        <w:divId w:val="636760922"/>
        <w:rPr>
          <w:rFonts w:eastAsia="Times New Roman"/>
        </w:rPr>
      </w:pPr>
      <w:r>
        <w:rPr>
          <w:rFonts w:ascii="IBM Plex Sans SemiBold" w:eastAsia="Times New Roman" w:hAnsi="IBM Plex Sans SemiBold"/>
          <w:b/>
          <w:bCs/>
          <w:color w:val="016676"/>
          <w:sz w:val="20"/>
          <w:szCs w:val="20"/>
        </w:rPr>
        <w:t>Patents and Other Intellectual Propert</w:t>
      </w:r>
      <w:r>
        <w:rPr>
          <w:rFonts w:ascii="IBM Plex Sans SemiBold" w:eastAsia="Times New Roman" w:hAnsi="IBM Plex Sans SemiBold"/>
          <w:b/>
          <w:bCs/>
          <w:color w:val="016676"/>
          <w:sz w:val="20"/>
          <w:szCs w:val="20"/>
        </w:rPr>
        <w:t>y</w:t>
      </w:r>
    </w:p>
    <w:p w:rsidR="00000000" w:rsidRDefault="00F5481A">
      <w:pPr>
        <w:ind w:firstLine="360"/>
        <w:divId w:val="293174195"/>
        <w:rPr>
          <w:rFonts w:eastAsia="Times New Roman"/>
        </w:rPr>
      </w:pPr>
      <w:r>
        <w:rPr>
          <w:rFonts w:ascii="IBM Plex Sans" w:eastAsia="Times New Roman" w:hAnsi="IBM Plex Sans"/>
          <w:color w:val="283030"/>
          <w:sz w:val="20"/>
          <w:szCs w:val="20"/>
        </w:rPr>
        <w:t>We consider our patents and other intellectual property, in the aggregate, to constitute an important asset. We own a large portfolio of patents, trade secrets, know-how, confidential information, trademarks, copyrights and other intellectual property, i</w:t>
      </w:r>
      <w:r>
        <w:rPr>
          <w:rFonts w:ascii="IBM Plex Sans" w:eastAsia="Times New Roman" w:hAnsi="IBM Plex Sans"/>
          <w:color w:val="283030"/>
          <w:sz w:val="20"/>
          <w:szCs w:val="20"/>
        </w:rPr>
        <w:t>ncluding reliable, resilient and innovative cyber capabilities, and we routinely apply for new patents, trademarks and copyrights. We also license intellectual property to and from third parties. As of December 30, 2022, we held approximately 2,300 U.S. pa</w:t>
      </w:r>
      <w:r>
        <w:rPr>
          <w:rFonts w:ascii="IBM Plex Sans" w:eastAsia="Times New Roman" w:hAnsi="IBM Plex Sans"/>
          <w:color w:val="283030"/>
          <w:sz w:val="20"/>
          <w:szCs w:val="20"/>
        </w:rPr>
        <w:t>tents and 1,800 foreign patents, and had approximately 300 U.S. patent applications pending and 300 foreign patent applications pending. Unpatented research, development and engineering skills also make an important contribution to our business. Although o</w:t>
      </w:r>
      <w:r>
        <w:rPr>
          <w:rFonts w:ascii="IBM Plex Sans" w:eastAsia="Times New Roman" w:hAnsi="IBM Plex Sans"/>
          <w:color w:val="283030"/>
          <w:sz w:val="20"/>
          <w:szCs w:val="20"/>
        </w:rPr>
        <w:t>ur intellectual property rights in the aggregate are important to our business and the operations of our business segments, we do not consider our business or any business segment to be materially dependent on any single patent, license or other intellectu</w:t>
      </w:r>
      <w:r>
        <w:rPr>
          <w:rFonts w:ascii="IBM Plex Sans" w:eastAsia="Times New Roman" w:hAnsi="IBM Plex Sans"/>
          <w:color w:val="283030"/>
          <w:sz w:val="20"/>
          <w:szCs w:val="20"/>
        </w:rPr>
        <w:t>al property right, or any group of related patents, licenses or other intellectual property rights. We are engaged in a proactive patent licensing program and have entered into a number of licenses and cross-license agreements, some of which generate royal</w:t>
      </w:r>
      <w:r>
        <w:rPr>
          <w:rFonts w:ascii="IBM Plex Sans" w:eastAsia="Times New Roman" w:hAnsi="IBM Plex Sans"/>
          <w:color w:val="283030"/>
          <w:sz w:val="20"/>
          <w:szCs w:val="20"/>
        </w:rPr>
        <w:t>ty income. Although existing license agreements have generated income in past years and may do so in the future, there can be no assurances we will enter into additional income-producing license agreements. From time to time, we engage in litigation to pro</w:t>
      </w:r>
      <w:r>
        <w:rPr>
          <w:rFonts w:ascii="IBM Plex Sans" w:eastAsia="Times New Roman" w:hAnsi="IBM Plex Sans"/>
          <w:color w:val="283030"/>
          <w:sz w:val="20"/>
          <w:szCs w:val="20"/>
        </w:rPr>
        <w:t xml:space="preserve">tect our patents and other intellectual property. Any of our patents, trade secrets, trademarks, copyrights and other proprietary rights could be challenged, invalidated or circumvented, or may not provide competitive advantages. For further discussion of </w:t>
      </w:r>
      <w:r>
        <w:rPr>
          <w:rFonts w:ascii="IBM Plex Sans" w:eastAsia="Times New Roman" w:hAnsi="IBM Plex Sans"/>
          <w:color w:val="283030"/>
          <w:sz w:val="20"/>
          <w:szCs w:val="20"/>
        </w:rPr>
        <w:t>risks relating to intellectual property, see “Item 1A. Risk Factors” of this Report. With regard to certain patents, the U.S. Government has an irrevocable, non-exclusive, royalty-free license, pursuant to which the U.S. Government may use or authorize oth</w:t>
      </w:r>
      <w:r>
        <w:rPr>
          <w:rFonts w:ascii="IBM Plex Sans" w:eastAsia="Times New Roman" w:hAnsi="IBM Plex Sans"/>
          <w:color w:val="283030"/>
          <w:sz w:val="20"/>
          <w:szCs w:val="20"/>
        </w:rPr>
        <w:t xml:space="preserve">ers to use the inventions covered by such patents. Pursuant to similar arrangements, the U.S. Government may </w:t>
      </w:r>
    </w:p>
    <w:p w:rsidR="00000000" w:rsidRDefault="00F5481A">
      <w:pPr>
        <w:ind w:firstLine="360"/>
        <w:jc w:val="center"/>
        <w:divId w:val="567616680"/>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7</w:t>
      </w:r>
    </w:p>
    <w:p w:rsidR="00000000" w:rsidRDefault="00F5481A">
      <w:pPr>
        <w:rPr>
          <w:rFonts w:eastAsia="Times New Roman"/>
        </w:rPr>
      </w:pPr>
      <w:r>
        <w:rPr>
          <w:rFonts w:eastAsia="Times New Roman"/>
        </w:rPr>
        <w:pict>
          <v:rect id="_x0000_i1037" style="width:0;height:1.5pt" o:hralign="center" o:hrstd="t" o:hr="t" fillcolor="#a0a0a0" stroked="f"/>
        </w:pict>
      </w:r>
    </w:p>
    <w:p w:rsidR="00000000" w:rsidRDefault="00F5481A">
      <w:pPr>
        <w:ind w:firstLine="360"/>
        <w:divId w:val="516621082"/>
        <w:rPr>
          <w:rFonts w:eastAsia="Times New Roman"/>
        </w:rPr>
      </w:pPr>
    </w:p>
    <w:p w:rsidR="00000000" w:rsidRDefault="00F5481A">
      <w:pPr>
        <w:divId w:val="409543176"/>
        <w:rPr>
          <w:rFonts w:eastAsia="Times New Roman"/>
        </w:rPr>
      </w:pPr>
      <w:r>
        <w:rPr>
          <w:rFonts w:ascii="IBM Plex Sans" w:eastAsia="Times New Roman" w:hAnsi="IBM Plex Sans"/>
          <w:color w:val="283030"/>
          <w:sz w:val="20"/>
          <w:szCs w:val="20"/>
        </w:rPr>
        <w:t>consent to our use of inventions cov</w:t>
      </w:r>
      <w:r>
        <w:rPr>
          <w:rFonts w:ascii="IBM Plex Sans" w:eastAsia="Times New Roman" w:hAnsi="IBM Plex Sans"/>
          <w:color w:val="283030"/>
          <w:sz w:val="20"/>
          <w:szCs w:val="20"/>
        </w:rPr>
        <w:t>ered by patents owned by other persons. Numerous trademarks used on or in connection with our products are also considered to be a valuable asset.</w:t>
      </w:r>
    </w:p>
    <w:p w:rsidR="00000000" w:rsidRDefault="00F5481A">
      <w:pPr>
        <w:divId w:val="589310558"/>
        <w:rPr>
          <w:rFonts w:eastAsia="Times New Roman"/>
        </w:rPr>
      </w:pPr>
      <w:r>
        <w:rPr>
          <w:rFonts w:ascii="IBM Plex Sans SemiBold" w:eastAsia="Times New Roman" w:hAnsi="IBM Plex Sans SemiBold"/>
          <w:b/>
          <w:bCs/>
          <w:color w:val="016676"/>
          <w:sz w:val="20"/>
          <w:szCs w:val="20"/>
        </w:rPr>
        <w:t>Government Regulations</w:t>
      </w:r>
    </w:p>
    <w:p w:rsidR="00000000" w:rsidRDefault="00F5481A">
      <w:pPr>
        <w:ind w:firstLine="360"/>
        <w:divId w:val="1915384539"/>
        <w:rPr>
          <w:rFonts w:eastAsia="Times New Roman"/>
        </w:rPr>
      </w:pPr>
      <w:r>
        <w:rPr>
          <w:rFonts w:ascii="IBM Plex Sans" w:eastAsia="Times New Roman" w:hAnsi="IBM Plex Sans"/>
          <w:color w:val="283030"/>
          <w:sz w:val="20"/>
          <w:szCs w:val="20"/>
        </w:rPr>
        <w:t>Our company is subject to various Federal, state, local and international laws and reg</w:t>
      </w:r>
      <w:r>
        <w:rPr>
          <w:rFonts w:ascii="IBM Plex Sans" w:eastAsia="Times New Roman" w:hAnsi="IBM Plex Sans"/>
          <w:color w:val="283030"/>
          <w:sz w:val="20"/>
          <w:szCs w:val="20"/>
        </w:rPr>
        <w:t>ulations relating to the development, manufacturing, sale and distribution of our products and services, and it is our policy to comply with the applicable laws in each jurisdiction in which we conduct business. Regulations include, but are not limited to,</w:t>
      </w:r>
      <w:r>
        <w:rPr>
          <w:rFonts w:ascii="IBM Plex Sans" w:eastAsia="Times New Roman" w:hAnsi="IBM Plex Sans"/>
          <w:color w:val="283030"/>
          <w:sz w:val="20"/>
          <w:szCs w:val="20"/>
        </w:rPr>
        <w:t xml:space="preserve"> those related to import and export controls, corruption, bribery, the protection of the environment, government procurement, wireless communications, competition, product safety, workplace health and safety, employment, labor and data privacy. The followi</w:t>
      </w:r>
      <w:r>
        <w:rPr>
          <w:rFonts w:ascii="IBM Plex Sans" w:eastAsia="Times New Roman" w:hAnsi="IBM Plex Sans"/>
          <w:color w:val="283030"/>
          <w:sz w:val="20"/>
          <w:szCs w:val="20"/>
        </w:rPr>
        <w:t>ng describes significant regulations that may impact our businesses. For further discussion of risks relating to government regulations, see “Item 1A. Risk Factors” of this Report.</w:t>
      </w:r>
    </w:p>
    <w:p w:rsidR="00000000" w:rsidRDefault="00F5481A">
      <w:pPr>
        <w:ind w:firstLine="360"/>
        <w:divId w:val="1499542581"/>
        <w:rPr>
          <w:rFonts w:eastAsia="Times New Roman"/>
        </w:rPr>
      </w:pPr>
      <w:r>
        <w:rPr>
          <w:rFonts w:ascii="IBM Plex Sans" w:eastAsia="Times New Roman" w:hAnsi="IBM Plex Sans"/>
          <w:b/>
          <w:bCs/>
          <w:i/>
          <w:iCs/>
          <w:color w:val="016676"/>
          <w:sz w:val="20"/>
          <w:szCs w:val="20"/>
        </w:rPr>
        <w:t>Import/Export Regulations.</w:t>
      </w:r>
      <w:r>
        <w:rPr>
          <w:rFonts w:ascii="IBM Plex Sans" w:eastAsia="Times New Roman" w:hAnsi="IBM Plex Sans"/>
          <w:i/>
          <w:iCs/>
          <w:color w:val="283030"/>
          <w:sz w:val="20"/>
          <w:szCs w:val="20"/>
        </w:rPr>
        <w:t xml:space="preserve"> </w:t>
      </w:r>
      <w:r>
        <w:rPr>
          <w:rFonts w:ascii="IBM Plex Sans" w:eastAsia="Times New Roman" w:hAnsi="IBM Plex Sans"/>
          <w:color w:val="283030"/>
          <w:sz w:val="20"/>
          <w:szCs w:val="20"/>
        </w:rPr>
        <w:t xml:space="preserve">We sell products and solutions to customers all </w:t>
      </w:r>
      <w:r>
        <w:rPr>
          <w:rFonts w:ascii="IBM Plex Sans" w:eastAsia="Times New Roman" w:hAnsi="IBM Plex Sans"/>
          <w:color w:val="283030"/>
          <w:sz w:val="20"/>
          <w:szCs w:val="20"/>
        </w:rPr>
        <w:t>over the world and are required to comply with U.S. export control regulations, including the International Traffic in Arms Regulations (“ITAR”) and the U.S. Export Administration Regulations, and economic and trade sanctions programs limiting or banning s</w:t>
      </w:r>
      <w:r>
        <w:rPr>
          <w:rFonts w:ascii="IBM Plex Sans" w:eastAsia="Times New Roman" w:hAnsi="IBM Plex Sans"/>
          <w:color w:val="283030"/>
          <w:sz w:val="20"/>
          <w:szCs w:val="20"/>
        </w:rPr>
        <w:t>ales into certain countries. Countries outside of the U.S. have implemented similar controls and sanction regulations. Together, these controls and regulations may impose licensing requirements on exports of certain technology and software from the U.S. an</w:t>
      </w:r>
      <w:r>
        <w:rPr>
          <w:rFonts w:ascii="IBM Plex Sans" w:eastAsia="Times New Roman" w:hAnsi="IBM Plex Sans"/>
          <w:color w:val="283030"/>
          <w:sz w:val="20"/>
          <w:szCs w:val="20"/>
        </w:rPr>
        <w:t>d may impact our ability to transact business in certain countries or with certain customers. We have developed compliance programs and training to prevent violations of these programs and regulations, and we regularly monitor changes in the law and regula</w:t>
      </w:r>
      <w:r>
        <w:rPr>
          <w:rFonts w:ascii="IBM Plex Sans" w:eastAsia="Times New Roman" w:hAnsi="IBM Plex Sans"/>
          <w:color w:val="283030"/>
          <w:sz w:val="20"/>
          <w:szCs w:val="20"/>
        </w:rPr>
        <w:t>tions and create strategies to deal with changes. Changes in the law may restrict or further restrict our ability to sell products and solutions.</w:t>
      </w:r>
    </w:p>
    <w:p w:rsidR="00000000" w:rsidRDefault="00F5481A">
      <w:pPr>
        <w:ind w:firstLine="360"/>
        <w:divId w:val="1550606164"/>
        <w:rPr>
          <w:rFonts w:eastAsia="Times New Roman"/>
        </w:rPr>
      </w:pPr>
      <w:r>
        <w:rPr>
          <w:rFonts w:ascii="IBM Plex Sans" w:eastAsia="Times New Roman" w:hAnsi="IBM Plex Sans"/>
          <w:b/>
          <w:bCs/>
          <w:i/>
          <w:iCs/>
          <w:color w:val="016676"/>
          <w:sz w:val="20"/>
          <w:szCs w:val="20"/>
        </w:rPr>
        <w:t>Anti-Corruption Regulations.</w:t>
      </w:r>
      <w:r>
        <w:rPr>
          <w:rFonts w:ascii="IBM Plex Sans" w:eastAsia="Times New Roman" w:hAnsi="IBM Plex Sans"/>
          <w:i/>
          <w:iCs/>
          <w:color w:val="283030"/>
          <w:sz w:val="20"/>
          <w:szCs w:val="20"/>
        </w:rPr>
        <w:t xml:space="preserve"> </w:t>
      </w:r>
      <w:r>
        <w:rPr>
          <w:rFonts w:ascii="IBM Plex Sans" w:eastAsia="Times New Roman" w:hAnsi="IBM Plex Sans"/>
          <w:color w:val="283030"/>
          <w:sz w:val="20"/>
          <w:szCs w:val="20"/>
        </w:rPr>
        <w:t>Because we have significant international operations, we must comply with complex</w:t>
      </w:r>
      <w:r>
        <w:rPr>
          <w:rFonts w:ascii="IBM Plex Sans" w:eastAsia="Times New Roman" w:hAnsi="IBM Plex Sans"/>
          <w:color w:val="283030"/>
          <w:sz w:val="20"/>
          <w:szCs w:val="20"/>
        </w:rPr>
        <w:t xml:space="preserve"> regulations, including the U.S. Foreign Corrupt Practices Act (“FCPA”), the U.K. Bribery Act and other local laws prohibiting corrupt payments to governmental officials and anti-competition regulations. We have compliance policies, programs and training t</w:t>
      </w:r>
      <w:r>
        <w:rPr>
          <w:rFonts w:ascii="IBM Plex Sans" w:eastAsia="Times New Roman" w:hAnsi="IBM Plex Sans"/>
          <w:color w:val="283030"/>
          <w:sz w:val="20"/>
          <w:szCs w:val="20"/>
        </w:rPr>
        <w:t>o prevent non-compliance with such anti-corruption regulations in the U.S. and outside the U.S. We monitor pending and proposed legislation and regulatory changes that may impact our business and develop strategies to address the changes and incorporate th</w:t>
      </w:r>
      <w:r>
        <w:rPr>
          <w:rFonts w:ascii="IBM Plex Sans" w:eastAsia="Times New Roman" w:hAnsi="IBM Plex Sans"/>
          <w:color w:val="283030"/>
          <w:sz w:val="20"/>
          <w:szCs w:val="20"/>
        </w:rPr>
        <w:t>em into existing compliance programs.</w:t>
      </w:r>
    </w:p>
    <w:p w:rsidR="00000000" w:rsidRDefault="00F5481A">
      <w:pPr>
        <w:ind w:firstLine="360"/>
        <w:divId w:val="1176267964"/>
        <w:rPr>
          <w:rFonts w:eastAsia="Times New Roman"/>
        </w:rPr>
      </w:pPr>
      <w:r>
        <w:rPr>
          <w:rFonts w:ascii="IBM Plex Sans" w:eastAsia="Times New Roman" w:hAnsi="IBM Plex Sans"/>
          <w:b/>
          <w:bCs/>
          <w:i/>
          <w:iCs/>
          <w:color w:val="016676"/>
          <w:sz w:val="20"/>
          <w:szCs w:val="20"/>
        </w:rPr>
        <w:t xml:space="preserve">Environmental. </w:t>
      </w:r>
      <w:r>
        <w:rPr>
          <w:rFonts w:ascii="IBM Plex Sans" w:eastAsia="Times New Roman" w:hAnsi="IBM Plex Sans"/>
          <w:color w:val="283030"/>
          <w:sz w:val="20"/>
          <w:szCs w:val="20"/>
        </w:rPr>
        <w:t xml:space="preserve">Our operations are subject to and affected by U.S. Federal, state, local and foreign laws and regulations regarding discharge of materials into the environment or otherwise relating to the protection of </w:t>
      </w:r>
      <w:r>
        <w:rPr>
          <w:rFonts w:ascii="IBM Plex Sans" w:eastAsia="Times New Roman" w:hAnsi="IBM Plex Sans"/>
          <w:color w:val="283030"/>
          <w:sz w:val="20"/>
          <w:szCs w:val="20"/>
        </w:rPr>
        <w:t>the environment. We have previously announced our environmental sustainability goals: to reduce greenhouse gas (“GHG”) emissions by 30% and water usage by 20% from 2019 levels and achieve a 75% solid waste diversion rate (away from landfills) by 2026</w:t>
      </w:r>
      <w:r>
        <w:rPr>
          <w:rFonts w:ascii="IBM Plex Sans" w:eastAsia="Times New Roman" w:hAnsi="IBM Plex Sans"/>
          <w:color w:val="3051F2"/>
          <w:sz w:val="20"/>
          <w:szCs w:val="20"/>
        </w:rPr>
        <w:t xml:space="preserve">. </w:t>
      </w:r>
      <w:r>
        <w:rPr>
          <w:rFonts w:ascii="IBM Plex Sans" w:eastAsia="Times New Roman" w:hAnsi="IBM Plex Sans"/>
          <w:color w:val="283030"/>
          <w:sz w:val="20"/>
          <w:szCs w:val="20"/>
        </w:rPr>
        <w:t>We a</w:t>
      </w:r>
      <w:r>
        <w:rPr>
          <w:rFonts w:ascii="IBM Plex Sans" w:eastAsia="Times New Roman" w:hAnsi="IBM Plex Sans"/>
          <w:color w:val="283030"/>
          <w:sz w:val="20"/>
          <w:szCs w:val="20"/>
        </w:rPr>
        <w:t>re investing in renewable energy, including entering into a virtual power purchase agreement, and other solutions to achieve our GHG emission reduction target and our other environmental sustainability goals. In 2022, we measured our performance against th</w:t>
      </w:r>
      <w:r>
        <w:rPr>
          <w:rFonts w:ascii="IBM Plex Sans" w:eastAsia="Times New Roman" w:hAnsi="IBM Plex Sans"/>
          <w:color w:val="283030"/>
          <w:sz w:val="20"/>
          <w:szCs w:val="20"/>
        </w:rPr>
        <w:t>ese goals and exceeded our GHG emissions target, met our water use reduction target and are progressing forward in regards to our solid waste diversion rate from landfill. Additional information is provided in our Sustainability Report which can be found o</w:t>
      </w:r>
      <w:r>
        <w:rPr>
          <w:rFonts w:ascii="IBM Plex Sans" w:eastAsia="Times New Roman" w:hAnsi="IBM Plex Sans"/>
          <w:color w:val="283030"/>
          <w:sz w:val="20"/>
          <w:szCs w:val="20"/>
        </w:rPr>
        <w:t>n our Company website, and is not incorporated by reference into this Report.</w:t>
      </w:r>
    </w:p>
    <w:p w:rsidR="00000000" w:rsidRDefault="00F5481A">
      <w:pPr>
        <w:ind w:firstLine="360"/>
        <w:divId w:val="98186338"/>
        <w:rPr>
          <w:rFonts w:eastAsia="Times New Roman"/>
        </w:rPr>
      </w:pPr>
      <w:r>
        <w:rPr>
          <w:rFonts w:ascii="IBM Plex Sans" w:eastAsia="Times New Roman" w:hAnsi="IBM Plex Sans"/>
          <w:color w:val="283030"/>
          <w:sz w:val="20"/>
          <w:szCs w:val="20"/>
        </w:rPr>
        <w:t xml:space="preserve">We have incurred, and based on currently available information, we expect to continue to incur capital and operating costs to comply with existing and pending environmental laws </w:t>
      </w:r>
      <w:r>
        <w:rPr>
          <w:rFonts w:ascii="IBM Plex Sans" w:eastAsia="Times New Roman" w:hAnsi="IBM Plex Sans"/>
          <w:color w:val="283030"/>
          <w:sz w:val="20"/>
          <w:szCs w:val="20"/>
        </w:rPr>
        <w:t xml:space="preserve">and regulations. See “Item 1A. Risk Factors” and “Item 3. Legal Proceedings” of this Report and </w:t>
      </w:r>
      <w:r>
        <w:rPr>
          <w:rFonts w:ascii="IBM Plex Sans" w:eastAsia="Times New Roman" w:hAnsi="IBM Plex Sans"/>
          <w:i/>
          <w:iCs/>
          <w:color w:val="283030"/>
          <w:sz w:val="20"/>
          <w:szCs w:val="20"/>
        </w:rPr>
        <w:t>Note 1: Significant Accounting Policies</w:t>
      </w:r>
      <w:r>
        <w:rPr>
          <w:rFonts w:ascii="IBM Plex Sans" w:eastAsia="Times New Roman" w:hAnsi="IBM Plex Sans"/>
          <w:color w:val="283030"/>
          <w:sz w:val="20"/>
          <w:szCs w:val="20"/>
        </w:rPr>
        <w:t xml:space="preserve"> and </w:t>
      </w:r>
      <w:r>
        <w:rPr>
          <w:rFonts w:ascii="IBM Plex Sans" w:eastAsia="Times New Roman" w:hAnsi="IBM Plex Sans"/>
          <w:i/>
          <w:iCs/>
          <w:color w:val="283030"/>
          <w:sz w:val="20"/>
          <w:szCs w:val="20"/>
        </w:rPr>
        <w:t>Note 25: Legal Proceedings and Contingencies</w:t>
      </w:r>
      <w:r>
        <w:rPr>
          <w:rFonts w:ascii="IBM Plex Sans" w:eastAsia="Times New Roman" w:hAnsi="IBM Plex Sans"/>
          <w:color w:val="283030"/>
          <w:sz w:val="20"/>
          <w:szCs w:val="20"/>
        </w:rPr>
        <w:t xml:space="preserve"> in the Notes.</w:t>
      </w:r>
    </w:p>
    <w:p w:rsidR="00000000" w:rsidRDefault="00F5481A">
      <w:pPr>
        <w:ind w:firstLine="360"/>
        <w:jc w:val="center"/>
        <w:divId w:val="662972978"/>
        <w:rPr>
          <w:rFonts w:eastAsia="Times New Roman"/>
        </w:rPr>
      </w:pPr>
      <w:r>
        <w:rPr>
          <w:rFonts w:ascii="Arial" w:eastAsia="Times New Roman" w:hAnsi="Arial" w:cs="Arial"/>
          <w:b/>
          <w:bCs/>
          <w:color w:val="016676"/>
        </w:rPr>
        <w:t>_________________________________________________________</w:t>
      </w:r>
      <w:r>
        <w:rPr>
          <w:rFonts w:ascii="Arial" w:eastAsia="Times New Roman" w:hAnsi="Arial" w:cs="Arial"/>
          <w:b/>
          <w:bCs/>
          <w:color w:val="016676"/>
        </w:rPr>
        <w:t>____________</w:t>
      </w:r>
      <w:r>
        <w:rPr>
          <w:rFonts w:ascii="Arial" w:eastAsia="Times New Roman" w:hAnsi="Arial" w:cs="Arial"/>
          <w:b/>
          <w:bCs/>
          <w:color w:val="233D6F"/>
        </w:rPr>
        <w:br/>
      </w:r>
      <w:r>
        <w:rPr>
          <w:rFonts w:ascii="IBM Plex Sans" w:eastAsia="Times New Roman" w:hAnsi="IBM Plex Sans"/>
          <w:color w:val="283030"/>
          <w:sz w:val="20"/>
          <w:szCs w:val="20"/>
        </w:rPr>
        <w:t>8</w:t>
      </w:r>
    </w:p>
    <w:p w:rsidR="00000000" w:rsidRDefault="00F5481A">
      <w:pPr>
        <w:rPr>
          <w:rFonts w:eastAsia="Times New Roman"/>
        </w:rPr>
      </w:pPr>
      <w:r>
        <w:rPr>
          <w:rFonts w:eastAsia="Times New Roman"/>
        </w:rPr>
        <w:pict>
          <v:rect id="_x0000_i1038" style="width:0;height:1.5pt" o:hralign="center" o:hrstd="t" o:hr="t" fillcolor="#a0a0a0" stroked="f"/>
        </w:pict>
      </w:r>
    </w:p>
    <w:p w:rsidR="00000000" w:rsidRDefault="00F5481A">
      <w:pPr>
        <w:ind w:firstLine="360"/>
        <w:divId w:val="1762867984"/>
        <w:rPr>
          <w:rFonts w:eastAsia="Times New Roman"/>
        </w:rPr>
      </w:pPr>
    </w:p>
    <w:p w:rsidR="00000000" w:rsidRDefault="00F5481A">
      <w:pPr>
        <w:divId w:val="1216545649"/>
        <w:rPr>
          <w:rFonts w:eastAsia="Times New Roman"/>
        </w:rPr>
      </w:pPr>
      <w:r>
        <w:rPr>
          <w:rFonts w:ascii="IBM Plex Sans SemiBold" w:eastAsia="Times New Roman" w:hAnsi="IBM Plex Sans SemiBold"/>
          <w:b/>
          <w:bCs/>
          <w:color w:val="016676"/>
          <w:sz w:val="20"/>
          <w:szCs w:val="20"/>
        </w:rPr>
        <w:t>Materials, Suppliers and Seasonality</w:t>
      </w:r>
    </w:p>
    <w:p w:rsidR="00000000" w:rsidRDefault="00F5481A">
      <w:pPr>
        <w:ind w:firstLine="360"/>
        <w:divId w:val="31073537"/>
        <w:rPr>
          <w:rFonts w:eastAsia="Times New Roman"/>
        </w:rPr>
      </w:pPr>
      <w:r>
        <w:rPr>
          <w:rFonts w:ascii="IBM Plex Sans" w:eastAsia="Times New Roman" w:hAnsi="IBM Plex Sans"/>
          <w:color w:val="283030"/>
          <w:sz w:val="20"/>
          <w:szCs w:val="20"/>
        </w:rPr>
        <w:t>Because of the diversity of our products and services, as well as the wide geographic dispersion of our facilities, we use numerous sources for the wide array of materials, such as electronic components, printed circuit boards, metals and plastics needed f</w:t>
      </w:r>
      <w:r>
        <w:rPr>
          <w:rFonts w:ascii="IBM Plex Sans" w:eastAsia="Times New Roman" w:hAnsi="IBM Plex Sans"/>
          <w:color w:val="283030"/>
          <w:sz w:val="20"/>
          <w:szCs w:val="20"/>
        </w:rPr>
        <w:t>or our operations and for our products. We are dependent on suppliers and subcontractors for a large number of components and subsystems and the ability of our suppliers and subcontractors to adhere to customer or regulatory materials restrictions and to m</w:t>
      </w:r>
      <w:r>
        <w:rPr>
          <w:rFonts w:ascii="IBM Plex Sans" w:eastAsia="Times New Roman" w:hAnsi="IBM Plex Sans"/>
          <w:color w:val="283030"/>
          <w:sz w:val="20"/>
          <w:szCs w:val="20"/>
        </w:rPr>
        <w:t>eet performance and quality specifications and delivery schedules. In some instances, we are dependent on one or a few sources, either because of the specialized nature of a particular item or because of local content preference requirements pursuant to wh</w:t>
      </w:r>
      <w:r>
        <w:rPr>
          <w:rFonts w:ascii="IBM Plex Sans" w:eastAsia="Times New Roman" w:hAnsi="IBM Plex Sans"/>
          <w:color w:val="283030"/>
          <w:sz w:val="20"/>
          <w:szCs w:val="20"/>
        </w:rPr>
        <w:t>ich we operate on a given project. In addition, in connection with our U.S. Government contracts, we are required to procure certain materials, components and parts, including microelectronics components, from supply sources approved by the U.S. Government</w:t>
      </w:r>
      <w:r>
        <w:rPr>
          <w:rFonts w:ascii="IBM Plex Sans" w:eastAsia="Times New Roman" w:hAnsi="IBM Plex Sans"/>
          <w:color w:val="283030"/>
          <w:sz w:val="20"/>
          <w:szCs w:val="20"/>
        </w:rPr>
        <w:t xml:space="preserve">, which may limit the suppliers and subcontractors we may utilize. Although we have been affected by financial and performance issues of some of our suppliers and subcontractors, other than in our CS segment, we have not been materially adversely affected </w:t>
      </w:r>
      <w:r>
        <w:rPr>
          <w:rFonts w:ascii="IBM Plex Sans" w:eastAsia="Times New Roman" w:hAnsi="IBM Plex Sans"/>
          <w:color w:val="283030"/>
          <w:sz w:val="20"/>
          <w:szCs w:val="20"/>
        </w:rPr>
        <w:t>by the inability to obtain materials or products. On occasion, we have experienced component shortages from vendors as a result of pandemics, natural disasters, or the shifting regulatory landscape. These events or regulations may cause a spike in demand f</w:t>
      </w:r>
      <w:r>
        <w:rPr>
          <w:rFonts w:ascii="IBM Plex Sans" w:eastAsia="Times New Roman" w:hAnsi="IBM Plex Sans"/>
          <w:color w:val="283030"/>
          <w:sz w:val="20"/>
          <w:szCs w:val="20"/>
        </w:rPr>
        <w:t xml:space="preserve">or certain electronic components, such as lead-free components, resulting in industry-wide supply chain disruptions. </w:t>
      </w:r>
    </w:p>
    <w:p w:rsidR="00000000" w:rsidRDefault="00F5481A">
      <w:pPr>
        <w:ind w:firstLine="360"/>
        <w:divId w:val="602109418"/>
        <w:rPr>
          <w:rFonts w:eastAsia="Times New Roman"/>
        </w:rPr>
      </w:pPr>
      <w:r>
        <w:rPr>
          <w:rFonts w:ascii="IBM Plex Sans" w:eastAsia="Times New Roman" w:hAnsi="IBM Plex Sans"/>
          <w:color w:val="283030"/>
          <w:sz w:val="20"/>
          <w:szCs w:val="20"/>
        </w:rPr>
        <w:t>Revenue and operating income have been, and we expect will continue to be, adversely impacted by supply chain disruptions, primarily in our CS segment. While our product demand remains strong, we can give no assurances and the ultimate extent of the supply</w:t>
      </w:r>
      <w:r>
        <w:rPr>
          <w:rFonts w:ascii="IBM Plex Sans" w:eastAsia="Times New Roman" w:hAnsi="IBM Plex Sans"/>
          <w:color w:val="283030"/>
          <w:sz w:val="20"/>
          <w:szCs w:val="20"/>
        </w:rPr>
        <w:t xml:space="preserve"> chain disruptions to our CS segment remains uncertain. For further discussion of risks relating to subcontractors and suppliers, see “Item 1A. Risk Factors” of this Report. </w:t>
      </w:r>
    </w:p>
    <w:p w:rsidR="00000000" w:rsidRDefault="00F5481A">
      <w:pPr>
        <w:ind w:firstLine="360"/>
        <w:divId w:val="847132626"/>
        <w:rPr>
          <w:rFonts w:eastAsia="Times New Roman"/>
        </w:rPr>
      </w:pPr>
      <w:r>
        <w:rPr>
          <w:rFonts w:ascii="IBM Plex Sans" w:eastAsia="Times New Roman" w:hAnsi="IBM Plex Sans"/>
          <w:color w:val="283030"/>
          <w:sz w:val="20"/>
          <w:szCs w:val="20"/>
        </w:rPr>
        <w:t>We do not consider any material portion of our business to be seasonal. Various f</w:t>
      </w:r>
      <w:r>
        <w:rPr>
          <w:rFonts w:ascii="IBM Plex Sans" w:eastAsia="Times New Roman" w:hAnsi="IBM Plex Sans"/>
          <w:color w:val="283030"/>
          <w:sz w:val="20"/>
          <w:szCs w:val="20"/>
        </w:rPr>
        <w:t>actors can affect the distribution of our revenue between accounting periods, including the timing of contract awards and the timing and availability of U.S. Government funding, as well as the timing of product deliveries and customer acceptance.</w:t>
      </w:r>
    </w:p>
    <w:p w:rsidR="00000000" w:rsidRDefault="00F5481A">
      <w:pPr>
        <w:divId w:val="72628490"/>
        <w:rPr>
          <w:rFonts w:eastAsia="Times New Roman"/>
        </w:rPr>
      </w:pPr>
      <w:r>
        <w:rPr>
          <w:rFonts w:ascii="IBM Plex Sans SemiBold" w:eastAsia="Times New Roman" w:hAnsi="IBM Plex Sans SemiBold"/>
          <w:b/>
          <w:bCs/>
          <w:color w:val="016676"/>
          <w:sz w:val="20"/>
          <w:szCs w:val="20"/>
        </w:rPr>
        <w:t>Human Cap</w:t>
      </w:r>
      <w:r>
        <w:rPr>
          <w:rFonts w:ascii="IBM Plex Sans SemiBold" w:eastAsia="Times New Roman" w:hAnsi="IBM Plex Sans SemiBold"/>
          <w:b/>
          <w:bCs/>
          <w:color w:val="016676"/>
          <w:sz w:val="20"/>
          <w:szCs w:val="20"/>
        </w:rPr>
        <w:t xml:space="preserve">ital </w:t>
      </w:r>
    </w:p>
    <w:p w:rsidR="00000000" w:rsidRDefault="00F5481A">
      <w:pPr>
        <w:ind w:firstLine="360"/>
        <w:divId w:val="1554192501"/>
        <w:rPr>
          <w:rFonts w:eastAsia="Times New Roman"/>
        </w:rPr>
      </w:pPr>
      <w:r>
        <w:rPr>
          <w:rFonts w:ascii="IBM Plex Sans" w:eastAsia="Times New Roman" w:hAnsi="IBM Plex Sans"/>
          <w:color w:val="283030"/>
          <w:sz w:val="20"/>
          <w:szCs w:val="20"/>
        </w:rPr>
        <w:t>As a global aerospace and defense technology company, our performance is dependent on our highly educated and skilled workforce for our success. Attracting, developing, motivating and retaining highly skilled employees, particularly those with techni</w:t>
      </w:r>
      <w:r>
        <w:rPr>
          <w:rFonts w:ascii="IBM Plex Sans" w:eastAsia="Times New Roman" w:hAnsi="IBM Plex Sans"/>
          <w:color w:val="283030"/>
          <w:sz w:val="20"/>
          <w:szCs w:val="20"/>
        </w:rPr>
        <w:t>cal, engineering and science backgrounds and experience, is a critical factor in our ability to execute our strategic priorities. We use human capital measures to set goals and monitor performance in several areas, including employee health and safety; tal</w:t>
      </w:r>
      <w:r>
        <w:rPr>
          <w:rFonts w:ascii="IBM Plex Sans" w:eastAsia="Times New Roman" w:hAnsi="IBM Plex Sans"/>
          <w:color w:val="283030"/>
          <w:sz w:val="20"/>
          <w:szCs w:val="20"/>
        </w:rPr>
        <w:t>ent acquisition, development and retention; and diversity, equity and inclusion.</w:t>
      </w:r>
    </w:p>
    <w:p w:rsidR="00000000" w:rsidRDefault="00F5481A">
      <w:pPr>
        <w:ind w:firstLine="360"/>
        <w:divId w:val="1027028739"/>
        <w:rPr>
          <w:rFonts w:eastAsia="Times New Roman"/>
        </w:rPr>
      </w:pPr>
      <w:r>
        <w:rPr>
          <w:rFonts w:ascii="IBM Plex Sans" w:eastAsia="Times New Roman" w:hAnsi="IBM Plex Sans"/>
          <w:b/>
          <w:bCs/>
          <w:i/>
          <w:iCs/>
          <w:color w:val="016676"/>
          <w:sz w:val="20"/>
          <w:szCs w:val="20"/>
        </w:rPr>
        <w:t xml:space="preserve">Workforce Demographics. </w:t>
      </w:r>
      <w:r>
        <w:rPr>
          <w:rFonts w:ascii="IBM Plex Sans" w:eastAsia="Times New Roman" w:hAnsi="IBM Plex Sans"/>
          <w:color w:val="283030"/>
          <w:sz w:val="20"/>
          <w:szCs w:val="20"/>
        </w:rPr>
        <w:t>We had approximately 46,000 employees at December 30, 2022, including approximately 20,000 engineers and scientists. Approximately 88% of our employees</w:t>
      </w:r>
      <w:r>
        <w:rPr>
          <w:rFonts w:ascii="IBM Plex Sans" w:eastAsia="Times New Roman" w:hAnsi="IBM Plex Sans"/>
          <w:color w:val="283030"/>
          <w:sz w:val="20"/>
          <w:szCs w:val="20"/>
        </w:rPr>
        <w:t xml:space="preserve"> are located in the U.S. and a significant number of our employees possess a U.S. Government security clearance. As of December 30, 2022, approximately 2,500, or 6%, of our U.S. employees were covered by various collective bargaining agreements, which we e</w:t>
      </w:r>
      <w:r>
        <w:rPr>
          <w:rFonts w:ascii="IBM Plex Sans" w:eastAsia="Times New Roman" w:hAnsi="IBM Plex Sans"/>
          <w:color w:val="283030"/>
          <w:sz w:val="20"/>
          <w:szCs w:val="20"/>
        </w:rPr>
        <w:t xml:space="preserve">xpect will be renegotiated as they expire, as we historically have done without significant disruption to operating activities. </w:t>
      </w:r>
    </w:p>
    <w:p w:rsidR="00000000" w:rsidRDefault="00F5481A">
      <w:pPr>
        <w:ind w:firstLine="360"/>
        <w:divId w:val="417097477"/>
        <w:rPr>
          <w:rFonts w:eastAsia="Times New Roman"/>
        </w:rPr>
      </w:pPr>
      <w:r>
        <w:rPr>
          <w:rFonts w:ascii="IBM Plex Sans" w:eastAsia="Times New Roman" w:hAnsi="IBM Plex Sans"/>
          <w:b/>
          <w:bCs/>
          <w:i/>
          <w:iCs/>
          <w:color w:val="016676"/>
          <w:sz w:val="20"/>
          <w:szCs w:val="20"/>
        </w:rPr>
        <w:t xml:space="preserve">Health and Safety. </w:t>
      </w:r>
      <w:r>
        <w:rPr>
          <w:rFonts w:ascii="IBM Plex Sans" w:eastAsia="Times New Roman" w:hAnsi="IBM Plex Sans"/>
          <w:color w:val="283030"/>
          <w:sz w:val="20"/>
          <w:szCs w:val="20"/>
        </w:rPr>
        <w:t>We strive to maintain a safe work environment for all employees and eliminate workplace incidents, risks and</w:t>
      </w:r>
      <w:r>
        <w:rPr>
          <w:rFonts w:ascii="IBM Plex Sans" w:eastAsia="Times New Roman" w:hAnsi="IBM Plex Sans"/>
          <w:color w:val="283030"/>
          <w:sz w:val="20"/>
          <w:szCs w:val="20"/>
        </w:rPr>
        <w:t xml:space="preserve"> hazards. We review and monitor our performance closely to reduce Occupational Safety and Health Administration reportable incidents. For fiscal 2022, our total recordable injury rate declined by 17% and lost day injury rate declined by 18%, compared with </w:t>
      </w:r>
      <w:r>
        <w:rPr>
          <w:rFonts w:ascii="IBM Plex Sans" w:eastAsia="Times New Roman" w:hAnsi="IBM Plex Sans"/>
          <w:color w:val="283030"/>
          <w:sz w:val="20"/>
          <w:szCs w:val="20"/>
        </w:rPr>
        <w:t xml:space="preserve">the previous year, while numerous locations across L3Harris reached one year or more without a recordable injury. </w:t>
      </w:r>
    </w:p>
    <w:p w:rsidR="00000000" w:rsidRDefault="00F5481A">
      <w:pPr>
        <w:ind w:firstLine="360"/>
        <w:divId w:val="1217741096"/>
        <w:rPr>
          <w:rFonts w:eastAsia="Times New Roman"/>
        </w:rPr>
      </w:pPr>
      <w:r>
        <w:rPr>
          <w:rFonts w:ascii="IBM Plex Sans" w:eastAsia="Times New Roman" w:hAnsi="IBM Plex Sans"/>
          <w:b/>
          <w:bCs/>
          <w:i/>
          <w:iCs/>
          <w:color w:val="016676"/>
          <w:sz w:val="20"/>
          <w:szCs w:val="20"/>
        </w:rPr>
        <w:t>Talent Acquisition, Development and Retention.</w:t>
      </w:r>
      <w:r>
        <w:rPr>
          <w:rFonts w:ascii="IBM Plex Sans" w:eastAsia="Times New Roman" w:hAnsi="IBM Plex Sans"/>
          <w:b/>
          <w:bCs/>
          <w:color w:val="283030"/>
          <w:sz w:val="20"/>
          <w:szCs w:val="20"/>
        </w:rPr>
        <w:t xml:space="preserve"> </w:t>
      </w:r>
      <w:r>
        <w:rPr>
          <w:rFonts w:ascii="IBM Plex Sans" w:eastAsia="Times New Roman" w:hAnsi="IBM Plex Sans"/>
          <w:color w:val="283030"/>
          <w:sz w:val="20"/>
          <w:szCs w:val="20"/>
        </w:rPr>
        <w:t>Our talent acquisition, development and retention strategy is focused on attracting the best t</w:t>
      </w:r>
      <w:r>
        <w:rPr>
          <w:rFonts w:ascii="IBM Plex Sans" w:eastAsia="Times New Roman" w:hAnsi="IBM Plex Sans"/>
          <w:color w:val="283030"/>
          <w:sz w:val="20"/>
          <w:szCs w:val="20"/>
        </w:rPr>
        <w:t>alent and recognizing and rewarding performance while continually developing, engaging and retaining high-performing employees. We strive to attract employees in all stages of their careers. In addition to hiring approximately 7,500 new employees, L3Harris</w:t>
      </w:r>
      <w:r>
        <w:rPr>
          <w:rFonts w:ascii="IBM Plex Sans" w:eastAsia="Times New Roman" w:hAnsi="IBM Plex Sans"/>
          <w:color w:val="283030"/>
          <w:sz w:val="20"/>
          <w:szCs w:val="20"/>
        </w:rPr>
        <w:t xml:space="preserve"> was recognized with nearly 15 employer awards or recognitions from external organizations in fiscal 2022. Our development philosophy centers around creating broad experiences, setting “SMART” (specific, measurable, achievable, realistic, and timely) perfo</w:t>
      </w:r>
      <w:r>
        <w:rPr>
          <w:rFonts w:ascii="IBM Plex Sans" w:eastAsia="Times New Roman" w:hAnsi="IBM Plex Sans"/>
          <w:color w:val="283030"/>
          <w:sz w:val="20"/>
          <w:szCs w:val="20"/>
        </w:rPr>
        <w:t>rmance goals and offering continuous feedback and learning opportunities. We provide formal and informal development aligned with individual learning styles including: self-directed personal and professional development through e-learning, books and videos</w:t>
      </w:r>
      <w:r>
        <w:rPr>
          <w:rFonts w:ascii="IBM Plex Sans" w:eastAsia="Times New Roman" w:hAnsi="IBM Plex Sans"/>
          <w:color w:val="283030"/>
          <w:sz w:val="20"/>
          <w:szCs w:val="20"/>
        </w:rPr>
        <w:t>; professional certification support; leadership development programs developed in partnership with leading universities; rotational development programs; and on-the-job learning. Annually and quarterly, we assign learning content that supports our “e3” op</w:t>
      </w:r>
      <w:r>
        <w:rPr>
          <w:rFonts w:ascii="IBM Plex Sans" w:eastAsia="Times New Roman" w:hAnsi="IBM Plex Sans"/>
          <w:color w:val="283030"/>
          <w:sz w:val="20"/>
          <w:szCs w:val="20"/>
        </w:rPr>
        <w:t xml:space="preserve">erating system (excellence, everywhere, everyday), Code of Conduct, ethical standards, compliance with laws applicable to our business and responsibility for safety and environmental goals. We offer competitive salaries and comprehensive benefit packages, </w:t>
      </w:r>
      <w:r>
        <w:rPr>
          <w:rFonts w:ascii="IBM Plex Sans" w:eastAsia="Times New Roman" w:hAnsi="IBM Plex Sans"/>
          <w:color w:val="283030"/>
          <w:sz w:val="20"/>
          <w:szCs w:val="20"/>
        </w:rPr>
        <w:t xml:space="preserve">including health care, retirement planning and employer retirement contributions, educational assistance, child and elder back-up care, paid parental leave </w:t>
      </w:r>
    </w:p>
    <w:p w:rsidR="00000000" w:rsidRDefault="00F5481A">
      <w:pPr>
        <w:ind w:firstLine="360"/>
        <w:jc w:val="center"/>
        <w:divId w:val="936640986"/>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9</w:t>
      </w:r>
    </w:p>
    <w:p w:rsidR="00000000" w:rsidRDefault="00F5481A">
      <w:pPr>
        <w:rPr>
          <w:rFonts w:eastAsia="Times New Roman"/>
        </w:rPr>
      </w:pPr>
      <w:r>
        <w:rPr>
          <w:rFonts w:eastAsia="Times New Roman"/>
        </w:rPr>
        <w:pict>
          <v:rect id="_x0000_i1039" style="width:0;height:1.5pt" o:hralign="center" o:hrstd="t" o:hr="t" fillcolor="#a0a0a0" stroked="f"/>
        </w:pict>
      </w:r>
    </w:p>
    <w:p w:rsidR="00000000" w:rsidRDefault="00F5481A">
      <w:pPr>
        <w:ind w:firstLine="360"/>
        <w:divId w:val="444151537"/>
        <w:rPr>
          <w:rFonts w:eastAsia="Times New Roman"/>
        </w:rPr>
      </w:pPr>
    </w:p>
    <w:p w:rsidR="00000000" w:rsidRDefault="00F5481A">
      <w:pPr>
        <w:divId w:val="1288898634"/>
        <w:rPr>
          <w:rFonts w:eastAsia="Times New Roman"/>
        </w:rPr>
      </w:pPr>
      <w:r>
        <w:rPr>
          <w:rFonts w:ascii="IBM Plex Sans" w:eastAsia="Times New Roman" w:hAnsi="IBM Plex Sans"/>
          <w:color w:val="283030"/>
          <w:sz w:val="20"/>
          <w:szCs w:val="20"/>
        </w:rPr>
        <w:t>and a discretionary paid time off program. In addition, our Ramp program is designed to support employees in transition, including those returning to work from parental leave or preparing for retirement. Finally, we have established a comprehen</w:t>
      </w:r>
      <w:r>
        <w:rPr>
          <w:rFonts w:ascii="IBM Plex Sans" w:eastAsia="Times New Roman" w:hAnsi="IBM Plex Sans"/>
          <w:color w:val="283030"/>
          <w:sz w:val="20"/>
          <w:szCs w:val="20"/>
        </w:rPr>
        <w:t>sive listening strategy to help us better understand the employee experience through the use of multiple surveys over the course of the employee lifecycle. We use this feedback, in conjunction with external benchmarking and research, to identify areas in w</w:t>
      </w:r>
      <w:r>
        <w:rPr>
          <w:rFonts w:ascii="IBM Plex Sans" w:eastAsia="Times New Roman" w:hAnsi="IBM Plex Sans"/>
          <w:color w:val="283030"/>
          <w:sz w:val="20"/>
          <w:szCs w:val="20"/>
        </w:rPr>
        <w:t>hich we can enhance the employee experience and ensure every person feels engaged and motivated to do their best work.</w:t>
      </w:r>
    </w:p>
    <w:p w:rsidR="00000000" w:rsidRDefault="00F5481A">
      <w:pPr>
        <w:ind w:firstLine="360"/>
        <w:divId w:val="67193820"/>
        <w:rPr>
          <w:rFonts w:eastAsia="Times New Roman"/>
        </w:rPr>
      </w:pPr>
      <w:r>
        <w:rPr>
          <w:rFonts w:ascii="IBM Plex Sans" w:eastAsia="Times New Roman" w:hAnsi="IBM Plex Sans"/>
          <w:b/>
          <w:bCs/>
          <w:i/>
          <w:iCs/>
          <w:color w:val="016676"/>
          <w:sz w:val="20"/>
          <w:szCs w:val="20"/>
        </w:rPr>
        <w:t xml:space="preserve">Diversity, Equity and Inclusion. </w:t>
      </w:r>
      <w:r>
        <w:rPr>
          <w:rFonts w:ascii="IBM Plex Sans" w:eastAsia="Times New Roman" w:hAnsi="IBM Plex Sans"/>
          <w:color w:val="283030"/>
          <w:sz w:val="20"/>
          <w:szCs w:val="20"/>
        </w:rPr>
        <w:t>We believe that our future success depends on our ability to continue to innovate and develop new soluti</w:t>
      </w:r>
      <w:r>
        <w:rPr>
          <w:rFonts w:ascii="IBM Plex Sans" w:eastAsia="Times New Roman" w:hAnsi="IBM Plex Sans"/>
          <w:color w:val="283030"/>
          <w:sz w:val="20"/>
          <w:szCs w:val="20"/>
        </w:rPr>
        <w:t>ons to solve our customers’ most critical challenges, and that diversity of thought, experience, perspective and background drives innovation. We have established two clear goals: half of our workforce will be women and at least a third will be people of c</w:t>
      </w:r>
      <w:r>
        <w:rPr>
          <w:rFonts w:ascii="IBM Plex Sans" w:eastAsia="Times New Roman" w:hAnsi="IBM Plex Sans"/>
          <w:color w:val="283030"/>
          <w:sz w:val="20"/>
          <w:szCs w:val="20"/>
        </w:rPr>
        <w:t xml:space="preserve">olor. We are investing in an inclusive, equitable and diverse workforce by supporting a variety of science, technology, engineering and mathematics initiatives. We also have an established diversity council, co-chaired by our CEO and comprised of employee </w:t>
      </w:r>
      <w:r>
        <w:rPr>
          <w:rFonts w:ascii="IBM Plex Sans" w:eastAsia="Times New Roman" w:hAnsi="IBM Plex Sans"/>
          <w:color w:val="283030"/>
          <w:sz w:val="20"/>
          <w:szCs w:val="20"/>
        </w:rPr>
        <w:t>resource group leadership and executives from across the Company, to evaluate and influence the strategies, policies and steps we take to advance diversity, equity and inclusion. We offer nine employee resource groups that bring together employees from div</w:t>
      </w:r>
      <w:r>
        <w:rPr>
          <w:rFonts w:ascii="IBM Plex Sans" w:eastAsia="Times New Roman" w:hAnsi="IBM Plex Sans"/>
          <w:color w:val="283030"/>
          <w:sz w:val="20"/>
          <w:szCs w:val="20"/>
        </w:rPr>
        <w:t>erse backgrounds and foster networking, professional development and community outreach opportunities. We also further build inclusive behaviors and culture through ongoing learning throughout the year, encouraging conversation and action through initiativ</w:t>
      </w:r>
      <w:r>
        <w:rPr>
          <w:rFonts w:ascii="IBM Plex Sans" w:eastAsia="Times New Roman" w:hAnsi="IBM Plex Sans"/>
          <w:color w:val="283030"/>
          <w:sz w:val="20"/>
          <w:szCs w:val="20"/>
        </w:rPr>
        <w:t xml:space="preserve">es like our annual “Day of Understanding” event, “Six Signature Traits for Inclusive Leadership” training and our inaugural virtual “Inclusion Conference.” Finally, we believe that celebrating inclusivity, equity and our unique and diverse backgrounds and </w:t>
      </w:r>
      <w:r>
        <w:rPr>
          <w:rFonts w:ascii="IBM Plex Sans" w:eastAsia="Times New Roman" w:hAnsi="IBM Plex Sans"/>
          <w:color w:val="283030"/>
          <w:sz w:val="20"/>
          <w:szCs w:val="20"/>
        </w:rPr>
        <w:t>experiences makes us stronger, demonstrated by our various listening and communications strategies that celebrate the unique storytelling and voices of employees, such as our “I am L3Harris” series. Through the above and other efforts, we have improved the</w:t>
      </w:r>
      <w:r>
        <w:rPr>
          <w:rFonts w:ascii="IBM Plex Sans" w:eastAsia="Times New Roman" w:hAnsi="IBM Plex Sans"/>
          <w:color w:val="283030"/>
          <w:sz w:val="20"/>
          <w:szCs w:val="20"/>
        </w:rPr>
        <w:t xml:space="preserve"> diversity of our workforce and we continue to work toward our long-term goals. </w:t>
      </w:r>
    </w:p>
    <w:p w:rsidR="00000000" w:rsidRDefault="00F5481A">
      <w:pPr>
        <w:ind w:firstLine="360"/>
        <w:divId w:val="1144001913"/>
        <w:rPr>
          <w:rFonts w:eastAsia="Times New Roman"/>
        </w:rPr>
      </w:pPr>
      <w:r>
        <w:rPr>
          <w:rFonts w:ascii="IBM Plex Sans" w:eastAsia="Times New Roman" w:hAnsi="IBM Plex Sans"/>
          <w:color w:val="283030"/>
          <w:sz w:val="20"/>
          <w:szCs w:val="20"/>
        </w:rPr>
        <w:t>The table below provides the makeup of our workforce in fiscal 2022:</w:t>
      </w:r>
    </w:p>
    <w:tbl>
      <w:tblPr>
        <w:tblW w:w="5000" w:type="pct"/>
        <w:tblCellMar>
          <w:top w:w="15" w:type="dxa"/>
          <w:left w:w="15" w:type="dxa"/>
          <w:bottom w:w="15" w:type="dxa"/>
          <w:right w:w="15" w:type="dxa"/>
        </w:tblCellMar>
        <w:tblLook w:val="04A0" w:firstRow="1" w:lastRow="0" w:firstColumn="1" w:lastColumn="0" w:noHBand="0" w:noVBand="1"/>
      </w:tblPr>
      <w:tblGrid>
        <w:gridCol w:w="59"/>
        <w:gridCol w:w="5591"/>
        <w:gridCol w:w="38"/>
        <w:gridCol w:w="59"/>
        <w:gridCol w:w="1160"/>
        <w:gridCol w:w="36"/>
        <w:gridCol w:w="36"/>
        <w:gridCol w:w="36"/>
        <w:gridCol w:w="36"/>
        <w:gridCol w:w="59"/>
        <w:gridCol w:w="1160"/>
        <w:gridCol w:w="36"/>
      </w:tblGrid>
      <w:tr w:rsidR="00000000">
        <w:trPr>
          <w:divId w:val="1144001913"/>
        </w:trPr>
        <w:tc>
          <w:tcPr>
            <w:tcW w:w="50" w:type="pct"/>
            <w:vAlign w:val="center"/>
            <w:hideMark/>
          </w:tcPr>
          <w:p w:rsidR="00000000" w:rsidRDefault="00F5481A">
            <w:pPr>
              <w:ind w:firstLine="360"/>
              <w:rPr>
                <w:rFonts w:eastAsia="Times New Roman"/>
              </w:rPr>
            </w:pPr>
          </w:p>
        </w:tc>
        <w:tc>
          <w:tcPr>
            <w:tcW w:w="337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1144001913"/>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Overall</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Executive</w:t>
            </w:r>
          </w:p>
        </w:tc>
      </w:tr>
      <w:tr w:rsidR="00000000">
        <w:trPr>
          <w:divId w:val="1144001913"/>
        </w:trPr>
        <w:tc>
          <w:tcPr>
            <w:tcW w:w="0" w:type="auto"/>
            <w:gridSpan w:val="3"/>
            <w:shd w:val="clear" w:color="auto" w:fill="D7EFF1"/>
            <w:tcMar>
              <w:top w:w="30" w:type="dxa"/>
              <w:left w:w="20" w:type="dxa"/>
              <w:bottom w:w="30" w:type="dxa"/>
              <w:right w:w="20" w:type="dxa"/>
            </w:tcMar>
            <w:vAlign w:val="center"/>
            <w:hideMark/>
          </w:tcPr>
          <w:p w:rsidR="00000000" w:rsidRDefault="00F5481A">
            <w:pPr>
              <w:spacing w:after="100"/>
              <w:divId w:val="1433626687"/>
              <w:rPr>
                <w:rFonts w:eastAsia="Times New Roman"/>
              </w:rPr>
            </w:pPr>
            <w:r>
              <w:rPr>
                <w:rFonts w:ascii="IBM Plex Sans" w:eastAsia="Times New Roman" w:hAnsi="IBM Plex Sans"/>
                <w:color w:val="283030"/>
                <w:sz w:val="20"/>
                <w:szCs w:val="20"/>
              </w:rPr>
              <w:t>Persons of colo</w:t>
            </w:r>
            <w:r>
              <w:rPr>
                <w:rFonts w:ascii="IBM Plex Sans" w:eastAsia="Times New Roman" w:hAnsi="IBM Plex Sans"/>
                <w:color w:val="283030"/>
                <w:sz w:val="20"/>
                <w:szCs w:val="20"/>
              </w:rPr>
              <w:t>r</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gridSpan w:val="3"/>
            <w:tcBorders>
              <w:top w:val="single" w:sz="8" w:space="0" w:color="000000"/>
            </w:tcBorders>
            <w:shd w:val="clear" w:color="auto" w:fill="D7EFF1"/>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28%</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shd w:val="clear" w:color="auto" w:fill="D7EFF1"/>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20%</w:t>
            </w:r>
          </w:p>
        </w:tc>
      </w:tr>
      <w:tr w:rsidR="00000000">
        <w:trPr>
          <w:divId w:val="1144001913"/>
        </w:trPr>
        <w:tc>
          <w:tcPr>
            <w:tcW w:w="0" w:type="auto"/>
            <w:gridSpan w:val="3"/>
            <w:shd w:val="clear" w:color="auto" w:fill="FFFFFF"/>
            <w:tcMar>
              <w:top w:w="30" w:type="dxa"/>
              <w:left w:w="20" w:type="dxa"/>
              <w:bottom w:w="30" w:type="dxa"/>
              <w:right w:w="20" w:type="dxa"/>
            </w:tcMar>
            <w:vAlign w:val="center"/>
            <w:hideMark/>
          </w:tcPr>
          <w:p w:rsidR="00000000" w:rsidRDefault="00F5481A">
            <w:pPr>
              <w:spacing w:after="100"/>
              <w:divId w:val="1922137839"/>
              <w:rPr>
                <w:rFonts w:eastAsia="Times New Roman"/>
              </w:rPr>
            </w:pPr>
            <w:r>
              <w:rPr>
                <w:rFonts w:ascii="IBM Plex Sans" w:eastAsia="Times New Roman" w:hAnsi="IBM Plex Sans"/>
                <w:color w:val="283030"/>
                <w:sz w:val="20"/>
                <w:szCs w:val="20"/>
              </w:rPr>
              <w:t>Female populatio</w:t>
            </w:r>
            <w:r>
              <w:rPr>
                <w:rFonts w:ascii="IBM Plex Sans" w:eastAsia="Times New Roman" w:hAnsi="IBM Plex Sans"/>
                <w:color w:val="283030"/>
                <w:sz w:val="20"/>
                <w:szCs w:val="20"/>
              </w:rPr>
              <w:t>n</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25%</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36%</w:t>
            </w:r>
          </w:p>
        </w:tc>
      </w:tr>
      <w:tr w:rsidR="00000000">
        <w:trPr>
          <w:divId w:val="1144001913"/>
        </w:trPr>
        <w:tc>
          <w:tcPr>
            <w:tcW w:w="0" w:type="auto"/>
            <w:gridSpan w:val="3"/>
            <w:shd w:val="clear" w:color="auto" w:fill="D7EFF1"/>
            <w:tcMar>
              <w:top w:w="30" w:type="dxa"/>
              <w:left w:w="20" w:type="dxa"/>
              <w:bottom w:w="30" w:type="dxa"/>
              <w:right w:w="20" w:type="dxa"/>
            </w:tcMar>
            <w:vAlign w:val="center"/>
            <w:hideMark/>
          </w:tcPr>
          <w:p w:rsidR="00000000" w:rsidRDefault="00F5481A">
            <w:pPr>
              <w:spacing w:after="100"/>
              <w:divId w:val="1151947978"/>
              <w:rPr>
                <w:rFonts w:eastAsia="Times New Roman"/>
              </w:rPr>
            </w:pPr>
            <w:r>
              <w:rPr>
                <w:rFonts w:ascii="IBM Plex Sans" w:eastAsia="Times New Roman" w:hAnsi="IBM Plex Sans"/>
                <w:color w:val="283030"/>
                <w:sz w:val="20"/>
                <w:szCs w:val="20"/>
              </w:rPr>
              <w:t>Veteran</w:t>
            </w:r>
            <w:r>
              <w:rPr>
                <w:rFonts w:ascii="IBM Plex Sans" w:eastAsia="Times New Roman" w:hAnsi="IBM Plex Sans"/>
                <w:color w:val="283030"/>
                <w:sz w:val="20"/>
                <w:szCs w:val="20"/>
              </w:rPr>
              <w:t>s</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17%</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17%</w:t>
            </w:r>
          </w:p>
        </w:tc>
      </w:tr>
      <w:tr w:rsidR="00000000">
        <w:trPr>
          <w:divId w:val="1144001913"/>
        </w:trPr>
        <w:tc>
          <w:tcPr>
            <w:tcW w:w="0" w:type="auto"/>
            <w:gridSpan w:val="3"/>
            <w:shd w:val="clear" w:color="auto" w:fill="FFFFFF"/>
            <w:tcMar>
              <w:top w:w="30" w:type="dxa"/>
              <w:left w:w="20" w:type="dxa"/>
              <w:bottom w:w="30" w:type="dxa"/>
              <w:right w:w="20" w:type="dxa"/>
            </w:tcMar>
            <w:vAlign w:val="center"/>
            <w:hideMark/>
          </w:tcPr>
          <w:p w:rsidR="00000000" w:rsidRDefault="00F5481A">
            <w:pPr>
              <w:spacing w:after="100"/>
              <w:divId w:val="1708528728"/>
              <w:rPr>
                <w:rFonts w:eastAsia="Times New Roman"/>
              </w:rPr>
            </w:pPr>
            <w:r>
              <w:rPr>
                <w:rFonts w:ascii="IBM Plex Sans" w:eastAsia="Times New Roman" w:hAnsi="IBM Plex Sans"/>
                <w:color w:val="283030"/>
                <w:sz w:val="20"/>
                <w:szCs w:val="20"/>
              </w:rPr>
              <w:t>Persons with disabilitie</w:t>
            </w:r>
            <w:r>
              <w:rPr>
                <w:rFonts w:ascii="IBM Plex Sans" w:eastAsia="Times New Roman" w:hAnsi="IBM Plex Sans"/>
                <w:color w:val="283030"/>
                <w:sz w:val="20"/>
                <w:szCs w:val="20"/>
              </w:rPr>
              <w:t>s</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9%</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8%</w:t>
            </w:r>
          </w:p>
        </w:tc>
      </w:tr>
      <w:tr w:rsidR="00000000">
        <w:trPr>
          <w:divId w:val="1144001913"/>
        </w:trPr>
        <w:tc>
          <w:tcPr>
            <w:tcW w:w="0" w:type="auto"/>
            <w:gridSpan w:val="3"/>
            <w:shd w:val="clear" w:color="auto" w:fill="D7EFF1"/>
            <w:tcMar>
              <w:top w:w="30" w:type="dxa"/>
              <w:left w:w="20" w:type="dxa"/>
              <w:bottom w:w="30" w:type="dxa"/>
              <w:right w:w="20" w:type="dxa"/>
            </w:tcMar>
            <w:vAlign w:val="center"/>
            <w:hideMark/>
          </w:tcPr>
          <w:p w:rsidR="00000000" w:rsidRDefault="00F5481A">
            <w:pPr>
              <w:spacing w:after="100"/>
              <w:divId w:val="27537330"/>
              <w:rPr>
                <w:rFonts w:eastAsia="Times New Roman"/>
              </w:rPr>
            </w:pPr>
            <w:r>
              <w:rPr>
                <w:rFonts w:ascii="IBM Plex Sans" w:eastAsia="Times New Roman" w:hAnsi="IBM Plex Sans"/>
                <w:b/>
                <w:bCs/>
                <w:color w:val="283030"/>
                <w:sz w:val="20"/>
                <w:szCs w:val="20"/>
              </w:rPr>
              <w:t>Generational breakou</w:t>
            </w:r>
            <w:r>
              <w:rPr>
                <w:rFonts w:ascii="IBM Plex Sans" w:eastAsia="Times New Roman" w:hAnsi="IBM Plex Sans"/>
                <w:b/>
                <w:bCs/>
                <w:color w:val="283030"/>
                <w:sz w:val="20"/>
                <w:szCs w:val="20"/>
              </w:rPr>
              <w:t>t</w:t>
            </w:r>
            <w:r>
              <w:rPr>
                <w:rFonts w:ascii="IBM Plex Sans" w:eastAsia="Times New Roman" w:hAnsi="IBM Plex Sans"/>
                <w:color w:val="283030"/>
                <w:sz w:val="13"/>
                <w:szCs w:val="13"/>
              </w:rPr>
              <w:t>(2</w:t>
            </w:r>
            <w:r>
              <w:rPr>
                <w:rFonts w:ascii="IBM Plex Sans" w:eastAsia="Times New Roman" w:hAnsi="IBM Plex Sans"/>
                <w:color w:val="283030"/>
                <w:sz w:val="13"/>
                <w:szCs w:val="13"/>
              </w:rPr>
              <w:t>)</w:t>
            </w:r>
            <w:r>
              <w:rPr>
                <w:rFonts w:ascii="IBM Plex Sans" w:eastAsia="Times New Roman" w:hAnsi="IBM Plex Sans"/>
                <w:b/>
                <w:bC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144001913"/>
        </w:trPr>
        <w:tc>
          <w:tcPr>
            <w:tcW w:w="0" w:type="auto"/>
            <w:gridSpan w:val="3"/>
            <w:shd w:val="clear" w:color="auto" w:fill="FFFFFF"/>
            <w:tcMar>
              <w:top w:w="30" w:type="dxa"/>
              <w:left w:w="2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Boomers (1945-1964)</w:t>
            </w: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23%</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25%</w:t>
            </w:r>
          </w:p>
        </w:tc>
      </w:tr>
      <w:tr w:rsidR="00000000">
        <w:trPr>
          <w:divId w:val="1144001913"/>
        </w:trPr>
        <w:tc>
          <w:tcPr>
            <w:tcW w:w="0" w:type="auto"/>
            <w:gridSpan w:val="3"/>
            <w:shd w:val="clear" w:color="auto" w:fill="D7EFF1"/>
            <w:tcMar>
              <w:top w:w="30" w:type="dxa"/>
              <w:left w:w="2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Generation X (1965-1980)</w:t>
            </w: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35%</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58%</w:t>
            </w:r>
          </w:p>
        </w:tc>
      </w:tr>
      <w:tr w:rsidR="00000000">
        <w:trPr>
          <w:divId w:val="1144001913"/>
        </w:trPr>
        <w:tc>
          <w:tcPr>
            <w:tcW w:w="0" w:type="auto"/>
            <w:gridSpan w:val="3"/>
            <w:shd w:val="clear" w:color="auto" w:fill="FFFFFF"/>
            <w:tcMar>
              <w:top w:w="30" w:type="dxa"/>
              <w:left w:w="2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Millennials (1981-1996)</w:t>
            </w: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35%</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17%</w:t>
            </w:r>
          </w:p>
        </w:tc>
      </w:tr>
      <w:tr w:rsidR="00000000">
        <w:trPr>
          <w:divId w:val="1144001913"/>
        </w:trPr>
        <w:tc>
          <w:tcPr>
            <w:tcW w:w="0" w:type="auto"/>
            <w:gridSpan w:val="3"/>
            <w:shd w:val="clear" w:color="auto" w:fill="D7EFF1"/>
            <w:tcMar>
              <w:top w:w="30" w:type="dxa"/>
              <w:left w:w="2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Generation Z (after 1996)</w:t>
            </w: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7%</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w:t>
            </w:r>
          </w:p>
        </w:tc>
      </w:tr>
    </w:tbl>
    <w:p w:rsidR="00000000" w:rsidRDefault="00F5481A">
      <w:pPr>
        <w:ind w:firstLine="360"/>
        <w:divId w:val="1144001913"/>
        <w:rPr>
          <w:rFonts w:eastAsia="Times New Roman"/>
        </w:rPr>
      </w:pPr>
      <w:r>
        <w:rPr>
          <w:rFonts w:ascii="IBM Plex Sans" w:eastAsia="Times New Roman" w:hAnsi="IBM Plex Sans"/>
          <w:color w:val="283030"/>
          <w:sz w:val="16"/>
          <w:szCs w:val="16"/>
        </w:rPr>
        <w:t>_______________</w:t>
      </w:r>
    </w:p>
    <w:p w:rsidR="00000000" w:rsidRDefault="00F5481A">
      <w:pPr>
        <w:divId w:val="1491872779"/>
        <w:rPr>
          <w:rFonts w:eastAsia="Times New Roman"/>
        </w:rPr>
      </w:pPr>
      <w:r>
        <w:rPr>
          <w:rFonts w:ascii="IBM Plex Sans" w:eastAsia="Times New Roman" w:hAnsi="IBM Plex Sans"/>
          <w:color w:val="283030"/>
          <w:sz w:val="16"/>
          <w:szCs w:val="16"/>
        </w:rPr>
        <w:t>(1) Based on employee self-identification</w:t>
      </w:r>
    </w:p>
    <w:p w:rsidR="00000000" w:rsidRDefault="00F5481A">
      <w:pPr>
        <w:divId w:val="746029015"/>
        <w:rPr>
          <w:rFonts w:eastAsia="Times New Roman"/>
        </w:rPr>
      </w:pPr>
      <w:r>
        <w:rPr>
          <w:rFonts w:ascii="IBM Plex Sans" w:eastAsia="Times New Roman" w:hAnsi="IBM Plex Sans"/>
          <w:color w:val="283030"/>
          <w:sz w:val="16"/>
          <w:szCs w:val="16"/>
        </w:rPr>
        <w:t>(2) Age ranges align with Pew Research Center definitions.</w:t>
      </w:r>
    </w:p>
    <w:p w:rsidR="00000000" w:rsidRDefault="00F5481A">
      <w:pPr>
        <w:divId w:val="290478965"/>
        <w:rPr>
          <w:rFonts w:eastAsia="Times New Roman"/>
        </w:rPr>
      </w:pPr>
    </w:p>
    <w:p w:rsidR="00000000" w:rsidRDefault="00F5481A">
      <w:pPr>
        <w:ind w:firstLine="360"/>
        <w:divId w:val="1081834325"/>
        <w:rPr>
          <w:rFonts w:eastAsia="Times New Roman"/>
        </w:rPr>
      </w:pPr>
      <w:r>
        <w:rPr>
          <w:rFonts w:ascii="IBM Plex Sans" w:eastAsia="Times New Roman" w:hAnsi="IBM Plex Sans"/>
          <w:color w:val="283030"/>
          <w:sz w:val="20"/>
          <w:szCs w:val="20"/>
        </w:rPr>
        <w:t>Additional information regarding our human capital strategy is available in our Diversity, Equity and Inclusion Annual Report that can be found on our company website. Information on our website,</w:t>
      </w:r>
      <w:r>
        <w:rPr>
          <w:rFonts w:ascii="IBM Plex Sans" w:eastAsia="Times New Roman" w:hAnsi="IBM Plex Sans"/>
          <w:color w:val="283030"/>
          <w:sz w:val="20"/>
          <w:szCs w:val="20"/>
        </w:rPr>
        <w:t xml:space="preserve"> including our Diversity, Equity and Inclusion Annual Report, is not incorporated by reference into this Report. </w:t>
      </w:r>
    </w:p>
    <w:p w:rsidR="00000000" w:rsidRDefault="00F5481A">
      <w:pPr>
        <w:divId w:val="652373012"/>
        <w:rPr>
          <w:rFonts w:eastAsia="Times New Roman"/>
        </w:rPr>
      </w:pPr>
      <w:r>
        <w:rPr>
          <w:rFonts w:ascii="IBM Plex Sans SemiBold" w:eastAsia="Times New Roman" w:hAnsi="IBM Plex Sans SemiBold"/>
          <w:b/>
          <w:bCs/>
          <w:color w:val="016676"/>
          <w:sz w:val="20"/>
          <w:szCs w:val="20"/>
        </w:rPr>
        <w:t>Website Access to L3Harris Reports; Available Information</w:t>
      </w:r>
    </w:p>
    <w:p w:rsidR="00000000" w:rsidRDefault="00F5481A">
      <w:pPr>
        <w:ind w:firstLine="360"/>
        <w:divId w:val="1888831814"/>
        <w:rPr>
          <w:rFonts w:eastAsia="Times New Roman"/>
        </w:rPr>
      </w:pPr>
      <w:r>
        <w:rPr>
          <w:rFonts w:ascii="IBM Plex Sans" w:eastAsia="Times New Roman" w:hAnsi="IBM Plex Sans"/>
          <w:b/>
          <w:bCs/>
          <w:i/>
          <w:iCs/>
          <w:color w:val="016676"/>
          <w:sz w:val="20"/>
          <w:szCs w:val="20"/>
        </w:rPr>
        <w:t xml:space="preserve">General. </w:t>
      </w:r>
      <w:r>
        <w:rPr>
          <w:rFonts w:ascii="IBM Plex Sans" w:eastAsia="Times New Roman" w:hAnsi="IBM Plex Sans"/>
          <w:color w:val="283030"/>
          <w:sz w:val="20"/>
          <w:szCs w:val="20"/>
        </w:rPr>
        <w:t xml:space="preserve">We maintain an Internet website at </w:t>
      </w:r>
      <w:r>
        <w:rPr>
          <w:rFonts w:ascii="IBM Plex Sans" w:eastAsia="Times New Roman" w:hAnsi="IBM Plex Sans"/>
          <w:i/>
          <w:iCs/>
          <w:color w:val="283030"/>
          <w:sz w:val="20"/>
          <w:szCs w:val="20"/>
        </w:rPr>
        <w:t>https://www.l3harris.com</w:t>
      </w:r>
      <w:r>
        <w:rPr>
          <w:rFonts w:ascii="IBM Plex Sans" w:eastAsia="Times New Roman" w:hAnsi="IBM Plex Sans"/>
          <w:color w:val="283030"/>
          <w:sz w:val="20"/>
          <w:szCs w:val="20"/>
        </w:rPr>
        <w:t>. We file annual</w:t>
      </w:r>
      <w:r>
        <w:rPr>
          <w:rFonts w:ascii="IBM Plex Sans" w:eastAsia="Times New Roman" w:hAnsi="IBM Plex Sans"/>
          <w:color w:val="283030"/>
          <w:sz w:val="20"/>
          <w:szCs w:val="20"/>
        </w:rPr>
        <w:t xml:space="preserve"> reports on Form 10-K, quarterly reports on Form 10-Q, proxy statements, current reports on Form 8-K and amendments to such reports, with the U.S. Securities and Exchange Commission (“SEC”). These filings are available, free of charge, on our website as so</w:t>
      </w:r>
      <w:r>
        <w:rPr>
          <w:rFonts w:ascii="IBM Plex Sans" w:eastAsia="Times New Roman" w:hAnsi="IBM Plex Sans"/>
          <w:color w:val="283030"/>
          <w:sz w:val="20"/>
          <w:szCs w:val="20"/>
        </w:rPr>
        <w:t>on as reasonably practicable after these reports are electronically filed with or furnished to the SEC. We also will provide the reports in electronic or paper form, free of charge, upon request to our Secretary at L3Harris Technologies, Inc., 1025 West NA</w:t>
      </w:r>
      <w:r>
        <w:rPr>
          <w:rFonts w:ascii="IBM Plex Sans" w:eastAsia="Times New Roman" w:hAnsi="IBM Plex Sans"/>
          <w:color w:val="283030"/>
          <w:sz w:val="20"/>
          <w:szCs w:val="20"/>
        </w:rPr>
        <w:t>SA Boulevard, Melbourne, Florida 32919. We also make available on our website, free of charge, our annual report to shareholders and proxy statement. Our website and the information posted thereon are not incorporated into this Report or any current or oth</w:t>
      </w:r>
      <w:r>
        <w:rPr>
          <w:rFonts w:ascii="IBM Plex Sans" w:eastAsia="Times New Roman" w:hAnsi="IBM Plex Sans"/>
          <w:color w:val="283030"/>
          <w:sz w:val="20"/>
          <w:szCs w:val="20"/>
        </w:rPr>
        <w:t xml:space="preserve">er periodic report that we file with or furnish to the SEC. The SEC maintains an internet site that contains reports, proxy and information statements and other information regarding issuers that file electronically with the SEC at </w:t>
      </w:r>
      <w:r>
        <w:rPr>
          <w:rFonts w:ascii="IBM Plex Sans" w:eastAsia="Times New Roman" w:hAnsi="IBM Plex Sans"/>
          <w:i/>
          <w:iCs/>
          <w:color w:val="283030"/>
          <w:sz w:val="20"/>
          <w:szCs w:val="20"/>
        </w:rPr>
        <w:t>https://www.sec.gov</w:t>
      </w:r>
      <w:r>
        <w:rPr>
          <w:rFonts w:ascii="IBM Plex Sans" w:eastAsia="Times New Roman" w:hAnsi="IBM Plex Sans"/>
          <w:color w:val="283030"/>
          <w:sz w:val="20"/>
          <w:szCs w:val="20"/>
        </w:rPr>
        <w:t>, and</w:t>
      </w:r>
      <w:r>
        <w:rPr>
          <w:rFonts w:ascii="IBM Plex Sans" w:eastAsia="Times New Roman" w:hAnsi="IBM Plex Sans"/>
          <w:color w:val="283030"/>
          <w:sz w:val="20"/>
          <w:szCs w:val="20"/>
        </w:rPr>
        <w:t xml:space="preserve"> reports we file with or furnish to the SEC are available free of charge at this internet site.</w:t>
      </w:r>
    </w:p>
    <w:p w:rsidR="00000000" w:rsidRDefault="00F5481A">
      <w:pPr>
        <w:ind w:firstLine="360"/>
        <w:divId w:val="656808080"/>
        <w:rPr>
          <w:rFonts w:eastAsia="Times New Roman"/>
        </w:rPr>
      </w:pPr>
      <w:r>
        <w:rPr>
          <w:rFonts w:ascii="IBM Plex Sans" w:eastAsia="Times New Roman" w:hAnsi="IBM Plex Sans"/>
          <w:color w:val="283030"/>
          <w:sz w:val="20"/>
          <w:szCs w:val="20"/>
        </w:rPr>
        <w:t>Additional information relating to our business, including our business segments, is set forth in “Item 7. Management’s Discussion and Analysis of Financial Con</w:t>
      </w:r>
      <w:r>
        <w:rPr>
          <w:rFonts w:ascii="IBM Plex Sans" w:eastAsia="Times New Roman" w:hAnsi="IBM Plex Sans"/>
          <w:color w:val="283030"/>
          <w:sz w:val="20"/>
          <w:szCs w:val="20"/>
        </w:rPr>
        <w:t>dition and Results of Operations” of this Report.</w:t>
      </w:r>
    </w:p>
    <w:p w:rsidR="00000000" w:rsidRDefault="00F5481A">
      <w:pPr>
        <w:ind w:firstLine="360"/>
        <w:jc w:val="center"/>
        <w:divId w:val="1607272738"/>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10</w:t>
      </w:r>
    </w:p>
    <w:p w:rsidR="00000000" w:rsidRDefault="00F5481A">
      <w:pPr>
        <w:rPr>
          <w:rFonts w:eastAsia="Times New Roman"/>
        </w:rPr>
      </w:pPr>
      <w:r>
        <w:rPr>
          <w:rFonts w:eastAsia="Times New Roman"/>
        </w:rPr>
        <w:pict>
          <v:rect id="_x0000_i1040" style="width:0;height:1.5pt" o:hralign="center" o:hrstd="t" o:hr="t" fillcolor="#a0a0a0" stroked="f"/>
        </w:pict>
      </w:r>
    </w:p>
    <w:p w:rsidR="00000000" w:rsidRDefault="00F5481A">
      <w:pPr>
        <w:ind w:firstLine="360"/>
        <w:divId w:val="725877692"/>
        <w:rPr>
          <w:rFonts w:eastAsia="Times New Roman"/>
        </w:rPr>
      </w:pPr>
    </w:p>
    <w:p w:rsidR="00000000" w:rsidRDefault="00F5481A">
      <w:pPr>
        <w:ind w:firstLine="360"/>
        <w:divId w:val="2100060782"/>
        <w:rPr>
          <w:rFonts w:eastAsia="Times New Roman"/>
        </w:rPr>
      </w:pPr>
      <w:r>
        <w:rPr>
          <w:rFonts w:ascii="IBM Plex Sans" w:eastAsia="Times New Roman" w:hAnsi="IBM Plex Sans"/>
          <w:b/>
          <w:bCs/>
          <w:i/>
          <w:iCs/>
          <w:color w:val="016676"/>
          <w:sz w:val="20"/>
          <w:szCs w:val="20"/>
        </w:rPr>
        <w:t xml:space="preserve">Corporate Governance Guidelines and Committee Charters. </w:t>
      </w:r>
      <w:r>
        <w:rPr>
          <w:rFonts w:ascii="IBM Plex Sans" w:eastAsia="Times New Roman" w:hAnsi="IBM Plex Sans"/>
          <w:color w:val="283030"/>
          <w:sz w:val="20"/>
          <w:szCs w:val="20"/>
        </w:rPr>
        <w:t>We previously adopted Corporate Govern</w:t>
      </w:r>
      <w:r>
        <w:rPr>
          <w:rFonts w:ascii="IBM Plex Sans" w:eastAsia="Times New Roman" w:hAnsi="IBM Plex Sans"/>
          <w:color w:val="283030"/>
          <w:sz w:val="20"/>
          <w:szCs w:val="20"/>
        </w:rPr>
        <w:t xml:space="preserve">ance Guidelines, which are available on the Corporate Governance section of our website at </w:t>
      </w:r>
      <w:r>
        <w:rPr>
          <w:rFonts w:ascii="IBM Plex Sans" w:eastAsia="Times New Roman" w:hAnsi="IBM Plex Sans"/>
          <w:i/>
          <w:iCs/>
          <w:color w:val="283030"/>
          <w:sz w:val="20"/>
          <w:szCs w:val="20"/>
        </w:rPr>
        <w:t>https://www.l3harris.com/company/environmental-social-and-governance</w:t>
      </w:r>
      <w:r>
        <w:rPr>
          <w:rFonts w:ascii="IBM Plex Sans" w:eastAsia="Times New Roman" w:hAnsi="IBM Plex Sans"/>
          <w:color w:val="283030"/>
          <w:sz w:val="20"/>
          <w:szCs w:val="20"/>
        </w:rPr>
        <w:t>. In addition, the charters of each of the standing committees of our Board of Directors, namely,</w:t>
      </w:r>
      <w:r>
        <w:rPr>
          <w:rFonts w:ascii="IBM Plex Sans" w:eastAsia="Times New Roman" w:hAnsi="IBM Plex Sans"/>
          <w:color w:val="283030"/>
          <w:sz w:val="20"/>
          <w:szCs w:val="20"/>
        </w:rPr>
        <w:t xml:space="preserve"> the Audit Committee, Compensation Committee, Finance Committee, Innovation and Cyber Committee and Nominating and Governance Committee, are also available on the Corporate Governance section of our website. A copy of the charters is also available free of</w:t>
      </w:r>
      <w:r>
        <w:rPr>
          <w:rFonts w:ascii="IBM Plex Sans" w:eastAsia="Times New Roman" w:hAnsi="IBM Plex Sans"/>
          <w:color w:val="283030"/>
          <w:sz w:val="20"/>
          <w:szCs w:val="20"/>
        </w:rPr>
        <w:t xml:space="preserve"> charge upon written request to our Secretary at L3Harris Technologies, Inc., 1025 West NASA Boulevard, Melbourne, Florida 32919.</w:t>
      </w:r>
    </w:p>
    <w:p w:rsidR="00000000" w:rsidRDefault="00F5481A">
      <w:pPr>
        <w:ind w:firstLine="360"/>
        <w:divId w:val="1288656675"/>
        <w:rPr>
          <w:rFonts w:eastAsia="Times New Roman"/>
        </w:rPr>
      </w:pPr>
      <w:r>
        <w:rPr>
          <w:rFonts w:ascii="IBM Plex Sans" w:eastAsia="Times New Roman" w:hAnsi="IBM Plex Sans"/>
          <w:b/>
          <w:bCs/>
          <w:i/>
          <w:iCs/>
          <w:color w:val="016676"/>
          <w:sz w:val="20"/>
          <w:szCs w:val="20"/>
        </w:rPr>
        <w:t xml:space="preserve">Certifications. </w:t>
      </w:r>
      <w:r>
        <w:rPr>
          <w:rFonts w:ascii="IBM Plex Sans" w:eastAsia="Times New Roman" w:hAnsi="IBM Plex Sans"/>
          <w:color w:val="283030"/>
          <w:sz w:val="20"/>
          <w:szCs w:val="20"/>
        </w:rPr>
        <w:t>We have filed with the SEC the certifications required by Section 302 of the Sarbanes-Oxley Act of 2002 as exh</w:t>
      </w:r>
      <w:r>
        <w:rPr>
          <w:rFonts w:ascii="IBM Plex Sans" w:eastAsia="Times New Roman" w:hAnsi="IBM Plex Sans"/>
          <w:color w:val="283030"/>
          <w:sz w:val="20"/>
          <w:szCs w:val="20"/>
        </w:rPr>
        <w:t xml:space="preserve">ibits to this Report. In addition, an annual CEO certification was submitted by our Chief Executive Officer to the New York Stock Exchange (“NYSE”) in May 2022 in accordance with the NYSE’s listing standards, which included a certification that he was not </w:t>
      </w:r>
      <w:r>
        <w:rPr>
          <w:rFonts w:ascii="IBM Plex Sans" w:eastAsia="Times New Roman" w:hAnsi="IBM Plex Sans"/>
          <w:color w:val="283030"/>
          <w:sz w:val="20"/>
          <w:szCs w:val="20"/>
        </w:rPr>
        <w:t>aware of any violation by L3Harris of the NYSE’s corporate governance listing standards.</w:t>
      </w:r>
    </w:p>
    <w:tbl>
      <w:tblPr>
        <w:tblW w:w="1587" w:type="pct"/>
        <w:tblCellMar>
          <w:top w:w="15" w:type="dxa"/>
          <w:left w:w="15" w:type="dxa"/>
          <w:bottom w:w="15" w:type="dxa"/>
          <w:right w:w="15" w:type="dxa"/>
        </w:tblCellMar>
        <w:tblLook w:val="04A0" w:firstRow="1" w:lastRow="0" w:firstColumn="1" w:lastColumn="0" w:noHBand="0" w:noVBand="1"/>
      </w:tblPr>
      <w:tblGrid>
        <w:gridCol w:w="37"/>
        <w:gridCol w:w="976"/>
        <w:gridCol w:w="36"/>
        <w:gridCol w:w="37"/>
        <w:gridCol w:w="1514"/>
        <w:gridCol w:w="36"/>
      </w:tblGrid>
      <w:tr w:rsidR="00000000">
        <w:trPr>
          <w:divId w:val="670136280"/>
        </w:trPr>
        <w:tc>
          <w:tcPr>
            <w:tcW w:w="50" w:type="pct"/>
            <w:vAlign w:val="center"/>
            <w:hideMark/>
          </w:tcPr>
          <w:p w:rsidR="00000000" w:rsidRDefault="00F5481A">
            <w:pPr>
              <w:ind w:firstLine="360"/>
              <w:rPr>
                <w:rFonts w:eastAsia="Times New Roman"/>
              </w:rPr>
            </w:pPr>
          </w:p>
        </w:tc>
        <w:tc>
          <w:tcPr>
            <w:tcW w:w="193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2954"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670136280"/>
        </w:trPr>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016676"/>
                <w:sz w:val="20"/>
                <w:szCs w:val="20"/>
              </w:rPr>
              <w:t> ITEM 1A.</w:t>
            </w:r>
          </w:p>
        </w:tc>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283030"/>
                <w:sz w:val="20"/>
                <w:szCs w:val="20"/>
              </w:rPr>
              <w:t>RISK FACTORS.</w:t>
            </w:r>
          </w:p>
        </w:tc>
      </w:tr>
    </w:tbl>
    <w:p w:rsidR="00000000" w:rsidRDefault="00F5481A">
      <w:pPr>
        <w:ind w:firstLine="360"/>
        <w:divId w:val="1306423367"/>
        <w:rPr>
          <w:rFonts w:eastAsia="Times New Roman"/>
        </w:rPr>
      </w:pPr>
      <w:r>
        <w:rPr>
          <w:rFonts w:ascii="IBM Plex Sans" w:eastAsia="Times New Roman" w:hAnsi="IBM Plex Sans"/>
          <w:color w:val="283030"/>
          <w:sz w:val="20"/>
          <w:szCs w:val="20"/>
        </w:rPr>
        <w:t>We have described many of the trends and other factors that we believe could impact our business and future results in “Item 7. Management’s Discussion and Analysis of Financial Condition and Results of Operations” of this Report. In addition, our business</w:t>
      </w:r>
      <w:r>
        <w:rPr>
          <w:rFonts w:ascii="IBM Plex Sans" w:eastAsia="Times New Roman" w:hAnsi="IBM Plex Sans"/>
          <w:color w:val="283030"/>
          <w:sz w:val="20"/>
          <w:szCs w:val="20"/>
        </w:rPr>
        <w:t>, financial condition, results of operations, cash flows and equity are subject to, and could be materially adversely affected by, various risks and uncertainties, including, without limitation, those set forth below, any one of which could cause our actua</w:t>
      </w:r>
      <w:r>
        <w:rPr>
          <w:rFonts w:ascii="IBM Plex Sans" w:eastAsia="Times New Roman" w:hAnsi="IBM Plex Sans"/>
          <w:color w:val="283030"/>
          <w:sz w:val="20"/>
          <w:szCs w:val="20"/>
        </w:rPr>
        <w:t>l results to vary materially from recent results or our anticipated future results.</w:t>
      </w:r>
    </w:p>
    <w:p w:rsidR="00000000" w:rsidRDefault="00F5481A">
      <w:pPr>
        <w:divId w:val="2144929185"/>
        <w:rPr>
          <w:rFonts w:eastAsia="Times New Roman"/>
        </w:rPr>
      </w:pPr>
      <w:r>
        <w:rPr>
          <w:rFonts w:ascii="IBM Plex Sans SemiBold" w:eastAsia="Times New Roman" w:hAnsi="IBM Plex Sans SemiBold"/>
          <w:b/>
          <w:bCs/>
          <w:color w:val="016676"/>
          <w:sz w:val="20"/>
          <w:szCs w:val="20"/>
        </w:rPr>
        <w:t>Macroeconomic, Industry and Governmental Risks</w:t>
      </w:r>
    </w:p>
    <w:p w:rsidR="00000000" w:rsidRDefault="00F5481A">
      <w:pPr>
        <w:divId w:val="196092675"/>
        <w:rPr>
          <w:rFonts w:eastAsia="Times New Roman"/>
        </w:rPr>
      </w:pPr>
      <w:r>
        <w:rPr>
          <w:rFonts w:ascii="IBM Plex Sans SemiBold" w:eastAsia="Times New Roman" w:hAnsi="IBM Plex Sans SemiBold"/>
          <w:b/>
          <w:bCs/>
          <w:i/>
          <w:iCs/>
          <w:color w:val="016676"/>
          <w:sz w:val="20"/>
          <w:szCs w:val="20"/>
        </w:rPr>
        <w:t>We depend on U.S. Government customers for a significant portion of our revenue, and a reduction in U.S. Government funding o</w:t>
      </w:r>
      <w:r>
        <w:rPr>
          <w:rFonts w:ascii="IBM Plex Sans SemiBold" w:eastAsia="Times New Roman" w:hAnsi="IBM Plex Sans SemiBold"/>
          <w:b/>
          <w:bCs/>
          <w:i/>
          <w:iCs/>
          <w:color w:val="016676"/>
          <w:sz w:val="20"/>
          <w:szCs w:val="20"/>
        </w:rPr>
        <w:t>r a change in U.S. Government spending priorities could have an adverse impact on our business, financial condition, results of operations, cash flows and equity.</w:t>
      </w:r>
    </w:p>
    <w:p w:rsidR="00000000" w:rsidRDefault="00F5481A">
      <w:pPr>
        <w:ind w:firstLine="360"/>
        <w:divId w:val="1181967002"/>
        <w:rPr>
          <w:rFonts w:eastAsia="Times New Roman"/>
        </w:rPr>
      </w:pPr>
      <w:r>
        <w:rPr>
          <w:rFonts w:ascii="IBM Plex Sans" w:eastAsia="Times New Roman" w:hAnsi="IBM Plex Sans"/>
          <w:color w:val="283030"/>
          <w:sz w:val="20"/>
          <w:szCs w:val="20"/>
        </w:rPr>
        <w:t>We are highly dependent on sales to U.S. Government customers, primarily defense-related prog</w:t>
      </w:r>
      <w:r>
        <w:rPr>
          <w:rFonts w:ascii="IBM Plex Sans" w:eastAsia="Times New Roman" w:hAnsi="IBM Plex Sans"/>
          <w:color w:val="283030"/>
          <w:sz w:val="20"/>
          <w:szCs w:val="20"/>
        </w:rPr>
        <w:t xml:space="preserve">rams with the DoD and a broad range of programs with the U.S. Intelligence Community and other U.S. Government departments and agencies. The percentage of our revenue derived from sales to U.S. Government customers, including foreign military sales funded </w:t>
      </w:r>
      <w:r>
        <w:rPr>
          <w:rFonts w:ascii="IBM Plex Sans" w:eastAsia="Times New Roman" w:hAnsi="IBM Plex Sans"/>
          <w:color w:val="283030"/>
          <w:sz w:val="20"/>
          <w:szCs w:val="20"/>
        </w:rPr>
        <w:t>through the U.S. Government, both directly and through prime contractors, was 74% in fiscal 2022. Therefore, a reduction in U.S. Government funding or a change in U.S. Government spending priorities (in particular, related to the DoD) would significantly r</w:t>
      </w:r>
      <w:r>
        <w:rPr>
          <w:rFonts w:ascii="IBM Plex Sans" w:eastAsia="Times New Roman" w:hAnsi="IBM Plex Sans"/>
          <w:color w:val="283030"/>
          <w:sz w:val="20"/>
          <w:szCs w:val="20"/>
        </w:rPr>
        <w:t>educe our revenue and have an adverse impact on our business, financial condition, results of operations, cash flows and equity.</w:t>
      </w:r>
    </w:p>
    <w:p w:rsidR="00000000" w:rsidRDefault="00F5481A">
      <w:pPr>
        <w:ind w:firstLine="360"/>
        <w:divId w:val="1105536722"/>
        <w:rPr>
          <w:rFonts w:eastAsia="Times New Roman"/>
        </w:rPr>
      </w:pPr>
      <w:r>
        <w:rPr>
          <w:rFonts w:ascii="IBM Plex Sans" w:eastAsia="Times New Roman" w:hAnsi="IBM Plex Sans"/>
          <w:color w:val="283030"/>
          <w:sz w:val="20"/>
          <w:szCs w:val="20"/>
        </w:rPr>
        <w:t>We operate in highly competitive markets, and the U.S. Government may choose to use contractors other than us, for example as p</w:t>
      </w:r>
      <w:r>
        <w:rPr>
          <w:rFonts w:ascii="IBM Plex Sans" w:eastAsia="Times New Roman" w:hAnsi="IBM Plex Sans"/>
          <w:color w:val="283030"/>
          <w:sz w:val="20"/>
          <w:szCs w:val="20"/>
        </w:rPr>
        <w:t>art of competitive bidding processes (through which we expect that a majority of the business we seek will be awarded), or otherwise due to our competitors’ ongoing efforts to expand their business relationships with the U.S. Government. The U.S. Governmen</w:t>
      </w:r>
      <w:r>
        <w:rPr>
          <w:rFonts w:ascii="IBM Plex Sans" w:eastAsia="Times New Roman" w:hAnsi="IBM Plex Sans"/>
          <w:color w:val="283030"/>
          <w:sz w:val="20"/>
          <w:szCs w:val="20"/>
        </w:rPr>
        <w:t>t has increasingly relied on certain types of contracts that are subject to multiple competitive bidding processes, including multi-vendor IDIQ, GWAC, General Services Administration Schedule and other multi-award contracts, which has resulted in greater c</w:t>
      </w:r>
      <w:r>
        <w:rPr>
          <w:rFonts w:ascii="IBM Plex Sans" w:eastAsia="Times New Roman" w:hAnsi="IBM Plex Sans"/>
          <w:color w:val="283030"/>
          <w:sz w:val="20"/>
          <w:szCs w:val="20"/>
        </w:rPr>
        <w:t>ompetition and increased pricing pressure. Some of our competitors have greater financial resources than we do and may have more extensive or more specialized engineering, manufacturing and marketing capabilities than we do in some areas. We may not be abl</w:t>
      </w:r>
      <w:r>
        <w:rPr>
          <w:rFonts w:ascii="IBM Plex Sans" w:eastAsia="Times New Roman" w:hAnsi="IBM Plex Sans"/>
          <w:color w:val="283030"/>
          <w:sz w:val="20"/>
          <w:szCs w:val="20"/>
        </w:rPr>
        <w:t>e to continue to win competitively awarded contracts or to obtain task orders under multi-award contracts. Further, competitive bidding processes involve significant cost and managerial time to prepare bids and proposals for contracts that may not be award</w:t>
      </w:r>
      <w:r>
        <w:rPr>
          <w:rFonts w:ascii="IBM Plex Sans" w:eastAsia="Times New Roman" w:hAnsi="IBM Plex Sans"/>
          <w:color w:val="283030"/>
          <w:sz w:val="20"/>
          <w:szCs w:val="20"/>
        </w:rPr>
        <w:t>ed to us or may be split with competitors and the risk that we may fail to accurately estimate the resources and costs required to fulfill any contract awarded to us. The current competitive bidding environment has resulted in an increase of bid protests f</w:t>
      </w:r>
      <w:r>
        <w:rPr>
          <w:rFonts w:ascii="IBM Plex Sans" w:eastAsia="Times New Roman" w:hAnsi="IBM Plex Sans"/>
          <w:color w:val="283030"/>
          <w:sz w:val="20"/>
          <w:szCs w:val="20"/>
        </w:rPr>
        <w:t>rom unsuccessful bidders, which typically extends the time until work on a contract can begin and may result in us experiencing significant expense or delay, contract modification or contract rescission as a result of our competitors protesting or challeng</w:t>
      </w:r>
      <w:r>
        <w:rPr>
          <w:rFonts w:ascii="IBM Plex Sans" w:eastAsia="Times New Roman" w:hAnsi="IBM Plex Sans"/>
          <w:color w:val="283030"/>
          <w:sz w:val="20"/>
          <w:szCs w:val="20"/>
        </w:rPr>
        <w:t xml:space="preserve">ing contracts awarded to us. </w:t>
      </w:r>
    </w:p>
    <w:p w:rsidR="00000000" w:rsidRDefault="00F5481A">
      <w:pPr>
        <w:ind w:firstLine="360"/>
        <w:divId w:val="1402408414"/>
        <w:rPr>
          <w:rFonts w:eastAsia="Times New Roman"/>
        </w:rPr>
      </w:pPr>
      <w:r>
        <w:rPr>
          <w:rFonts w:ascii="IBM Plex Sans" w:eastAsia="Times New Roman" w:hAnsi="IBM Plex Sans"/>
          <w:color w:val="283030"/>
          <w:sz w:val="20"/>
          <w:szCs w:val="20"/>
        </w:rPr>
        <w:t>Our U.S. Government programs must compete with programs managed by other government contractors and with other policy imperatives for consideration for limited resources and for uncertain levels of funding during the budget an</w:t>
      </w:r>
      <w:r>
        <w:rPr>
          <w:rFonts w:ascii="IBM Plex Sans" w:eastAsia="Times New Roman" w:hAnsi="IBM Plex Sans"/>
          <w:color w:val="283030"/>
          <w:sz w:val="20"/>
          <w:szCs w:val="20"/>
        </w:rPr>
        <w:t xml:space="preserve">d appropriations process. Budget and appropriations decisions made by the U.S. Government are outside of our control and have long-term consequences for our business. U.S. Government spending priorities and levels remain uncertain and difficult to predict </w:t>
      </w:r>
      <w:r>
        <w:rPr>
          <w:rFonts w:ascii="IBM Plex Sans" w:eastAsia="Times New Roman" w:hAnsi="IBM Plex Sans"/>
          <w:color w:val="283030"/>
          <w:sz w:val="20"/>
          <w:szCs w:val="20"/>
        </w:rPr>
        <w:t>and are affected by numerous factors, including sequestration (automatic, across-the-board U.S. Government budgetary spending cuts) and potential alternative funding arrangements. A change in U.S. Government spending priorities or an increase in non-procur</w:t>
      </w:r>
      <w:r>
        <w:rPr>
          <w:rFonts w:ascii="IBM Plex Sans" w:eastAsia="Times New Roman" w:hAnsi="IBM Plex Sans"/>
          <w:color w:val="283030"/>
          <w:sz w:val="20"/>
          <w:szCs w:val="20"/>
        </w:rPr>
        <w:t>ement spending at the expense of our programs, or a reduction in total U.S. Government spending on an absolute or inflation-adjusted basis, could have material adverse consequences on our current or future business. For example, in fiscal 2022, there was a</w:t>
      </w:r>
      <w:r>
        <w:rPr>
          <w:rFonts w:ascii="IBM Plex Sans" w:eastAsia="Times New Roman" w:hAnsi="IBM Plex Sans"/>
          <w:color w:val="283030"/>
          <w:sz w:val="20"/>
          <w:szCs w:val="20"/>
        </w:rPr>
        <w:t xml:space="preserve"> decline in </w:t>
      </w:r>
    </w:p>
    <w:p w:rsidR="00000000" w:rsidRDefault="00F5481A">
      <w:pPr>
        <w:ind w:firstLine="360"/>
        <w:jc w:val="center"/>
        <w:divId w:val="49816657"/>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11</w:t>
      </w:r>
    </w:p>
    <w:p w:rsidR="00000000" w:rsidRDefault="00F5481A">
      <w:pPr>
        <w:rPr>
          <w:rFonts w:eastAsia="Times New Roman"/>
        </w:rPr>
      </w:pPr>
      <w:r>
        <w:rPr>
          <w:rFonts w:eastAsia="Times New Roman"/>
        </w:rPr>
        <w:pict>
          <v:rect id="_x0000_i1041" style="width:0;height:1.5pt" o:hralign="center" o:hrstd="t" o:hr="t" fillcolor="#a0a0a0" stroked="f"/>
        </w:pict>
      </w:r>
    </w:p>
    <w:p w:rsidR="00000000" w:rsidRDefault="00F5481A">
      <w:pPr>
        <w:ind w:firstLine="360"/>
        <w:divId w:val="310913429"/>
        <w:rPr>
          <w:rFonts w:eastAsia="Times New Roman"/>
        </w:rPr>
      </w:pPr>
    </w:p>
    <w:p w:rsidR="00000000" w:rsidRDefault="00F5481A">
      <w:pPr>
        <w:divId w:val="1130901505"/>
        <w:rPr>
          <w:rFonts w:eastAsia="Times New Roman"/>
        </w:rPr>
      </w:pPr>
      <w:r>
        <w:rPr>
          <w:rFonts w:ascii="IBM Plex Sans" w:eastAsia="Times New Roman" w:hAnsi="IBM Plex Sans"/>
          <w:color w:val="283030"/>
          <w:sz w:val="20"/>
          <w:szCs w:val="20"/>
        </w:rPr>
        <w:t>demand for fuzing and ordnance systems aligned with DoD budget priorities, which was the driver for charges for impairment of goodwi</w:t>
      </w:r>
      <w:r>
        <w:rPr>
          <w:rFonts w:ascii="IBM Plex Sans" w:eastAsia="Times New Roman" w:hAnsi="IBM Plex Sans"/>
          <w:color w:val="283030"/>
          <w:sz w:val="20"/>
          <w:szCs w:val="20"/>
        </w:rPr>
        <w:t>ll in our IMS segment. Any inability of the U.S. Government to complete its budget process for any U.S. Government fiscal year (“GFY”), and consequently having to operate on funding levels equivalent to its prior fiscal year pursuant to a “continuing resol</w:t>
      </w:r>
      <w:r>
        <w:rPr>
          <w:rFonts w:ascii="IBM Plex Sans" w:eastAsia="Times New Roman" w:hAnsi="IBM Plex Sans"/>
          <w:color w:val="283030"/>
          <w:sz w:val="20"/>
          <w:szCs w:val="20"/>
        </w:rPr>
        <w:t>ution” or shut down, also could have material adverse consequences on our current or future business. For more information see “Item 7. Management’s Discussion and Analysis of Financial Condition and Results of Operations - Key Developments - U.S. and Inte</w:t>
      </w:r>
      <w:r>
        <w:rPr>
          <w:rFonts w:ascii="IBM Plex Sans" w:eastAsia="Times New Roman" w:hAnsi="IBM Plex Sans"/>
          <w:color w:val="283030"/>
          <w:sz w:val="20"/>
          <w:szCs w:val="20"/>
        </w:rPr>
        <w:t>rnational Budget Environment” of this Report.</w:t>
      </w:r>
    </w:p>
    <w:p w:rsidR="00000000" w:rsidRDefault="00F5481A">
      <w:pPr>
        <w:divId w:val="737941828"/>
        <w:rPr>
          <w:rFonts w:eastAsia="Times New Roman"/>
        </w:rPr>
      </w:pPr>
      <w:r>
        <w:rPr>
          <w:rFonts w:ascii="IBM Plex Sans SemiBold" w:eastAsia="Times New Roman" w:hAnsi="IBM Plex Sans SemiBold"/>
          <w:b/>
          <w:bCs/>
          <w:i/>
          <w:iCs/>
          <w:color w:val="016676"/>
          <w:sz w:val="20"/>
          <w:szCs w:val="20"/>
        </w:rPr>
        <w:t>Our results of operations and cash flows are substantially affected by our mix of fixed-price, cost-plus and time-and-material type contracts. In particular, our fixed-price contracts could subject us to losses</w:t>
      </w:r>
      <w:r>
        <w:rPr>
          <w:rFonts w:ascii="IBM Plex Sans SemiBold" w:eastAsia="Times New Roman" w:hAnsi="IBM Plex Sans SemiBold"/>
          <w:b/>
          <w:bCs/>
          <w:i/>
          <w:iCs/>
          <w:color w:val="016676"/>
          <w:sz w:val="20"/>
          <w:szCs w:val="20"/>
        </w:rPr>
        <w:t xml:space="preserve"> in the event of cost overruns or a significant increase in or sustained period of increased inflation.</w:t>
      </w:r>
    </w:p>
    <w:p w:rsidR="00000000" w:rsidRDefault="00F5481A">
      <w:pPr>
        <w:ind w:firstLine="360"/>
        <w:divId w:val="1704667556"/>
        <w:rPr>
          <w:rFonts w:eastAsia="Times New Roman"/>
        </w:rPr>
      </w:pPr>
      <w:r>
        <w:rPr>
          <w:rFonts w:ascii="IBM Plex Sans" w:eastAsia="Times New Roman" w:hAnsi="IBM Plex Sans"/>
          <w:color w:val="283030"/>
          <w:sz w:val="20"/>
          <w:szCs w:val="20"/>
        </w:rPr>
        <w:t>We generate revenue through various fixed-price, cost-plus and time-and-material contracts. For a general description of our U.S. Government contracts a</w:t>
      </w:r>
      <w:r>
        <w:rPr>
          <w:rFonts w:ascii="IBM Plex Sans" w:eastAsia="Times New Roman" w:hAnsi="IBM Plex Sans"/>
          <w:color w:val="283030"/>
          <w:sz w:val="20"/>
          <w:szCs w:val="20"/>
        </w:rPr>
        <w:t>nd subcontracts, including a discussion of revenue generated thereunder and of cost-reimbursable versus fixed-price contracts, see “Item 1. Business - Principal Customers; Government Contracts” of this Report. For a description of our revenue recognition p</w:t>
      </w:r>
      <w:r>
        <w:rPr>
          <w:rFonts w:ascii="IBM Plex Sans" w:eastAsia="Times New Roman" w:hAnsi="IBM Plex Sans"/>
          <w:color w:val="283030"/>
          <w:sz w:val="20"/>
          <w:szCs w:val="20"/>
        </w:rPr>
        <w:t>olicies, see “Item 7. Management’s Discussion and Analysis of Financial Conditions and Results of Operations - Critical Accounting Estimates - Revenue Recognition” of this Report.</w:t>
      </w:r>
    </w:p>
    <w:p w:rsidR="00000000" w:rsidRDefault="00F5481A">
      <w:pPr>
        <w:ind w:firstLine="360"/>
        <w:divId w:val="145512831"/>
        <w:rPr>
          <w:rFonts w:eastAsia="Times New Roman"/>
        </w:rPr>
      </w:pPr>
      <w:r>
        <w:rPr>
          <w:rFonts w:ascii="IBM Plex Sans" w:eastAsia="Times New Roman" w:hAnsi="IBM Plex Sans"/>
          <w:color w:val="283030"/>
          <w:sz w:val="20"/>
          <w:szCs w:val="20"/>
        </w:rPr>
        <w:t>In fiscal 2022, 73% of our revenue was derived from fixed-price contracts which allow us to benefit from cost savings, but subject us to the risk of potential cost overruns, including due to greater than anticipated or a sustained period of increased infla</w:t>
      </w:r>
      <w:r>
        <w:rPr>
          <w:rFonts w:ascii="IBM Plex Sans" w:eastAsia="Times New Roman" w:hAnsi="IBM Plex Sans"/>
          <w:color w:val="283030"/>
          <w:sz w:val="20"/>
          <w:szCs w:val="20"/>
        </w:rPr>
        <w:t>tion or unexpected delays, particularly for firm fixed-price contracts because we assume all of the cost burden. If our initial estimates are incorrect, we can lose money (or make more or less money than estimated) on these contracts. U.S. Government contr</w:t>
      </w:r>
      <w:r>
        <w:rPr>
          <w:rFonts w:ascii="IBM Plex Sans" w:eastAsia="Times New Roman" w:hAnsi="IBM Plex Sans"/>
          <w:color w:val="283030"/>
          <w:sz w:val="20"/>
          <w:szCs w:val="20"/>
        </w:rPr>
        <w:t>acts can expose us to potentially large losses because the U.S. Government can hold us responsible for completing a project or, in certain circumstances, paying the entire cost of its replacement by another provider regardless of the size or foreseeability</w:t>
      </w:r>
      <w:r>
        <w:rPr>
          <w:rFonts w:ascii="IBM Plex Sans" w:eastAsia="Times New Roman" w:hAnsi="IBM Plex Sans"/>
          <w:color w:val="283030"/>
          <w:sz w:val="20"/>
          <w:szCs w:val="20"/>
        </w:rPr>
        <w:t xml:space="preserve"> of any cost overruns that occur over the life of the contract. Because many of these contracts involve new technologies and applications and can last for years, unforeseen events, such as technological difficulties, fluctuations in the price of materials,</w:t>
      </w:r>
      <w:r>
        <w:rPr>
          <w:rFonts w:ascii="IBM Plex Sans" w:eastAsia="Times New Roman" w:hAnsi="IBM Plex Sans"/>
          <w:color w:val="283030"/>
          <w:sz w:val="20"/>
          <w:szCs w:val="20"/>
        </w:rPr>
        <w:t xml:space="preserve"> a significant increase in or a sustained period of increased inflation, problems with our suppliers, labor market conditions and cost overruns, can result in the contractual price becoming less favorable or even unprofitable to us over time (which, especi</w:t>
      </w:r>
      <w:r>
        <w:rPr>
          <w:rFonts w:ascii="IBM Plex Sans" w:eastAsia="Times New Roman" w:hAnsi="IBM Plex Sans"/>
          <w:color w:val="283030"/>
          <w:sz w:val="20"/>
          <w:szCs w:val="20"/>
        </w:rPr>
        <w:t>ally in the case of sharp and significant sustained inflation, could happen quickly and have long lasting impact), and increased interest rates resulting from inflationary pressures can also impact the fair value of these contracts. Furthermore, if we do n</w:t>
      </w:r>
      <w:r>
        <w:rPr>
          <w:rFonts w:ascii="IBM Plex Sans" w:eastAsia="Times New Roman" w:hAnsi="IBM Plex Sans"/>
          <w:color w:val="283030"/>
          <w:sz w:val="20"/>
          <w:szCs w:val="20"/>
        </w:rPr>
        <w:t>ot meet contract deadlines or specifications, we may need to renegotiate contracts on less favorable terms, be forced to pay penalties or liquidated damages or suffer major losses if the customer exercises its right to terminate. In addition, some of our c</w:t>
      </w:r>
      <w:r>
        <w:rPr>
          <w:rFonts w:ascii="IBM Plex Sans" w:eastAsia="Times New Roman" w:hAnsi="IBM Plex Sans"/>
          <w:color w:val="283030"/>
          <w:sz w:val="20"/>
          <w:szCs w:val="20"/>
        </w:rPr>
        <w:t xml:space="preserve">ontracts have provisions relating to cost controls and audit rights, and if we fail to meet the terms specified in those contracts, we may not realize their full benefits. Cost overruns would adversely impact our results of operations, which are dependent </w:t>
      </w:r>
      <w:r>
        <w:rPr>
          <w:rFonts w:ascii="IBM Plex Sans" w:eastAsia="Times New Roman" w:hAnsi="IBM Plex Sans"/>
          <w:color w:val="283030"/>
          <w:sz w:val="20"/>
          <w:szCs w:val="20"/>
        </w:rPr>
        <w:t xml:space="preserve">on our ability to maximize our earnings from our contracts, and the potential risk would be greater if our contracts shifted toward a greater percentage of fixed-price contracts, particularly firm fixed-price contracts. </w:t>
      </w:r>
    </w:p>
    <w:p w:rsidR="00000000" w:rsidRDefault="00F5481A">
      <w:pPr>
        <w:ind w:firstLine="360"/>
        <w:divId w:val="149909105"/>
        <w:rPr>
          <w:rFonts w:eastAsia="Times New Roman"/>
        </w:rPr>
      </w:pPr>
      <w:r>
        <w:rPr>
          <w:rFonts w:ascii="IBM Plex Sans" w:eastAsia="Times New Roman" w:hAnsi="IBM Plex Sans"/>
          <w:color w:val="283030"/>
          <w:sz w:val="20"/>
          <w:szCs w:val="20"/>
        </w:rPr>
        <w:t xml:space="preserve">In fiscal 2022, 27% of our revenue </w:t>
      </w:r>
      <w:r>
        <w:rPr>
          <w:rFonts w:ascii="IBM Plex Sans" w:eastAsia="Times New Roman" w:hAnsi="IBM Plex Sans"/>
          <w:color w:val="283030"/>
          <w:sz w:val="20"/>
          <w:szCs w:val="20"/>
        </w:rPr>
        <w:t>was derived from cost-plus and time-and-material contracts, substantially all of which are with U.S. Government customers. For a cost-plus contract, we are paid our allowable incurred costs plus a profit, which can be fixed or variable depending on the con</w:t>
      </w:r>
      <w:r>
        <w:rPr>
          <w:rFonts w:ascii="IBM Plex Sans" w:eastAsia="Times New Roman" w:hAnsi="IBM Plex Sans"/>
          <w:color w:val="283030"/>
          <w:sz w:val="20"/>
          <w:szCs w:val="20"/>
        </w:rPr>
        <w:t>tract’s fee arrangement up to predetermined funding levels established by our customers. For a time-and-material contract, we are paid on the basis of direct labor hours expended at specified fixed-price hourly rates (which include wages, overhead, allowab</w:t>
      </w:r>
      <w:r>
        <w:rPr>
          <w:rFonts w:ascii="IBM Plex Sans" w:eastAsia="Times New Roman" w:hAnsi="IBM Plex Sans"/>
          <w:color w:val="283030"/>
          <w:sz w:val="20"/>
          <w:szCs w:val="20"/>
        </w:rPr>
        <w:t xml:space="preserve">le general and administrative expenses and profit) and materials at cost. Therefore, on cost-plus and time-and-material type contracts, we do not bear the risks of unexpected cost overruns, provided that we do not incur costs that exceed the predetermined </w:t>
      </w:r>
      <w:r>
        <w:rPr>
          <w:rFonts w:ascii="IBM Plex Sans" w:eastAsia="Times New Roman" w:hAnsi="IBM Plex Sans"/>
          <w:color w:val="283030"/>
          <w:sz w:val="20"/>
          <w:szCs w:val="20"/>
        </w:rPr>
        <w:t>funded amounts.</w:t>
      </w:r>
    </w:p>
    <w:p w:rsidR="00000000" w:rsidRDefault="00F5481A">
      <w:pPr>
        <w:ind w:firstLine="360"/>
        <w:divId w:val="2117402749"/>
        <w:rPr>
          <w:rFonts w:eastAsia="Times New Roman"/>
        </w:rPr>
      </w:pPr>
      <w:r>
        <w:rPr>
          <w:rFonts w:ascii="IBM Plex Sans" w:eastAsia="Times New Roman" w:hAnsi="IBM Plex Sans"/>
          <w:color w:val="283030"/>
          <w:sz w:val="20"/>
          <w:szCs w:val="20"/>
        </w:rPr>
        <w:t>To the extent feasible, we have consistently followed the practice of adjusting our prices to reflect the impact of inflation on salaries and fringe benefits for employees and the cost of purchased materials and services. However, our fixed</w:t>
      </w:r>
      <w:r>
        <w:rPr>
          <w:rFonts w:ascii="IBM Plex Sans" w:eastAsia="Times New Roman" w:hAnsi="IBM Plex Sans"/>
          <w:color w:val="283030"/>
          <w:sz w:val="20"/>
          <w:szCs w:val="20"/>
        </w:rPr>
        <w:t>-price contracts could subject us to losses in the event of cost overruns or a significant increase in or a sustained period of increased inflation.</w:t>
      </w:r>
    </w:p>
    <w:p w:rsidR="00000000" w:rsidRDefault="00F5481A">
      <w:pPr>
        <w:ind w:firstLine="360"/>
        <w:divId w:val="979727242"/>
        <w:rPr>
          <w:rFonts w:eastAsia="Times New Roman"/>
        </w:rPr>
      </w:pPr>
      <w:r>
        <w:rPr>
          <w:rFonts w:ascii="IBM Plex Sans" w:eastAsia="Times New Roman" w:hAnsi="IBM Plex Sans"/>
          <w:color w:val="283030"/>
          <w:sz w:val="20"/>
          <w:szCs w:val="20"/>
        </w:rPr>
        <w:t>Any or all of the foregoing could have a negative impact on our business, financial condition, results of o</w:t>
      </w:r>
      <w:r>
        <w:rPr>
          <w:rFonts w:ascii="IBM Plex Sans" w:eastAsia="Times New Roman" w:hAnsi="IBM Plex Sans"/>
          <w:color w:val="283030"/>
          <w:sz w:val="20"/>
          <w:szCs w:val="20"/>
        </w:rPr>
        <w:t>perations, cash flows and equity.</w:t>
      </w:r>
    </w:p>
    <w:p w:rsidR="00000000" w:rsidRDefault="00F5481A">
      <w:pPr>
        <w:ind w:firstLine="360"/>
        <w:jc w:val="center"/>
        <w:divId w:val="450827779"/>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12</w:t>
      </w:r>
    </w:p>
    <w:p w:rsidR="00000000" w:rsidRDefault="00F5481A">
      <w:pPr>
        <w:rPr>
          <w:rFonts w:eastAsia="Times New Roman"/>
        </w:rPr>
      </w:pPr>
      <w:r>
        <w:rPr>
          <w:rFonts w:eastAsia="Times New Roman"/>
        </w:rPr>
        <w:pict>
          <v:rect id="_x0000_i1042" style="width:0;height:1.5pt" o:hralign="center" o:hrstd="t" o:hr="t" fillcolor="#a0a0a0" stroked="f"/>
        </w:pict>
      </w:r>
    </w:p>
    <w:p w:rsidR="00000000" w:rsidRDefault="00F5481A">
      <w:pPr>
        <w:ind w:firstLine="360"/>
        <w:divId w:val="2117098909"/>
        <w:rPr>
          <w:rFonts w:eastAsia="Times New Roman"/>
        </w:rPr>
      </w:pPr>
    </w:p>
    <w:p w:rsidR="00000000" w:rsidRDefault="00F5481A">
      <w:pPr>
        <w:divId w:val="689916253"/>
        <w:rPr>
          <w:rFonts w:eastAsia="Times New Roman"/>
        </w:rPr>
      </w:pPr>
      <w:r>
        <w:rPr>
          <w:rFonts w:ascii="IBM Plex Sans SemiBold" w:eastAsia="Times New Roman" w:hAnsi="IBM Plex Sans SemiBold"/>
          <w:b/>
          <w:bCs/>
          <w:i/>
          <w:iCs/>
          <w:color w:val="016676"/>
          <w:sz w:val="20"/>
          <w:szCs w:val="20"/>
        </w:rPr>
        <w:t>We depend significantly on U.S. Government contracts, which often are only partially funded</w:t>
      </w:r>
      <w:r>
        <w:rPr>
          <w:rFonts w:ascii="IBM Plex Sans" w:eastAsia="Times New Roman" w:hAnsi="IBM Plex Sans"/>
          <w:b/>
          <w:bCs/>
          <w:i/>
          <w:iCs/>
          <w:color w:val="283030"/>
          <w:sz w:val="20"/>
          <w:szCs w:val="20"/>
        </w:rPr>
        <w:t xml:space="preserve">, </w:t>
      </w:r>
      <w:r>
        <w:rPr>
          <w:rFonts w:ascii="IBM Plex Sans SemiBold" w:eastAsia="Times New Roman" w:hAnsi="IBM Plex Sans SemiBold"/>
          <w:b/>
          <w:bCs/>
          <w:i/>
          <w:iCs/>
          <w:color w:val="016676"/>
          <w:sz w:val="20"/>
          <w:szCs w:val="20"/>
        </w:rPr>
        <w:t>subject to immediate termination and heavily regulated and audited. The termination or failure to fund, or negative audit findings for, one or more of these contracts could have an adverse impact on our business, financial condition, results of operations,</w:t>
      </w:r>
      <w:r>
        <w:rPr>
          <w:rFonts w:ascii="IBM Plex Sans SemiBold" w:eastAsia="Times New Roman" w:hAnsi="IBM Plex Sans SemiBold"/>
          <w:b/>
          <w:bCs/>
          <w:i/>
          <w:iCs/>
          <w:color w:val="016676"/>
          <w:sz w:val="20"/>
          <w:szCs w:val="20"/>
        </w:rPr>
        <w:t xml:space="preserve"> cash flows and equity.</w:t>
      </w:r>
    </w:p>
    <w:p w:rsidR="00000000" w:rsidRDefault="00F5481A">
      <w:pPr>
        <w:ind w:firstLine="360"/>
        <w:divId w:val="420686335"/>
        <w:rPr>
          <w:rFonts w:eastAsia="Times New Roman"/>
        </w:rPr>
      </w:pPr>
      <w:r>
        <w:rPr>
          <w:rFonts w:ascii="IBM Plex Sans" w:eastAsia="Times New Roman" w:hAnsi="IBM Plex Sans"/>
          <w:color w:val="283030"/>
          <w:sz w:val="20"/>
          <w:szCs w:val="20"/>
        </w:rPr>
        <w:t>A U.S. Government program may be implemented by the award of many different individual contracts and subcontracts over its lifetime, and its funding is subject to Congressional appropriations, which have been affected by larger U.S.</w:t>
      </w:r>
      <w:r>
        <w:rPr>
          <w:rFonts w:ascii="IBM Plex Sans" w:eastAsia="Times New Roman" w:hAnsi="IBM Plex Sans"/>
          <w:color w:val="283030"/>
          <w:sz w:val="20"/>
          <w:szCs w:val="20"/>
        </w:rPr>
        <w:t xml:space="preserve"> Government budgetary issues and related legislation in recent years. Although multi-year contracts may be authorized and appropriated in connection with major procurements, Congress generally appropriates funds on a GFY basis. Procurement funds are typica</w:t>
      </w:r>
      <w:r>
        <w:rPr>
          <w:rFonts w:ascii="IBM Plex Sans" w:eastAsia="Times New Roman" w:hAnsi="IBM Plex Sans"/>
          <w:color w:val="283030"/>
          <w:sz w:val="20"/>
          <w:szCs w:val="20"/>
        </w:rPr>
        <w:t>lly made available for obligation over the course of one to three years. Consequently, programs often initially receive only partial funding, and additional funds are obligated only as Congress authorizes further appropriations. We cannot predict the exten</w:t>
      </w:r>
      <w:r>
        <w:rPr>
          <w:rFonts w:ascii="IBM Plex Sans" w:eastAsia="Times New Roman" w:hAnsi="IBM Plex Sans"/>
          <w:color w:val="283030"/>
          <w:sz w:val="20"/>
          <w:szCs w:val="20"/>
        </w:rPr>
        <w:t>t to which total funding and/or funding for individual programs will be included, increased or reduced as part of the annual appropriations process ultimately approved by Congress and the President or in separate supplemental appropriations or continuing r</w:t>
      </w:r>
      <w:r>
        <w:rPr>
          <w:rFonts w:ascii="IBM Plex Sans" w:eastAsia="Times New Roman" w:hAnsi="IBM Plex Sans"/>
          <w:color w:val="283030"/>
          <w:sz w:val="20"/>
          <w:szCs w:val="20"/>
        </w:rPr>
        <w:t>esolutions, as applicable. The termination of funding for a U.S. Government program would result in a loss of anticipated future revenue attributable to that program, which could have an adverse impact on our operations. In addition, the termination of a p</w:t>
      </w:r>
      <w:r>
        <w:rPr>
          <w:rFonts w:ascii="IBM Plex Sans" w:eastAsia="Times New Roman" w:hAnsi="IBM Plex Sans"/>
          <w:color w:val="283030"/>
          <w:sz w:val="20"/>
          <w:szCs w:val="20"/>
        </w:rPr>
        <w:t>rogram or the failure to commit additional funds to a program that already has been started could result in lost revenue and increase our overall costs of doing business.</w:t>
      </w:r>
    </w:p>
    <w:p w:rsidR="00000000" w:rsidRDefault="00F5481A">
      <w:pPr>
        <w:ind w:firstLine="360"/>
        <w:divId w:val="1012295826"/>
        <w:rPr>
          <w:rFonts w:eastAsia="Times New Roman"/>
        </w:rPr>
      </w:pPr>
      <w:r>
        <w:rPr>
          <w:rFonts w:ascii="IBM Plex Sans" w:eastAsia="Times New Roman" w:hAnsi="IBM Plex Sans"/>
          <w:color w:val="283030"/>
          <w:sz w:val="20"/>
          <w:szCs w:val="20"/>
        </w:rPr>
        <w:t>U.S. Government contracts also generally are subject to U.S. Government oversight aud</w:t>
      </w:r>
      <w:r>
        <w:rPr>
          <w:rFonts w:ascii="IBM Plex Sans" w:eastAsia="Times New Roman" w:hAnsi="IBM Plex Sans"/>
          <w:color w:val="283030"/>
          <w:sz w:val="20"/>
          <w:szCs w:val="20"/>
        </w:rPr>
        <w:t xml:space="preserve">its, which could result in adjustments to our contract costs. Any costs found to be improperly allocated to a specific contract will not be reimbursed, and such costs already reimbursed must be refunded. We have recorded contract revenue based on costs we </w:t>
      </w:r>
      <w:r>
        <w:rPr>
          <w:rFonts w:ascii="IBM Plex Sans" w:eastAsia="Times New Roman" w:hAnsi="IBM Plex Sans"/>
          <w:color w:val="283030"/>
          <w:sz w:val="20"/>
          <w:szCs w:val="20"/>
        </w:rPr>
        <w:t xml:space="preserve">expect to realize upon final audit. However, we do not know the outcome of any future audits and adjustments, and we may be required to materially reduce our revenue or profits upon completion and final negotiation of audits. Negative audit findings could </w:t>
      </w:r>
      <w:r>
        <w:rPr>
          <w:rFonts w:ascii="IBM Plex Sans" w:eastAsia="Times New Roman" w:hAnsi="IBM Plex Sans"/>
          <w:color w:val="283030"/>
          <w:sz w:val="20"/>
          <w:szCs w:val="20"/>
        </w:rPr>
        <w:t>also result in termination of a contract, forfeiture of profits, suspension of payments, fines or suspension or debarment from U.S. Government contracting or subcontracting for a period of time.</w:t>
      </w:r>
    </w:p>
    <w:p w:rsidR="00000000" w:rsidRDefault="00F5481A">
      <w:pPr>
        <w:ind w:firstLine="360"/>
        <w:divId w:val="1278372915"/>
        <w:rPr>
          <w:rFonts w:eastAsia="Times New Roman"/>
        </w:rPr>
      </w:pPr>
      <w:r>
        <w:rPr>
          <w:rFonts w:ascii="IBM Plex Sans" w:eastAsia="Times New Roman" w:hAnsi="IBM Plex Sans"/>
          <w:color w:val="283030"/>
          <w:sz w:val="20"/>
          <w:szCs w:val="20"/>
        </w:rPr>
        <w:t>In addition, U.S. Government contracts generally contain prov</w:t>
      </w:r>
      <w:r>
        <w:rPr>
          <w:rFonts w:ascii="IBM Plex Sans" w:eastAsia="Times New Roman" w:hAnsi="IBM Plex Sans"/>
          <w:color w:val="283030"/>
          <w:sz w:val="20"/>
          <w:szCs w:val="20"/>
        </w:rPr>
        <w:t>isions permitting termination, in whole or in part, without prior notice at the U.S. Government’s convenience upon payment only for work done and commitments made at the time of termination. For some contracts, we are a subcontractor and not the prime cont</w:t>
      </w:r>
      <w:r>
        <w:rPr>
          <w:rFonts w:ascii="IBM Plex Sans" w:eastAsia="Times New Roman" w:hAnsi="IBM Plex Sans"/>
          <w:color w:val="283030"/>
          <w:sz w:val="20"/>
          <w:szCs w:val="20"/>
        </w:rPr>
        <w:t>ractor, and in those arrangements, the U.S. Government could terminate the prime contractor for convenience without regard for our performance as a subcontractor. We may be unable to procure new contracts to offset revenue or backlog lost as a result of an</w:t>
      </w:r>
      <w:r>
        <w:rPr>
          <w:rFonts w:ascii="IBM Plex Sans" w:eastAsia="Times New Roman" w:hAnsi="IBM Plex Sans"/>
          <w:color w:val="283030"/>
          <w:sz w:val="20"/>
          <w:szCs w:val="20"/>
        </w:rPr>
        <w:t>y termination of our U.S. Government contracts. Because a significant portion of our revenue is dependent on our performance and payment under our U.S. Government contracts, the loss of one or more large contracts could have a material adverse impact on ou</w:t>
      </w:r>
      <w:r>
        <w:rPr>
          <w:rFonts w:ascii="IBM Plex Sans" w:eastAsia="Times New Roman" w:hAnsi="IBM Plex Sans"/>
          <w:color w:val="283030"/>
          <w:sz w:val="20"/>
          <w:szCs w:val="20"/>
        </w:rPr>
        <w:t>r business, financial condition, results of operations, cash flows and equity.</w:t>
      </w:r>
    </w:p>
    <w:p w:rsidR="00000000" w:rsidRDefault="00F5481A">
      <w:pPr>
        <w:ind w:firstLine="360"/>
        <w:divId w:val="53741534"/>
        <w:rPr>
          <w:rFonts w:eastAsia="Times New Roman"/>
        </w:rPr>
      </w:pPr>
      <w:r>
        <w:rPr>
          <w:rFonts w:ascii="IBM Plex Sans" w:eastAsia="Times New Roman" w:hAnsi="IBM Plex Sans"/>
          <w:color w:val="283030"/>
          <w:sz w:val="20"/>
          <w:szCs w:val="20"/>
        </w:rPr>
        <w:t>Our U.S. Government business also is subject to specific procurement regulations and a variety of socioeconomic and other requirements that, although customary in U.S. Governmen</w:t>
      </w:r>
      <w:r>
        <w:rPr>
          <w:rFonts w:ascii="IBM Plex Sans" w:eastAsia="Times New Roman" w:hAnsi="IBM Plex Sans"/>
          <w:color w:val="283030"/>
          <w:sz w:val="20"/>
          <w:szCs w:val="20"/>
        </w:rPr>
        <w:t>t contracts, increase our performance and compliance costs. These costs might increase in the future, thereby reducing our margins, which could have an adverse effect on our business, financial condition, results of operations, cash flows and equity. In ad</w:t>
      </w:r>
      <w:r>
        <w:rPr>
          <w:rFonts w:ascii="IBM Plex Sans" w:eastAsia="Times New Roman" w:hAnsi="IBM Plex Sans"/>
          <w:color w:val="283030"/>
          <w:sz w:val="20"/>
          <w:szCs w:val="20"/>
        </w:rPr>
        <w:t>dition, the U.S. Government has and may continue to implement initiatives focused on efficiencies, affordability and cost growth and other changes to its procurement practices. These initiatives and changes to procurement practices may change the way U.S. </w:t>
      </w:r>
      <w:r>
        <w:rPr>
          <w:rFonts w:ascii="IBM Plex Sans" w:eastAsia="Times New Roman" w:hAnsi="IBM Plex Sans"/>
          <w:color w:val="283030"/>
          <w:sz w:val="20"/>
          <w:szCs w:val="20"/>
        </w:rPr>
        <w:t>Government contracts are solicited, negotiated and managed, which may affect whether and how we pursue opportunities to provide our products and services to the U.S. Government, including the terms and conditions under which we do so, which may have an adv</w:t>
      </w:r>
      <w:r>
        <w:rPr>
          <w:rFonts w:ascii="IBM Plex Sans" w:eastAsia="Times New Roman" w:hAnsi="IBM Plex Sans"/>
          <w:color w:val="283030"/>
          <w:sz w:val="20"/>
          <w:szCs w:val="20"/>
        </w:rPr>
        <w:t>erse impact on our business, financial condition, results of operations, cash flows and equity. For example, contracts awarded under the DoD’s Other Transaction Authority for research and prototypes generally require cost-sharing and may not follow, or may</w:t>
      </w:r>
      <w:r>
        <w:rPr>
          <w:rFonts w:ascii="IBM Plex Sans" w:eastAsia="Times New Roman" w:hAnsi="IBM Plex Sans"/>
          <w:color w:val="283030"/>
          <w:sz w:val="20"/>
          <w:szCs w:val="20"/>
        </w:rPr>
        <w:t xml:space="preserve"> follow only in part, standard U.S. Government contracting practices and terms, such as the Federal Acquisition Regulation (“FAR”) and U.S. Government Cost Accounting Standards (“CAS”). </w:t>
      </w:r>
    </w:p>
    <w:p w:rsidR="00000000" w:rsidRDefault="00F5481A">
      <w:pPr>
        <w:ind w:firstLine="360"/>
        <w:divId w:val="1293751861"/>
        <w:rPr>
          <w:rFonts w:eastAsia="Times New Roman"/>
        </w:rPr>
      </w:pPr>
      <w:r>
        <w:rPr>
          <w:rFonts w:ascii="IBM Plex Sans" w:eastAsia="Times New Roman" w:hAnsi="IBM Plex Sans"/>
          <w:color w:val="283030"/>
          <w:sz w:val="20"/>
          <w:szCs w:val="20"/>
        </w:rPr>
        <w:t xml:space="preserve">Failure to comply with applicable regulations and requirements could </w:t>
      </w:r>
      <w:r>
        <w:rPr>
          <w:rFonts w:ascii="IBM Plex Sans" w:eastAsia="Times New Roman" w:hAnsi="IBM Plex Sans"/>
          <w:color w:val="283030"/>
          <w:sz w:val="20"/>
          <w:szCs w:val="20"/>
        </w:rPr>
        <w:t>lead to fines, penalties, repayments or compensatory or treble damages, or suspension or debarment from U.S. Government contracting or subcontracting for a period of time. Among the causes for debarment are violations of various laws and regulations, inclu</w:t>
      </w:r>
      <w:r>
        <w:rPr>
          <w:rFonts w:ascii="IBM Plex Sans" w:eastAsia="Times New Roman" w:hAnsi="IBM Plex Sans"/>
          <w:color w:val="283030"/>
          <w:sz w:val="20"/>
          <w:szCs w:val="20"/>
        </w:rPr>
        <w:t>ding those related to procurement integrity, export control (including ITAR), U.S. Government security, employment practices, protection of the environment, accuracy of records, proper recording of costs and foreign corruption. The termination of a U.S. Go</w:t>
      </w:r>
      <w:r>
        <w:rPr>
          <w:rFonts w:ascii="IBM Plex Sans" w:eastAsia="Times New Roman" w:hAnsi="IBM Plex Sans"/>
          <w:color w:val="283030"/>
          <w:sz w:val="20"/>
          <w:szCs w:val="20"/>
        </w:rPr>
        <w:t>vernment contract or relationship as a result of any of these acts would have an adverse impact on our operations and could have an adverse effect on our standing and eligibility for future U.S. Government contracts.</w:t>
      </w:r>
    </w:p>
    <w:p w:rsidR="00000000" w:rsidRDefault="00F5481A">
      <w:pPr>
        <w:ind w:firstLine="360"/>
        <w:jc w:val="center"/>
        <w:divId w:val="104496450"/>
        <w:rPr>
          <w:rFonts w:eastAsia="Times New Roman"/>
        </w:rPr>
      </w:pPr>
      <w:r>
        <w:rPr>
          <w:rFonts w:ascii="Arial" w:eastAsia="Times New Roman" w:hAnsi="Arial" w:cs="Arial"/>
          <w:b/>
          <w:bCs/>
          <w:color w:val="016676"/>
        </w:rPr>
        <w:t>_______________________________________</w:t>
      </w:r>
      <w:r>
        <w:rPr>
          <w:rFonts w:ascii="Arial" w:eastAsia="Times New Roman" w:hAnsi="Arial" w:cs="Arial"/>
          <w:b/>
          <w:bCs/>
          <w:color w:val="016676"/>
        </w:rPr>
        <w:t>______________________________</w:t>
      </w:r>
      <w:r>
        <w:rPr>
          <w:rFonts w:ascii="Arial" w:eastAsia="Times New Roman" w:hAnsi="Arial" w:cs="Arial"/>
          <w:b/>
          <w:bCs/>
          <w:color w:val="233D6F"/>
        </w:rPr>
        <w:br/>
      </w:r>
      <w:r>
        <w:rPr>
          <w:rFonts w:ascii="IBM Plex Sans" w:eastAsia="Times New Roman" w:hAnsi="IBM Plex Sans"/>
          <w:color w:val="283030"/>
          <w:sz w:val="20"/>
          <w:szCs w:val="20"/>
        </w:rPr>
        <w:t>13</w:t>
      </w:r>
    </w:p>
    <w:p w:rsidR="00000000" w:rsidRDefault="00F5481A">
      <w:pPr>
        <w:rPr>
          <w:rFonts w:eastAsia="Times New Roman"/>
        </w:rPr>
      </w:pPr>
      <w:r>
        <w:rPr>
          <w:rFonts w:eastAsia="Times New Roman"/>
        </w:rPr>
        <w:pict>
          <v:rect id="_x0000_i1043" style="width:0;height:1.5pt" o:hralign="center" o:hrstd="t" o:hr="t" fillcolor="#a0a0a0" stroked="f"/>
        </w:pict>
      </w:r>
    </w:p>
    <w:p w:rsidR="00000000" w:rsidRDefault="00F5481A">
      <w:pPr>
        <w:ind w:firstLine="360"/>
        <w:divId w:val="1908570042"/>
        <w:rPr>
          <w:rFonts w:eastAsia="Times New Roman"/>
        </w:rPr>
      </w:pPr>
    </w:p>
    <w:p w:rsidR="00000000" w:rsidRDefault="00F5481A">
      <w:pPr>
        <w:divId w:val="1133016707"/>
        <w:rPr>
          <w:rFonts w:eastAsia="Times New Roman"/>
        </w:rPr>
      </w:pPr>
      <w:r>
        <w:rPr>
          <w:rFonts w:ascii="IBM Plex Sans SemiBold" w:eastAsia="Times New Roman" w:hAnsi="IBM Plex Sans SemiBold"/>
          <w:b/>
          <w:bCs/>
          <w:i/>
          <w:iCs/>
          <w:color w:val="016676"/>
          <w:sz w:val="20"/>
          <w:szCs w:val="20"/>
        </w:rPr>
        <w:t>The U.S. Government’s budget deficit and the national debt, as well as a breach of the debt ceiling, could have an adverse impact on our business, financial condition, results of opera</w:t>
      </w:r>
      <w:r>
        <w:rPr>
          <w:rFonts w:ascii="IBM Plex Sans SemiBold" w:eastAsia="Times New Roman" w:hAnsi="IBM Plex Sans SemiBold"/>
          <w:b/>
          <w:bCs/>
          <w:i/>
          <w:iCs/>
          <w:color w:val="016676"/>
          <w:sz w:val="20"/>
          <w:szCs w:val="20"/>
        </w:rPr>
        <w:t>tions, cash flows and equity.</w:t>
      </w:r>
    </w:p>
    <w:p w:rsidR="00000000" w:rsidRDefault="00F5481A">
      <w:pPr>
        <w:ind w:firstLine="360"/>
        <w:divId w:val="494995543"/>
        <w:rPr>
          <w:rFonts w:eastAsia="Times New Roman"/>
        </w:rPr>
      </w:pPr>
      <w:r>
        <w:rPr>
          <w:rFonts w:ascii="IBM Plex Sans" w:eastAsia="Times New Roman" w:hAnsi="IBM Plex Sans"/>
          <w:color w:val="283030"/>
          <w:sz w:val="20"/>
          <w:szCs w:val="20"/>
        </w:rPr>
        <w:t xml:space="preserve">Considerable uncertainty exists regarding how future budget and program decisions will unfold, including the defense spending priorities of the U.S. Government. The U.S. Government’s budget deficit and the national debt could </w:t>
      </w:r>
      <w:r>
        <w:rPr>
          <w:rFonts w:ascii="IBM Plex Sans" w:eastAsia="Times New Roman" w:hAnsi="IBM Plex Sans"/>
          <w:color w:val="283030"/>
          <w:sz w:val="20"/>
          <w:szCs w:val="20"/>
        </w:rPr>
        <w:t>have an adverse impact on our business, financial condition, results of operations, cash flows and equity in a number of ways, including the following:</w:t>
      </w:r>
    </w:p>
    <w:p w:rsidR="00000000" w:rsidRDefault="00F5481A">
      <w:pPr>
        <w:ind w:hanging="360"/>
        <w:divId w:val="1967153595"/>
        <w:rPr>
          <w:rFonts w:eastAsia="Times New Roman"/>
        </w:rPr>
      </w:pPr>
      <w:r>
        <w:rPr>
          <w:rFonts w:ascii="IBM Plex Sans" w:eastAsia="Times New Roman" w:hAnsi="IBM Plex Sans"/>
          <w:color w:val="283030"/>
          <w:sz w:val="20"/>
          <w:szCs w:val="20"/>
        </w:rPr>
        <w:t xml:space="preserve">•The U.S. Government could reduce or delay its spending on, or reprioritize its spending away from, the </w:t>
      </w:r>
      <w:r>
        <w:rPr>
          <w:rFonts w:ascii="IBM Plex Sans" w:eastAsia="Times New Roman" w:hAnsi="IBM Plex Sans"/>
          <w:color w:val="283030"/>
          <w:sz w:val="20"/>
          <w:szCs w:val="20"/>
        </w:rPr>
        <w:t>government programs in which we participate;</w:t>
      </w:r>
    </w:p>
    <w:p w:rsidR="00000000" w:rsidRDefault="00F5481A">
      <w:pPr>
        <w:ind w:hanging="360"/>
        <w:divId w:val="1456365176"/>
        <w:rPr>
          <w:rFonts w:eastAsia="Times New Roman"/>
        </w:rPr>
      </w:pPr>
      <w:r>
        <w:rPr>
          <w:rFonts w:ascii="IBM Plex Sans" w:eastAsia="Times New Roman" w:hAnsi="IBM Plex Sans"/>
          <w:color w:val="283030"/>
          <w:sz w:val="20"/>
          <w:szCs w:val="20"/>
        </w:rPr>
        <w:t>•U.S. Government spending could be impacted by alternate arrangements to sequestration, which increases the uncertainty as to, and the difficulty in predicting, U.S. Government spending priorities and levels; an</w:t>
      </w:r>
      <w:r>
        <w:rPr>
          <w:rFonts w:ascii="IBM Plex Sans" w:eastAsia="Times New Roman" w:hAnsi="IBM Plex Sans"/>
          <w:color w:val="283030"/>
          <w:sz w:val="20"/>
          <w:szCs w:val="20"/>
        </w:rPr>
        <w:t>d</w:t>
      </w:r>
    </w:p>
    <w:p w:rsidR="00000000" w:rsidRDefault="00F5481A">
      <w:pPr>
        <w:ind w:hanging="360"/>
        <w:divId w:val="1021517362"/>
        <w:rPr>
          <w:rFonts w:eastAsia="Times New Roman"/>
        </w:rPr>
      </w:pPr>
      <w:r>
        <w:rPr>
          <w:rFonts w:ascii="IBM Plex Sans" w:eastAsia="Times New Roman" w:hAnsi="IBM Plex Sans"/>
          <w:color w:val="283030"/>
          <w:sz w:val="20"/>
          <w:szCs w:val="20"/>
        </w:rPr>
        <w:t>•We may experience declines in revenue, profitability and cash flows as a result of reduced or delayed orders or payments or other factors caused by economic difficulties of our customers and prospective customers, including U.S. Federal, state and local</w:t>
      </w:r>
      <w:r>
        <w:rPr>
          <w:rFonts w:ascii="IBM Plex Sans" w:eastAsia="Times New Roman" w:hAnsi="IBM Plex Sans"/>
          <w:color w:val="283030"/>
          <w:sz w:val="20"/>
          <w:szCs w:val="20"/>
        </w:rPr>
        <w:t xml:space="preserve"> governments.</w:t>
      </w:r>
    </w:p>
    <w:p w:rsidR="00000000" w:rsidRDefault="00F5481A">
      <w:pPr>
        <w:ind w:firstLine="360"/>
        <w:divId w:val="2019110685"/>
        <w:rPr>
          <w:rFonts w:eastAsia="Times New Roman"/>
        </w:rPr>
      </w:pPr>
      <w:r>
        <w:rPr>
          <w:rFonts w:ascii="IBM Plex Sans" w:eastAsia="Times New Roman" w:hAnsi="IBM Plex Sans"/>
          <w:color w:val="283030"/>
          <w:sz w:val="20"/>
          <w:szCs w:val="20"/>
        </w:rPr>
        <w:t xml:space="preserve">Furthermore, in 2023, Congress will again have to contend with the legal limit on U.S. debt, commonly known as the debt ceiling. The current statutory limit was reached in January 2023, requiring “extraordinary measures” to continue normally </w:t>
      </w:r>
      <w:r>
        <w:rPr>
          <w:rFonts w:ascii="IBM Plex Sans" w:eastAsia="Times New Roman" w:hAnsi="IBM Plex Sans"/>
          <w:color w:val="283030"/>
          <w:sz w:val="20"/>
          <w:szCs w:val="20"/>
        </w:rPr>
        <w:t>financing U.S. government obligations while avoiding breaching the debt ceiling. However, it is expected the U.S. Government will exhaust these measures by June 2023. If the debt ceiling is not raised, the U.S. Government may not be able to fulfill its fun</w:t>
      </w:r>
      <w:r>
        <w:rPr>
          <w:rFonts w:ascii="IBM Plex Sans" w:eastAsia="Times New Roman" w:hAnsi="IBM Plex Sans"/>
          <w:color w:val="283030"/>
          <w:sz w:val="20"/>
          <w:szCs w:val="20"/>
        </w:rPr>
        <w:t>ding obligations and there could be significant disruption to all discretionary programs and corresponding impacts on us and the rest of the defense industry.</w:t>
      </w:r>
    </w:p>
    <w:p w:rsidR="00000000" w:rsidRDefault="00F5481A">
      <w:pPr>
        <w:divId w:val="1913731185"/>
        <w:rPr>
          <w:rFonts w:eastAsia="Times New Roman"/>
        </w:rPr>
      </w:pPr>
      <w:r>
        <w:rPr>
          <w:rFonts w:ascii="IBM Plex Sans SemiBold" w:eastAsia="Times New Roman" w:hAnsi="IBM Plex Sans SemiBold"/>
          <w:b/>
          <w:bCs/>
          <w:i/>
          <w:iCs/>
          <w:color w:val="016676"/>
          <w:sz w:val="20"/>
          <w:szCs w:val="20"/>
        </w:rPr>
        <w:t>We participate in markets that are often subject to uncertain economic conditions, which makes it</w:t>
      </w:r>
      <w:r>
        <w:rPr>
          <w:rFonts w:ascii="IBM Plex Sans SemiBold" w:eastAsia="Times New Roman" w:hAnsi="IBM Plex Sans SemiBold"/>
          <w:b/>
          <w:bCs/>
          <w:i/>
          <w:iCs/>
          <w:color w:val="016676"/>
          <w:sz w:val="20"/>
          <w:szCs w:val="20"/>
        </w:rPr>
        <w:t xml:space="preserve"> difficult to estimate growth in our markets and, as a result, future income and expenditures.</w:t>
      </w:r>
    </w:p>
    <w:p w:rsidR="00000000" w:rsidRDefault="00F5481A">
      <w:pPr>
        <w:ind w:firstLine="360"/>
        <w:divId w:val="1325352848"/>
        <w:rPr>
          <w:rFonts w:eastAsia="Times New Roman"/>
        </w:rPr>
      </w:pPr>
      <w:r>
        <w:rPr>
          <w:rFonts w:ascii="IBM Plex Sans" w:eastAsia="Times New Roman" w:hAnsi="IBM Plex Sans"/>
          <w:color w:val="283030"/>
          <w:sz w:val="20"/>
          <w:szCs w:val="20"/>
        </w:rPr>
        <w:t>We participate in U.S. and international markets that are subject to uncertain economic conditions. In particular, U.S. Federal, state and local government spend</w:t>
      </w:r>
      <w:r>
        <w:rPr>
          <w:rFonts w:ascii="IBM Plex Sans" w:eastAsia="Times New Roman" w:hAnsi="IBM Plex Sans"/>
          <w:color w:val="283030"/>
          <w:sz w:val="20"/>
          <w:szCs w:val="20"/>
        </w:rPr>
        <w:t>ing priorities and levels remain uncertain and difficult to predict and are affected by numerous factors. In addition, certain of our non-U.S. customers, including in the Middle East and other oil or natural gas-producing countries, could be adversely affe</w:t>
      </w:r>
      <w:r>
        <w:rPr>
          <w:rFonts w:ascii="IBM Plex Sans" w:eastAsia="Times New Roman" w:hAnsi="IBM Plex Sans"/>
          <w:color w:val="283030"/>
          <w:sz w:val="20"/>
          <w:szCs w:val="20"/>
        </w:rPr>
        <w:t>cted by weakness or volatility in oil or natural gas prices, or negative expectations about future prices or volatility, which could adversely affect demand for our products, systems, services or technologies. As a result of that uncertainty, it is difficu</w:t>
      </w:r>
      <w:r>
        <w:rPr>
          <w:rFonts w:ascii="IBM Plex Sans" w:eastAsia="Times New Roman" w:hAnsi="IBM Plex Sans"/>
          <w:color w:val="283030"/>
          <w:sz w:val="20"/>
          <w:szCs w:val="20"/>
        </w:rPr>
        <w:t xml:space="preserve">lt to develop accurate estimates of the level of growth in the markets we serve. Because those estimates underpin all components of our budgeting and forecasting, our estimates or guidance for future revenue, income and expenditures may be inaccurate, and </w:t>
      </w:r>
      <w:r>
        <w:rPr>
          <w:rFonts w:ascii="IBM Plex Sans" w:eastAsia="Times New Roman" w:hAnsi="IBM Plex Sans"/>
          <w:color w:val="283030"/>
          <w:sz w:val="20"/>
          <w:szCs w:val="20"/>
        </w:rPr>
        <w:t>we may make significant investments and expenditures but never realize the anticipated benefits.</w:t>
      </w:r>
    </w:p>
    <w:p w:rsidR="00000000" w:rsidRDefault="00F5481A">
      <w:pPr>
        <w:divId w:val="241259964"/>
        <w:rPr>
          <w:rFonts w:eastAsia="Times New Roman"/>
        </w:rPr>
      </w:pPr>
      <w:r>
        <w:rPr>
          <w:rFonts w:ascii="IBM Plex Sans SemiBold" w:eastAsia="Times New Roman" w:hAnsi="IBM Plex Sans SemiBold"/>
          <w:b/>
          <w:bCs/>
          <w:i/>
          <w:iCs/>
          <w:color w:val="016676"/>
          <w:sz w:val="20"/>
          <w:szCs w:val="20"/>
        </w:rPr>
        <w:t>We cannot predict the consequences of future geo-political events, but they may adversely affect the markets in which we operate, our ability to insure against</w:t>
      </w:r>
      <w:r>
        <w:rPr>
          <w:rFonts w:ascii="IBM Plex Sans SemiBold" w:eastAsia="Times New Roman" w:hAnsi="IBM Plex Sans SemiBold"/>
          <w:b/>
          <w:bCs/>
          <w:i/>
          <w:iCs/>
          <w:color w:val="016676"/>
          <w:sz w:val="20"/>
          <w:szCs w:val="20"/>
        </w:rPr>
        <w:t xml:space="preserve"> risks, our operations or our profitability.</w:t>
      </w:r>
    </w:p>
    <w:p w:rsidR="00000000" w:rsidRDefault="00F5481A">
      <w:pPr>
        <w:ind w:firstLine="360"/>
        <w:divId w:val="1081096513"/>
        <w:rPr>
          <w:rFonts w:eastAsia="Times New Roman"/>
        </w:rPr>
      </w:pPr>
      <w:r>
        <w:rPr>
          <w:rFonts w:ascii="IBM Plex Sans" w:eastAsia="Times New Roman" w:hAnsi="IBM Plex Sans"/>
          <w:color w:val="283030"/>
          <w:sz w:val="20"/>
          <w:szCs w:val="20"/>
        </w:rPr>
        <w:t>Ongoing instability and current conflicts in global markets, including in the Ukraine and Eastern Europe, the Middle East and Asia, and the potential for other conflicts and future terrorist activities and other</w:t>
      </w:r>
      <w:r>
        <w:rPr>
          <w:rFonts w:ascii="IBM Plex Sans" w:eastAsia="Times New Roman" w:hAnsi="IBM Plex Sans"/>
          <w:color w:val="283030"/>
          <w:sz w:val="20"/>
          <w:szCs w:val="20"/>
        </w:rPr>
        <w:t xml:space="preserve"> recent geo-political events throughout the world, including new or increased tariffs and potential trade wars, have created and may continue to create economic and political uncertainties and impacts that could have a material adverse effect on our busine</w:t>
      </w:r>
      <w:r>
        <w:rPr>
          <w:rFonts w:ascii="IBM Plex Sans" w:eastAsia="Times New Roman" w:hAnsi="IBM Plex Sans"/>
          <w:color w:val="283030"/>
          <w:sz w:val="20"/>
          <w:szCs w:val="20"/>
        </w:rPr>
        <w:t xml:space="preserve">ss, operations and profitability. These types of matters cause uncertainty in financial and insurance markets and may significantly increase the political, economic and social instability in the geographic areas in which we operate. If credit in financial </w:t>
      </w:r>
      <w:r>
        <w:rPr>
          <w:rFonts w:ascii="IBM Plex Sans" w:eastAsia="Times New Roman" w:hAnsi="IBM Plex Sans"/>
          <w:color w:val="283030"/>
          <w:sz w:val="20"/>
          <w:szCs w:val="20"/>
        </w:rPr>
        <w:t>markets outside of the U.S. remains tight, it could adversely affect the ability of our international customers and suppliers to obtain financing and could result in a decrease in or cancellation of orders for our products and services or impact the abilit</w:t>
      </w:r>
      <w:r>
        <w:rPr>
          <w:rFonts w:ascii="IBM Plex Sans" w:eastAsia="Times New Roman" w:hAnsi="IBM Plex Sans"/>
          <w:color w:val="283030"/>
          <w:sz w:val="20"/>
          <w:szCs w:val="20"/>
        </w:rPr>
        <w:t>y of our customers to make payments. These matters also may cause us to experience increased costs, such as for insurance coverage and performance bonds (or for them to be unavailable altogether), as well as difficulty with future borrowings under our comm</w:t>
      </w:r>
      <w:r>
        <w:rPr>
          <w:rFonts w:ascii="IBM Plex Sans" w:eastAsia="Times New Roman" w:hAnsi="IBM Plex Sans"/>
          <w:color w:val="283030"/>
          <w:sz w:val="20"/>
          <w:szCs w:val="20"/>
        </w:rPr>
        <w:t xml:space="preserve">ercial paper program or credit facilities or in the debt markets or otherwise with financing our operating, investing or financing activities, including financing of acquisitions. </w:t>
      </w:r>
    </w:p>
    <w:p w:rsidR="00000000" w:rsidRDefault="00F5481A">
      <w:pPr>
        <w:divId w:val="507062021"/>
        <w:rPr>
          <w:rFonts w:eastAsia="Times New Roman"/>
        </w:rPr>
      </w:pPr>
      <w:r>
        <w:rPr>
          <w:rFonts w:ascii="IBM Plex Sans SemiBold" w:eastAsia="Times New Roman" w:hAnsi="IBM Plex Sans SemiBold"/>
          <w:b/>
          <w:bCs/>
          <w:i/>
          <w:iCs/>
          <w:color w:val="016676"/>
          <w:sz w:val="20"/>
          <w:szCs w:val="20"/>
        </w:rPr>
        <w:t>We are subject to government investigations, which could have a material ad</w:t>
      </w:r>
      <w:r>
        <w:rPr>
          <w:rFonts w:ascii="IBM Plex Sans SemiBold" w:eastAsia="Times New Roman" w:hAnsi="IBM Plex Sans SemiBold"/>
          <w:b/>
          <w:bCs/>
          <w:i/>
          <w:iCs/>
          <w:color w:val="016676"/>
          <w:sz w:val="20"/>
          <w:szCs w:val="20"/>
        </w:rPr>
        <w:t xml:space="preserve">verse effect on our business, financial condition, results of operations, cash flows and equity. </w:t>
      </w:r>
    </w:p>
    <w:p w:rsidR="00000000" w:rsidRDefault="00F5481A">
      <w:pPr>
        <w:ind w:firstLine="360"/>
        <w:divId w:val="2015574539"/>
        <w:rPr>
          <w:rFonts w:eastAsia="Times New Roman"/>
        </w:rPr>
      </w:pPr>
      <w:r>
        <w:rPr>
          <w:rFonts w:ascii="IBM Plex Sans" w:eastAsia="Times New Roman" w:hAnsi="IBM Plex Sans"/>
          <w:color w:val="283030"/>
          <w:sz w:val="20"/>
          <w:szCs w:val="20"/>
        </w:rPr>
        <w:t>U.S. Government contractors are subject to extensive legal and regulatory requirements, including ITAR and FCPA, and from time to time agencies of the U.S. Government investigate whether we have been and are operating in accordance with these requirements.</w:t>
      </w:r>
      <w:r>
        <w:rPr>
          <w:rFonts w:ascii="IBM Plex Sans" w:eastAsia="Times New Roman" w:hAnsi="IBM Plex Sans"/>
          <w:color w:val="283030"/>
          <w:sz w:val="20"/>
          <w:szCs w:val="20"/>
        </w:rPr>
        <w:t xml:space="preserve"> We may cooperate with the U.S. Government in those investigations. Under U.S. Government regulations, an indictment of L3Harris by a Federal grand jury, or an administrative finding against us as to our present responsibility to be a U.S. Government contr</w:t>
      </w:r>
      <w:r>
        <w:rPr>
          <w:rFonts w:ascii="IBM Plex Sans" w:eastAsia="Times New Roman" w:hAnsi="IBM Plex Sans"/>
          <w:color w:val="283030"/>
          <w:sz w:val="20"/>
          <w:szCs w:val="20"/>
        </w:rPr>
        <w:t xml:space="preserve">actor or subcontractor, could result in us being suspended for a period of time from eligibility for awards of new government contracts or task orders or in a loss of export privileges, which could have a material adverse effect on our business, financial </w:t>
      </w:r>
      <w:r>
        <w:rPr>
          <w:rFonts w:ascii="IBM Plex Sans" w:eastAsia="Times New Roman" w:hAnsi="IBM Plex Sans"/>
          <w:color w:val="283030"/>
          <w:sz w:val="20"/>
          <w:szCs w:val="20"/>
        </w:rPr>
        <w:t xml:space="preserve">condition, results of operations, cash flows and equity. A conviction, or an administrative finding against us that satisfies the requisite </w:t>
      </w:r>
    </w:p>
    <w:p w:rsidR="00000000" w:rsidRDefault="00F5481A">
      <w:pPr>
        <w:ind w:firstLine="360"/>
        <w:jc w:val="center"/>
        <w:divId w:val="1222446012"/>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14</w:t>
      </w:r>
    </w:p>
    <w:p w:rsidR="00000000" w:rsidRDefault="00F5481A">
      <w:pPr>
        <w:rPr>
          <w:rFonts w:eastAsia="Times New Roman"/>
        </w:rPr>
      </w:pPr>
      <w:r>
        <w:rPr>
          <w:rFonts w:eastAsia="Times New Roman"/>
        </w:rPr>
        <w:pict>
          <v:rect id="_x0000_i1044" style="width:0;height:1.5pt" o:hralign="center" o:hrstd="t" o:hr="t" fillcolor="#a0a0a0" stroked="f"/>
        </w:pict>
      </w:r>
    </w:p>
    <w:p w:rsidR="00000000" w:rsidRDefault="00F5481A">
      <w:pPr>
        <w:ind w:firstLine="360"/>
        <w:divId w:val="799760840"/>
        <w:rPr>
          <w:rFonts w:eastAsia="Times New Roman"/>
        </w:rPr>
      </w:pPr>
    </w:p>
    <w:p w:rsidR="00000000" w:rsidRDefault="00F5481A">
      <w:pPr>
        <w:divId w:val="515463964"/>
        <w:rPr>
          <w:rFonts w:eastAsia="Times New Roman"/>
        </w:rPr>
      </w:pPr>
      <w:r>
        <w:rPr>
          <w:rFonts w:ascii="IBM Plex Sans" w:eastAsia="Times New Roman" w:hAnsi="IBM Plex Sans"/>
          <w:color w:val="283030"/>
          <w:sz w:val="20"/>
          <w:szCs w:val="20"/>
        </w:rPr>
        <w:t>leve</w:t>
      </w:r>
      <w:r>
        <w:rPr>
          <w:rFonts w:ascii="IBM Plex Sans" w:eastAsia="Times New Roman" w:hAnsi="IBM Plex Sans"/>
          <w:color w:val="283030"/>
          <w:sz w:val="20"/>
          <w:szCs w:val="20"/>
        </w:rPr>
        <w:t>l of seriousness, could result in debarment from contracting with the U.S. Government for a specific term, which could have a material adverse effect on our business, financial condition, results of operations, cash flows and equity.</w:t>
      </w:r>
    </w:p>
    <w:p w:rsidR="00000000" w:rsidRDefault="00F5481A">
      <w:pPr>
        <w:divId w:val="1581983125"/>
        <w:rPr>
          <w:rFonts w:eastAsia="Times New Roman"/>
        </w:rPr>
      </w:pPr>
      <w:r>
        <w:rPr>
          <w:rFonts w:ascii="IBM Plex Sans SemiBold" w:eastAsia="Times New Roman" w:hAnsi="IBM Plex Sans SemiBold"/>
          <w:b/>
          <w:bCs/>
          <w:i/>
          <w:iCs/>
          <w:color w:val="016676"/>
          <w:sz w:val="20"/>
          <w:szCs w:val="20"/>
        </w:rPr>
        <w:t>We derive a significan</w:t>
      </w:r>
      <w:r>
        <w:rPr>
          <w:rFonts w:ascii="IBM Plex Sans SemiBold" w:eastAsia="Times New Roman" w:hAnsi="IBM Plex Sans SemiBold"/>
          <w:b/>
          <w:bCs/>
          <w:i/>
          <w:iCs/>
          <w:color w:val="016676"/>
          <w:sz w:val="20"/>
          <w:szCs w:val="20"/>
        </w:rPr>
        <w:t>t portion of our revenue from international operations and are subject to the risks of doing business internationally.</w:t>
      </w:r>
    </w:p>
    <w:p w:rsidR="00000000" w:rsidRDefault="00F5481A">
      <w:pPr>
        <w:ind w:firstLine="360"/>
        <w:divId w:val="1174613803"/>
        <w:rPr>
          <w:rFonts w:eastAsia="Times New Roman"/>
        </w:rPr>
      </w:pPr>
      <w:r>
        <w:rPr>
          <w:rFonts w:ascii="IBM Plex Sans" w:eastAsia="Times New Roman" w:hAnsi="IBM Plex Sans"/>
          <w:color w:val="283030"/>
          <w:sz w:val="20"/>
          <w:szCs w:val="20"/>
        </w:rPr>
        <w:t>We are dependent on sales to customers outside the U.S. The percentage of our total revenue represented by revenue from products and serv</w:t>
      </w:r>
      <w:r>
        <w:rPr>
          <w:rFonts w:ascii="IBM Plex Sans" w:eastAsia="Times New Roman" w:hAnsi="IBM Plex Sans"/>
          <w:color w:val="283030"/>
          <w:sz w:val="20"/>
          <w:szCs w:val="20"/>
        </w:rPr>
        <w:t>ices where the end consumer is located outside the U.S., including foreign military sales funded through the U.S. Government, whether directly or through prime contractors, was 23%, 22% and 20% in fiscal 2022, 2021 and 2020, respectively. In fiscal 2022, 4</w:t>
      </w:r>
      <w:r>
        <w:rPr>
          <w:rFonts w:ascii="IBM Plex Sans" w:eastAsia="Times New Roman" w:hAnsi="IBM Plex Sans"/>
          <w:color w:val="283030"/>
          <w:sz w:val="20"/>
          <w:szCs w:val="20"/>
        </w:rPr>
        <w:t>3% of our international business was transacted in local currency. We expect that international revenue will continue to account for a significant portion of our total revenue. Also, a significant portion of our international revenue is from, and a signifi</w:t>
      </w:r>
      <w:r>
        <w:rPr>
          <w:rFonts w:ascii="IBM Plex Sans" w:eastAsia="Times New Roman" w:hAnsi="IBM Plex Sans"/>
          <w:color w:val="283030"/>
          <w:sz w:val="20"/>
          <w:szCs w:val="20"/>
        </w:rPr>
        <w:t>cant portion of our business activity is being conducted with or in, less-developed countries and sometimes countries with unstable governments, or in areas of military conflict or at military installations. Other risks of doing business internationally in</w:t>
      </w:r>
      <w:r>
        <w:rPr>
          <w:rFonts w:ascii="IBM Plex Sans" w:eastAsia="Times New Roman" w:hAnsi="IBM Plex Sans"/>
          <w:color w:val="283030"/>
          <w:sz w:val="20"/>
          <w:szCs w:val="20"/>
        </w:rPr>
        <w:t>clude:</w:t>
      </w:r>
    </w:p>
    <w:p w:rsidR="00000000" w:rsidRDefault="00F5481A">
      <w:pPr>
        <w:ind w:hanging="360"/>
        <w:divId w:val="376709279"/>
        <w:rPr>
          <w:rFonts w:eastAsia="Times New Roman"/>
        </w:rPr>
      </w:pPr>
      <w:r>
        <w:rPr>
          <w:rFonts w:ascii="IBM Plex Sans" w:eastAsia="Times New Roman" w:hAnsi="IBM Plex Sans"/>
          <w:color w:val="283030"/>
          <w:sz w:val="20"/>
          <w:szCs w:val="20"/>
        </w:rPr>
        <w:t>•Laws, regulations and policies of foreign governments relating to investments and operations;</w:t>
      </w:r>
    </w:p>
    <w:p w:rsidR="00000000" w:rsidRDefault="00F5481A">
      <w:pPr>
        <w:ind w:hanging="360"/>
        <w:divId w:val="266426152"/>
        <w:rPr>
          <w:rFonts w:eastAsia="Times New Roman"/>
        </w:rPr>
      </w:pPr>
      <w:r>
        <w:rPr>
          <w:rFonts w:ascii="IBM Plex Sans" w:eastAsia="Times New Roman" w:hAnsi="IBM Plex Sans"/>
          <w:color w:val="283030"/>
          <w:sz w:val="20"/>
          <w:szCs w:val="20"/>
        </w:rPr>
        <w:t>•Unforeseen changes in export controls and other trade regulations;</w:t>
      </w:r>
    </w:p>
    <w:p w:rsidR="00000000" w:rsidRDefault="00F5481A">
      <w:pPr>
        <w:ind w:hanging="360"/>
        <w:divId w:val="968896975"/>
        <w:rPr>
          <w:rFonts w:eastAsia="Times New Roman"/>
        </w:rPr>
      </w:pPr>
      <w:r>
        <w:rPr>
          <w:rFonts w:ascii="IBM Plex Sans" w:eastAsia="Times New Roman" w:hAnsi="IBM Plex Sans"/>
          <w:color w:val="283030"/>
          <w:sz w:val="20"/>
          <w:szCs w:val="20"/>
        </w:rPr>
        <w:t>•</w:t>
      </w:r>
      <w:r>
        <w:rPr>
          <w:rFonts w:ascii="IBM Plex Sans" w:eastAsia="Times New Roman" w:hAnsi="IBM Plex Sans"/>
          <w:color w:val="283030"/>
          <w:sz w:val="20"/>
          <w:szCs w:val="20"/>
        </w:rPr>
        <w:t xml:space="preserve">Changes in regulatory requirements, including business or operating license requirements, currency exchange controls or embargoes; </w:t>
      </w:r>
    </w:p>
    <w:p w:rsidR="00000000" w:rsidRDefault="00F5481A">
      <w:pPr>
        <w:ind w:hanging="360"/>
        <w:divId w:val="1904287699"/>
        <w:rPr>
          <w:rFonts w:eastAsia="Times New Roman"/>
        </w:rPr>
      </w:pPr>
      <w:r>
        <w:rPr>
          <w:rFonts w:ascii="IBM Plex Sans" w:eastAsia="Times New Roman" w:hAnsi="IBM Plex Sans"/>
          <w:color w:val="283030"/>
          <w:sz w:val="20"/>
          <w:szCs w:val="20"/>
        </w:rPr>
        <w:t>•Uncertainties and restrictions concerning the availability of funding, credit or guarantees;</w:t>
      </w:r>
    </w:p>
    <w:p w:rsidR="00000000" w:rsidRDefault="00F5481A">
      <w:pPr>
        <w:ind w:hanging="360"/>
        <w:divId w:val="1727484671"/>
        <w:rPr>
          <w:rFonts w:eastAsia="Times New Roman"/>
        </w:rPr>
      </w:pPr>
      <w:r>
        <w:rPr>
          <w:rFonts w:ascii="IBM Plex Sans" w:eastAsia="Times New Roman" w:hAnsi="IBM Plex Sans"/>
          <w:color w:val="283030"/>
          <w:sz w:val="20"/>
          <w:szCs w:val="20"/>
        </w:rPr>
        <w:t>•Risk of non-payment or delaye</w:t>
      </w:r>
      <w:r>
        <w:rPr>
          <w:rFonts w:ascii="IBM Plex Sans" w:eastAsia="Times New Roman" w:hAnsi="IBM Plex Sans"/>
          <w:color w:val="283030"/>
          <w:sz w:val="20"/>
          <w:szCs w:val="20"/>
        </w:rPr>
        <w:t>d payment by non-U.S. customers;</w:t>
      </w:r>
    </w:p>
    <w:p w:rsidR="00000000" w:rsidRDefault="00F5481A">
      <w:pPr>
        <w:ind w:hanging="360"/>
        <w:divId w:val="823208074"/>
        <w:rPr>
          <w:rFonts w:eastAsia="Times New Roman"/>
        </w:rPr>
      </w:pPr>
      <w:r>
        <w:rPr>
          <w:rFonts w:ascii="IBM Plex Sans" w:eastAsia="Times New Roman" w:hAnsi="IBM Plex Sans"/>
          <w:color w:val="283030"/>
          <w:sz w:val="20"/>
          <w:szCs w:val="20"/>
        </w:rPr>
        <w:t>•Contractual obligations to non-U.S. customers that may include specific in-country purchases, investments, manufacturing agreements or financial or other support arrangements or obligations, known as offset obligations, th</w:t>
      </w:r>
      <w:r>
        <w:rPr>
          <w:rFonts w:ascii="IBM Plex Sans" w:eastAsia="Times New Roman" w:hAnsi="IBM Plex Sans"/>
          <w:color w:val="283030"/>
          <w:sz w:val="20"/>
          <w:szCs w:val="20"/>
        </w:rPr>
        <w:t>at may extend for many years, require teaming with local companies and result in significant penalties if not satisfied;</w:t>
      </w:r>
    </w:p>
    <w:p w:rsidR="00000000" w:rsidRDefault="00F5481A">
      <w:pPr>
        <w:ind w:hanging="360"/>
        <w:divId w:val="1450120982"/>
        <w:rPr>
          <w:rFonts w:eastAsia="Times New Roman"/>
        </w:rPr>
      </w:pPr>
      <w:r>
        <w:rPr>
          <w:rFonts w:ascii="IBM Plex Sans" w:eastAsia="Times New Roman" w:hAnsi="IBM Plex Sans"/>
          <w:color w:val="283030"/>
          <w:sz w:val="20"/>
          <w:szCs w:val="20"/>
        </w:rPr>
        <w:t>•Complexities and necessities of using, and disruptions involving, international dealers, distributors, sales representatives and consu</w:t>
      </w:r>
      <w:r>
        <w:rPr>
          <w:rFonts w:ascii="IBM Plex Sans" w:eastAsia="Times New Roman" w:hAnsi="IBM Plex Sans"/>
          <w:color w:val="283030"/>
          <w:sz w:val="20"/>
          <w:szCs w:val="20"/>
        </w:rPr>
        <w:t>ltants;</w:t>
      </w:r>
    </w:p>
    <w:p w:rsidR="00000000" w:rsidRDefault="00F5481A">
      <w:pPr>
        <w:ind w:hanging="360"/>
        <w:divId w:val="868876563"/>
        <w:rPr>
          <w:rFonts w:eastAsia="Times New Roman"/>
        </w:rPr>
      </w:pPr>
      <w:r>
        <w:rPr>
          <w:rFonts w:ascii="IBM Plex Sans" w:eastAsia="Times New Roman" w:hAnsi="IBM Plex Sans"/>
          <w:color w:val="283030"/>
          <w:sz w:val="20"/>
          <w:szCs w:val="20"/>
        </w:rPr>
        <w:t>•Difficulties of managing a geographically dispersed organization and culturally diverse workforces, including compliance with local laws and practices;</w:t>
      </w:r>
    </w:p>
    <w:p w:rsidR="00000000" w:rsidRDefault="00F5481A">
      <w:pPr>
        <w:ind w:hanging="360"/>
        <w:divId w:val="950280065"/>
        <w:rPr>
          <w:rFonts w:eastAsia="Times New Roman"/>
        </w:rPr>
      </w:pPr>
      <w:r>
        <w:rPr>
          <w:rFonts w:ascii="IBM Plex Sans" w:eastAsia="Times New Roman" w:hAnsi="IBM Plex Sans"/>
          <w:color w:val="283030"/>
          <w:sz w:val="20"/>
          <w:szCs w:val="20"/>
        </w:rPr>
        <w:t>•Fluctuations of currency, currency revaluations, difficulties with repatriating cash generated</w:t>
      </w:r>
      <w:r>
        <w:rPr>
          <w:rFonts w:ascii="IBM Plex Sans" w:eastAsia="Times New Roman" w:hAnsi="IBM Plex Sans"/>
          <w:color w:val="283030"/>
          <w:sz w:val="20"/>
          <w:szCs w:val="20"/>
        </w:rPr>
        <w:t xml:space="preserve"> or held abroad in a tax-efficient manner and changes in tax laws;</w:t>
      </w:r>
    </w:p>
    <w:p w:rsidR="00000000" w:rsidRDefault="00F5481A">
      <w:pPr>
        <w:ind w:hanging="360"/>
        <w:divId w:val="589461504"/>
        <w:rPr>
          <w:rFonts w:eastAsia="Times New Roman"/>
        </w:rPr>
      </w:pPr>
      <w:r>
        <w:rPr>
          <w:rFonts w:ascii="IBM Plex Sans" w:eastAsia="Times New Roman" w:hAnsi="IBM Plex Sans"/>
          <w:color w:val="283030"/>
          <w:sz w:val="20"/>
          <w:szCs w:val="20"/>
        </w:rPr>
        <w:t>•Uncertainties as to local laws and enforcement of contract and intellectual property rights and occasional requirements for onerous contract terms;</w:t>
      </w:r>
    </w:p>
    <w:p w:rsidR="00000000" w:rsidRDefault="00F5481A">
      <w:pPr>
        <w:ind w:hanging="360"/>
        <w:divId w:val="951136204"/>
        <w:rPr>
          <w:rFonts w:eastAsia="Times New Roman"/>
        </w:rPr>
      </w:pPr>
      <w:r>
        <w:rPr>
          <w:rFonts w:ascii="IBM Plex Sans" w:eastAsia="Times New Roman" w:hAnsi="IBM Plex Sans"/>
          <w:color w:val="283030"/>
          <w:sz w:val="20"/>
          <w:szCs w:val="20"/>
        </w:rPr>
        <w:t>•Rapid changes in government, economic a</w:t>
      </w:r>
      <w:r>
        <w:rPr>
          <w:rFonts w:ascii="IBM Plex Sans" w:eastAsia="Times New Roman" w:hAnsi="IBM Plex Sans"/>
          <w:color w:val="283030"/>
          <w:sz w:val="20"/>
          <w:szCs w:val="20"/>
        </w:rPr>
        <w:t>nd political policies, political or civil unrest, acts of terrorism or threats of international boycotts or U.S. anti-boycott legislation; and</w:t>
      </w:r>
    </w:p>
    <w:p w:rsidR="00000000" w:rsidRDefault="00F5481A">
      <w:pPr>
        <w:ind w:hanging="360"/>
        <w:divId w:val="884028318"/>
        <w:rPr>
          <w:rFonts w:eastAsia="Times New Roman"/>
        </w:rPr>
      </w:pPr>
      <w:r>
        <w:rPr>
          <w:rFonts w:ascii="IBM Plex Sans" w:eastAsia="Times New Roman" w:hAnsi="IBM Plex Sans"/>
          <w:color w:val="283030"/>
          <w:sz w:val="20"/>
          <w:szCs w:val="20"/>
        </w:rPr>
        <w:t>•Increased risk of an incident resulting in damage or destruction to our facilities or products or resulting in i</w:t>
      </w:r>
      <w:r>
        <w:rPr>
          <w:rFonts w:ascii="IBM Plex Sans" w:eastAsia="Times New Roman" w:hAnsi="IBM Plex Sans"/>
          <w:color w:val="283030"/>
          <w:sz w:val="20"/>
          <w:szCs w:val="20"/>
        </w:rPr>
        <w:t>njury or loss of life to our employees, subcontractors or other third parties.</w:t>
      </w:r>
    </w:p>
    <w:p w:rsidR="00000000" w:rsidRDefault="00F5481A">
      <w:pPr>
        <w:divId w:val="1126047769"/>
        <w:rPr>
          <w:rFonts w:eastAsia="Times New Roman"/>
        </w:rPr>
      </w:pPr>
      <w:r>
        <w:rPr>
          <w:rFonts w:ascii="IBM Plex Sans SemiBold" w:eastAsia="Times New Roman" w:hAnsi="IBM Plex Sans SemiBold"/>
          <w:b/>
          <w:bCs/>
          <w:color w:val="016676"/>
          <w:sz w:val="20"/>
          <w:szCs w:val="20"/>
        </w:rPr>
        <w:t>Business and Operational Risks</w:t>
      </w:r>
    </w:p>
    <w:p w:rsidR="00000000" w:rsidRDefault="00F5481A">
      <w:pPr>
        <w:divId w:val="1942031599"/>
        <w:rPr>
          <w:rFonts w:eastAsia="Times New Roman"/>
        </w:rPr>
      </w:pPr>
      <w:r>
        <w:rPr>
          <w:rFonts w:ascii="IBM Plex Sans SemiBold" w:eastAsia="Times New Roman" w:hAnsi="IBM Plex Sans SemiBold"/>
          <w:b/>
          <w:bCs/>
          <w:i/>
          <w:iCs/>
          <w:color w:val="016676"/>
          <w:sz w:val="20"/>
          <w:szCs w:val="20"/>
        </w:rPr>
        <w:t xml:space="preserve">Disputes with our subcontractors or key suppliers, or their inability to perform or timely deliver our components, parts or services, could cause </w:t>
      </w:r>
      <w:r>
        <w:rPr>
          <w:rFonts w:ascii="IBM Plex Sans SemiBold" w:eastAsia="Times New Roman" w:hAnsi="IBM Plex Sans SemiBold"/>
          <w:b/>
          <w:bCs/>
          <w:i/>
          <w:iCs/>
          <w:color w:val="016676"/>
          <w:sz w:val="20"/>
          <w:szCs w:val="20"/>
        </w:rPr>
        <w:t xml:space="preserve">our products and or services to be produced or delivered in an untimely or unsatisfactory manner. </w:t>
      </w:r>
    </w:p>
    <w:p w:rsidR="00000000" w:rsidRDefault="00F5481A">
      <w:pPr>
        <w:ind w:firstLine="360"/>
        <w:divId w:val="861014361"/>
        <w:rPr>
          <w:rFonts w:eastAsia="Times New Roman"/>
        </w:rPr>
      </w:pPr>
      <w:r>
        <w:rPr>
          <w:rFonts w:ascii="IBM Plex Sans" w:eastAsia="Times New Roman" w:hAnsi="IBM Plex Sans"/>
          <w:color w:val="283030"/>
          <w:sz w:val="20"/>
          <w:szCs w:val="20"/>
        </w:rPr>
        <w:t>We engage subcontractors on many of our contracts and from time to time may have disputes with them, including regarding the quality and timeliness of work p</w:t>
      </w:r>
      <w:r>
        <w:rPr>
          <w:rFonts w:ascii="IBM Plex Sans" w:eastAsia="Times New Roman" w:hAnsi="IBM Plex Sans"/>
          <w:color w:val="283030"/>
          <w:sz w:val="20"/>
          <w:szCs w:val="20"/>
        </w:rPr>
        <w:t>erformed by them, customer concerns about the subcontract or subcontractor, our failure to extend existing task orders or issue new task orders under a subcontract, our hiring of the personnel of a subcontractor or vice versa or the subcontractor’s failure</w:t>
      </w:r>
      <w:r>
        <w:rPr>
          <w:rFonts w:ascii="IBM Plex Sans" w:eastAsia="Times New Roman" w:hAnsi="IBM Plex Sans"/>
          <w:color w:val="283030"/>
          <w:sz w:val="20"/>
          <w:szCs w:val="20"/>
        </w:rPr>
        <w:t xml:space="preserve"> to comply with applicable law. In addition, there are certain parts, components and services for many of our products and services that we source from other manufacturers or vendors. Some of our suppliers, from time to time, experience financial and opera</w:t>
      </w:r>
      <w:r>
        <w:rPr>
          <w:rFonts w:ascii="IBM Plex Sans" w:eastAsia="Times New Roman" w:hAnsi="IBM Plex Sans"/>
          <w:color w:val="283030"/>
          <w:sz w:val="20"/>
          <w:szCs w:val="20"/>
        </w:rPr>
        <w:t>tional difficulties, which may impact their ability to supply the materials, components, subsystems and services that we require, and an increased number of contracts where we act as a prime contractor increase our exposure to supplier difficulties. Tariff</w:t>
      </w:r>
      <w:r>
        <w:rPr>
          <w:rFonts w:ascii="IBM Plex Sans" w:eastAsia="Times New Roman" w:hAnsi="IBM Plex Sans"/>
          <w:color w:val="283030"/>
          <w:sz w:val="20"/>
          <w:szCs w:val="20"/>
        </w:rPr>
        <w:t>s imposed on certain materials and other trade issues may create or exacerbate existing materials shortages and may result in further supplier business closures. Our supply chain could also be disrupted by external events, such as natural disasters (includ</w:t>
      </w:r>
      <w:r>
        <w:rPr>
          <w:rFonts w:ascii="IBM Plex Sans" w:eastAsia="Times New Roman" w:hAnsi="IBM Plex Sans"/>
          <w:color w:val="283030"/>
          <w:sz w:val="20"/>
          <w:szCs w:val="20"/>
        </w:rPr>
        <w:t>ing those as a result of climate change) or other significant disruptions (including extreme weather conditions, epidemics, pandemics, acts of terrorism, cyber-attacks and labor disputes), governmental actions and legislative or regulatory changes, includi</w:t>
      </w:r>
      <w:r>
        <w:rPr>
          <w:rFonts w:ascii="IBM Plex Sans" w:eastAsia="Times New Roman" w:hAnsi="IBM Plex Sans"/>
          <w:color w:val="283030"/>
          <w:sz w:val="20"/>
          <w:szCs w:val="20"/>
        </w:rPr>
        <w:t>ng product certification or stewardship requirements, sourcing restrictions, product authenticity and climate change or GHG emission standards, or availability constraints from increased demand from customers. For example, in fiscal 2022, revenue, operatin</w:t>
      </w:r>
      <w:r>
        <w:rPr>
          <w:rFonts w:ascii="IBM Plex Sans" w:eastAsia="Times New Roman" w:hAnsi="IBM Plex Sans"/>
          <w:color w:val="283030"/>
          <w:sz w:val="20"/>
          <w:szCs w:val="20"/>
        </w:rPr>
        <w:t xml:space="preserve">g </w:t>
      </w:r>
    </w:p>
    <w:p w:rsidR="00000000" w:rsidRDefault="00F5481A">
      <w:pPr>
        <w:ind w:firstLine="360"/>
        <w:jc w:val="center"/>
        <w:divId w:val="412095461"/>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15</w:t>
      </w:r>
    </w:p>
    <w:p w:rsidR="00000000" w:rsidRDefault="00F5481A">
      <w:pPr>
        <w:rPr>
          <w:rFonts w:eastAsia="Times New Roman"/>
        </w:rPr>
      </w:pPr>
      <w:r>
        <w:rPr>
          <w:rFonts w:eastAsia="Times New Roman"/>
        </w:rPr>
        <w:pict>
          <v:rect id="_x0000_i1045" style="width:0;height:1.5pt" o:hralign="center" o:hrstd="t" o:hr="t" fillcolor="#a0a0a0" stroked="f"/>
        </w:pict>
      </w:r>
    </w:p>
    <w:p w:rsidR="00000000" w:rsidRDefault="00F5481A">
      <w:pPr>
        <w:ind w:firstLine="360"/>
        <w:divId w:val="125247642"/>
        <w:rPr>
          <w:rFonts w:eastAsia="Times New Roman"/>
        </w:rPr>
      </w:pPr>
    </w:p>
    <w:p w:rsidR="00000000" w:rsidRDefault="00F5481A">
      <w:pPr>
        <w:divId w:val="991832542"/>
        <w:rPr>
          <w:rFonts w:eastAsia="Times New Roman"/>
        </w:rPr>
      </w:pPr>
      <w:r>
        <w:rPr>
          <w:rFonts w:ascii="IBM Plex Sans" w:eastAsia="Times New Roman" w:hAnsi="IBM Plex Sans"/>
          <w:color w:val="283030"/>
          <w:sz w:val="20"/>
          <w:szCs w:val="20"/>
        </w:rPr>
        <w:t>income and orders in our CS segment have been, and we expect will continue to be, adversely impacted by supply chain disruptions. These or any</w:t>
      </w:r>
      <w:r>
        <w:rPr>
          <w:rFonts w:ascii="IBM Plex Sans" w:eastAsia="Times New Roman" w:hAnsi="IBM Plex Sans"/>
          <w:color w:val="283030"/>
          <w:sz w:val="20"/>
          <w:szCs w:val="20"/>
        </w:rPr>
        <w:t xml:space="preserve"> further political or governmental developments or health concerns in countries in which we operate could result in social, economic and labor instability. Any inability to develop alternative sources of supply on a cost-effective and timely basis could ma</w:t>
      </w:r>
      <w:r>
        <w:rPr>
          <w:rFonts w:ascii="IBM Plex Sans" w:eastAsia="Times New Roman" w:hAnsi="IBM Plex Sans"/>
          <w:color w:val="283030"/>
          <w:sz w:val="20"/>
          <w:szCs w:val="20"/>
        </w:rPr>
        <w:t xml:space="preserve">terially impair our ability to manufacture and deliver products and services to our customers. Complying with U.S. Government contracting regulations that limit the source or manufacture of suppliers and impose stringent cybersecurity regulations also may </w:t>
      </w:r>
      <w:r>
        <w:rPr>
          <w:rFonts w:ascii="IBM Plex Sans" w:eastAsia="Times New Roman" w:hAnsi="IBM Plex Sans"/>
          <w:color w:val="283030"/>
          <w:sz w:val="20"/>
          <w:szCs w:val="20"/>
        </w:rPr>
        <w:t xml:space="preserve">create challenges for our supply chain and increase costs. We may experience disputes with our subcontractors; material supply disruptions or problems, including shortages of components, commodities or other materials; or component, subsystems or services </w:t>
      </w:r>
      <w:r>
        <w:rPr>
          <w:rFonts w:ascii="IBM Plex Sans" w:eastAsia="Times New Roman" w:hAnsi="IBM Plex Sans"/>
          <w:color w:val="283030"/>
          <w:sz w:val="20"/>
          <w:szCs w:val="20"/>
        </w:rPr>
        <w:t>problems in the future. Also, our subcontractors and other suppliers may not be able to acquire or maintain the quality of the materials, components, subsystems and services they supply, which might result in greater product returns, service problems and w</w:t>
      </w:r>
      <w:r>
        <w:rPr>
          <w:rFonts w:ascii="IBM Plex Sans" w:eastAsia="Times New Roman" w:hAnsi="IBM Plex Sans"/>
          <w:color w:val="283030"/>
          <w:sz w:val="20"/>
          <w:szCs w:val="20"/>
        </w:rPr>
        <w:t>arranty claims and could harm our business, financial condition, results of operations, cash flows and equity. In addition, in connection with our government contracts, we are required to procure certain materials, components and parts, including certain m</w:t>
      </w:r>
      <w:r>
        <w:rPr>
          <w:rFonts w:ascii="IBM Plex Sans" w:eastAsia="Times New Roman" w:hAnsi="IBM Plex Sans"/>
          <w:color w:val="283030"/>
          <w:sz w:val="20"/>
          <w:szCs w:val="20"/>
        </w:rPr>
        <w:t>icroelectronics components, from supply sources approved by the U.S. Government and we rely on our subcontractors and suppliers to comply with applicable laws, regulations and other requirements regarding procurement of counterfeit, unauthorized or otherwi</w:t>
      </w:r>
      <w:r>
        <w:rPr>
          <w:rFonts w:ascii="IBM Plex Sans" w:eastAsia="Times New Roman" w:hAnsi="IBM Plex Sans"/>
          <w:color w:val="283030"/>
          <w:sz w:val="20"/>
          <w:szCs w:val="20"/>
        </w:rPr>
        <w:t xml:space="preserve">se non-compliant parts or materials, including parts or materials they supply to us, and in some circumstances, we rely on their certifications as to their compliance. From time to time, there are components for which there may be only one supplier, which </w:t>
      </w:r>
      <w:r>
        <w:rPr>
          <w:rFonts w:ascii="IBM Plex Sans" w:eastAsia="Times New Roman" w:hAnsi="IBM Plex Sans"/>
          <w:color w:val="283030"/>
          <w:sz w:val="20"/>
          <w:szCs w:val="20"/>
        </w:rPr>
        <w:t>may be unable to meet our needs. Each of these subcontractor and supplier risks could have a material adverse effect on our business, financial condition, results of operations, cash flows and equity.</w:t>
      </w:r>
    </w:p>
    <w:p w:rsidR="00000000" w:rsidRDefault="00F5481A">
      <w:pPr>
        <w:divId w:val="777406638"/>
        <w:rPr>
          <w:rFonts w:eastAsia="Times New Roman"/>
        </w:rPr>
      </w:pPr>
      <w:r>
        <w:rPr>
          <w:rFonts w:ascii="IBM Plex Sans SemiBold" w:eastAsia="Times New Roman" w:hAnsi="IBM Plex Sans SemiBold"/>
          <w:b/>
          <w:bCs/>
          <w:i/>
          <w:iCs/>
          <w:color w:val="016676"/>
          <w:sz w:val="20"/>
          <w:szCs w:val="20"/>
        </w:rPr>
        <w:t>We must attract and retain key employees, and any failu</w:t>
      </w:r>
      <w:r>
        <w:rPr>
          <w:rFonts w:ascii="IBM Plex Sans SemiBold" w:eastAsia="Times New Roman" w:hAnsi="IBM Plex Sans SemiBold"/>
          <w:b/>
          <w:bCs/>
          <w:i/>
          <w:iCs/>
          <w:color w:val="016676"/>
          <w:sz w:val="20"/>
          <w:szCs w:val="20"/>
        </w:rPr>
        <w:t xml:space="preserve">re to do so could seriously harm us. </w:t>
      </w:r>
    </w:p>
    <w:p w:rsidR="00000000" w:rsidRDefault="00F5481A">
      <w:pPr>
        <w:ind w:firstLine="360"/>
        <w:divId w:val="1459299749"/>
        <w:rPr>
          <w:rFonts w:eastAsia="Times New Roman"/>
        </w:rPr>
      </w:pPr>
      <w:r>
        <w:rPr>
          <w:rFonts w:ascii="IBM Plex Sans" w:eastAsia="Times New Roman" w:hAnsi="IBM Plex Sans"/>
          <w:color w:val="283030"/>
          <w:sz w:val="20"/>
          <w:szCs w:val="20"/>
        </w:rPr>
        <w:t>Our future success depends to a significant degree upon the continued contributions of our management and our ability to attract and retain highly qualified management and technical personnel, including engineers and employees who have U.S. Government secu</w:t>
      </w:r>
      <w:r>
        <w:rPr>
          <w:rFonts w:ascii="IBM Plex Sans" w:eastAsia="Times New Roman" w:hAnsi="IBM Plex Sans"/>
          <w:color w:val="283030"/>
          <w:sz w:val="20"/>
          <w:szCs w:val="20"/>
        </w:rPr>
        <w:t>rity clearances, particularly clearances of top-secret and above. To the extent that the demand for qualified personnel exceeds supply, as has been the case from time to time in recent years and has recently intensified further due to industry trends, we c</w:t>
      </w:r>
      <w:r>
        <w:rPr>
          <w:rFonts w:ascii="IBM Plex Sans" w:eastAsia="Times New Roman" w:hAnsi="IBM Plex Sans"/>
          <w:color w:val="283030"/>
          <w:sz w:val="20"/>
          <w:szCs w:val="20"/>
        </w:rPr>
        <w:t>ould experience higher labor, recruiting or training costs in order to attract and retain such employees, or we could experience difficulties in performing under our contracts if our needs for such employees were unmet. Failure to attract and retain such p</w:t>
      </w:r>
      <w:r>
        <w:rPr>
          <w:rFonts w:ascii="IBM Plex Sans" w:eastAsia="Times New Roman" w:hAnsi="IBM Plex Sans"/>
          <w:color w:val="283030"/>
          <w:sz w:val="20"/>
          <w:szCs w:val="20"/>
        </w:rPr>
        <w:t>ersonnel would damage our future prospects and could adversely affect our ability to succeed in our human capital goals and priorities, as well as negatively impact our business and operating results.</w:t>
      </w:r>
    </w:p>
    <w:p w:rsidR="00000000" w:rsidRDefault="00F5481A">
      <w:pPr>
        <w:divId w:val="946891131"/>
        <w:rPr>
          <w:rFonts w:eastAsia="Times New Roman"/>
        </w:rPr>
      </w:pPr>
      <w:r>
        <w:rPr>
          <w:rFonts w:ascii="IBM Plex Sans SemiBold" w:eastAsia="Times New Roman" w:hAnsi="IBM Plex Sans SemiBold"/>
          <w:b/>
          <w:bCs/>
          <w:i/>
          <w:iCs/>
          <w:color w:val="016676"/>
          <w:sz w:val="20"/>
          <w:szCs w:val="20"/>
        </w:rPr>
        <w:t>We could be negatively impacted by a security breach, t</w:t>
      </w:r>
      <w:r>
        <w:rPr>
          <w:rFonts w:ascii="IBM Plex Sans SemiBold" w:eastAsia="Times New Roman" w:hAnsi="IBM Plex Sans SemiBold"/>
          <w:b/>
          <w:bCs/>
          <w:i/>
          <w:iCs/>
          <w:color w:val="016676"/>
          <w:sz w:val="20"/>
          <w:szCs w:val="20"/>
        </w:rPr>
        <w:t xml:space="preserve">hrough cyber-attack, cyber intrusion, insider threats or otherwise, or other significant disruption of our Information Technology (“IT”) networks and related systems or of those we operate for certain of our customers. </w:t>
      </w:r>
    </w:p>
    <w:p w:rsidR="00000000" w:rsidRDefault="00F5481A">
      <w:pPr>
        <w:ind w:firstLine="360"/>
        <w:divId w:val="950475705"/>
        <w:rPr>
          <w:rFonts w:eastAsia="Times New Roman"/>
        </w:rPr>
      </w:pPr>
      <w:r>
        <w:rPr>
          <w:rFonts w:ascii="IBM Plex Sans" w:eastAsia="Times New Roman" w:hAnsi="IBM Plex Sans"/>
          <w:color w:val="283030"/>
          <w:sz w:val="20"/>
          <w:szCs w:val="20"/>
        </w:rPr>
        <w:t>We face the risk of a security breac</w:t>
      </w:r>
      <w:r>
        <w:rPr>
          <w:rFonts w:ascii="IBM Plex Sans" w:eastAsia="Times New Roman" w:hAnsi="IBM Plex Sans"/>
          <w:color w:val="283030"/>
          <w:sz w:val="20"/>
          <w:szCs w:val="20"/>
        </w:rPr>
        <w:t xml:space="preserve">h, whether through cyber-attack, cyber intrusion or insider threat via the Internet, malware, computer viruses, attachments to e-mails, persons inside our organization or with access to systems inside our organization, subcontractors or suppliers, threats </w:t>
      </w:r>
      <w:r>
        <w:rPr>
          <w:rFonts w:ascii="IBM Plex Sans" w:eastAsia="Times New Roman" w:hAnsi="IBM Plex Sans"/>
          <w:color w:val="283030"/>
          <w:sz w:val="20"/>
          <w:szCs w:val="20"/>
        </w:rPr>
        <w:t>to the physical security of our facilities and employees or other significant disruption of our IT networks and related systems or those of our suppliers or subcontractors. We face an added risk of a security breach or other significant disruption of the I</w:t>
      </w:r>
      <w:r>
        <w:rPr>
          <w:rFonts w:ascii="IBM Plex Sans" w:eastAsia="Times New Roman" w:hAnsi="IBM Plex Sans"/>
          <w:color w:val="283030"/>
          <w:sz w:val="20"/>
          <w:szCs w:val="20"/>
        </w:rPr>
        <w:t xml:space="preserve">T networks and related systems that we develop, install, operate and maintain for certain customers, which may involve managing and protecting information relating to national security and other sensitive government functions or personally identifiable or </w:t>
      </w:r>
      <w:r>
        <w:rPr>
          <w:rFonts w:ascii="IBM Plex Sans" w:eastAsia="Times New Roman" w:hAnsi="IBM Plex Sans"/>
          <w:color w:val="283030"/>
          <w:sz w:val="20"/>
          <w:szCs w:val="20"/>
        </w:rPr>
        <w:t>protected health information. The risk of a security breach or disruption, particularly through cyber-attack or cyber intrusion, including by computer hackers, foreign governments and cyber terrorists, is persistent and substantial as the volume, intensity</w:t>
      </w:r>
      <w:r>
        <w:rPr>
          <w:rFonts w:ascii="IBM Plex Sans" w:eastAsia="Times New Roman" w:hAnsi="IBM Plex Sans"/>
          <w:color w:val="283030"/>
          <w:sz w:val="20"/>
          <w:szCs w:val="20"/>
        </w:rPr>
        <w:t xml:space="preserve"> and sophistication of attempted attacks, intrusions and threats from around the world remain elevated and unlikely to diminish. As an advanced technology-based solutions provider, and particularly as a government contractor with access to national securit</w:t>
      </w:r>
      <w:r>
        <w:rPr>
          <w:rFonts w:ascii="IBM Plex Sans" w:eastAsia="Times New Roman" w:hAnsi="IBM Plex Sans"/>
          <w:color w:val="283030"/>
          <w:sz w:val="20"/>
          <w:szCs w:val="20"/>
        </w:rPr>
        <w:t>y or other sensitive government information, we face a heightened risk of a security breach or disruption from threats to gain unauthorized access to our and our customers’ proprietary information on our IT networks and related systems, our classified netw</w:t>
      </w:r>
      <w:r>
        <w:rPr>
          <w:rFonts w:ascii="IBM Plex Sans" w:eastAsia="Times New Roman" w:hAnsi="IBM Plex Sans"/>
          <w:color w:val="283030"/>
          <w:sz w:val="20"/>
          <w:szCs w:val="20"/>
        </w:rPr>
        <w:t>orks, and to the IT networks and related systems that we operate and maintain for certain of our customers. These types of information and IT networks and related systems are critical to the operation of our business and essential to our ability to perform</w:t>
      </w:r>
      <w:r>
        <w:rPr>
          <w:rFonts w:ascii="IBM Plex Sans" w:eastAsia="Times New Roman" w:hAnsi="IBM Plex Sans"/>
          <w:color w:val="283030"/>
          <w:sz w:val="20"/>
          <w:szCs w:val="20"/>
        </w:rPr>
        <w:t xml:space="preserve"> day-to-day operations, and, in some cases, are critical to the operations of certain of our customers. We make significant efforts to maintain the security and integrity of these types of information and IT networks and related systems and have implemente</w:t>
      </w:r>
      <w:r>
        <w:rPr>
          <w:rFonts w:ascii="IBM Plex Sans" w:eastAsia="Times New Roman" w:hAnsi="IBM Plex Sans"/>
          <w:color w:val="283030"/>
          <w:sz w:val="20"/>
          <w:szCs w:val="20"/>
        </w:rPr>
        <w:t>d various measures to manage the risk of a security breach or disruption. Our efforts and measures have not been entirely effective in the case of every cyber security incident, but no incident has had a material negative impact on us to date. Even the mos</w:t>
      </w:r>
      <w:r>
        <w:rPr>
          <w:rFonts w:ascii="IBM Plex Sans" w:eastAsia="Times New Roman" w:hAnsi="IBM Plex Sans"/>
          <w:color w:val="283030"/>
          <w:sz w:val="20"/>
          <w:szCs w:val="20"/>
        </w:rPr>
        <w:t>t well-protected information, networks, systems and facilities remain potentially vulnerable because attempted security breaches, particularly cyber-attacks and cyber intrusions, or disruptions will occur in the future, and because the techniques used in s</w:t>
      </w:r>
      <w:r>
        <w:rPr>
          <w:rFonts w:ascii="IBM Plex Sans" w:eastAsia="Times New Roman" w:hAnsi="IBM Plex Sans"/>
          <w:color w:val="283030"/>
          <w:sz w:val="20"/>
          <w:szCs w:val="20"/>
        </w:rPr>
        <w:t xml:space="preserve">uch attempts are constantly </w:t>
      </w:r>
    </w:p>
    <w:p w:rsidR="00000000" w:rsidRDefault="00F5481A">
      <w:pPr>
        <w:ind w:firstLine="360"/>
        <w:jc w:val="center"/>
        <w:divId w:val="611399388"/>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16</w:t>
      </w:r>
    </w:p>
    <w:p w:rsidR="00000000" w:rsidRDefault="00F5481A">
      <w:pPr>
        <w:rPr>
          <w:rFonts w:eastAsia="Times New Roman"/>
        </w:rPr>
      </w:pPr>
      <w:r>
        <w:rPr>
          <w:rFonts w:eastAsia="Times New Roman"/>
        </w:rPr>
        <w:pict>
          <v:rect id="_x0000_i1046" style="width:0;height:1.5pt" o:hralign="center" o:hrstd="t" o:hr="t" fillcolor="#a0a0a0" stroked="f"/>
        </w:pict>
      </w:r>
    </w:p>
    <w:p w:rsidR="00000000" w:rsidRDefault="00F5481A">
      <w:pPr>
        <w:ind w:firstLine="360"/>
        <w:divId w:val="1805539024"/>
        <w:rPr>
          <w:rFonts w:eastAsia="Times New Roman"/>
        </w:rPr>
      </w:pPr>
    </w:p>
    <w:p w:rsidR="00000000" w:rsidRDefault="00F5481A">
      <w:pPr>
        <w:divId w:val="1621377577"/>
        <w:rPr>
          <w:rFonts w:eastAsia="Times New Roman"/>
        </w:rPr>
      </w:pPr>
      <w:r>
        <w:rPr>
          <w:rFonts w:ascii="IBM Plex Sans" w:eastAsia="Times New Roman" w:hAnsi="IBM Plex Sans"/>
          <w:color w:val="283030"/>
          <w:sz w:val="20"/>
          <w:szCs w:val="20"/>
        </w:rPr>
        <w:t xml:space="preserve">evolving and generally are not recognized until launched against a target, and in some cases are designed not to be </w:t>
      </w:r>
      <w:r>
        <w:rPr>
          <w:rFonts w:ascii="IBM Plex Sans" w:eastAsia="Times New Roman" w:hAnsi="IBM Plex Sans"/>
          <w:color w:val="283030"/>
          <w:sz w:val="20"/>
          <w:szCs w:val="20"/>
        </w:rPr>
        <w:t>detected and, in fact, may not be detected. In some cases, the resources of foreign governments may be behind such attacks due to the nature of our business and the industries in which we operate. Accordingly, we may be unable to anticipate these technique</w:t>
      </w:r>
      <w:r>
        <w:rPr>
          <w:rFonts w:ascii="IBM Plex Sans" w:eastAsia="Times New Roman" w:hAnsi="IBM Plex Sans"/>
          <w:color w:val="283030"/>
          <w:sz w:val="20"/>
          <w:szCs w:val="20"/>
        </w:rPr>
        <w:t>s or to implement adequate security barriers or other preventative measures. Thus, it is impossible for us to entirely mitigate this risk, and future cyber security incidents could have a material negative impact on us. A security breach or other significa</w:t>
      </w:r>
      <w:r>
        <w:rPr>
          <w:rFonts w:ascii="IBM Plex Sans" w:eastAsia="Times New Roman" w:hAnsi="IBM Plex Sans"/>
          <w:color w:val="283030"/>
          <w:sz w:val="20"/>
          <w:szCs w:val="20"/>
        </w:rPr>
        <w:t>nt disruption involving these types of information and IT networks and related systems could:</w:t>
      </w:r>
    </w:p>
    <w:p w:rsidR="00000000" w:rsidRDefault="00F5481A">
      <w:pPr>
        <w:ind w:hanging="360"/>
        <w:divId w:val="909190904"/>
        <w:rPr>
          <w:rFonts w:eastAsia="Times New Roman"/>
        </w:rPr>
      </w:pPr>
      <w:r>
        <w:rPr>
          <w:rFonts w:ascii="IBM Plex Sans" w:eastAsia="Times New Roman" w:hAnsi="IBM Plex Sans"/>
          <w:color w:val="283030"/>
          <w:sz w:val="20"/>
          <w:szCs w:val="20"/>
        </w:rPr>
        <w:t>•Disrupt proper functioning of these networks and systems and, therefore, our operations and/or those of certain of our customers;</w:t>
      </w:r>
    </w:p>
    <w:p w:rsidR="00000000" w:rsidRDefault="00F5481A">
      <w:pPr>
        <w:ind w:hanging="360"/>
        <w:divId w:val="31155123"/>
        <w:rPr>
          <w:rFonts w:eastAsia="Times New Roman"/>
        </w:rPr>
      </w:pPr>
      <w:r>
        <w:rPr>
          <w:rFonts w:ascii="IBM Plex Sans" w:eastAsia="Times New Roman" w:hAnsi="IBM Plex Sans"/>
          <w:color w:val="283030"/>
          <w:sz w:val="20"/>
          <w:szCs w:val="20"/>
        </w:rPr>
        <w:t xml:space="preserve">•Result in unauthorized access </w:t>
      </w:r>
      <w:r>
        <w:rPr>
          <w:rFonts w:ascii="IBM Plex Sans" w:eastAsia="Times New Roman" w:hAnsi="IBM Plex Sans"/>
          <w:color w:val="283030"/>
          <w:sz w:val="20"/>
          <w:szCs w:val="20"/>
        </w:rPr>
        <w:t>to, and destruction, loss, theft, misappropriation or release of, proprietary, confidential, sensitive or otherwise valuable information of ours, our customers or our employees, including trade secrets, which could be used to compete against us or for disr</w:t>
      </w:r>
      <w:r>
        <w:rPr>
          <w:rFonts w:ascii="IBM Plex Sans" w:eastAsia="Times New Roman" w:hAnsi="IBM Plex Sans"/>
          <w:color w:val="283030"/>
          <w:sz w:val="20"/>
          <w:szCs w:val="20"/>
        </w:rPr>
        <w:t>uptive, destructive or otherwise harmful purposes and outcomes;</w:t>
      </w:r>
    </w:p>
    <w:p w:rsidR="00000000" w:rsidRDefault="00F5481A">
      <w:pPr>
        <w:ind w:hanging="360"/>
        <w:divId w:val="2142570664"/>
        <w:rPr>
          <w:rFonts w:eastAsia="Times New Roman"/>
        </w:rPr>
      </w:pPr>
      <w:r>
        <w:rPr>
          <w:rFonts w:ascii="IBM Plex Sans" w:eastAsia="Times New Roman" w:hAnsi="IBM Plex Sans"/>
          <w:color w:val="283030"/>
          <w:sz w:val="20"/>
          <w:szCs w:val="20"/>
        </w:rPr>
        <w:t>•Compromise national security and other sensitive government functions;</w:t>
      </w:r>
    </w:p>
    <w:p w:rsidR="00000000" w:rsidRDefault="00F5481A">
      <w:pPr>
        <w:ind w:hanging="360"/>
        <w:divId w:val="430049367"/>
        <w:rPr>
          <w:rFonts w:eastAsia="Times New Roman"/>
        </w:rPr>
      </w:pPr>
      <w:r>
        <w:rPr>
          <w:rFonts w:ascii="IBM Plex Sans" w:eastAsia="Times New Roman" w:hAnsi="IBM Plex Sans"/>
          <w:color w:val="283030"/>
          <w:sz w:val="20"/>
          <w:szCs w:val="20"/>
        </w:rPr>
        <w:t>•Require significant management attention and resources to remedy damages that result;</w:t>
      </w:r>
    </w:p>
    <w:p w:rsidR="00000000" w:rsidRDefault="00F5481A">
      <w:pPr>
        <w:ind w:hanging="360"/>
        <w:divId w:val="2117406096"/>
        <w:rPr>
          <w:rFonts w:eastAsia="Times New Roman"/>
        </w:rPr>
      </w:pPr>
      <w:r>
        <w:rPr>
          <w:rFonts w:ascii="IBM Plex Sans" w:eastAsia="Times New Roman" w:hAnsi="IBM Plex Sans"/>
          <w:color w:val="283030"/>
          <w:sz w:val="20"/>
          <w:szCs w:val="20"/>
        </w:rPr>
        <w:t>•Result in costs which exceed our</w:t>
      </w:r>
      <w:r>
        <w:rPr>
          <w:rFonts w:ascii="IBM Plex Sans" w:eastAsia="Times New Roman" w:hAnsi="IBM Plex Sans"/>
          <w:color w:val="283030"/>
          <w:sz w:val="20"/>
          <w:szCs w:val="20"/>
        </w:rPr>
        <w:t xml:space="preserve"> insurance coverage and/or indemnification arrangements;</w:t>
      </w:r>
    </w:p>
    <w:p w:rsidR="00000000" w:rsidRDefault="00F5481A">
      <w:pPr>
        <w:ind w:hanging="360"/>
        <w:divId w:val="1527937243"/>
        <w:rPr>
          <w:rFonts w:eastAsia="Times New Roman"/>
        </w:rPr>
      </w:pPr>
      <w:r>
        <w:rPr>
          <w:rFonts w:ascii="IBM Plex Sans" w:eastAsia="Times New Roman" w:hAnsi="IBM Plex Sans"/>
          <w:color w:val="283030"/>
          <w:sz w:val="20"/>
          <w:szCs w:val="20"/>
        </w:rPr>
        <w:t>•Subject us to claims for contract breach, damages, credits, penalties or termination; and</w:t>
      </w:r>
    </w:p>
    <w:p w:rsidR="00000000" w:rsidRDefault="00F5481A">
      <w:pPr>
        <w:ind w:hanging="360"/>
        <w:divId w:val="658575905"/>
        <w:rPr>
          <w:rFonts w:eastAsia="Times New Roman"/>
        </w:rPr>
      </w:pPr>
      <w:r>
        <w:rPr>
          <w:rFonts w:ascii="IBM Plex Sans" w:eastAsia="Times New Roman" w:hAnsi="IBM Plex Sans"/>
          <w:color w:val="283030"/>
          <w:sz w:val="20"/>
          <w:szCs w:val="20"/>
        </w:rPr>
        <w:t>•</w:t>
      </w:r>
      <w:r>
        <w:rPr>
          <w:rFonts w:ascii="IBM Plex Sans" w:eastAsia="Times New Roman" w:hAnsi="IBM Plex Sans"/>
          <w:color w:val="283030"/>
          <w:sz w:val="20"/>
          <w:szCs w:val="20"/>
        </w:rPr>
        <w:t xml:space="preserve">Damage our reputation with our customers and the general public.     </w:t>
      </w:r>
    </w:p>
    <w:p w:rsidR="00000000" w:rsidRDefault="00F5481A">
      <w:pPr>
        <w:ind w:firstLine="360"/>
        <w:divId w:val="296377945"/>
        <w:rPr>
          <w:rFonts w:eastAsia="Times New Roman"/>
        </w:rPr>
      </w:pPr>
      <w:r>
        <w:rPr>
          <w:rFonts w:ascii="IBM Plex Sans" w:eastAsia="Times New Roman" w:hAnsi="IBM Plex Sans"/>
          <w:color w:val="283030"/>
          <w:sz w:val="20"/>
          <w:szCs w:val="20"/>
        </w:rPr>
        <w:t>We must also rely on the safeguards put in place by customers, suppliers, vendors, subcontractors or other third parties to minimize the impact of cyber threats, other security threats o</w:t>
      </w:r>
      <w:r>
        <w:rPr>
          <w:rFonts w:ascii="IBM Plex Sans" w:eastAsia="Times New Roman" w:hAnsi="IBM Plex Sans"/>
          <w:color w:val="283030"/>
          <w:sz w:val="20"/>
          <w:szCs w:val="20"/>
        </w:rPr>
        <w:t>r business disruptions. These third parties may have varying levels of cybersecurity expertise and safeguards, and their relationships with government contractors, such as us, may increase their likelihood of being targeted by the same cyber threats we fac</w:t>
      </w:r>
      <w:r>
        <w:rPr>
          <w:rFonts w:ascii="IBM Plex Sans" w:eastAsia="Times New Roman" w:hAnsi="IBM Plex Sans"/>
          <w:color w:val="283030"/>
          <w:sz w:val="20"/>
          <w:szCs w:val="20"/>
        </w:rPr>
        <w:t>e. Our commercial arrangements with these third parties include processes designed to require that the third parties and their employees and agents agree to maintain certain standards for the storage, protection and transfer of confidential, personal and p</w:t>
      </w:r>
      <w:r>
        <w:rPr>
          <w:rFonts w:ascii="IBM Plex Sans" w:eastAsia="Times New Roman" w:hAnsi="IBM Plex Sans"/>
          <w:color w:val="283030"/>
          <w:sz w:val="20"/>
          <w:szCs w:val="20"/>
        </w:rPr>
        <w:t>roprietary information. However, we remain at risk of a data breach due to the intentional or unintentional non-compliance by a third party’s employee or agent, the breakdown of a third party’s data protection processes, which may not be as sophisticated a</w:t>
      </w:r>
      <w:r>
        <w:rPr>
          <w:rFonts w:ascii="IBM Plex Sans" w:eastAsia="Times New Roman" w:hAnsi="IBM Plex Sans"/>
          <w:color w:val="283030"/>
          <w:sz w:val="20"/>
          <w:szCs w:val="20"/>
        </w:rPr>
        <w:t>s ours, or a cyber-attack on a third party’s information network and systems.</w:t>
      </w:r>
    </w:p>
    <w:p w:rsidR="00000000" w:rsidRDefault="00F5481A">
      <w:pPr>
        <w:ind w:firstLine="360"/>
        <w:divId w:val="503865773"/>
        <w:rPr>
          <w:rFonts w:eastAsia="Times New Roman"/>
        </w:rPr>
      </w:pPr>
      <w:r>
        <w:rPr>
          <w:rFonts w:ascii="IBM Plex Sans" w:eastAsia="Times New Roman" w:hAnsi="IBM Plex Sans"/>
          <w:color w:val="283030"/>
          <w:sz w:val="20"/>
          <w:szCs w:val="20"/>
        </w:rPr>
        <w:t>Any or all of the foregoing could have a negative impact on our business, financial condition, results of operations, cash flows and equity.</w:t>
      </w:r>
    </w:p>
    <w:p w:rsidR="00000000" w:rsidRDefault="00F5481A">
      <w:pPr>
        <w:divId w:val="1501388973"/>
        <w:rPr>
          <w:rFonts w:eastAsia="Times New Roman"/>
        </w:rPr>
      </w:pPr>
      <w:r>
        <w:rPr>
          <w:rFonts w:ascii="IBM Plex Sans SemiBold" w:eastAsia="Times New Roman" w:hAnsi="IBM Plex Sans SemiBold"/>
          <w:b/>
          <w:bCs/>
          <w:i/>
          <w:iCs/>
          <w:color w:val="016676"/>
          <w:sz w:val="20"/>
          <w:szCs w:val="20"/>
        </w:rPr>
        <w:t>Our future success will depend on our</w:t>
      </w:r>
      <w:r>
        <w:rPr>
          <w:rFonts w:ascii="IBM Plex Sans SemiBold" w:eastAsia="Times New Roman" w:hAnsi="IBM Plex Sans SemiBold"/>
          <w:b/>
          <w:bCs/>
          <w:i/>
          <w:iCs/>
          <w:color w:val="016676"/>
          <w:sz w:val="20"/>
          <w:szCs w:val="20"/>
        </w:rPr>
        <w:t xml:space="preserve"> ability to develop new products and services and technologies that achieve market acceptance in our current and future markets.</w:t>
      </w:r>
    </w:p>
    <w:p w:rsidR="00000000" w:rsidRDefault="00F5481A">
      <w:pPr>
        <w:ind w:firstLine="360"/>
        <w:divId w:val="1660959797"/>
        <w:rPr>
          <w:rFonts w:eastAsia="Times New Roman"/>
        </w:rPr>
      </w:pPr>
      <w:r>
        <w:rPr>
          <w:rFonts w:ascii="IBM Plex Sans" w:eastAsia="Times New Roman" w:hAnsi="IBM Plex Sans"/>
          <w:color w:val="283030"/>
          <w:sz w:val="20"/>
          <w:szCs w:val="20"/>
        </w:rPr>
        <w:t>Our businesses are characterized by rapidly changing technologies and evolving industry standards. To remain competitive, we ne</w:t>
      </w:r>
      <w:r>
        <w:rPr>
          <w:rFonts w:ascii="IBM Plex Sans" w:eastAsia="Times New Roman" w:hAnsi="IBM Plex Sans"/>
          <w:color w:val="283030"/>
          <w:sz w:val="20"/>
          <w:szCs w:val="20"/>
        </w:rPr>
        <w:t>ed to continue to design, develop, manufacture, assemble, test, market and support new products and services and technologies, which will require the investment of significant financial resources. In the past, we have allocated substantial funds for such i</w:t>
      </w:r>
      <w:r>
        <w:rPr>
          <w:rFonts w:ascii="IBM Plex Sans" w:eastAsia="Times New Roman" w:hAnsi="IBM Plex Sans"/>
          <w:color w:val="283030"/>
          <w:sz w:val="20"/>
          <w:szCs w:val="20"/>
        </w:rPr>
        <w:t>nvestments through customer funded and internal R&amp;D, acquisitions or other teaming arrangements. This practice will continue to be required, but we may not be able to successfully identify new opportunities and may not have the necessary financial resource</w:t>
      </w:r>
      <w:r>
        <w:rPr>
          <w:rFonts w:ascii="IBM Plex Sans" w:eastAsia="Times New Roman" w:hAnsi="IBM Plex Sans"/>
          <w:color w:val="283030"/>
          <w:sz w:val="20"/>
          <w:szCs w:val="20"/>
        </w:rPr>
        <w:t>s to develop new products and services and technologies in a timely or cost-effective manner. Furthermore, the need to make these expenditures could divert our attention and resources from other projects, and we cannot be sure that these expenditures ultim</w:t>
      </w:r>
      <w:r>
        <w:rPr>
          <w:rFonts w:ascii="IBM Plex Sans" w:eastAsia="Times New Roman" w:hAnsi="IBM Plex Sans"/>
          <w:color w:val="283030"/>
          <w:sz w:val="20"/>
          <w:szCs w:val="20"/>
        </w:rPr>
        <w:t xml:space="preserve">ately will lead to the timely development of new products and services or technologies. Due to the design complexity of some of our products and services and technologies, we may experience delays in completing development and introducing new products and </w:t>
      </w:r>
      <w:r>
        <w:rPr>
          <w:rFonts w:ascii="IBM Plex Sans" w:eastAsia="Times New Roman" w:hAnsi="IBM Plex Sans"/>
          <w:color w:val="283030"/>
          <w:sz w:val="20"/>
          <w:szCs w:val="20"/>
        </w:rPr>
        <w:t>services or technologies in the future. Any delays could result in increased costs of development or divert resources from other projects. In addition, the markets for our products and services or technologies may not develop as we currently anticipate, we</w:t>
      </w:r>
      <w:r>
        <w:rPr>
          <w:rFonts w:ascii="IBM Plex Sans" w:eastAsia="Times New Roman" w:hAnsi="IBM Plex Sans"/>
          <w:color w:val="283030"/>
          <w:sz w:val="20"/>
          <w:szCs w:val="20"/>
        </w:rPr>
        <w:t xml:space="preserve"> may not be as successful in newly identified markets as we currently anticipate, and acquisitions, joint ventures or other teaming arrangements we may enter into to pursue developing new products and services or technologies may not be successful. For ins</w:t>
      </w:r>
      <w:r>
        <w:rPr>
          <w:rFonts w:ascii="IBM Plex Sans" w:eastAsia="Times New Roman" w:hAnsi="IBM Plex Sans"/>
          <w:color w:val="283030"/>
          <w:sz w:val="20"/>
          <w:szCs w:val="20"/>
        </w:rPr>
        <w:t>tance, our acquisition of the TDL product line from Viasat, Inc. in January 2023 and our pending acquisition of AJRD, if completed, will result in us servicing our customers in markets in which we do not currently operate. Failure of our products and servi</w:t>
      </w:r>
      <w:r>
        <w:rPr>
          <w:rFonts w:ascii="IBM Plex Sans" w:eastAsia="Times New Roman" w:hAnsi="IBM Plex Sans"/>
          <w:color w:val="283030"/>
          <w:sz w:val="20"/>
          <w:szCs w:val="20"/>
        </w:rPr>
        <w:t>ces or technologies to gain market acceptance could significantly reduce our revenue and harm our business. Furthermore, competitors may develop competing products and services or technologies that gain market acceptance in advance of our products and serv</w:t>
      </w:r>
      <w:r>
        <w:rPr>
          <w:rFonts w:ascii="IBM Plex Sans" w:eastAsia="Times New Roman" w:hAnsi="IBM Plex Sans"/>
          <w:color w:val="283030"/>
          <w:sz w:val="20"/>
          <w:szCs w:val="20"/>
        </w:rPr>
        <w:t>ices or technologies, or competitors may develop new products and services or technologies that cause our existing products and services or technologies to become non-competitive or obsolete, which could adversely affect our results of operations. The futu</w:t>
      </w:r>
      <w:r>
        <w:rPr>
          <w:rFonts w:ascii="IBM Plex Sans" w:eastAsia="Times New Roman" w:hAnsi="IBM Plex Sans"/>
          <w:color w:val="283030"/>
          <w:sz w:val="20"/>
          <w:szCs w:val="20"/>
        </w:rPr>
        <w:t>re direction of the domestic and global economies, including its impact on customer demand, also will have a significant impact on our overall performance.</w:t>
      </w:r>
    </w:p>
    <w:p w:rsidR="00000000" w:rsidRDefault="00F5481A">
      <w:pPr>
        <w:ind w:firstLine="360"/>
        <w:jc w:val="center"/>
        <w:divId w:val="1635451034"/>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17</w:t>
      </w:r>
    </w:p>
    <w:p w:rsidR="00000000" w:rsidRDefault="00F5481A">
      <w:pPr>
        <w:rPr>
          <w:rFonts w:eastAsia="Times New Roman"/>
        </w:rPr>
      </w:pPr>
      <w:r>
        <w:rPr>
          <w:rFonts w:eastAsia="Times New Roman"/>
        </w:rPr>
        <w:pict>
          <v:rect id="_x0000_i1047" style="width:0;height:1.5pt" o:hralign="center" o:hrstd="t" o:hr="t" fillcolor="#a0a0a0" stroked="f"/>
        </w:pict>
      </w:r>
    </w:p>
    <w:p w:rsidR="00000000" w:rsidRDefault="00F5481A">
      <w:pPr>
        <w:ind w:firstLine="360"/>
        <w:divId w:val="491408355"/>
        <w:rPr>
          <w:rFonts w:eastAsia="Times New Roman"/>
        </w:rPr>
      </w:pPr>
    </w:p>
    <w:p w:rsidR="00000000" w:rsidRDefault="00F5481A">
      <w:pPr>
        <w:divId w:val="2133741555"/>
        <w:rPr>
          <w:rFonts w:eastAsia="Times New Roman"/>
        </w:rPr>
      </w:pPr>
      <w:r>
        <w:rPr>
          <w:rFonts w:ascii="IBM Plex Sans SemiBold" w:eastAsia="Times New Roman" w:hAnsi="IBM Plex Sans SemiBold"/>
          <w:b/>
          <w:bCs/>
          <w:i/>
          <w:iCs/>
          <w:color w:val="016676"/>
          <w:sz w:val="20"/>
          <w:szCs w:val="20"/>
        </w:rPr>
        <w:t>We have significant operations in locations that could be materially and adversely impacted in the event of a natural disaster or other significant disruption.</w:t>
      </w:r>
    </w:p>
    <w:p w:rsidR="00000000" w:rsidRDefault="00F5481A">
      <w:pPr>
        <w:ind w:firstLine="360"/>
        <w:divId w:val="1057783559"/>
        <w:rPr>
          <w:rFonts w:eastAsia="Times New Roman"/>
        </w:rPr>
      </w:pPr>
      <w:r>
        <w:rPr>
          <w:rFonts w:ascii="IBM Plex Sans" w:eastAsia="Times New Roman" w:hAnsi="IBM Plex Sans"/>
          <w:color w:val="283030"/>
          <w:sz w:val="20"/>
          <w:szCs w:val="20"/>
        </w:rPr>
        <w:t>Our corporate headquarters and significant business operations are located in Florid</w:t>
      </w:r>
      <w:r>
        <w:rPr>
          <w:rFonts w:ascii="IBM Plex Sans" w:eastAsia="Times New Roman" w:hAnsi="IBM Plex Sans"/>
          <w:color w:val="283030"/>
          <w:sz w:val="20"/>
          <w:szCs w:val="20"/>
        </w:rPr>
        <w:t>a, which is subject to the risk of major hurricanes. Our worldwide operations and operations of our suppliers and customers could be subject to natural disasters (including those as a result of climate change) or other significant disruptions, including hu</w:t>
      </w:r>
      <w:r>
        <w:rPr>
          <w:rFonts w:ascii="IBM Plex Sans" w:eastAsia="Times New Roman" w:hAnsi="IBM Plex Sans"/>
          <w:color w:val="283030"/>
          <w:sz w:val="20"/>
          <w:szCs w:val="20"/>
        </w:rPr>
        <w:t>rricanes, typhoons, tsunamis, floods, earthquakes, fires, water shortages, other extreme weather conditions, epidemics, pandemics, acts of terrorism, power shortages and blackouts, telecommunications failures, cyber-attacks and other natural and man-made d</w:t>
      </w:r>
      <w:r>
        <w:rPr>
          <w:rFonts w:ascii="IBM Plex Sans" w:eastAsia="Times New Roman" w:hAnsi="IBM Plex Sans"/>
          <w:color w:val="283030"/>
          <w:sz w:val="20"/>
          <w:szCs w:val="20"/>
        </w:rPr>
        <w:t>isasters or disruptions. In the event of such a natural disaster or other disruption, we could experience disruptions or interruptions to our operations or the operations of our suppliers, subcontractors, distributors, resellers or customers, including ina</w:t>
      </w:r>
      <w:r>
        <w:rPr>
          <w:rFonts w:ascii="IBM Plex Sans" w:eastAsia="Times New Roman" w:hAnsi="IBM Plex Sans"/>
          <w:color w:val="283030"/>
          <w:sz w:val="20"/>
          <w:szCs w:val="20"/>
        </w:rPr>
        <w:t xml:space="preserve">bility of employees to work; destruction of facilities; and/or loss of life, all of which could materially increase our costs and expenses, delay or decrease orders and revenue from our customers and have a material adverse effect on the continuity of our </w:t>
      </w:r>
      <w:r>
        <w:rPr>
          <w:rFonts w:ascii="IBM Plex Sans" w:eastAsia="Times New Roman" w:hAnsi="IBM Plex Sans"/>
          <w:color w:val="283030"/>
          <w:sz w:val="20"/>
          <w:szCs w:val="20"/>
        </w:rPr>
        <w:t>business and our business, financial condition, results of operations, cash flows and equity. Additionally, we could incur significant costs to improve the climate-related resiliency of our infrastructure and supply chain and otherwise prepare for, respond</w:t>
      </w:r>
      <w:r>
        <w:rPr>
          <w:rFonts w:ascii="IBM Plex Sans" w:eastAsia="Times New Roman" w:hAnsi="IBM Plex Sans"/>
          <w:color w:val="283030"/>
          <w:sz w:val="20"/>
          <w:szCs w:val="20"/>
        </w:rPr>
        <w:t xml:space="preserve"> to and mitigate the effects of climate change.</w:t>
      </w:r>
    </w:p>
    <w:p w:rsidR="00000000" w:rsidRDefault="00F5481A">
      <w:pPr>
        <w:divId w:val="1273056310"/>
        <w:rPr>
          <w:rFonts w:eastAsia="Times New Roman"/>
        </w:rPr>
      </w:pPr>
      <w:r>
        <w:rPr>
          <w:rFonts w:ascii="IBM Plex Sans SemiBold" w:eastAsia="Times New Roman" w:hAnsi="IBM Plex Sans SemiBold"/>
          <w:b/>
          <w:bCs/>
          <w:color w:val="016676"/>
          <w:sz w:val="20"/>
          <w:szCs w:val="20"/>
        </w:rPr>
        <w:t>Financial Risks</w:t>
      </w:r>
    </w:p>
    <w:p w:rsidR="00000000" w:rsidRDefault="00F5481A">
      <w:pPr>
        <w:divId w:val="1565726229"/>
        <w:rPr>
          <w:rFonts w:eastAsia="Times New Roman"/>
        </w:rPr>
      </w:pPr>
      <w:r>
        <w:rPr>
          <w:rFonts w:ascii="IBM Plex Sans SemiBold" w:eastAsia="Times New Roman" w:hAnsi="IBM Plex Sans SemiBold"/>
          <w:b/>
          <w:bCs/>
          <w:i/>
          <w:iCs/>
          <w:color w:val="016676"/>
          <w:sz w:val="20"/>
          <w:szCs w:val="20"/>
        </w:rPr>
        <w:t>Changes in estimates we use in accounting for many of our programs could adversely affect our future financial condition and results of operations.</w:t>
      </w:r>
    </w:p>
    <w:p w:rsidR="00000000" w:rsidRDefault="00F5481A">
      <w:pPr>
        <w:ind w:firstLine="360"/>
        <w:divId w:val="1109159783"/>
        <w:rPr>
          <w:rFonts w:eastAsia="Times New Roman"/>
        </w:rPr>
      </w:pPr>
      <w:r>
        <w:rPr>
          <w:rFonts w:ascii="IBM Plex Sans" w:eastAsia="Times New Roman" w:hAnsi="IBM Plex Sans"/>
          <w:color w:val="283030"/>
          <w:sz w:val="20"/>
          <w:szCs w:val="20"/>
        </w:rPr>
        <w:t>Accounting for our contracts requires judgme</w:t>
      </w:r>
      <w:r>
        <w:rPr>
          <w:rFonts w:ascii="IBM Plex Sans" w:eastAsia="Times New Roman" w:hAnsi="IBM Plex Sans"/>
          <w:color w:val="283030"/>
          <w:sz w:val="20"/>
          <w:szCs w:val="20"/>
        </w:rPr>
        <w:t>nt relative to assessing risks, including risks associated with customer-directed delays and reductions in scheduled deliveries, unfavorable resolutions of claims and contractual matters and judgment associated with estimating contract revenue and costs an</w:t>
      </w:r>
      <w:r>
        <w:rPr>
          <w:rFonts w:ascii="IBM Plex Sans" w:eastAsia="Times New Roman" w:hAnsi="IBM Plex Sans"/>
          <w:color w:val="283030"/>
          <w:sz w:val="20"/>
          <w:szCs w:val="20"/>
        </w:rPr>
        <w:t>d assumptions for schedule and technical issues. Due to the size and nature of many of our contracts, the estimation of total revenue and cost at completion is complicated and subject to many variables. For example, we must make assumptions regarding: (i) </w:t>
      </w:r>
      <w:r>
        <w:rPr>
          <w:rFonts w:ascii="IBM Plex Sans" w:eastAsia="Times New Roman" w:hAnsi="IBM Plex Sans"/>
          <w:color w:val="283030"/>
          <w:sz w:val="20"/>
          <w:szCs w:val="20"/>
        </w:rPr>
        <w:t>the length of time to complete the contract because costs also include expected increases in wages and prices for materials; (ii) whether contracts should be accounted for as having one or more performance obligations based on the goods and services promis</w:t>
      </w:r>
      <w:r>
        <w:rPr>
          <w:rFonts w:ascii="IBM Plex Sans" w:eastAsia="Times New Roman" w:hAnsi="IBM Plex Sans"/>
          <w:color w:val="283030"/>
          <w:sz w:val="20"/>
          <w:szCs w:val="20"/>
        </w:rPr>
        <w:t>ed to the customer; (iii) incentives or penalties related to performance on contracts in estimating revenue and profit rates, and recording them when there is sufficient information for us to assess anticipated performance; and (iv) estimates of award fees</w:t>
      </w:r>
      <w:r>
        <w:rPr>
          <w:rFonts w:ascii="IBM Plex Sans" w:eastAsia="Times New Roman" w:hAnsi="IBM Plex Sans"/>
          <w:color w:val="283030"/>
          <w:sz w:val="20"/>
          <w:szCs w:val="20"/>
        </w:rPr>
        <w:t xml:space="preserve"> in estimating revenue and profit rates based on actual and anticipated awards. Because of the significance of the judgments and estimation processes involved in accounting for our contracts, materially different amounts could be recorded if we used differ</w:t>
      </w:r>
      <w:r>
        <w:rPr>
          <w:rFonts w:ascii="IBM Plex Sans" w:eastAsia="Times New Roman" w:hAnsi="IBM Plex Sans"/>
          <w:color w:val="283030"/>
          <w:sz w:val="20"/>
          <w:szCs w:val="20"/>
        </w:rPr>
        <w:t>ent assumptions or if the underlying circumstances were to change. Changes in underlying assumptions, circumstances or estimates may adversely affect our future financial condition and results of operations. For additional information regarding our critica</w:t>
      </w:r>
      <w:r>
        <w:rPr>
          <w:rFonts w:ascii="IBM Plex Sans" w:eastAsia="Times New Roman" w:hAnsi="IBM Plex Sans"/>
          <w:color w:val="283030"/>
          <w:sz w:val="20"/>
          <w:szCs w:val="20"/>
        </w:rPr>
        <w:t>l accounting estimates applicable to our accounting for our contracts, see “Item 7. Management’s Discussion and Analysis of Financial Conditions and Results of Operations - Critical Accounting Estimates” of this Report.</w:t>
      </w:r>
    </w:p>
    <w:p w:rsidR="00000000" w:rsidRDefault="00F5481A">
      <w:pPr>
        <w:divId w:val="1893883626"/>
        <w:rPr>
          <w:rFonts w:eastAsia="Times New Roman"/>
        </w:rPr>
      </w:pPr>
      <w:r>
        <w:rPr>
          <w:rFonts w:ascii="IBM Plex Sans SemiBold" w:eastAsia="Times New Roman" w:hAnsi="IBM Plex Sans SemiBold"/>
          <w:b/>
          <w:bCs/>
          <w:i/>
          <w:iCs/>
          <w:color w:val="016676"/>
          <w:sz w:val="20"/>
          <w:szCs w:val="20"/>
        </w:rPr>
        <w:t>Our level of indebtedness and our ab</w:t>
      </w:r>
      <w:r>
        <w:rPr>
          <w:rFonts w:ascii="IBM Plex Sans SemiBold" w:eastAsia="Times New Roman" w:hAnsi="IBM Plex Sans SemiBold"/>
          <w:b/>
          <w:bCs/>
          <w:i/>
          <w:iCs/>
          <w:color w:val="016676"/>
          <w:sz w:val="20"/>
          <w:szCs w:val="20"/>
        </w:rPr>
        <w:t>ility to make payments on or service our indebtedness and our unfunded defined benefit plans liability may materially adversely affect our financial and operating activities or our ability to incur additional debt.</w:t>
      </w:r>
    </w:p>
    <w:p w:rsidR="00000000" w:rsidRDefault="00F5481A">
      <w:pPr>
        <w:ind w:firstLine="360"/>
        <w:divId w:val="1294556613"/>
        <w:rPr>
          <w:rFonts w:eastAsia="Times New Roman"/>
        </w:rPr>
      </w:pPr>
      <w:r>
        <w:rPr>
          <w:rFonts w:ascii="IBM Plex Sans" w:eastAsia="Times New Roman" w:hAnsi="IBM Plex Sans"/>
          <w:color w:val="283030"/>
          <w:sz w:val="20"/>
          <w:szCs w:val="20"/>
        </w:rPr>
        <w:t>At December </w:t>
      </w:r>
      <w:r>
        <w:rPr>
          <w:rFonts w:ascii="IBM Plex Sans" w:eastAsia="Times New Roman" w:hAnsi="IBM Plex Sans"/>
          <w:color w:val="283030"/>
          <w:sz w:val="20"/>
          <w:szCs w:val="20"/>
        </w:rPr>
        <w:t>30, 2022, we had $7.0 billion in aggregate principal amount of outstanding debt and $262 million of unfunded defined benefit plans liability. On November 22, 2022, we established a new $2.25 billion, three-year senior unsecured term loan facility by enteri</w:t>
      </w:r>
      <w:r>
        <w:rPr>
          <w:rFonts w:ascii="IBM Plex Sans" w:eastAsia="Times New Roman" w:hAnsi="IBM Plex Sans"/>
          <w:color w:val="283030"/>
          <w:sz w:val="20"/>
          <w:szCs w:val="20"/>
        </w:rPr>
        <w:t>ng into a Loan Agreement (the “Term Loan 2025”) with a syndicate of lenders. Subsequent to the end of fiscal 2022, on January 3, 2023, we borrowed $2.0 billion on the Term Loan 2025 to complete the acquisition of the TDL product line. In addition, we expec</w:t>
      </w:r>
      <w:r>
        <w:rPr>
          <w:rFonts w:ascii="IBM Plex Sans" w:eastAsia="Times New Roman" w:hAnsi="IBM Plex Sans"/>
          <w:color w:val="283030"/>
          <w:sz w:val="20"/>
          <w:szCs w:val="20"/>
        </w:rPr>
        <w:t>t to fund the approximately $4.7 billion purchase price of the acquisition of AJRD primarily through debt financing. Our ability to increase our borrowings to fund the acquisition of AJRD or otherwise is subject to limitations imposed on us by our debt agr</w:t>
      </w:r>
      <w:r>
        <w:rPr>
          <w:rFonts w:ascii="IBM Plex Sans" w:eastAsia="Times New Roman" w:hAnsi="IBM Plex Sans"/>
          <w:color w:val="283030"/>
          <w:sz w:val="20"/>
          <w:szCs w:val="20"/>
        </w:rPr>
        <w:t>eements. Our ability to make payments on and to refinance our current or future indebtedness, and our ability to make contributions to our unfunded defined benefit plans liability, will depend on our ability to generate cash from operations, financings and</w:t>
      </w:r>
      <w:r>
        <w:rPr>
          <w:rFonts w:ascii="IBM Plex Sans" w:eastAsia="Times New Roman" w:hAnsi="IBM Plex Sans"/>
          <w:color w:val="283030"/>
          <w:sz w:val="20"/>
          <w:szCs w:val="20"/>
        </w:rPr>
        <w:t xml:space="preserve"> investments, which may be subject to general economic, financial, competitive, legislative, regulatory and other factors that are beyond our control. If we are not able to repay or refinance our debt as it becomes due or make contributions to our unfunded</w:t>
      </w:r>
      <w:r>
        <w:rPr>
          <w:rFonts w:ascii="IBM Plex Sans" w:eastAsia="Times New Roman" w:hAnsi="IBM Plex Sans"/>
          <w:color w:val="283030"/>
          <w:sz w:val="20"/>
          <w:szCs w:val="20"/>
        </w:rPr>
        <w:t xml:space="preserve"> defined benefit plans liability, we may be forced to divest businesses, sell assets or take other disadvantageous actions, including reducing financing for working capital, capital expenditures and general corporate purposes; reducing our cash dividend ra</w:t>
      </w:r>
      <w:r>
        <w:rPr>
          <w:rFonts w:ascii="IBM Plex Sans" w:eastAsia="Times New Roman" w:hAnsi="IBM Plex Sans"/>
          <w:color w:val="283030"/>
          <w:sz w:val="20"/>
          <w:szCs w:val="20"/>
        </w:rPr>
        <w:t>te and/or share repurchases; or dedicating an unsustainable level of our cash flow from operations to the payment of principal and interest on our indebtedness. In addition, our ability to withstand competitive pressures and to react to changes in the defe</w:t>
      </w:r>
      <w:r>
        <w:rPr>
          <w:rFonts w:ascii="IBM Plex Sans" w:eastAsia="Times New Roman" w:hAnsi="IBM Plex Sans"/>
          <w:color w:val="283030"/>
          <w:sz w:val="20"/>
          <w:szCs w:val="20"/>
        </w:rPr>
        <w:t xml:space="preserve">nse technology industry could be impaired. The lenders who hold such debt could also accelerate amounts due, which could potentially trigger a default or acceleration of any of our other debt. </w:t>
      </w:r>
    </w:p>
    <w:p w:rsidR="00000000" w:rsidRDefault="00F5481A">
      <w:pPr>
        <w:ind w:firstLine="360"/>
        <w:jc w:val="center"/>
        <w:divId w:val="1678146765"/>
        <w:rPr>
          <w:rFonts w:eastAsia="Times New Roman"/>
        </w:rPr>
      </w:pPr>
      <w:r>
        <w:rPr>
          <w:rFonts w:ascii="Arial" w:eastAsia="Times New Roman" w:hAnsi="Arial" w:cs="Arial"/>
          <w:b/>
          <w:bCs/>
          <w:color w:val="016676"/>
        </w:rPr>
        <w:t>______________________________________________________________</w:t>
      </w:r>
      <w:r>
        <w:rPr>
          <w:rFonts w:ascii="Arial" w:eastAsia="Times New Roman" w:hAnsi="Arial" w:cs="Arial"/>
          <w:b/>
          <w:bCs/>
          <w:color w:val="016676"/>
        </w:rPr>
        <w:t>_______</w:t>
      </w:r>
      <w:r>
        <w:rPr>
          <w:rFonts w:ascii="Arial" w:eastAsia="Times New Roman" w:hAnsi="Arial" w:cs="Arial"/>
          <w:b/>
          <w:bCs/>
          <w:color w:val="233D6F"/>
        </w:rPr>
        <w:br/>
      </w:r>
      <w:r>
        <w:rPr>
          <w:rFonts w:ascii="IBM Plex Sans" w:eastAsia="Times New Roman" w:hAnsi="IBM Plex Sans"/>
          <w:color w:val="283030"/>
          <w:sz w:val="20"/>
          <w:szCs w:val="20"/>
        </w:rPr>
        <w:t>18</w:t>
      </w:r>
    </w:p>
    <w:p w:rsidR="00000000" w:rsidRDefault="00F5481A">
      <w:pPr>
        <w:rPr>
          <w:rFonts w:eastAsia="Times New Roman"/>
        </w:rPr>
      </w:pPr>
      <w:r>
        <w:rPr>
          <w:rFonts w:eastAsia="Times New Roman"/>
        </w:rPr>
        <w:pict>
          <v:rect id="_x0000_i1048" style="width:0;height:1.5pt" o:hralign="center" o:hrstd="t" o:hr="t" fillcolor="#a0a0a0" stroked="f"/>
        </w:pict>
      </w:r>
    </w:p>
    <w:p w:rsidR="00000000" w:rsidRDefault="00F5481A">
      <w:pPr>
        <w:ind w:firstLine="360"/>
        <w:divId w:val="386955233"/>
        <w:rPr>
          <w:rFonts w:eastAsia="Times New Roman"/>
        </w:rPr>
      </w:pPr>
    </w:p>
    <w:p w:rsidR="00000000" w:rsidRDefault="00F5481A">
      <w:pPr>
        <w:divId w:val="1833519403"/>
        <w:rPr>
          <w:rFonts w:eastAsia="Times New Roman"/>
        </w:rPr>
      </w:pPr>
      <w:r>
        <w:rPr>
          <w:rFonts w:ascii="IBM Plex Sans SemiBold" w:eastAsia="Times New Roman" w:hAnsi="IBM Plex Sans SemiBold"/>
          <w:b/>
          <w:bCs/>
          <w:i/>
          <w:iCs/>
          <w:color w:val="016676"/>
          <w:sz w:val="20"/>
          <w:szCs w:val="20"/>
        </w:rPr>
        <w:t>A downgrade in our credit ratings could materially adversely affect our business.</w:t>
      </w:r>
    </w:p>
    <w:p w:rsidR="00000000" w:rsidRDefault="00F5481A">
      <w:pPr>
        <w:ind w:firstLine="360"/>
        <w:divId w:val="187185025"/>
        <w:rPr>
          <w:rFonts w:eastAsia="Times New Roman"/>
        </w:rPr>
      </w:pPr>
      <w:r>
        <w:rPr>
          <w:rFonts w:ascii="IBM Plex Sans" w:eastAsia="Times New Roman" w:hAnsi="IBM Plex Sans"/>
          <w:color w:val="283030"/>
          <w:sz w:val="20"/>
          <w:szCs w:val="20"/>
        </w:rPr>
        <w:t>The credit ratings assigned to our debt securities could change based on, among other things, our results of operations, fin</w:t>
      </w:r>
      <w:r>
        <w:rPr>
          <w:rFonts w:ascii="IBM Plex Sans" w:eastAsia="Times New Roman" w:hAnsi="IBM Plex Sans"/>
          <w:color w:val="283030"/>
          <w:sz w:val="20"/>
          <w:szCs w:val="20"/>
        </w:rPr>
        <w:t>ancial condition, mergers, acquisitions or dispositions. These ratings are subject to ongoing evaluation by credit rating agencies and may be changed or withdrawn by rating agencies in the future. Moreover, these credit ratings are not recommendations to b</w:t>
      </w:r>
      <w:r>
        <w:rPr>
          <w:rFonts w:ascii="IBM Plex Sans" w:eastAsia="Times New Roman" w:hAnsi="IBM Plex Sans"/>
          <w:color w:val="283030"/>
          <w:sz w:val="20"/>
          <w:szCs w:val="20"/>
        </w:rPr>
        <w:t>uy, sell or hold any of our debt securities. Following the announcement of the definitive agreement to acquire AJRD, none of the credit rating agencies changed our rating, however, all three agencies have changed our outlook from stable to negative. Any do</w:t>
      </w:r>
      <w:r>
        <w:rPr>
          <w:rFonts w:ascii="IBM Plex Sans" w:eastAsia="Times New Roman" w:hAnsi="IBM Plex Sans"/>
          <w:color w:val="283030"/>
          <w:sz w:val="20"/>
          <w:szCs w:val="20"/>
        </w:rPr>
        <w:t>wngrade in our credit ratings, including due to the acquisition of AJRD, may increase our borrowing costs, affect our ability to incur new indebtedness or refinance our existing indebtedness and could in turn have a material adverse effect on our financial</w:t>
      </w:r>
      <w:r>
        <w:rPr>
          <w:rFonts w:ascii="IBM Plex Sans" w:eastAsia="Times New Roman" w:hAnsi="IBM Plex Sans"/>
          <w:color w:val="283030"/>
          <w:sz w:val="20"/>
          <w:szCs w:val="20"/>
        </w:rPr>
        <w:t xml:space="preserve"> condition, results of operations, cash flows, equity and the market value of our common stock and outstanding debt securities.</w:t>
      </w:r>
    </w:p>
    <w:p w:rsidR="00000000" w:rsidRDefault="00F5481A">
      <w:pPr>
        <w:divId w:val="2071539627"/>
        <w:rPr>
          <w:rFonts w:eastAsia="Times New Roman"/>
        </w:rPr>
      </w:pPr>
      <w:r>
        <w:rPr>
          <w:rFonts w:ascii="IBM Plex Sans SemiBold" w:eastAsia="Times New Roman" w:hAnsi="IBM Plex Sans SemiBold"/>
          <w:b/>
          <w:bCs/>
          <w:i/>
          <w:iCs/>
          <w:color w:val="016676"/>
          <w:sz w:val="20"/>
          <w:szCs w:val="20"/>
        </w:rPr>
        <w:t>The level of returns on defined benefit plan assets, changes in interest rates and other factors could materially adversely affe</w:t>
      </w:r>
      <w:r>
        <w:rPr>
          <w:rFonts w:ascii="IBM Plex Sans SemiBold" w:eastAsia="Times New Roman" w:hAnsi="IBM Plex Sans SemiBold"/>
          <w:b/>
          <w:bCs/>
          <w:i/>
          <w:iCs/>
          <w:color w:val="016676"/>
          <w:sz w:val="20"/>
          <w:szCs w:val="20"/>
        </w:rPr>
        <w:t xml:space="preserve">ct our financial condition, results of operations, cash flows and equity in future periods. </w:t>
      </w:r>
    </w:p>
    <w:p w:rsidR="00000000" w:rsidRDefault="00F5481A">
      <w:pPr>
        <w:ind w:firstLine="360"/>
        <w:divId w:val="1359505119"/>
        <w:rPr>
          <w:rFonts w:eastAsia="Times New Roman"/>
        </w:rPr>
      </w:pPr>
      <w:r>
        <w:rPr>
          <w:rFonts w:ascii="IBM Plex Sans" w:eastAsia="Times New Roman" w:hAnsi="IBM Plex Sans"/>
          <w:color w:val="283030"/>
          <w:sz w:val="20"/>
          <w:szCs w:val="20"/>
        </w:rPr>
        <w:t>A substantial portion of our current and retired employee population is covered by defined benefit pension and other postretirement defined benefit plans (collecti</w:t>
      </w:r>
      <w:r>
        <w:rPr>
          <w:rFonts w:ascii="IBM Plex Sans" w:eastAsia="Times New Roman" w:hAnsi="IBM Plex Sans"/>
          <w:color w:val="283030"/>
          <w:sz w:val="20"/>
          <w:szCs w:val="20"/>
        </w:rPr>
        <w:t>vely, “defined benefit plans”). We may experience significant fluctuations in costs related to defined benefit plans as a result of macro-economic factors, such as interest rates, that are beyond our control. The cost of our defined benefit plans is incurr</w:t>
      </w:r>
      <w:r>
        <w:rPr>
          <w:rFonts w:ascii="IBM Plex Sans" w:eastAsia="Times New Roman" w:hAnsi="IBM Plex Sans"/>
          <w:color w:val="283030"/>
          <w:sz w:val="20"/>
          <w:szCs w:val="20"/>
        </w:rPr>
        <w:t>ed over long periods of time and involves various factors and uncertainties during those periods that can be volatile and unpredictable, including the rates of return on defined benefit plan assets, discount rates used to calculate liabilities and expenses</w:t>
      </w:r>
      <w:r>
        <w:rPr>
          <w:rFonts w:ascii="IBM Plex Sans" w:eastAsia="Times New Roman" w:hAnsi="IBM Plex Sans"/>
          <w:color w:val="283030"/>
          <w:sz w:val="20"/>
          <w:szCs w:val="20"/>
        </w:rPr>
        <w:t>, mortality of plan participants and trends for future medical costs. We develop our assumptions using relevant plan experience and expectations in conjunction with market-related data. These assumptions and other actuarial assumptions may change significa</w:t>
      </w:r>
      <w:r>
        <w:rPr>
          <w:rFonts w:ascii="IBM Plex Sans" w:eastAsia="Times New Roman" w:hAnsi="IBM Plex Sans"/>
          <w:color w:val="283030"/>
          <w:sz w:val="20"/>
          <w:szCs w:val="20"/>
        </w:rPr>
        <w:t>ntly due to changes in economic, legislative and/or demographic experience or circumstances. Significant changes in key economic indicators, financial market volatility, future legislation and other governmental regulatory actions could materially affect o</w:t>
      </w:r>
      <w:r>
        <w:rPr>
          <w:rFonts w:ascii="IBM Plex Sans" w:eastAsia="Times New Roman" w:hAnsi="IBM Plex Sans"/>
          <w:color w:val="283030"/>
          <w:sz w:val="20"/>
          <w:szCs w:val="20"/>
        </w:rPr>
        <w:t>ur financial condition, results of operations, cash flows and equity.</w:t>
      </w:r>
    </w:p>
    <w:p w:rsidR="00000000" w:rsidRDefault="00F5481A">
      <w:pPr>
        <w:ind w:firstLine="360"/>
        <w:divId w:val="792556494"/>
        <w:rPr>
          <w:rFonts w:eastAsia="Times New Roman"/>
        </w:rPr>
      </w:pPr>
      <w:r>
        <w:rPr>
          <w:rFonts w:ascii="IBM Plex Sans" w:eastAsia="Times New Roman" w:hAnsi="IBM Plex Sans"/>
          <w:color w:val="283030"/>
          <w:sz w:val="20"/>
          <w:szCs w:val="20"/>
        </w:rPr>
        <w:t>We will make contributions to fund our defined benefit plans when considered necessary or advantageous to do so. The macro-economic factors discussed above, including the rates of return</w:t>
      </w:r>
      <w:r>
        <w:rPr>
          <w:rFonts w:ascii="IBM Plex Sans" w:eastAsia="Times New Roman" w:hAnsi="IBM Plex Sans"/>
          <w:color w:val="283030"/>
          <w:sz w:val="20"/>
          <w:szCs w:val="20"/>
        </w:rPr>
        <w:t xml:space="preserve"> on defined benefit plan assets and the minimum funding requirements established by government funding or taxing authorities, or established by other agreement, may influence future funding requirements. A significant decline in the fair value of our plan </w:t>
      </w:r>
      <w:r>
        <w:rPr>
          <w:rFonts w:ascii="IBM Plex Sans" w:eastAsia="Times New Roman" w:hAnsi="IBM Plex Sans"/>
          <w:color w:val="283030"/>
          <w:sz w:val="20"/>
          <w:szCs w:val="20"/>
        </w:rPr>
        <w:t>assets, or other adverse changes to our overall defined benefit plans, could require us to make significant funding contributions and affect cash flows in future periods.</w:t>
      </w:r>
    </w:p>
    <w:p w:rsidR="00000000" w:rsidRDefault="00F5481A">
      <w:pPr>
        <w:ind w:firstLine="360"/>
        <w:divId w:val="1476022012"/>
        <w:rPr>
          <w:rFonts w:eastAsia="Times New Roman"/>
        </w:rPr>
      </w:pPr>
      <w:r>
        <w:rPr>
          <w:rFonts w:ascii="IBM Plex Sans" w:eastAsia="Times New Roman" w:hAnsi="IBM Plex Sans"/>
          <w:color w:val="283030"/>
          <w:sz w:val="20"/>
          <w:szCs w:val="20"/>
        </w:rPr>
        <w:t>CAS governs the extent to which postretirement costs and plan contributions are alloc</w:t>
      </w:r>
      <w:r>
        <w:rPr>
          <w:rFonts w:ascii="IBM Plex Sans" w:eastAsia="Times New Roman" w:hAnsi="IBM Plex Sans"/>
          <w:color w:val="283030"/>
          <w:sz w:val="20"/>
          <w:szCs w:val="20"/>
        </w:rPr>
        <w:t>able to and recoverable under contracts with the U.S. Government. We expect to continue to seek reimbursement from the U.S. Government for a portion of our postretirement costs and plan contributions; however, pension plan cost recoveries under our U.S. Go</w:t>
      </w:r>
      <w:r>
        <w:rPr>
          <w:rFonts w:ascii="IBM Plex Sans" w:eastAsia="Times New Roman" w:hAnsi="IBM Plex Sans"/>
          <w:color w:val="283030"/>
          <w:sz w:val="20"/>
          <w:szCs w:val="20"/>
        </w:rPr>
        <w:t xml:space="preserve">vernment contracts may occur in different periods from when those pension costs are recognized for financial statement purposes or when pension funding is made. CAS rules have been revised to partially harmonize the measurement and period of assignment of </w:t>
      </w:r>
      <w:r>
        <w:rPr>
          <w:rFonts w:ascii="IBM Plex Sans" w:eastAsia="Times New Roman" w:hAnsi="IBM Plex Sans"/>
          <w:color w:val="283030"/>
          <w:sz w:val="20"/>
          <w:szCs w:val="20"/>
        </w:rPr>
        <w:t>pension plan costs allocable to U.S. Government contracts and minimum required contributions under the Employee Retirement Income Security Act of 1974, as amended, (“ERISA”). However, there is still a lag between the time when we contribute cash to our pla</w:t>
      </w:r>
      <w:r>
        <w:rPr>
          <w:rFonts w:ascii="IBM Plex Sans" w:eastAsia="Times New Roman" w:hAnsi="IBM Plex Sans"/>
          <w:color w:val="283030"/>
          <w:sz w:val="20"/>
          <w:szCs w:val="20"/>
        </w:rPr>
        <w:t>ns under pension funding rules and when we recover pension costs under CAS rules. These timing differences could have a material adverse effect on our cash flows.</w:t>
      </w:r>
    </w:p>
    <w:p w:rsidR="00000000" w:rsidRDefault="00F5481A">
      <w:pPr>
        <w:divId w:val="702286424"/>
        <w:rPr>
          <w:rFonts w:eastAsia="Times New Roman"/>
        </w:rPr>
      </w:pPr>
      <w:r>
        <w:rPr>
          <w:rFonts w:ascii="IBM Plex Sans SemiBold" w:eastAsia="Times New Roman" w:hAnsi="IBM Plex Sans SemiBold"/>
          <w:b/>
          <w:bCs/>
          <w:color w:val="016676"/>
          <w:sz w:val="20"/>
          <w:szCs w:val="20"/>
        </w:rPr>
        <w:t>Legal, Tax and Regulatory Risks</w:t>
      </w:r>
    </w:p>
    <w:p w:rsidR="00000000" w:rsidRDefault="00F5481A">
      <w:pPr>
        <w:divId w:val="1618216531"/>
        <w:rPr>
          <w:rFonts w:eastAsia="Times New Roman"/>
        </w:rPr>
      </w:pPr>
      <w:r>
        <w:rPr>
          <w:rFonts w:ascii="IBM Plex Sans SemiBold" w:eastAsia="Times New Roman" w:hAnsi="IBM Plex Sans SemiBold"/>
          <w:b/>
          <w:bCs/>
          <w:i/>
          <w:iCs/>
          <w:color w:val="016676"/>
          <w:sz w:val="20"/>
          <w:szCs w:val="20"/>
        </w:rPr>
        <w:t>Changes in our effective tax rate or additional tax exposures</w:t>
      </w:r>
      <w:r>
        <w:rPr>
          <w:rFonts w:ascii="IBM Plex Sans SemiBold" w:eastAsia="Times New Roman" w:hAnsi="IBM Plex Sans SemiBold"/>
          <w:b/>
          <w:bCs/>
          <w:i/>
          <w:iCs/>
          <w:color w:val="016676"/>
          <w:sz w:val="20"/>
          <w:szCs w:val="20"/>
        </w:rPr>
        <w:t xml:space="preserve"> may have an adverse effect on our results of operations and cash flows.</w:t>
      </w:r>
    </w:p>
    <w:p w:rsidR="00000000" w:rsidRDefault="00F5481A">
      <w:pPr>
        <w:ind w:firstLine="360"/>
        <w:divId w:val="421873649"/>
        <w:rPr>
          <w:rFonts w:eastAsia="Times New Roman"/>
        </w:rPr>
      </w:pPr>
      <w:r>
        <w:rPr>
          <w:rFonts w:ascii="IBM Plex Sans" w:eastAsia="Times New Roman" w:hAnsi="IBM Plex Sans"/>
          <w:color w:val="283030"/>
          <w:sz w:val="20"/>
          <w:szCs w:val="20"/>
        </w:rPr>
        <w:t>We are subject to income taxes in the U.S. and numerous international jurisdictions. There are transactions and calculations in the ordinary course of business where the application o</w:t>
      </w:r>
      <w:r>
        <w:rPr>
          <w:rFonts w:ascii="IBM Plex Sans" w:eastAsia="Times New Roman" w:hAnsi="IBM Plex Sans"/>
          <w:color w:val="283030"/>
          <w:sz w:val="20"/>
          <w:szCs w:val="20"/>
        </w:rPr>
        <w:t xml:space="preserve">f tax law may be uncertain, require significant judgment or be subject to differing interpretations. </w:t>
      </w:r>
    </w:p>
    <w:p w:rsidR="00000000" w:rsidRDefault="00F5481A">
      <w:pPr>
        <w:ind w:firstLine="360"/>
        <w:divId w:val="9767939"/>
        <w:rPr>
          <w:rFonts w:eastAsia="Times New Roman"/>
        </w:rPr>
      </w:pPr>
      <w:r>
        <w:rPr>
          <w:rFonts w:ascii="IBM Plex Sans" w:eastAsia="Times New Roman" w:hAnsi="IBM Plex Sans"/>
          <w:color w:val="283030"/>
          <w:sz w:val="20"/>
          <w:szCs w:val="20"/>
        </w:rPr>
        <w:t>Our worldwide income tax provision may be adversely affected by a number of factors, which include:</w:t>
      </w:r>
    </w:p>
    <w:p w:rsidR="00000000" w:rsidRDefault="00F5481A">
      <w:pPr>
        <w:ind w:hanging="360"/>
        <w:divId w:val="1706716765"/>
        <w:rPr>
          <w:rFonts w:eastAsia="Times New Roman"/>
        </w:rPr>
      </w:pPr>
      <w:r>
        <w:rPr>
          <w:rFonts w:ascii="IBM Plex Sans" w:eastAsia="Times New Roman" w:hAnsi="IBM Plex Sans"/>
          <w:color w:val="283030"/>
          <w:sz w:val="20"/>
          <w:szCs w:val="20"/>
        </w:rPr>
        <w:t xml:space="preserve">•Changes in domestic or international tax laws or the </w:t>
      </w:r>
      <w:r>
        <w:rPr>
          <w:rFonts w:ascii="IBM Plex Sans" w:eastAsia="Times New Roman" w:hAnsi="IBM Plex Sans"/>
          <w:color w:val="283030"/>
          <w:sz w:val="20"/>
          <w:szCs w:val="20"/>
        </w:rPr>
        <w:t>interpretation of such tax laws;</w:t>
      </w:r>
    </w:p>
    <w:p w:rsidR="00000000" w:rsidRDefault="00F5481A">
      <w:pPr>
        <w:ind w:hanging="360"/>
        <w:divId w:val="113599440"/>
        <w:rPr>
          <w:rFonts w:eastAsia="Times New Roman"/>
        </w:rPr>
      </w:pPr>
      <w:r>
        <w:rPr>
          <w:rFonts w:ascii="IBM Plex Sans" w:eastAsia="Times New Roman" w:hAnsi="IBM Plex Sans"/>
          <w:color w:val="283030"/>
          <w:sz w:val="20"/>
          <w:szCs w:val="20"/>
        </w:rPr>
        <w:t>•The jurisdictions in which profits are determined to be earned and taxed;</w:t>
      </w:r>
    </w:p>
    <w:p w:rsidR="00000000" w:rsidRDefault="00F5481A">
      <w:pPr>
        <w:ind w:hanging="360"/>
        <w:divId w:val="1192844338"/>
        <w:rPr>
          <w:rFonts w:eastAsia="Times New Roman"/>
        </w:rPr>
      </w:pPr>
      <w:r>
        <w:rPr>
          <w:rFonts w:ascii="IBM Plex Sans" w:eastAsia="Times New Roman" w:hAnsi="IBM Plex Sans"/>
          <w:color w:val="283030"/>
          <w:sz w:val="20"/>
          <w:szCs w:val="20"/>
        </w:rPr>
        <w:t>•Adjustments to estimated taxes upon finalization of various tax returns;</w:t>
      </w:r>
    </w:p>
    <w:p w:rsidR="00000000" w:rsidRDefault="00F5481A">
      <w:pPr>
        <w:ind w:hanging="360"/>
        <w:divId w:val="437524379"/>
        <w:rPr>
          <w:rFonts w:eastAsia="Times New Roman"/>
        </w:rPr>
      </w:pPr>
      <w:r>
        <w:rPr>
          <w:rFonts w:ascii="IBM Plex Sans" w:eastAsia="Times New Roman" w:hAnsi="IBM Plex Sans"/>
          <w:color w:val="283030"/>
          <w:sz w:val="20"/>
          <w:szCs w:val="20"/>
        </w:rPr>
        <w:t>•</w:t>
      </w:r>
      <w:r>
        <w:rPr>
          <w:rFonts w:ascii="IBM Plex Sans" w:eastAsia="Times New Roman" w:hAnsi="IBM Plex Sans"/>
          <w:color w:val="283030"/>
          <w:sz w:val="20"/>
          <w:szCs w:val="20"/>
        </w:rPr>
        <w:t>Increases in expenses not fully deductible for tax purposes, including write-offs of acquired in-process R&amp;D and impairment of goodwill or other long-term assets in connection with mergers or acquisitions;</w:t>
      </w:r>
    </w:p>
    <w:p w:rsidR="00000000" w:rsidRDefault="00F5481A">
      <w:pPr>
        <w:ind w:hanging="360"/>
        <w:divId w:val="450320024"/>
        <w:rPr>
          <w:rFonts w:eastAsia="Times New Roman"/>
        </w:rPr>
      </w:pPr>
      <w:r>
        <w:rPr>
          <w:rFonts w:ascii="IBM Plex Sans" w:eastAsia="Times New Roman" w:hAnsi="IBM Plex Sans"/>
          <w:color w:val="283030"/>
          <w:sz w:val="20"/>
          <w:szCs w:val="20"/>
        </w:rPr>
        <w:t>•Changes in available tax credits;</w:t>
      </w:r>
    </w:p>
    <w:p w:rsidR="00000000" w:rsidRDefault="00F5481A">
      <w:pPr>
        <w:ind w:hanging="360"/>
        <w:divId w:val="516621129"/>
        <w:rPr>
          <w:rFonts w:eastAsia="Times New Roman"/>
        </w:rPr>
      </w:pPr>
      <w:r>
        <w:rPr>
          <w:rFonts w:ascii="IBM Plex Sans" w:eastAsia="Times New Roman" w:hAnsi="IBM Plex Sans"/>
          <w:color w:val="283030"/>
          <w:sz w:val="20"/>
          <w:szCs w:val="20"/>
        </w:rPr>
        <w:t>•Changes in sha</w:t>
      </w:r>
      <w:r>
        <w:rPr>
          <w:rFonts w:ascii="IBM Plex Sans" w:eastAsia="Times New Roman" w:hAnsi="IBM Plex Sans"/>
          <w:color w:val="283030"/>
          <w:sz w:val="20"/>
          <w:szCs w:val="20"/>
        </w:rPr>
        <w:t>re-based compensation expense;</w:t>
      </w:r>
    </w:p>
    <w:p w:rsidR="00000000" w:rsidRDefault="00F5481A">
      <w:pPr>
        <w:ind w:hanging="360"/>
        <w:divId w:val="195390104"/>
        <w:rPr>
          <w:rFonts w:eastAsia="Times New Roman"/>
        </w:rPr>
      </w:pPr>
      <w:r>
        <w:rPr>
          <w:rFonts w:ascii="IBM Plex Sans" w:eastAsia="Times New Roman" w:hAnsi="IBM Plex Sans"/>
          <w:color w:val="283030"/>
          <w:sz w:val="20"/>
          <w:szCs w:val="20"/>
        </w:rPr>
        <w:t>•Changes in the valuation of our deferred tax assets and liabilities; and</w:t>
      </w:r>
    </w:p>
    <w:p w:rsidR="00000000" w:rsidRDefault="00F5481A">
      <w:pPr>
        <w:ind w:firstLine="360"/>
        <w:jc w:val="center"/>
        <w:divId w:val="2060277899"/>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19</w:t>
      </w:r>
    </w:p>
    <w:p w:rsidR="00000000" w:rsidRDefault="00F5481A">
      <w:pPr>
        <w:rPr>
          <w:rFonts w:eastAsia="Times New Roman"/>
        </w:rPr>
      </w:pPr>
      <w:r>
        <w:rPr>
          <w:rFonts w:eastAsia="Times New Roman"/>
        </w:rPr>
        <w:pict>
          <v:rect id="_x0000_i1049" style="width:0;height:1.5pt" o:hralign="center" o:hrstd="t" o:hr="t" fillcolor="#a0a0a0" stroked="f"/>
        </w:pict>
      </w:r>
    </w:p>
    <w:p w:rsidR="00000000" w:rsidRDefault="00F5481A">
      <w:pPr>
        <w:ind w:firstLine="360"/>
        <w:divId w:val="2076010200"/>
        <w:rPr>
          <w:rFonts w:eastAsia="Times New Roman"/>
        </w:rPr>
      </w:pPr>
    </w:p>
    <w:p w:rsidR="00000000" w:rsidRDefault="00F5481A">
      <w:pPr>
        <w:ind w:hanging="360"/>
        <w:divId w:val="1936329128"/>
        <w:rPr>
          <w:rFonts w:eastAsia="Times New Roman"/>
        </w:rPr>
      </w:pPr>
      <w:r>
        <w:rPr>
          <w:rFonts w:ascii="IBM Plex Sans" w:eastAsia="Times New Roman" w:hAnsi="IBM Plex Sans"/>
          <w:color w:val="283030"/>
          <w:sz w:val="20"/>
          <w:szCs w:val="20"/>
        </w:rPr>
        <w:t>•The resolution of issues arising from t</w:t>
      </w:r>
      <w:r>
        <w:rPr>
          <w:rFonts w:ascii="IBM Plex Sans" w:eastAsia="Times New Roman" w:hAnsi="IBM Plex Sans"/>
          <w:color w:val="283030"/>
          <w:sz w:val="20"/>
          <w:szCs w:val="20"/>
        </w:rPr>
        <w:t xml:space="preserve">ax audits with various tax authorities. </w:t>
      </w:r>
    </w:p>
    <w:p w:rsidR="00000000" w:rsidRDefault="00F5481A">
      <w:pPr>
        <w:ind w:firstLine="360"/>
        <w:divId w:val="1776293653"/>
        <w:rPr>
          <w:rFonts w:eastAsia="Times New Roman"/>
        </w:rPr>
      </w:pPr>
      <w:r>
        <w:rPr>
          <w:rFonts w:ascii="IBM Plex Sans" w:eastAsia="Times New Roman" w:hAnsi="IBM Plex Sans"/>
          <w:color w:val="283030"/>
          <w:sz w:val="20"/>
          <w:szCs w:val="20"/>
        </w:rPr>
        <w:t>Any significant increase in our future effective tax rates could adversely impact our results of operations for future periods.</w:t>
      </w:r>
    </w:p>
    <w:p w:rsidR="00000000" w:rsidRDefault="00F5481A">
      <w:pPr>
        <w:divId w:val="544677047"/>
        <w:rPr>
          <w:rFonts w:eastAsia="Times New Roman"/>
        </w:rPr>
      </w:pPr>
      <w:r>
        <w:rPr>
          <w:rFonts w:ascii="IBM Plex Sans SemiBold" w:eastAsia="Times New Roman" w:hAnsi="IBM Plex Sans SemiBold"/>
          <w:b/>
          <w:bCs/>
          <w:i/>
          <w:iCs/>
          <w:color w:val="016676"/>
          <w:sz w:val="20"/>
          <w:szCs w:val="20"/>
        </w:rPr>
        <w:t xml:space="preserve">We may not be successful in obtaining the necessary export licenses to conduct certain </w:t>
      </w:r>
      <w:r>
        <w:rPr>
          <w:rFonts w:ascii="IBM Plex Sans SemiBold" w:eastAsia="Times New Roman" w:hAnsi="IBM Plex Sans SemiBold"/>
          <w:b/>
          <w:bCs/>
          <w:i/>
          <w:iCs/>
          <w:color w:val="016676"/>
          <w:sz w:val="20"/>
          <w:szCs w:val="20"/>
        </w:rPr>
        <w:t xml:space="preserve">operations abroad, and Congress may prevent proposed sales to certain foreign governments. </w:t>
      </w:r>
    </w:p>
    <w:p w:rsidR="00000000" w:rsidRDefault="00F5481A">
      <w:pPr>
        <w:ind w:firstLine="360"/>
        <w:divId w:val="677390418"/>
        <w:rPr>
          <w:rFonts w:eastAsia="Times New Roman"/>
        </w:rPr>
      </w:pPr>
      <w:r>
        <w:rPr>
          <w:rFonts w:ascii="IBM Plex Sans" w:eastAsia="Times New Roman" w:hAnsi="IBM Plex Sans"/>
          <w:color w:val="283030"/>
          <w:sz w:val="20"/>
          <w:szCs w:val="20"/>
        </w:rPr>
        <w:t xml:space="preserve">We must first obtain export and other licenses and authorizations from various U.S. Government agencies before we are permitted to sell certain products and technologies outside of the U.S. For example, the U.S. Department of State must notify Congress at </w:t>
      </w:r>
      <w:r>
        <w:rPr>
          <w:rFonts w:ascii="IBM Plex Sans" w:eastAsia="Times New Roman" w:hAnsi="IBM Plex Sans"/>
          <w:color w:val="283030"/>
          <w:sz w:val="20"/>
          <w:szCs w:val="20"/>
        </w:rPr>
        <w:t>least 15 to 60 days, depending on the size and location of the proposed sale, prior to authorizing certain sales of defense equipment and services to foreign governments. During that time, Congress may take action to block the proposed sale. We may be unsu</w:t>
      </w:r>
      <w:r>
        <w:rPr>
          <w:rFonts w:ascii="IBM Plex Sans" w:eastAsia="Times New Roman" w:hAnsi="IBM Plex Sans"/>
          <w:color w:val="283030"/>
          <w:sz w:val="20"/>
          <w:szCs w:val="20"/>
        </w:rPr>
        <w:t>ccessful in obtaining necessary licenses or authorizations or Congress may prevent or delay certain sales. Our ability to obtain necessary licenses and authorizations timely or at all is subject to risks and uncertainties, including changing U.S. Governmen</w:t>
      </w:r>
      <w:r>
        <w:rPr>
          <w:rFonts w:ascii="IBM Plex Sans" w:eastAsia="Times New Roman" w:hAnsi="IBM Plex Sans"/>
          <w:color w:val="283030"/>
          <w:sz w:val="20"/>
          <w:szCs w:val="20"/>
        </w:rPr>
        <w:t>t policies or laws or delays in Congressional action due to geopolitical and other factors. If we are not successful in obtaining or maintaining the necessary licenses or authorizations in a timely manner, our sales relating to those approvals may be rever</w:t>
      </w:r>
      <w:r>
        <w:rPr>
          <w:rFonts w:ascii="IBM Plex Sans" w:eastAsia="Times New Roman" w:hAnsi="IBM Plex Sans"/>
          <w:color w:val="283030"/>
          <w:sz w:val="20"/>
          <w:szCs w:val="20"/>
        </w:rPr>
        <w:t>sed, prevented or delayed, and any significant impairment of our ability to sell products or technologies outside of the U.S. could negatively impact our business, financial condition, results of operations, cash flows and equity.</w:t>
      </w:r>
    </w:p>
    <w:p w:rsidR="00000000" w:rsidRDefault="00F5481A">
      <w:pPr>
        <w:divId w:val="1992053148"/>
        <w:rPr>
          <w:rFonts w:eastAsia="Times New Roman"/>
        </w:rPr>
      </w:pPr>
      <w:r>
        <w:rPr>
          <w:rFonts w:ascii="IBM Plex Sans SemiBold" w:eastAsia="Times New Roman" w:hAnsi="IBM Plex Sans SemiBold"/>
          <w:b/>
          <w:bCs/>
          <w:i/>
          <w:iCs/>
          <w:color w:val="016676"/>
          <w:sz w:val="20"/>
          <w:szCs w:val="20"/>
        </w:rPr>
        <w:t xml:space="preserve">Unforeseen environmental </w:t>
      </w:r>
      <w:r>
        <w:rPr>
          <w:rFonts w:ascii="IBM Plex Sans SemiBold" w:eastAsia="Times New Roman" w:hAnsi="IBM Plex Sans SemiBold"/>
          <w:b/>
          <w:bCs/>
          <w:i/>
          <w:iCs/>
          <w:color w:val="016676"/>
          <w:sz w:val="20"/>
          <w:szCs w:val="20"/>
        </w:rPr>
        <w:t>issues, including regulations related to GHG emissions or change in customer sentiment related to environmental sustainability, could have a material adverse effect on our business, financial condition, results of operations, cash flows and equity.</w:t>
      </w:r>
    </w:p>
    <w:p w:rsidR="00000000" w:rsidRDefault="00F5481A">
      <w:pPr>
        <w:ind w:firstLine="360"/>
        <w:divId w:val="1869754584"/>
        <w:rPr>
          <w:rFonts w:eastAsia="Times New Roman"/>
        </w:rPr>
      </w:pPr>
      <w:r>
        <w:rPr>
          <w:rFonts w:ascii="IBM Plex Sans" w:eastAsia="Times New Roman" w:hAnsi="IBM Plex Sans"/>
          <w:color w:val="283030"/>
          <w:sz w:val="20"/>
          <w:szCs w:val="20"/>
        </w:rPr>
        <w:t>Our ope</w:t>
      </w:r>
      <w:r>
        <w:rPr>
          <w:rFonts w:ascii="IBM Plex Sans" w:eastAsia="Times New Roman" w:hAnsi="IBM Plex Sans"/>
          <w:color w:val="283030"/>
          <w:sz w:val="20"/>
          <w:szCs w:val="20"/>
        </w:rPr>
        <w:t>rations are subject to various U.S. Federal, state and local, as well as certain foreign, environmental laws and regulations within the countries in which we operate relating to the discharge, storage, treatment, handling, disposal and remediation of certa</w:t>
      </w:r>
      <w:r>
        <w:rPr>
          <w:rFonts w:ascii="IBM Plex Sans" w:eastAsia="Times New Roman" w:hAnsi="IBM Plex Sans"/>
          <w:color w:val="283030"/>
          <w:sz w:val="20"/>
          <w:szCs w:val="20"/>
        </w:rPr>
        <w:t>in materials, substances and wastes used in our operations. In addition, we could be affected by future environmental laws or regulations, including, for example, new restrictions on materials used in our operations or claims asserted in response to concer</w:t>
      </w:r>
      <w:r>
        <w:rPr>
          <w:rFonts w:ascii="IBM Plex Sans" w:eastAsia="Times New Roman" w:hAnsi="IBM Plex Sans"/>
          <w:color w:val="283030"/>
          <w:sz w:val="20"/>
          <w:szCs w:val="20"/>
        </w:rPr>
        <w:t>ns over climate change, such as regulations related to GHG emissions</w:t>
      </w:r>
      <w:r>
        <w:rPr>
          <w:rFonts w:ascii="IBM Plex Sans" w:eastAsia="Times New Roman" w:hAnsi="IBM Plex Sans"/>
          <w:color w:val="3051F2"/>
          <w:sz w:val="20"/>
          <w:szCs w:val="20"/>
        </w:rPr>
        <w:t>,</w:t>
      </w:r>
      <w:r>
        <w:rPr>
          <w:rFonts w:ascii="IBM Plex Sans" w:eastAsia="Times New Roman" w:hAnsi="IBM Plex Sans"/>
          <w:color w:val="283030"/>
          <w:sz w:val="20"/>
          <w:szCs w:val="20"/>
        </w:rPr>
        <w:t xml:space="preserve"> other aspects of the environment or natural resources. Changes in government procurement laws that mandate or include climate change considerations, such as the contractor’s GHG emission</w:t>
      </w:r>
      <w:r>
        <w:rPr>
          <w:rFonts w:ascii="IBM Plex Sans" w:eastAsia="Times New Roman" w:hAnsi="IBM Plex Sans"/>
          <w:color w:val="283030"/>
          <w:sz w:val="20"/>
          <w:szCs w:val="20"/>
        </w:rPr>
        <w:t>s, lower emission products or other climate risks, in evaluating bids could result in costly changes to our operations or affect our competitiveness on future bids. Compliance with current and future environmental laws and regulations may require significa</w:t>
      </w:r>
      <w:r>
        <w:rPr>
          <w:rFonts w:ascii="IBM Plex Sans" w:eastAsia="Times New Roman" w:hAnsi="IBM Plex Sans"/>
          <w:color w:val="283030"/>
          <w:sz w:val="20"/>
          <w:szCs w:val="20"/>
        </w:rPr>
        <w:t>nt operating and capital costs. Environmental laws and regulations may institute substantial fines and criminal sanctions as well as facility shutdowns to address violations and may require the installation of costly pollution control equipment or operatio</w:t>
      </w:r>
      <w:r>
        <w:rPr>
          <w:rFonts w:ascii="IBM Plex Sans" w:eastAsia="Times New Roman" w:hAnsi="IBM Plex Sans"/>
          <w:color w:val="283030"/>
          <w:sz w:val="20"/>
          <w:szCs w:val="20"/>
        </w:rPr>
        <w:t>nal changes to limit emissions or discharges. Our suppliers may face similar business interruptions and incur additional costs that may increase the price of materials needed for manufacturing. We also incur, and expect to continue to incur, costs to compl</w:t>
      </w:r>
      <w:r>
        <w:rPr>
          <w:rFonts w:ascii="IBM Plex Sans" w:eastAsia="Times New Roman" w:hAnsi="IBM Plex Sans"/>
          <w:color w:val="283030"/>
          <w:sz w:val="20"/>
          <w:szCs w:val="20"/>
        </w:rPr>
        <w:t>y with current environmental laws and regulations related to remediation of conditions in the environment. In addition, if violations of environmental laws result in us, or in one or more of our operations, being identified as an excluded party in the U.S.</w:t>
      </w:r>
      <w:r>
        <w:rPr>
          <w:rFonts w:ascii="IBM Plex Sans" w:eastAsia="Times New Roman" w:hAnsi="IBM Plex Sans"/>
          <w:color w:val="283030"/>
          <w:sz w:val="20"/>
          <w:szCs w:val="20"/>
        </w:rPr>
        <w:t xml:space="preserve"> Government’s System for Award Management, then we or one or more of our operations would become ineligible to receive certain contracts, subcontracts and other benefits from the Federal government or to perform work under a government contract or subcontr</w:t>
      </w:r>
      <w:r>
        <w:rPr>
          <w:rFonts w:ascii="IBM Plex Sans" w:eastAsia="Times New Roman" w:hAnsi="IBM Plex Sans"/>
          <w:color w:val="283030"/>
          <w:sz w:val="20"/>
          <w:szCs w:val="20"/>
        </w:rPr>
        <w:t>act. Generally, such ineligibility would continue until the basis for the listing has been appropriately addressed. If our responses to new or evolving legal and regulatory requirements or other sustainability concerns are unsuccessful or perceived as inad</w:t>
      </w:r>
      <w:r>
        <w:rPr>
          <w:rFonts w:ascii="IBM Plex Sans" w:eastAsia="Times New Roman" w:hAnsi="IBM Plex Sans"/>
          <w:color w:val="283030"/>
          <w:sz w:val="20"/>
          <w:szCs w:val="20"/>
        </w:rPr>
        <w:t>equate for the U.S. or our international markets, we also may suffer damage to our reputation, which could adversely affect our business.</w:t>
      </w:r>
      <w:r>
        <w:rPr>
          <w:rFonts w:ascii="IBM Plex Sans" w:eastAsia="Times New Roman" w:hAnsi="IBM Plex Sans"/>
          <w:color w:val="3051F2"/>
          <w:sz w:val="20"/>
          <w:szCs w:val="20"/>
        </w:rPr>
        <w:t xml:space="preserve"> </w:t>
      </w:r>
      <w:r>
        <w:rPr>
          <w:rFonts w:ascii="IBM Plex Sans" w:eastAsia="Times New Roman" w:hAnsi="IBM Plex Sans"/>
          <w:color w:val="283030"/>
          <w:sz w:val="20"/>
          <w:szCs w:val="20"/>
        </w:rPr>
        <w:t>Developments such as the adoption of new environmental laws and regulations, stricter enforcement of existing laws and</w:t>
      </w:r>
      <w:r>
        <w:rPr>
          <w:rFonts w:ascii="IBM Plex Sans" w:eastAsia="Times New Roman" w:hAnsi="IBM Plex Sans"/>
          <w:color w:val="283030"/>
          <w:sz w:val="20"/>
          <w:szCs w:val="20"/>
        </w:rPr>
        <w:t xml:space="preserve"> regulations, violations by us of such laws and regulations, discovery of previously unknown or more extensive contamination, litigation involving environmental impacts, our inability to recover costs associated with any such developments under previously </w:t>
      </w:r>
      <w:r>
        <w:rPr>
          <w:rFonts w:ascii="IBM Plex Sans" w:eastAsia="Times New Roman" w:hAnsi="IBM Plex Sans"/>
          <w:color w:val="283030"/>
          <w:sz w:val="20"/>
          <w:szCs w:val="20"/>
        </w:rPr>
        <w:t>priced contracts or financial insolvency of other responsible parties could have a material adverse effect on our business, financial condition, results of operations, cash flows and equity.</w:t>
      </w:r>
    </w:p>
    <w:p w:rsidR="00000000" w:rsidRDefault="00F5481A">
      <w:pPr>
        <w:divId w:val="1856068745"/>
        <w:rPr>
          <w:rFonts w:eastAsia="Times New Roman"/>
        </w:rPr>
      </w:pPr>
      <w:r>
        <w:rPr>
          <w:rFonts w:ascii="IBM Plex Sans SemiBold" w:eastAsia="Times New Roman" w:hAnsi="IBM Plex Sans SemiBold"/>
          <w:b/>
          <w:bCs/>
          <w:i/>
          <w:iCs/>
          <w:color w:val="016676"/>
          <w:sz w:val="20"/>
          <w:szCs w:val="20"/>
        </w:rPr>
        <w:t xml:space="preserve">Our reputation and ability to do business may be impacted by the </w:t>
      </w:r>
      <w:r>
        <w:rPr>
          <w:rFonts w:ascii="IBM Plex Sans SemiBold" w:eastAsia="Times New Roman" w:hAnsi="IBM Plex Sans SemiBold"/>
          <w:b/>
          <w:bCs/>
          <w:i/>
          <w:iCs/>
          <w:color w:val="016676"/>
          <w:sz w:val="20"/>
          <w:szCs w:val="20"/>
        </w:rPr>
        <w:t>improper conduct of our employees, agents or business partners.</w:t>
      </w:r>
    </w:p>
    <w:p w:rsidR="00000000" w:rsidRDefault="00F5481A">
      <w:pPr>
        <w:ind w:firstLine="360"/>
        <w:divId w:val="619649851"/>
        <w:rPr>
          <w:rFonts w:eastAsia="Times New Roman"/>
        </w:rPr>
      </w:pPr>
      <w:r>
        <w:rPr>
          <w:rFonts w:ascii="IBM Plex Sans" w:eastAsia="Times New Roman" w:hAnsi="IBM Plex Sans"/>
          <w:color w:val="283030"/>
          <w:sz w:val="20"/>
          <w:szCs w:val="20"/>
        </w:rPr>
        <w:t>We have implemented compliance controls, training, policies and procedures designed to prevent and detect reckless or criminal acts from being committed by our employees, agents or business pa</w:t>
      </w:r>
      <w:r>
        <w:rPr>
          <w:rFonts w:ascii="IBM Plex Sans" w:eastAsia="Times New Roman" w:hAnsi="IBM Plex Sans"/>
          <w:color w:val="283030"/>
          <w:sz w:val="20"/>
          <w:szCs w:val="20"/>
        </w:rPr>
        <w:t>rtners that would violate the laws of the jurisdictions in which we operate, including laws governing payments to government officials, such as the FCPA, the protection of export controlled or classified information, such as ITAR, false claims, procurement</w:t>
      </w:r>
      <w:r>
        <w:rPr>
          <w:rFonts w:ascii="IBM Plex Sans" w:eastAsia="Times New Roman" w:hAnsi="IBM Plex Sans"/>
          <w:color w:val="283030"/>
          <w:sz w:val="20"/>
          <w:szCs w:val="20"/>
        </w:rPr>
        <w:t xml:space="preserve"> integrity, cost accounting and billing, competition, information security and data privacy and the terms of our contracts. We cannot ensure, however, that our controls, training, policies and procedures will prevent or detect all such reckless or criminal</w:t>
      </w:r>
      <w:r>
        <w:rPr>
          <w:rFonts w:ascii="IBM Plex Sans" w:eastAsia="Times New Roman" w:hAnsi="IBM Plex Sans"/>
          <w:color w:val="283030"/>
          <w:sz w:val="20"/>
          <w:szCs w:val="20"/>
        </w:rPr>
        <w:t xml:space="preserve"> acts, and we have been adversely impacted by such acts in the past. This risk of improper </w:t>
      </w:r>
    </w:p>
    <w:p w:rsidR="00000000" w:rsidRDefault="00F5481A">
      <w:pPr>
        <w:ind w:firstLine="360"/>
        <w:jc w:val="center"/>
        <w:divId w:val="791439665"/>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20</w:t>
      </w:r>
    </w:p>
    <w:p w:rsidR="00000000" w:rsidRDefault="00F5481A">
      <w:pPr>
        <w:rPr>
          <w:rFonts w:eastAsia="Times New Roman"/>
        </w:rPr>
      </w:pPr>
      <w:r>
        <w:rPr>
          <w:rFonts w:eastAsia="Times New Roman"/>
        </w:rPr>
        <w:pict>
          <v:rect id="_x0000_i1050" style="width:0;height:1.5pt" o:hralign="center" o:hrstd="t" o:hr="t" fillcolor="#a0a0a0" stroked="f"/>
        </w:pict>
      </w:r>
    </w:p>
    <w:p w:rsidR="00000000" w:rsidRDefault="00F5481A">
      <w:pPr>
        <w:ind w:firstLine="360"/>
        <w:divId w:val="1127579425"/>
        <w:rPr>
          <w:rFonts w:eastAsia="Times New Roman"/>
        </w:rPr>
      </w:pPr>
    </w:p>
    <w:p w:rsidR="00000000" w:rsidRDefault="00F5481A">
      <w:pPr>
        <w:divId w:val="1697075995"/>
        <w:rPr>
          <w:rFonts w:eastAsia="Times New Roman"/>
        </w:rPr>
      </w:pPr>
      <w:r>
        <w:rPr>
          <w:rFonts w:ascii="IBM Plex Sans" w:eastAsia="Times New Roman" w:hAnsi="IBM Plex Sans"/>
          <w:color w:val="283030"/>
          <w:sz w:val="20"/>
          <w:szCs w:val="20"/>
        </w:rPr>
        <w:t>conduct will increase as we continue to grow and exp</w:t>
      </w:r>
      <w:r>
        <w:rPr>
          <w:rFonts w:ascii="IBM Plex Sans" w:eastAsia="Times New Roman" w:hAnsi="IBM Plex Sans"/>
          <w:color w:val="283030"/>
          <w:sz w:val="20"/>
          <w:szCs w:val="20"/>
        </w:rPr>
        <w:t xml:space="preserve">and our operations, including through acquisitions. If not prevented, such acts could subject us to civil or criminal investigations, monetary and non-monetary penalties and suspension and debarment by the U.S. Government and could have a material adverse </w:t>
      </w:r>
      <w:r>
        <w:rPr>
          <w:rFonts w:ascii="IBM Plex Sans" w:eastAsia="Times New Roman" w:hAnsi="IBM Plex Sans"/>
          <w:color w:val="283030"/>
          <w:sz w:val="20"/>
          <w:szCs w:val="20"/>
        </w:rPr>
        <w:t xml:space="preserve">effect on our business, results of operations and reputation. In addition, misconduct involving data security lapses resulting in the compromise of personal information or the improper use of our customer’s sensitive or classified information could result </w:t>
      </w:r>
      <w:r>
        <w:rPr>
          <w:rFonts w:ascii="IBM Plex Sans" w:eastAsia="Times New Roman" w:hAnsi="IBM Plex Sans"/>
          <w:color w:val="283030"/>
          <w:sz w:val="20"/>
          <w:szCs w:val="20"/>
        </w:rPr>
        <w:t xml:space="preserve">in remediation costs, regulatory sanctions against us and serious harm to our reputation and could adversely impact our ability to continue to contract with the U.S. Government. </w:t>
      </w:r>
    </w:p>
    <w:p w:rsidR="00000000" w:rsidRDefault="00F5481A">
      <w:pPr>
        <w:divId w:val="1242644320"/>
        <w:rPr>
          <w:rFonts w:eastAsia="Times New Roman"/>
        </w:rPr>
      </w:pPr>
      <w:r>
        <w:rPr>
          <w:rFonts w:ascii="IBM Plex Sans SemiBold" w:eastAsia="Times New Roman" w:hAnsi="IBM Plex Sans SemiBold"/>
          <w:b/>
          <w:bCs/>
          <w:i/>
          <w:iCs/>
          <w:color w:val="016676"/>
          <w:sz w:val="20"/>
          <w:szCs w:val="20"/>
        </w:rPr>
        <w:t>The outcome of litigation or arbitration in which we are involved from time t</w:t>
      </w:r>
      <w:r>
        <w:rPr>
          <w:rFonts w:ascii="IBM Plex Sans SemiBold" w:eastAsia="Times New Roman" w:hAnsi="IBM Plex Sans SemiBold"/>
          <w:b/>
          <w:bCs/>
          <w:i/>
          <w:iCs/>
          <w:color w:val="016676"/>
          <w:sz w:val="20"/>
          <w:szCs w:val="20"/>
        </w:rPr>
        <w:t>o time is unpredictable, and an adverse decision in any such matter could have a material adverse effect on our financial condition, results of operations, cash flows and equity.</w:t>
      </w:r>
    </w:p>
    <w:p w:rsidR="00000000" w:rsidRDefault="00F5481A">
      <w:pPr>
        <w:ind w:firstLine="360"/>
        <w:divId w:val="1943416296"/>
        <w:rPr>
          <w:rFonts w:eastAsia="Times New Roman"/>
        </w:rPr>
      </w:pPr>
      <w:r>
        <w:rPr>
          <w:rFonts w:ascii="IBM Plex Sans" w:eastAsia="Times New Roman" w:hAnsi="IBM Plex Sans"/>
          <w:color w:val="283030"/>
          <w:sz w:val="20"/>
          <w:szCs w:val="20"/>
        </w:rPr>
        <w:t>The size, nature and complexity of our business make us susceptible to invest</w:t>
      </w:r>
      <w:r>
        <w:rPr>
          <w:rFonts w:ascii="IBM Plex Sans" w:eastAsia="Times New Roman" w:hAnsi="IBM Plex Sans"/>
          <w:color w:val="283030"/>
          <w:sz w:val="20"/>
          <w:szCs w:val="20"/>
        </w:rPr>
        <w:t>igations, claims, disputes, enforcement actions, litigation and other legal proceedings, particularly those involving governments. From time to time, we are defendants in a number of litigation matters and are involved in a number of arbitration matters. T</w:t>
      </w:r>
      <w:r>
        <w:rPr>
          <w:rFonts w:ascii="IBM Plex Sans" w:eastAsia="Times New Roman" w:hAnsi="IBM Plex Sans"/>
          <w:color w:val="283030"/>
          <w:sz w:val="20"/>
          <w:szCs w:val="20"/>
        </w:rPr>
        <w:t>hese actions may divert financial and management resources that would otherwise be used to benefit our operations. The results of these or new matters may be unfavorable to us. Although we maintain insurance policies, they may not be adequate to protect us</w:t>
      </w:r>
      <w:r>
        <w:rPr>
          <w:rFonts w:ascii="IBM Plex Sans" w:eastAsia="Times New Roman" w:hAnsi="IBM Plex Sans"/>
          <w:color w:val="283030"/>
          <w:sz w:val="20"/>
          <w:szCs w:val="20"/>
        </w:rPr>
        <w:t xml:space="preserve"> from all material judgments and expenses related to current or future claims and may not cover the conduct that is the subject of the litigation or arbitration. Desired levels of insurance may not be available in the future at economical prices or at all.</w:t>
      </w:r>
      <w:r>
        <w:rPr>
          <w:rFonts w:ascii="IBM Plex Sans" w:eastAsia="Times New Roman" w:hAnsi="IBM Plex Sans"/>
          <w:color w:val="283030"/>
          <w:sz w:val="20"/>
          <w:szCs w:val="20"/>
        </w:rPr>
        <w:t xml:space="preserve"> In addition, the results of litigation or arbitration can be difficult to predict, including litigation involving jury trials. Accordingly, our current judgment as to the likelihood of our loss (or our current estimate as to the potential range of loss, i</w:t>
      </w:r>
      <w:r>
        <w:rPr>
          <w:rFonts w:ascii="IBM Plex Sans" w:eastAsia="Times New Roman" w:hAnsi="IBM Plex Sans"/>
          <w:color w:val="283030"/>
          <w:sz w:val="20"/>
          <w:szCs w:val="20"/>
        </w:rPr>
        <w:t>f applicable) with respect to any particular litigation or arbitration matter may be wrong. A significant judgment or arbitration award against us arising out of any of our current or future litigation or arbitration matters could have a material adverse e</w:t>
      </w:r>
      <w:r>
        <w:rPr>
          <w:rFonts w:ascii="IBM Plex Sans" w:eastAsia="Times New Roman" w:hAnsi="IBM Plex Sans"/>
          <w:color w:val="283030"/>
          <w:sz w:val="20"/>
          <w:szCs w:val="20"/>
        </w:rPr>
        <w:t>ffect on our business, financial condition, results of operations, cash flows and equity.</w:t>
      </w:r>
    </w:p>
    <w:p w:rsidR="00000000" w:rsidRDefault="00F5481A">
      <w:pPr>
        <w:divId w:val="674769935"/>
        <w:rPr>
          <w:rFonts w:eastAsia="Times New Roman"/>
        </w:rPr>
      </w:pPr>
      <w:r>
        <w:rPr>
          <w:rFonts w:ascii="IBM Plex Sans SemiBold" w:eastAsia="Times New Roman" w:hAnsi="IBM Plex Sans SemiBold"/>
          <w:b/>
          <w:bCs/>
          <w:i/>
          <w:iCs/>
          <w:color w:val="016676"/>
          <w:sz w:val="20"/>
          <w:szCs w:val="20"/>
        </w:rPr>
        <w:t xml:space="preserve">Third parties have claimed in the past, and may claim in the future, that we are infringing directly or indirectly upon their intellectual property rights, and third </w:t>
      </w:r>
      <w:r>
        <w:rPr>
          <w:rFonts w:ascii="IBM Plex Sans SemiBold" w:eastAsia="Times New Roman" w:hAnsi="IBM Plex Sans SemiBold"/>
          <w:b/>
          <w:bCs/>
          <w:i/>
          <w:iCs/>
          <w:color w:val="016676"/>
          <w:sz w:val="20"/>
          <w:szCs w:val="20"/>
        </w:rPr>
        <w:t>parties may infringe upon our intellectual property rights.</w:t>
      </w:r>
    </w:p>
    <w:p w:rsidR="00000000" w:rsidRDefault="00F5481A">
      <w:pPr>
        <w:ind w:firstLine="360"/>
        <w:divId w:val="1093430530"/>
        <w:rPr>
          <w:rFonts w:eastAsia="Times New Roman"/>
        </w:rPr>
      </w:pPr>
      <w:r>
        <w:rPr>
          <w:rFonts w:ascii="IBM Plex Sans" w:eastAsia="Times New Roman" w:hAnsi="IBM Plex Sans"/>
          <w:color w:val="283030"/>
          <w:sz w:val="20"/>
          <w:szCs w:val="20"/>
        </w:rPr>
        <w:t>Many of the markets we serve are characterized by vigorous protection and pursuit of intellectual property rights, which often has resulted in protracted and expensive litigation. Our efforts to g</w:t>
      </w:r>
      <w:r>
        <w:rPr>
          <w:rFonts w:ascii="IBM Plex Sans" w:eastAsia="Times New Roman" w:hAnsi="IBM Plex Sans"/>
          <w:color w:val="283030"/>
          <w:sz w:val="20"/>
          <w:szCs w:val="20"/>
        </w:rPr>
        <w:t>ain awards of contracts and ensure a competitive position in the market depends in part on our ability to ensure that our intellectual property is protected, that our intellectual property rights are not diluted or subject to misuse, and that we are able t</w:t>
      </w:r>
      <w:r>
        <w:rPr>
          <w:rFonts w:ascii="IBM Plex Sans" w:eastAsia="Times New Roman" w:hAnsi="IBM Plex Sans"/>
          <w:color w:val="283030"/>
          <w:sz w:val="20"/>
          <w:szCs w:val="20"/>
        </w:rPr>
        <w:t>o license certain third-party intellectual property on reasonable terms. Third parties have claimed in the past, and may claim in the future, that we are infringing directly or indirectly upon their intellectual property rights, and we may be found to be i</w:t>
      </w:r>
      <w:r>
        <w:rPr>
          <w:rFonts w:ascii="IBM Plex Sans" w:eastAsia="Times New Roman" w:hAnsi="IBM Plex Sans"/>
          <w:color w:val="283030"/>
          <w:sz w:val="20"/>
          <w:szCs w:val="20"/>
        </w:rPr>
        <w:t>nfringing or to have infringed directly or indirectly upon those intellectual property rights. Claims of infringement might also require us to enter into costly royalty or license agreements. Our patents and other intellectual property may be challenged, i</w:t>
      </w:r>
      <w:r>
        <w:rPr>
          <w:rFonts w:ascii="IBM Plex Sans" w:eastAsia="Times New Roman" w:hAnsi="IBM Plex Sans"/>
          <w:color w:val="283030"/>
          <w:sz w:val="20"/>
          <w:szCs w:val="20"/>
        </w:rPr>
        <w:t>nvalidated, misappropriated or circumvented by third parties. Moreover, we may not be able to obtain royalty or license agreements on terms acceptable to us, or at all. We also may be subject to significant damages or injunctions against development and sa</w:t>
      </w:r>
      <w:r>
        <w:rPr>
          <w:rFonts w:ascii="IBM Plex Sans" w:eastAsia="Times New Roman" w:hAnsi="IBM Plex Sans"/>
          <w:color w:val="283030"/>
          <w:sz w:val="20"/>
          <w:szCs w:val="20"/>
        </w:rPr>
        <w:t>le of certain of our products, services and solutions. Our success depends in large part on our proprietary technology. We rely on a combination of patents, copyrights, trademarks, trade secrets, know-how, confidentiality provisions and licensing arrangeme</w:t>
      </w:r>
      <w:r>
        <w:rPr>
          <w:rFonts w:ascii="IBM Plex Sans" w:eastAsia="Times New Roman" w:hAnsi="IBM Plex Sans"/>
          <w:color w:val="283030"/>
          <w:sz w:val="20"/>
          <w:szCs w:val="20"/>
        </w:rPr>
        <w:t>nts to establish and protect our intellectual property rights. In addition, the laws concerning intellectual property vary among nations and the protection provided to our intellectual property by the laws and courts of foreign nations may differ from thos</w:t>
      </w:r>
      <w:r>
        <w:rPr>
          <w:rFonts w:ascii="IBM Plex Sans" w:eastAsia="Times New Roman" w:hAnsi="IBM Plex Sans"/>
          <w:color w:val="283030"/>
          <w:sz w:val="20"/>
          <w:szCs w:val="20"/>
        </w:rPr>
        <w:t>e of the U.S. If we fail to successfully protect and enforce these rights, our competitive position could suffer. Our pending patent and trademark registration applications may not be allowed, or competitors may challenge the validity or scope of our paten</w:t>
      </w:r>
      <w:r>
        <w:rPr>
          <w:rFonts w:ascii="IBM Plex Sans" w:eastAsia="Times New Roman" w:hAnsi="IBM Plex Sans"/>
          <w:color w:val="283030"/>
          <w:sz w:val="20"/>
          <w:szCs w:val="20"/>
        </w:rPr>
        <w:t xml:space="preserve">ts or trademark registrations. In addition, our patents may not provide us a significant competitive advantage. We may be required to spend significant resources to monitor and enforce our intellectual property rights. Litigation to determine the scope of </w:t>
      </w:r>
      <w:r>
        <w:rPr>
          <w:rFonts w:ascii="IBM Plex Sans" w:eastAsia="Times New Roman" w:hAnsi="IBM Plex Sans"/>
          <w:color w:val="283030"/>
          <w:sz w:val="20"/>
          <w:szCs w:val="20"/>
        </w:rPr>
        <w:t>intellectual property rights, even if ultimately successful, could be costly and could divert management’s attention away from other aspects of our business. We may not be able to detect infringement, and our competitive position may be harmed before we do</w:t>
      </w:r>
      <w:r>
        <w:rPr>
          <w:rFonts w:ascii="IBM Plex Sans" w:eastAsia="Times New Roman" w:hAnsi="IBM Plex Sans"/>
          <w:color w:val="283030"/>
          <w:sz w:val="20"/>
          <w:szCs w:val="20"/>
        </w:rPr>
        <w:t xml:space="preserve"> so. In addition, competitors may design around our technology or develop competing technologies.</w:t>
      </w:r>
    </w:p>
    <w:p w:rsidR="00000000" w:rsidRDefault="00F5481A">
      <w:pPr>
        <w:divId w:val="491680011"/>
        <w:rPr>
          <w:rFonts w:eastAsia="Times New Roman"/>
        </w:rPr>
      </w:pPr>
      <w:r>
        <w:rPr>
          <w:rFonts w:ascii="IBM Plex Sans SemiBold" w:eastAsia="Times New Roman" w:hAnsi="IBM Plex Sans SemiBold"/>
          <w:b/>
          <w:bCs/>
          <w:i/>
          <w:iCs/>
          <w:color w:val="016676"/>
          <w:sz w:val="20"/>
          <w:szCs w:val="20"/>
        </w:rPr>
        <w:t>We face certain significant risk exposures and potential liabilities that may not be covered adequately by insurance or indemnity.</w:t>
      </w:r>
    </w:p>
    <w:p w:rsidR="00000000" w:rsidRDefault="00F5481A">
      <w:pPr>
        <w:ind w:firstLine="360"/>
        <w:divId w:val="1714845023"/>
        <w:rPr>
          <w:rFonts w:eastAsia="Times New Roman"/>
        </w:rPr>
      </w:pPr>
      <w:r>
        <w:rPr>
          <w:rFonts w:ascii="IBM Plex Sans" w:eastAsia="Times New Roman" w:hAnsi="IBM Plex Sans"/>
          <w:color w:val="283030"/>
          <w:sz w:val="20"/>
          <w:szCs w:val="20"/>
        </w:rPr>
        <w:t>We are exposed to liabiliti</w:t>
      </w:r>
      <w:r>
        <w:rPr>
          <w:rFonts w:ascii="IBM Plex Sans" w:eastAsia="Times New Roman" w:hAnsi="IBM Plex Sans"/>
          <w:color w:val="283030"/>
          <w:sz w:val="20"/>
          <w:szCs w:val="20"/>
        </w:rPr>
        <w:t>es that are unique to the products and services we provide. A significant portion of our business relates to designing, developing and manufacturing advanced defense, technology and communications systems and products. New technologies associated with thes</w:t>
      </w:r>
      <w:r>
        <w:rPr>
          <w:rFonts w:ascii="IBM Plex Sans" w:eastAsia="Times New Roman" w:hAnsi="IBM Plex Sans"/>
          <w:color w:val="283030"/>
          <w:sz w:val="20"/>
          <w:szCs w:val="20"/>
        </w:rPr>
        <w:t xml:space="preserve">e systems and products may be untested or unproven. Components of certain defense systems and products we develop are inherently dangerous. Failures of satellites, missile systems, air traffic control systems, electronic warfare systems, space superiority </w:t>
      </w:r>
      <w:r>
        <w:rPr>
          <w:rFonts w:ascii="IBM Plex Sans" w:eastAsia="Times New Roman" w:hAnsi="IBM Plex Sans"/>
          <w:color w:val="283030"/>
          <w:sz w:val="20"/>
          <w:szCs w:val="20"/>
        </w:rPr>
        <w:t xml:space="preserve">systems, C5ISR, homeland security applications and aircraft have the potential to cause loss of life and extensive property damage. </w:t>
      </w:r>
    </w:p>
    <w:p w:rsidR="00000000" w:rsidRDefault="00F5481A">
      <w:pPr>
        <w:ind w:firstLine="360"/>
        <w:jc w:val="center"/>
        <w:divId w:val="1878152631"/>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21</w:t>
      </w:r>
    </w:p>
    <w:p w:rsidR="00000000" w:rsidRDefault="00F5481A">
      <w:pPr>
        <w:rPr>
          <w:rFonts w:eastAsia="Times New Roman"/>
        </w:rPr>
      </w:pPr>
      <w:r>
        <w:rPr>
          <w:rFonts w:eastAsia="Times New Roman"/>
        </w:rPr>
        <w:pict>
          <v:rect id="_x0000_i1051" style="width:0;height:1.5pt" o:hralign="center" o:hrstd="t" o:hr="t" fillcolor="#a0a0a0" stroked="f"/>
        </w:pict>
      </w:r>
    </w:p>
    <w:p w:rsidR="00000000" w:rsidRDefault="00F5481A">
      <w:pPr>
        <w:ind w:firstLine="360"/>
        <w:divId w:val="803817122"/>
        <w:rPr>
          <w:rFonts w:eastAsia="Times New Roman"/>
        </w:rPr>
      </w:pPr>
    </w:p>
    <w:p w:rsidR="00000000" w:rsidRDefault="00F5481A">
      <w:pPr>
        <w:divId w:val="2016221339"/>
        <w:rPr>
          <w:rFonts w:eastAsia="Times New Roman"/>
        </w:rPr>
      </w:pPr>
      <w:r>
        <w:rPr>
          <w:rFonts w:ascii="IBM Plex Sans" w:eastAsia="Times New Roman" w:hAnsi="IBM Plex Sans"/>
          <w:color w:val="283030"/>
          <w:sz w:val="20"/>
          <w:szCs w:val="20"/>
        </w:rPr>
        <w:t>Other examples of unforeseen problems that could result, either directly or indirectly, in the loss of life or property or otherwise negatively affect revenue and profitability include loss on launch of spacecraft, pre</w:t>
      </w:r>
      <w:r>
        <w:rPr>
          <w:rFonts w:ascii="IBM Plex Sans" w:eastAsia="Times New Roman" w:hAnsi="IBM Plex Sans"/>
          <w:color w:val="283030"/>
          <w:sz w:val="20"/>
          <w:szCs w:val="20"/>
        </w:rPr>
        <w:t>mature failure of products that cannot be accessed for repair or replacement, problems with quality and workmanship, country of origin, delivery of subcontractor components or services and unplanned degradation of product performance. In addition, problems</w:t>
      </w:r>
      <w:r>
        <w:rPr>
          <w:rFonts w:ascii="IBM Plex Sans" w:eastAsia="Times New Roman" w:hAnsi="IBM Plex Sans"/>
          <w:color w:val="283030"/>
          <w:sz w:val="20"/>
          <w:szCs w:val="20"/>
        </w:rPr>
        <w:t xml:space="preserve"> and delays in development or delivery as a result of issues with respect to design, technology, licensing and patent rights, labor, learning curve assumptions or materials and components could prevent us from achieving contractual requirements. In many ci</w:t>
      </w:r>
      <w:r>
        <w:rPr>
          <w:rFonts w:ascii="IBM Plex Sans" w:eastAsia="Times New Roman" w:hAnsi="IBM Plex Sans"/>
          <w:color w:val="283030"/>
          <w:sz w:val="20"/>
          <w:szCs w:val="20"/>
        </w:rPr>
        <w:t>rcumstances, we may receive indemnification from the U.S. Government. We generally do not receive indemnification from foreign governments. Although we maintain insurance for certain risks, including certain cybersecurity exposures, the amount of our insur</w:t>
      </w:r>
      <w:r>
        <w:rPr>
          <w:rFonts w:ascii="IBM Plex Sans" w:eastAsia="Times New Roman" w:hAnsi="IBM Plex Sans"/>
          <w:color w:val="283030"/>
          <w:sz w:val="20"/>
          <w:szCs w:val="20"/>
        </w:rPr>
        <w:t xml:space="preserve">ance coverage may not be adequate to cover all claims or liabilities, and we may be forced to bear substantial costs from an accident or incident. It also is not possible for us to obtain insurance to protect against all operational risks and liabilities. </w:t>
      </w:r>
      <w:r>
        <w:rPr>
          <w:rFonts w:ascii="IBM Plex Sans" w:eastAsia="Times New Roman" w:hAnsi="IBM Plex Sans"/>
          <w:color w:val="283030"/>
          <w:sz w:val="20"/>
          <w:szCs w:val="20"/>
        </w:rPr>
        <w:t>Substantial claims resulting from an incident in excess of U.S. Government indemnity and our insurance coverage would harm our financial condition, results of operations, cash flows and equity. Other factors that may affect revenue and profits include loss</w:t>
      </w:r>
      <w:r>
        <w:rPr>
          <w:rFonts w:ascii="IBM Plex Sans" w:eastAsia="Times New Roman" w:hAnsi="IBM Plex Sans"/>
          <w:color w:val="283030"/>
          <w:sz w:val="20"/>
          <w:szCs w:val="20"/>
        </w:rPr>
        <w:t xml:space="preserve"> of follow-on work, and, in the case of certain contracts, liquidated damages, penalties and repayment to the customer of contract cost and fee payments we previously received. Moreover, any accident or incident for which we are liable, even if fully insur</w:t>
      </w:r>
      <w:r>
        <w:rPr>
          <w:rFonts w:ascii="IBM Plex Sans" w:eastAsia="Times New Roman" w:hAnsi="IBM Plex Sans"/>
          <w:color w:val="283030"/>
          <w:sz w:val="20"/>
          <w:szCs w:val="20"/>
        </w:rPr>
        <w:t xml:space="preserve">ed, could negatively affect our standing with our customers and the public, thereby making it more difficult for us to compete effectively, and could significantly impact the cost and availability of adequate insurance in the future. </w:t>
      </w:r>
    </w:p>
    <w:p w:rsidR="00000000" w:rsidRDefault="00F5481A">
      <w:pPr>
        <w:divId w:val="111411721"/>
        <w:rPr>
          <w:rFonts w:eastAsia="Times New Roman"/>
        </w:rPr>
      </w:pPr>
      <w:r>
        <w:rPr>
          <w:rFonts w:ascii="IBM Plex Sans SemiBold" w:eastAsia="Times New Roman" w:hAnsi="IBM Plex Sans SemiBold"/>
          <w:b/>
          <w:bCs/>
          <w:color w:val="016676"/>
          <w:sz w:val="20"/>
          <w:szCs w:val="20"/>
        </w:rPr>
        <w:t>Strategic Transaction</w:t>
      </w:r>
      <w:r>
        <w:rPr>
          <w:rFonts w:ascii="IBM Plex Sans SemiBold" w:eastAsia="Times New Roman" w:hAnsi="IBM Plex Sans SemiBold"/>
          <w:b/>
          <w:bCs/>
          <w:color w:val="016676"/>
          <w:sz w:val="20"/>
          <w:szCs w:val="20"/>
        </w:rPr>
        <w:t>s and Investments Risks</w:t>
      </w:r>
    </w:p>
    <w:p w:rsidR="00000000" w:rsidRDefault="00F5481A">
      <w:pPr>
        <w:divId w:val="546646780"/>
        <w:rPr>
          <w:rFonts w:eastAsia="Times New Roman"/>
        </w:rPr>
      </w:pPr>
      <w:r>
        <w:rPr>
          <w:rFonts w:ascii="IBM Plex Sans SemiBold" w:eastAsia="Times New Roman" w:hAnsi="IBM Plex Sans SemiBold"/>
          <w:b/>
          <w:bCs/>
          <w:i/>
          <w:iCs/>
          <w:color w:val="016676"/>
          <w:sz w:val="20"/>
          <w:szCs w:val="20"/>
        </w:rPr>
        <w:t>We are subject to risks relating to the pending acquisition of AJRD, and acquisition of AJRD cannot be guaranteed to close in the expected time frame or at all.</w:t>
      </w:r>
    </w:p>
    <w:p w:rsidR="00000000" w:rsidRDefault="00F5481A">
      <w:pPr>
        <w:ind w:firstLine="360"/>
        <w:divId w:val="184904126"/>
        <w:rPr>
          <w:rFonts w:eastAsia="Times New Roman"/>
        </w:rPr>
      </w:pPr>
      <w:r>
        <w:rPr>
          <w:rFonts w:ascii="IBM Plex Sans" w:eastAsia="Times New Roman" w:hAnsi="IBM Plex Sans"/>
          <w:color w:val="283030"/>
          <w:sz w:val="20"/>
          <w:szCs w:val="20"/>
        </w:rPr>
        <w:t>On December 17, 2022, we entered into a definitive agreement to acquire</w:t>
      </w:r>
      <w:r>
        <w:rPr>
          <w:rFonts w:ascii="IBM Plex Sans" w:eastAsia="Times New Roman" w:hAnsi="IBM Plex Sans"/>
          <w:color w:val="283030"/>
          <w:sz w:val="20"/>
          <w:szCs w:val="20"/>
        </w:rPr>
        <w:t xml:space="preserve"> AJRD. AJRD is a manufacturer of rocket, hypersonic and electric propulsive systems for space, defense, civil and commercial applications. There are numerous risks and uncertainties associated with the pending acquisition, which include:</w:t>
      </w:r>
    </w:p>
    <w:p w:rsidR="00000000" w:rsidRDefault="00F5481A">
      <w:pPr>
        <w:ind w:hanging="360"/>
        <w:divId w:val="1228952006"/>
        <w:rPr>
          <w:rFonts w:eastAsia="Times New Roman"/>
        </w:rPr>
      </w:pPr>
      <w:r>
        <w:rPr>
          <w:rFonts w:ascii="IBM Plex Sans" w:eastAsia="Times New Roman" w:hAnsi="IBM Plex Sans"/>
          <w:color w:val="283030"/>
          <w:sz w:val="20"/>
          <w:szCs w:val="20"/>
        </w:rPr>
        <w:t>•Completion of the</w:t>
      </w:r>
      <w:r>
        <w:rPr>
          <w:rFonts w:ascii="IBM Plex Sans" w:eastAsia="Times New Roman" w:hAnsi="IBM Plex Sans"/>
          <w:color w:val="283030"/>
          <w:sz w:val="20"/>
          <w:szCs w:val="20"/>
        </w:rPr>
        <w:t xml:space="preserve"> acquisition is subject to a number of conditions, some of which are outside of our control, such as the receipt of certain regulatory approvals, including the expiration or termination of any applicable waiting period (and any extension thereof) under the</w:t>
      </w:r>
      <w:r>
        <w:rPr>
          <w:rFonts w:ascii="IBM Plex Sans" w:eastAsia="Times New Roman" w:hAnsi="IBM Plex Sans"/>
          <w:color w:val="283030"/>
          <w:sz w:val="20"/>
          <w:szCs w:val="20"/>
        </w:rPr>
        <w:t xml:space="preserve"> Hart-Scott-Rodino Antitrust Improvement Act of 1976, as amended (the “HSR Act”), and we will be required to pay AJRD a termination fee of $406.3 million upon a failure to obtain the required clearance under the HSR Act;</w:t>
      </w:r>
    </w:p>
    <w:p w:rsidR="00000000" w:rsidRDefault="00F5481A">
      <w:pPr>
        <w:ind w:hanging="360"/>
        <w:divId w:val="840044468"/>
        <w:rPr>
          <w:rFonts w:eastAsia="Times New Roman"/>
        </w:rPr>
      </w:pPr>
      <w:r>
        <w:rPr>
          <w:rFonts w:ascii="IBM Plex Sans" w:eastAsia="Times New Roman" w:hAnsi="IBM Plex Sans"/>
          <w:color w:val="283030"/>
          <w:sz w:val="20"/>
          <w:szCs w:val="20"/>
        </w:rPr>
        <w:t>•Our and AJRD’s existing business r</w:t>
      </w:r>
      <w:r>
        <w:rPr>
          <w:rFonts w:ascii="IBM Plex Sans" w:eastAsia="Times New Roman" w:hAnsi="IBM Plex Sans"/>
          <w:color w:val="283030"/>
          <w:sz w:val="20"/>
          <w:szCs w:val="20"/>
        </w:rPr>
        <w:t>elationships with third parties, including customers and service providers, may be disrupted due to uncertainty associated with the acquisition;</w:t>
      </w:r>
    </w:p>
    <w:p w:rsidR="00000000" w:rsidRDefault="00F5481A">
      <w:pPr>
        <w:ind w:hanging="360"/>
        <w:divId w:val="1734770302"/>
        <w:rPr>
          <w:rFonts w:eastAsia="Times New Roman"/>
        </w:rPr>
      </w:pPr>
      <w:r>
        <w:rPr>
          <w:rFonts w:ascii="IBM Plex Sans" w:eastAsia="Times New Roman" w:hAnsi="IBM Plex Sans"/>
          <w:color w:val="283030"/>
          <w:sz w:val="20"/>
          <w:szCs w:val="20"/>
        </w:rPr>
        <w:t>•Failure to complete the acquisition could negatively affect our stock price and our future business and financ</w:t>
      </w:r>
      <w:r>
        <w:rPr>
          <w:rFonts w:ascii="IBM Plex Sans" w:eastAsia="Times New Roman" w:hAnsi="IBM Plex Sans"/>
          <w:color w:val="283030"/>
          <w:sz w:val="20"/>
          <w:szCs w:val="20"/>
        </w:rPr>
        <w:t>ial results;</w:t>
      </w:r>
    </w:p>
    <w:p w:rsidR="00000000" w:rsidRDefault="00F5481A">
      <w:pPr>
        <w:ind w:hanging="360"/>
        <w:divId w:val="1246913204"/>
        <w:rPr>
          <w:rFonts w:eastAsia="Times New Roman"/>
        </w:rPr>
      </w:pPr>
      <w:r>
        <w:rPr>
          <w:rFonts w:ascii="IBM Plex Sans" w:eastAsia="Times New Roman" w:hAnsi="IBM Plex Sans"/>
          <w:color w:val="283030"/>
          <w:sz w:val="20"/>
          <w:szCs w:val="20"/>
        </w:rPr>
        <w:t>•We and AJRD will incur significant costs in connection with the acquisition, which may exceed those currently anticipated;</w:t>
      </w:r>
    </w:p>
    <w:p w:rsidR="00000000" w:rsidRDefault="00F5481A">
      <w:pPr>
        <w:ind w:hanging="360"/>
        <w:divId w:val="972096384"/>
        <w:rPr>
          <w:rFonts w:eastAsia="Times New Roman"/>
        </w:rPr>
      </w:pPr>
      <w:r>
        <w:rPr>
          <w:rFonts w:ascii="IBM Plex Sans" w:eastAsia="Times New Roman" w:hAnsi="IBM Plex Sans"/>
          <w:color w:val="283030"/>
          <w:sz w:val="20"/>
          <w:szCs w:val="20"/>
        </w:rPr>
        <w:t>•We expect to significantly increase our indebtedness to pay for the acquisition and other related fees and expenses, w</w:t>
      </w:r>
      <w:r>
        <w:rPr>
          <w:rFonts w:ascii="IBM Plex Sans" w:eastAsia="Times New Roman" w:hAnsi="IBM Plex Sans"/>
          <w:color w:val="283030"/>
          <w:sz w:val="20"/>
          <w:szCs w:val="20"/>
        </w:rPr>
        <w:t>hich will increase our interest expense and financial leverage; and</w:t>
      </w:r>
    </w:p>
    <w:p w:rsidR="00000000" w:rsidRDefault="00F5481A">
      <w:pPr>
        <w:ind w:hanging="360"/>
        <w:divId w:val="1569849653"/>
        <w:rPr>
          <w:rFonts w:eastAsia="Times New Roman"/>
        </w:rPr>
      </w:pPr>
      <w:r>
        <w:rPr>
          <w:rFonts w:ascii="IBM Plex Sans" w:eastAsia="Times New Roman" w:hAnsi="IBM Plex Sans"/>
          <w:color w:val="283030"/>
          <w:sz w:val="20"/>
          <w:szCs w:val="20"/>
        </w:rPr>
        <w:t>•</w:t>
      </w:r>
      <w:r>
        <w:rPr>
          <w:rFonts w:ascii="IBM Plex Sans" w:eastAsia="Times New Roman" w:hAnsi="IBM Plex Sans"/>
          <w:color w:val="283030"/>
          <w:sz w:val="20"/>
          <w:szCs w:val="20"/>
        </w:rPr>
        <w:t>AJRD may have difficulty attracting, developing, motivating and retaining executives and other employees in light of the pending acquisition, and failure to do so could harm the Company.</w:t>
      </w:r>
    </w:p>
    <w:p w:rsidR="00000000" w:rsidRDefault="00F5481A">
      <w:pPr>
        <w:ind w:firstLine="360"/>
        <w:divId w:val="1263150709"/>
        <w:rPr>
          <w:rFonts w:eastAsia="Times New Roman"/>
        </w:rPr>
      </w:pPr>
      <w:r>
        <w:rPr>
          <w:rFonts w:ascii="IBM Plex Sans" w:eastAsia="Times New Roman" w:hAnsi="IBM Plex Sans"/>
          <w:color w:val="283030"/>
          <w:sz w:val="20"/>
          <w:szCs w:val="20"/>
        </w:rPr>
        <w:t>Any of the foregoing risks and uncertainties could have a material ad</w:t>
      </w:r>
      <w:r>
        <w:rPr>
          <w:rFonts w:ascii="IBM Plex Sans" w:eastAsia="Times New Roman" w:hAnsi="IBM Plex Sans"/>
          <w:color w:val="283030"/>
          <w:sz w:val="20"/>
          <w:szCs w:val="20"/>
        </w:rPr>
        <w:t>verse effect on our business, financial condition, results of operations, cash flows and equity.</w:t>
      </w:r>
    </w:p>
    <w:p w:rsidR="00000000" w:rsidRDefault="00F5481A">
      <w:pPr>
        <w:divId w:val="1826435087"/>
        <w:rPr>
          <w:rFonts w:eastAsia="Times New Roman"/>
        </w:rPr>
      </w:pPr>
      <w:r>
        <w:rPr>
          <w:rFonts w:ascii="IBM Plex Sans SemiBold" w:eastAsia="Times New Roman" w:hAnsi="IBM Plex Sans SemiBold"/>
          <w:b/>
          <w:bCs/>
          <w:i/>
          <w:iCs/>
          <w:color w:val="016676"/>
          <w:sz w:val="20"/>
          <w:szCs w:val="20"/>
        </w:rPr>
        <w:t>Challenges arising from the expanded operations from the acquisition of the TDL product line and the pending acquisition of AJRD may affect our future results.</w:t>
      </w:r>
    </w:p>
    <w:p w:rsidR="00000000" w:rsidRDefault="00F5481A">
      <w:pPr>
        <w:ind w:firstLine="360"/>
        <w:divId w:val="1019041102"/>
        <w:rPr>
          <w:rFonts w:eastAsia="Times New Roman"/>
        </w:rPr>
      </w:pPr>
      <w:r>
        <w:rPr>
          <w:rFonts w:ascii="IBM Plex Sans" w:eastAsia="Times New Roman" w:hAnsi="IBM Plex Sans"/>
          <w:color w:val="283030"/>
          <w:sz w:val="20"/>
          <w:szCs w:val="20"/>
        </w:rPr>
        <w:t>Our recent and pending acquisitions have expanded, and will greatly expand, the size and complexity of our business. Our future success depends, in part, on the ability to integrate the TDL product line, and potentially AJRD, and to anticipate and overcom</w:t>
      </w:r>
      <w:r>
        <w:rPr>
          <w:rFonts w:ascii="IBM Plex Sans" w:eastAsia="Times New Roman" w:hAnsi="IBM Plex Sans"/>
          <w:color w:val="283030"/>
          <w:sz w:val="20"/>
          <w:szCs w:val="20"/>
        </w:rPr>
        <w:t xml:space="preserve">e challenges arising from the expansion of our operations, including challenges related to expanded global operations and new manufacturing processes and products or services, and the associated costs and complexity. There can be no assurance that we will </w:t>
      </w:r>
      <w:r>
        <w:rPr>
          <w:rFonts w:ascii="IBM Plex Sans" w:eastAsia="Times New Roman" w:hAnsi="IBM Plex Sans"/>
          <w:color w:val="283030"/>
          <w:sz w:val="20"/>
          <w:szCs w:val="20"/>
        </w:rPr>
        <w:t>be able to anticipate or overcome all of the challenges resulting from our expanding operations or that we will realize the expected benefits of the acquisitions in the intended timeframe or at all, which may cause our future results to be adversely affect</w:t>
      </w:r>
      <w:r>
        <w:rPr>
          <w:rFonts w:ascii="IBM Plex Sans" w:eastAsia="Times New Roman" w:hAnsi="IBM Plex Sans"/>
          <w:color w:val="283030"/>
          <w:sz w:val="20"/>
          <w:szCs w:val="20"/>
        </w:rPr>
        <w:t>ed.</w:t>
      </w:r>
    </w:p>
    <w:p w:rsidR="00000000" w:rsidRDefault="00F5481A">
      <w:pPr>
        <w:divId w:val="1100418254"/>
        <w:rPr>
          <w:rFonts w:eastAsia="Times New Roman"/>
        </w:rPr>
      </w:pPr>
      <w:r>
        <w:rPr>
          <w:rFonts w:ascii="IBM Plex Sans SemiBold" w:eastAsia="Times New Roman" w:hAnsi="IBM Plex Sans SemiBold"/>
          <w:b/>
          <w:bCs/>
          <w:i/>
          <w:iCs/>
          <w:color w:val="016676"/>
          <w:sz w:val="20"/>
          <w:szCs w:val="20"/>
        </w:rPr>
        <w:t>Strategic transactions, including mergers, acquisitions and divestitures, involve significant risks and uncertainties that could adversely affect our business, financial condition, results of operations, cash flows and equity.</w:t>
      </w:r>
    </w:p>
    <w:p w:rsidR="00000000" w:rsidRDefault="00F5481A">
      <w:pPr>
        <w:ind w:firstLine="360"/>
        <w:jc w:val="center"/>
        <w:divId w:val="1328482242"/>
        <w:rPr>
          <w:rFonts w:eastAsia="Times New Roman"/>
        </w:rPr>
      </w:pPr>
      <w:r>
        <w:rPr>
          <w:rFonts w:ascii="Arial" w:eastAsia="Times New Roman" w:hAnsi="Arial" w:cs="Arial"/>
          <w:b/>
          <w:bCs/>
          <w:color w:val="016676"/>
        </w:rPr>
        <w:t>_________________________</w:t>
      </w:r>
      <w:r>
        <w:rPr>
          <w:rFonts w:ascii="Arial" w:eastAsia="Times New Roman" w:hAnsi="Arial" w:cs="Arial"/>
          <w:b/>
          <w:bCs/>
          <w:color w:val="016676"/>
        </w:rPr>
        <w:t>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22</w:t>
      </w:r>
    </w:p>
    <w:p w:rsidR="00000000" w:rsidRDefault="00F5481A">
      <w:pPr>
        <w:rPr>
          <w:rFonts w:eastAsia="Times New Roman"/>
        </w:rPr>
      </w:pPr>
      <w:r>
        <w:rPr>
          <w:rFonts w:eastAsia="Times New Roman"/>
        </w:rPr>
        <w:pict>
          <v:rect id="_x0000_i1052" style="width:0;height:1.5pt" o:hralign="center" o:hrstd="t" o:hr="t" fillcolor="#a0a0a0" stroked="f"/>
        </w:pict>
      </w:r>
    </w:p>
    <w:p w:rsidR="00000000" w:rsidRDefault="00F5481A">
      <w:pPr>
        <w:ind w:firstLine="360"/>
        <w:divId w:val="1851291767"/>
        <w:rPr>
          <w:rFonts w:eastAsia="Times New Roman"/>
        </w:rPr>
      </w:pPr>
    </w:p>
    <w:p w:rsidR="00000000" w:rsidRDefault="00F5481A">
      <w:pPr>
        <w:ind w:firstLine="360"/>
        <w:divId w:val="869995732"/>
        <w:rPr>
          <w:rFonts w:eastAsia="Times New Roman"/>
        </w:rPr>
      </w:pPr>
      <w:r>
        <w:rPr>
          <w:rFonts w:ascii="IBM Plex Sans" w:eastAsia="Times New Roman" w:hAnsi="IBM Plex Sans"/>
          <w:color w:val="283030"/>
          <w:sz w:val="20"/>
          <w:szCs w:val="20"/>
        </w:rPr>
        <w:t>Strategic mergers, acquisitions and divestitures we have made in the past and may make in the future present significant risks and uncertainties that could adversely affe</w:t>
      </w:r>
      <w:r>
        <w:rPr>
          <w:rFonts w:ascii="IBM Plex Sans" w:eastAsia="Times New Roman" w:hAnsi="IBM Plex Sans"/>
          <w:color w:val="283030"/>
          <w:sz w:val="20"/>
          <w:szCs w:val="20"/>
        </w:rPr>
        <w:t>ct our business, financial condition, results of operations, cash flows and equity, which include:</w:t>
      </w:r>
    </w:p>
    <w:p w:rsidR="00000000" w:rsidRDefault="00F5481A">
      <w:pPr>
        <w:ind w:hanging="360"/>
        <w:divId w:val="145317717"/>
        <w:rPr>
          <w:rFonts w:eastAsia="Times New Roman"/>
        </w:rPr>
      </w:pPr>
      <w:r>
        <w:rPr>
          <w:rFonts w:ascii="IBM Plex Sans" w:eastAsia="Times New Roman" w:hAnsi="IBM Plex Sans"/>
          <w:color w:val="283030"/>
          <w:sz w:val="20"/>
          <w:szCs w:val="20"/>
        </w:rPr>
        <w:t>•Difficulty in identifying and evaluating potential mergers and acquisitions, including the risk that our due diligence does not identify or fully assess val</w:t>
      </w:r>
      <w:r>
        <w:rPr>
          <w:rFonts w:ascii="IBM Plex Sans" w:eastAsia="Times New Roman" w:hAnsi="IBM Plex Sans"/>
          <w:color w:val="283030"/>
          <w:sz w:val="20"/>
          <w:szCs w:val="20"/>
        </w:rPr>
        <w:t>uation issues, potential liabilities or other merger or acquisition risks;</w:t>
      </w:r>
    </w:p>
    <w:p w:rsidR="00000000" w:rsidRDefault="00F5481A">
      <w:pPr>
        <w:ind w:hanging="360"/>
        <w:divId w:val="1957373136"/>
        <w:rPr>
          <w:rFonts w:eastAsia="Times New Roman"/>
        </w:rPr>
      </w:pPr>
      <w:r>
        <w:rPr>
          <w:rFonts w:ascii="IBM Plex Sans" w:eastAsia="Times New Roman" w:hAnsi="IBM Plex Sans"/>
          <w:color w:val="283030"/>
          <w:sz w:val="20"/>
          <w:szCs w:val="20"/>
        </w:rPr>
        <w:t>•Difficulty, delays and expense in integrating newly merged or acquired businesses and operations, including combining product and service offerings, and in entering into new market</w:t>
      </w:r>
      <w:r>
        <w:rPr>
          <w:rFonts w:ascii="IBM Plex Sans" w:eastAsia="Times New Roman" w:hAnsi="IBM Plex Sans"/>
          <w:color w:val="283030"/>
          <w:sz w:val="20"/>
          <w:szCs w:val="20"/>
        </w:rPr>
        <w:t>s in which we are not experienced, in an efficient and cost-effective manner while maintaining adequate standards, controls and procedures, and the risk that we encounter significant unanticipated costs or other problems associated with integration;</w:t>
      </w:r>
    </w:p>
    <w:p w:rsidR="00000000" w:rsidRDefault="00F5481A">
      <w:pPr>
        <w:ind w:hanging="360"/>
        <w:divId w:val="1212306157"/>
        <w:rPr>
          <w:rFonts w:eastAsia="Times New Roman"/>
        </w:rPr>
      </w:pPr>
      <w:r>
        <w:rPr>
          <w:rFonts w:ascii="IBM Plex Sans" w:eastAsia="Times New Roman" w:hAnsi="IBM Plex Sans"/>
          <w:color w:val="283030"/>
          <w:sz w:val="20"/>
          <w:szCs w:val="20"/>
        </w:rPr>
        <w:t>•Diffe</w:t>
      </w:r>
      <w:r>
        <w:rPr>
          <w:rFonts w:ascii="IBM Plex Sans" w:eastAsia="Times New Roman" w:hAnsi="IBM Plex Sans"/>
          <w:color w:val="283030"/>
          <w:sz w:val="20"/>
          <w:szCs w:val="20"/>
        </w:rPr>
        <w:t>rences in business backgrounds, corporate cultures and management philosophies that may delay successful integration;</w:t>
      </w:r>
    </w:p>
    <w:p w:rsidR="00000000" w:rsidRDefault="00F5481A">
      <w:pPr>
        <w:ind w:hanging="360"/>
        <w:divId w:val="1982728831"/>
        <w:rPr>
          <w:rFonts w:eastAsia="Times New Roman"/>
        </w:rPr>
      </w:pPr>
      <w:r>
        <w:rPr>
          <w:rFonts w:ascii="IBM Plex Sans" w:eastAsia="Times New Roman" w:hAnsi="IBM Plex Sans"/>
          <w:color w:val="283030"/>
          <w:sz w:val="20"/>
          <w:szCs w:val="20"/>
        </w:rPr>
        <w:t>•Difficulty, delays and expense in consolidating and rationalizing IT infrastructure, which may include multiple legacy systems from vario</w:t>
      </w:r>
      <w:r>
        <w:rPr>
          <w:rFonts w:ascii="IBM Plex Sans" w:eastAsia="Times New Roman" w:hAnsi="IBM Plex Sans"/>
          <w:color w:val="283030"/>
          <w:sz w:val="20"/>
          <w:szCs w:val="20"/>
        </w:rPr>
        <w:t>us mergers and acquisitions and integrating software code;</w:t>
      </w:r>
    </w:p>
    <w:p w:rsidR="00000000" w:rsidRDefault="00F5481A">
      <w:pPr>
        <w:ind w:hanging="360"/>
        <w:divId w:val="954749414"/>
        <w:rPr>
          <w:rFonts w:eastAsia="Times New Roman"/>
        </w:rPr>
      </w:pPr>
      <w:r>
        <w:rPr>
          <w:rFonts w:ascii="IBM Plex Sans" w:eastAsia="Times New Roman" w:hAnsi="IBM Plex Sans"/>
          <w:color w:val="283030"/>
          <w:sz w:val="20"/>
          <w:szCs w:val="20"/>
        </w:rPr>
        <w:t>•Challenges in achieving strategic objectives, cost savings and other expected benefits;</w:t>
      </w:r>
    </w:p>
    <w:p w:rsidR="00000000" w:rsidRDefault="00F5481A">
      <w:pPr>
        <w:ind w:hanging="360"/>
        <w:divId w:val="280960145"/>
        <w:rPr>
          <w:rFonts w:eastAsia="Times New Roman"/>
        </w:rPr>
      </w:pPr>
      <w:r>
        <w:rPr>
          <w:rFonts w:ascii="IBM Plex Sans" w:eastAsia="Times New Roman" w:hAnsi="IBM Plex Sans"/>
          <w:color w:val="283030"/>
          <w:sz w:val="20"/>
          <w:szCs w:val="20"/>
        </w:rPr>
        <w:t>•Risk that our markets do not evolve as anticipated and that the strategic mergers, acquisitions and divesti</w:t>
      </w:r>
      <w:r>
        <w:rPr>
          <w:rFonts w:ascii="IBM Plex Sans" w:eastAsia="Times New Roman" w:hAnsi="IBM Plex Sans"/>
          <w:color w:val="283030"/>
          <w:sz w:val="20"/>
          <w:szCs w:val="20"/>
        </w:rPr>
        <w:t>tures do not prove to be those needed to be successful in those markets;</w:t>
      </w:r>
    </w:p>
    <w:p w:rsidR="00000000" w:rsidRDefault="00F5481A">
      <w:pPr>
        <w:ind w:hanging="360"/>
        <w:divId w:val="1777287026"/>
        <w:rPr>
          <w:rFonts w:eastAsia="Times New Roman"/>
        </w:rPr>
      </w:pPr>
      <w:r>
        <w:rPr>
          <w:rFonts w:ascii="IBM Plex Sans" w:eastAsia="Times New Roman" w:hAnsi="IBM Plex Sans"/>
          <w:color w:val="283030"/>
          <w:sz w:val="20"/>
          <w:szCs w:val="20"/>
        </w:rPr>
        <w:t>•Risk that we assume or retain, or that companies we have merged with or acquired have assumed or retained or otherwise become subject to, significant liabilities that exceed the limi</w:t>
      </w:r>
      <w:r>
        <w:rPr>
          <w:rFonts w:ascii="IBM Plex Sans" w:eastAsia="Times New Roman" w:hAnsi="IBM Plex Sans"/>
          <w:color w:val="283030"/>
          <w:sz w:val="20"/>
          <w:szCs w:val="20"/>
        </w:rPr>
        <w:t>tations of any applicable indemnification provisions or the financial resources of any indemnifying parties;</w:t>
      </w:r>
    </w:p>
    <w:p w:rsidR="00000000" w:rsidRDefault="00F5481A">
      <w:pPr>
        <w:ind w:hanging="360"/>
        <w:divId w:val="40253582"/>
        <w:rPr>
          <w:rFonts w:eastAsia="Times New Roman"/>
        </w:rPr>
      </w:pPr>
      <w:r>
        <w:rPr>
          <w:rFonts w:ascii="IBM Plex Sans" w:eastAsia="Times New Roman" w:hAnsi="IBM Plex Sans"/>
          <w:color w:val="283030"/>
          <w:sz w:val="20"/>
          <w:szCs w:val="20"/>
        </w:rPr>
        <w:t>•Risk that indemnification related to businesses divested or spun off that we may be required to provide or otherwise bear may be significant and c</w:t>
      </w:r>
      <w:r>
        <w:rPr>
          <w:rFonts w:ascii="IBM Plex Sans" w:eastAsia="Times New Roman" w:hAnsi="IBM Plex Sans"/>
          <w:color w:val="283030"/>
          <w:sz w:val="20"/>
          <w:szCs w:val="20"/>
        </w:rPr>
        <w:t>ould negatively impact our business;</w:t>
      </w:r>
    </w:p>
    <w:p w:rsidR="00000000" w:rsidRDefault="00F5481A">
      <w:pPr>
        <w:ind w:hanging="360"/>
        <w:divId w:val="1013610327"/>
        <w:rPr>
          <w:rFonts w:eastAsia="Times New Roman"/>
        </w:rPr>
      </w:pPr>
      <w:r>
        <w:rPr>
          <w:rFonts w:ascii="IBM Plex Sans" w:eastAsia="Times New Roman" w:hAnsi="IBM Plex Sans"/>
          <w:color w:val="283030"/>
          <w:sz w:val="20"/>
          <w:szCs w:val="20"/>
        </w:rPr>
        <w:t>•Risk that mergers, acquisitions, divestitures, spin offs and other strategic transactions fail to qualify for the intended tax treatment for U.S. Federal income tax purposes and the possibility that the full tax benefi</w:t>
      </w:r>
      <w:r>
        <w:rPr>
          <w:rFonts w:ascii="IBM Plex Sans" w:eastAsia="Times New Roman" w:hAnsi="IBM Plex Sans"/>
          <w:color w:val="283030"/>
          <w:sz w:val="20"/>
          <w:szCs w:val="20"/>
        </w:rPr>
        <w:t>ts anticipated to result from such transactions may not be realized;</w:t>
      </w:r>
    </w:p>
    <w:p w:rsidR="00000000" w:rsidRDefault="00F5481A">
      <w:pPr>
        <w:ind w:hanging="360"/>
        <w:divId w:val="2129349108"/>
        <w:rPr>
          <w:rFonts w:eastAsia="Times New Roman"/>
        </w:rPr>
      </w:pPr>
      <w:r>
        <w:rPr>
          <w:rFonts w:ascii="IBM Plex Sans" w:eastAsia="Times New Roman" w:hAnsi="IBM Plex Sans"/>
          <w:color w:val="283030"/>
          <w:sz w:val="20"/>
          <w:szCs w:val="20"/>
        </w:rPr>
        <w:t xml:space="preserve">•Risk that we are not able to complete strategic divestitures on satisfactory terms and conditions, including non-competition arrangements applicable to certain of our business lines, or </w:t>
      </w:r>
      <w:r>
        <w:rPr>
          <w:rFonts w:ascii="IBM Plex Sans" w:eastAsia="Times New Roman" w:hAnsi="IBM Plex Sans"/>
          <w:color w:val="283030"/>
          <w:sz w:val="20"/>
          <w:szCs w:val="20"/>
        </w:rPr>
        <w:t>within expected timeframes; </w:t>
      </w:r>
    </w:p>
    <w:p w:rsidR="00000000" w:rsidRDefault="00F5481A">
      <w:pPr>
        <w:ind w:hanging="360"/>
        <w:divId w:val="571626423"/>
        <w:rPr>
          <w:rFonts w:eastAsia="Times New Roman"/>
        </w:rPr>
      </w:pPr>
      <w:r>
        <w:rPr>
          <w:rFonts w:ascii="IBM Plex Sans" w:eastAsia="Times New Roman" w:hAnsi="IBM Plex Sans"/>
          <w:color w:val="283030"/>
          <w:sz w:val="20"/>
          <w:szCs w:val="20"/>
        </w:rPr>
        <w:t>•Potential loss of key employees or customers of the businesses merged with or acquired or to be divested; and</w:t>
      </w:r>
    </w:p>
    <w:p w:rsidR="00000000" w:rsidRDefault="00F5481A">
      <w:pPr>
        <w:ind w:hanging="360"/>
        <w:divId w:val="798694402"/>
        <w:rPr>
          <w:rFonts w:eastAsia="Times New Roman"/>
        </w:rPr>
      </w:pPr>
      <w:r>
        <w:rPr>
          <w:rFonts w:ascii="IBM Plex Sans" w:eastAsia="Times New Roman" w:hAnsi="IBM Plex Sans"/>
          <w:color w:val="283030"/>
          <w:sz w:val="20"/>
          <w:szCs w:val="20"/>
        </w:rPr>
        <w:t>•</w:t>
      </w:r>
      <w:r>
        <w:rPr>
          <w:rFonts w:ascii="IBM Plex Sans" w:eastAsia="Times New Roman" w:hAnsi="IBM Plex Sans"/>
          <w:color w:val="283030"/>
          <w:sz w:val="20"/>
          <w:szCs w:val="20"/>
        </w:rPr>
        <w:t>Risk of diverting the attention of senior management from our existing operations.</w:t>
      </w:r>
    </w:p>
    <w:p w:rsidR="00000000" w:rsidRDefault="00F5481A">
      <w:pPr>
        <w:divId w:val="2086956392"/>
        <w:rPr>
          <w:rFonts w:eastAsia="Times New Roman"/>
        </w:rPr>
      </w:pPr>
      <w:r>
        <w:rPr>
          <w:rFonts w:ascii="IBM Plex Sans SemiBold" w:eastAsia="Times New Roman" w:hAnsi="IBM Plex Sans SemiBold"/>
          <w:b/>
          <w:bCs/>
          <w:i/>
          <w:iCs/>
          <w:color w:val="016676"/>
          <w:sz w:val="20"/>
          <w:szCs w:val="20"/>
        </w:rPr>
        <w:t>Changes in future business or other market conditions could cause business investments and/or recorded goodwill or other long-term assets to become impaired, resulting in su</w:t>
      </w:r>
      <w:r>
        <w:rPr>
          <w:rFonts w:ascii="IBM Plex Sans SemiBold" w:eastAsia="Times New Roman" w:hAnsi="IBM Plex Sans SemiBold"/>
          <w:b/>
          <w:bCs/>
          <w:i/>
          <w:iCs/>
          <w:color w:val="016676"/>
          <w:sz w:val="20"/>
          <w:szCs w:val="20"/>
        </w:rPr>
        <w:t>bstantial losses and write-downs that would materially adversely affect our results of operations and financial condition.</w:t>
      </w:r>
      <w:r>
        <w:rPr>
          <w:rFonts w:ascii="IBM Plex Sans" w:eastAsia="Times New Roman" w:hAnsi="IBM Plex Sans"/>
          <w:b/>
          <w:bCs/>
          <w:i/>
          <w:iCs/>
          <w:color w:val="283030"/>
          <w:sz w:val="20"/>
          <w:szCs w:val="20"/>
        </w:rPr>
        <w:t xml:space="preserve"> </w:t>
      </w:r>
    </w:p>
    <w:p w:rsidR="00000000" w:rsidRDefault="00F5481A">
      <w:pPr>
        <w:ind w:firstLine="360"/>
        <w:divId w:val="1442216507"/>
        <w:rPr>
          <w:rFonts w:eastAsia="Times New Roman"/>
        </w:rPr>
      </w:pPr>
      <w:r>
        <w:rPr>
          <w:rFonts w:ascii="IBM Plex Sans" w:eastAsia="Times New Roman" w:hAnsi="IBM Plex Sans"/>
          <w:color w:val="283030"/>
          <w:sz w:val="20"/>
          <w:szCs w:val="20"/>
        </w:rPr>
        <w:t>From time to time, we acquire a minority or majority interest in a business, following careful analysis and due diligence procedures</w:t>
      </w:r>
      <w:r>
        <w:rPr>
          <w:rFonts w:ascii="IBM Plex Sans" w:eastAsia="Times New Roman" w:hAnsi="IBM Plex Sans"/>
          <w:color w:val="283030"/>
          <w:sz w:val="20"/>
          <w:szCs w:val="20"/>
        </w:rPr>
        <w:t xml:space="preserve"> designed to achieve a desired return or strategic objective. These procedures often involve certain assumptions and judgment in determining acquisition price. After acquisition, such assumptions and judgment may prove to have been inaccurate and unforesee</w:t>
      </w:r>
      <w:r>
        <w:rPr>
          <w:rFonts w:ascii="IBM Plex Sans" w:eastAsia="Times New Roman" w:hAnsi="IBM Plex Sans"/>
          <w:color w:val="283030"/>
          <w:sz w:val="20"/>
          <w:szCs w:val="20"/>
        </w:rPr>
        <w:t>n issues could arise, which could adversely affect the anticipated returns or which are otherwise not recoverable as an adjustment to the purchase price. Even after careful integration efforts, actual operating results may vary significantly from initial e</w:t>
      </w:r>
      <w:r>
        <w:rPr>
          <w:rFonts w:ascii="IBM Plex Sans" w:eastAsia="Times New Roman" w:hAnsi="IBM Plex Sans"/>
          <w:color w:val="283030"/>
          <w:sz w:val="20"/>
          <w:szCs w:val="20"/>
        </w:rPr>
        <w:t>stimates. As of December 30, 2022, we had goodwill of $17.3 billion recorded in our Consolidated Balance Sheet, the large majority of which was recorded in connection with the 2019 all-stock merger (the “L3Harris Merger”) between Harris Corporation (“Harri</w:t>
      </w:r>
      <w:r>
        <w:rPr>
          <w:rFonts w:ascii="IBM Plex Sans" w:eastAsia="Times New Roman" w:hAnsi="IBM Plex Sans"/>
          <w:color w:val="283030"/>
          <w:sz w:val="20"/>
          <w:szCs w:val="20"/>
        </w:rPr>
        <w:t>s”) and L3 Technologies, Inc. (“L3”). We evaluate the recoverability of recorded goodwill annually, as well as when we change reporting units and when events or circumstances indicate there may be an impairment. We test goodwill for impairment at an organi</w:t>
      </w:r>
      <w:r>
        <w:rPr>
          <w:rFonts w:ascii="IBM Plex Sans" w:eastAsia="Times New Roman" w:hAnsi="IBM Plex Sans"/>
          <w:color w:val="283030"/>
          <w:sz w:val="20"/>
          <w:szCs w:val="20"/>
        </w:rPr>
        <w:t>zational level referred to as the reporting unit, which is our business segment level or one level below the business segment. The impairment test is based on several factors requiring judgment. Principally, a decrease in expected reporting unit cash flows</w:t>
      </w:r>
      <w:r>
        <w:rPr>
          <w:rFonts w:ascii="IBM Plex Sans" w:eastAsia="Times New Roman" w:hAnsi="IBM Plex Sans"/>
          <w:color w:val="283030"/>
          <w:sz w:val="20"/>
          <w:szCs w:val="20"/>
        </w:rPr>
        <w:t xml:space="preserve"> or changes in market conditions may indicate potential impairment of recorded goodwill. In addition, our reporting units are generally one level below the segment level and two of our segments are comprised of several reporting units. Allocation of goodwi</w:t>
      </w:r>
      <w:r>
        <w:rPr>
          <w:rFonts w:ascii="IBM Plex Sans" w:eastAsia="Times New Roman" w:hAnsi="IBM Plex Sans"/>
          <w:color w:val="283030"/>
          <w:sz w:val="20"/>
          <w:szCs w:val="20"/>
        </w:rPr>
        <w:t>ll to several reporting units could make it more likely that we will have additional impairment charges in the future. Because of the significance of our goodwill and other intangible assets, any future impairment of these assets could have a material adve</w:t>
      </w:r>
      <w:r>
        <w:rPr>
          <w:rFonts w:ascii="IBM Plex Sans" w:eastAsia="Times New Roman" w:hAnsi="IBM Plex Sans"/>
          <w:color w:val="283030"/>
          <w:sz w:val="20"/>
          <w:szCs w:val="20"/>
        </w:rPr>
        <w:t>rse effect on our results of operations and financial condition. For additional information on our accounting policies related to impairment of goodwill, see our discussion under “Critical Accounting Estimates” in “Item 7. Management’s Discussion and Analy</w:t>
      </w:r>
      <w:r>
        <w:rPr>
          <w:rFonts w:ascii="IBM Plex Sans" w:eastAsia="Times New Roman" w:hAnsi="IBM Plex Sans"/>
          <w:color w:val="283030"/>
          <w:sz w:val="20"/>
          <w:szCs w:val="20"/>
        </w:rPr>
        <w:t xml:space="preserve">sis of Financial Condition and Results of Operations” of this Report and </w:t>
      </w:r>
      <w:r>
        <w:rPr>
          <w:rFonts w:ascii="IBM Plex Sans" w:eastAsia="Times New Roman" w:hAnsi="IBM Plex Sans"/>
          <w:i/>
          <w:iCs/>
          <w:color w:val="283030"/>
          <w:sz w:val="20"/>
          <w:szCs w:val="20"/>
        </w:rPr>
        <w:t>Note 1: Significant Accounting Policies</w:t>
      </w:r>
      <w:r>
        <w:rPr>
          <w:rFonts w:ascii="IBM Plex Sans" w:eastAsia="Times New Roman" w:hAnsi="IBM Plex Sans"/>
          <w:color w:val="283030"/>
          <w:sz w:val="20"/>
          <w:szCs w:val="20"/>
        </w:rPr>
        <w:t xml:space="preserve"> and </w:t>
      </w:r>
      <w:r>
        <w:rPr>
          <w:rFonts w:ascii="IBM Plex Sans" w:eastAsia="Times New Roman" w:hAnsi="IBM Plex Sans"/>
          <w:i/>
          <w:iCs/>
          <w:color w:val="283030"/>
          <w:sz w:val="20"/>
          <w:szCs w:val="20"/>
        </w:rPr>
        <w:t>Note 9: Goodwill</w:t>
      </w:r>
      <w:r>
        <w:rPr>
          <w:rFonts w:ascii="IBM Plex Sans" w:eastAsia="Times New Roman" w:hAnsi="IBM Plex Sans"/>
          <w:color w:val="283030"/>
          <w:sz w:val="20"/>
          <w:szCs w:val="20"/>
        </w:rPr>
        <w:t xml:space="preserve"> in the Notes. </w:t>
      </w:r>
    </w:p>
    <w:p w:rsidR="00000000" w:rsidRDefault="00F5481A">
      <w:pPr>
        <w:ind w:firstLine="360"/>
        <w:jc w:val="center"/>
        <w:divId w:val="1741902153"/>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23</w:t>
      </w:r>
    </w:p>
    <w:p w:rsidR="00000000" w:rsidRDefault="00F5481A">
      <w:pPr>
        <w:rPr>
          <w:rFonts w:eastAsia="Times New Roman"/>
        </w:rPr>
      </w:pPr>
      <w:r>
        <w:rPr>
          <w:rFonts w:eastAsia="Times New Roman"/>
        </w:rPr>
        <w:pict>
          <v:rect id="_x0000_i1053" style="width:0;height:1.5pt" o:hralign="center" o:hrstd="t" o:hr="t" fillcolor="#a0a0a0" stroked="f"/>
        </w:pict>
      </w:r>
    </w:p>
    <w:p w:rsidR="00000000" w:rsidRDefault="00F5481A">
      <w:pPr>
        <w:ind w:firstLine="360"/>
        <w:divId w:val="1286504041"/>
        <w:rPr>
          <w:rFonts w:eastAsia="Times New Roman"/>
        </w:rPr>
      </w:pPr>
    </w:p>
    <w:tbl>
      <w:tblPr>
        <w:tblW w:w="2500" w:type="pct"/>
        <w:tblCellMar>
          <w:top w:w="15" w:type="dxa"/>
          <w:left w:w="15" w:type="dxa"/>
          <w:bottom w:w="15" w:type="dxa"/>
          <w:right w:w="15" w:type="dxa"/>
        </w:tblCellMar>
        <w:tblLook w:val="04A0" w:firstRow="1" w:lastRow="0" w:firstColumn="1" w:lastColumn="0" w:noHBand="0" w:noVBand="1"/>
      </w:tblPr>
      <w:tblGrid>
        <w:gridCol w:w="41"/>
        <w:gridCol w:w="896"/>
        <w:gridCol w:w="36"/>
        <w:gridCol w:w="37"/>
        <w:gridCol w:w="3107"/>
        <w:gridCol w:w="36"/>
      </w:tblGrid>
      <w:tr w:rsidR="00000000">
        <w:trPr>
          <w:divId w:val="814100255"/>
        </w:trPr>
        <w:tc>
          <w:tcPr>
            <w:tcW w:w="50" w:type="pct"/>
            <w:vAlign w:val="center"/>
            <w:hideMark/>
          </w:tcPr>
          <w:p w:rsidR="00000000" w:rsidRDefault="00F5481A">
            <w:pPr>
              <w:ind w:firstLine="360"/>
              <w:rPr>
                <w:rFonts w:eastAsia="Times New Roman"/>
              </w:rPr>
            </w:pPr>
          </w:p>
        </w:tc>
        <w:tc>
          <w:tcPr>
            <w:tcW w:w="110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3781"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814100255"/>
        </w:trPr>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016676"/>
                <w:sz w:val="20"/>
                <w:szCs w:val="20"/>
              </w:rPr>
              <w:t> ITEM 1B.</w:t>
            </w:r>
          </w:p>
        </w:tc>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283030"/>
                <w:sz w:val="20"/>
                <w:szCs w:val="20"/>
              </w:rPr>
              <w:t>UNRESOLVED STAFF COMMENTS.</w:t>
            </w:r>
          </w:p>
        </w:tc>
      </w:tr>
    </w:tbl>
    <w:p w:rsidR="00000000" w:rsidRDefault="00F5481A">
      <w:pPr>
        <w:ind w:firstLine="360"/>
        <w:divId w:val="1077482198"/>
        <w:rPr>
          <w:rFonts w:eastAsia="Times New Roman"/>
        </w:rPr>
      </w:pPr>
      <w:r>
        <w:rPr>
          <w:rFonts w:ascii="IBM Plex Sans" w:eastAsia="Times New Roman" w:hAnsi="IBM Plex Sans"/>
          <w:color w:val="283030"/>
          <w:sz w:val="20"/>
          <w:szCs w:val="20"/>
        </w:rPr>
        <w:t>Not applicable.</w:t>
      </w:r>
      <w:r>
        <w:rPr>
          <w:rFonts w:ascii="IBM Plex Sans" w:eastAsia="Times New Roman" w:hAnsi="IBM Plex Sans"/>
          <w:color w:val="283030"/>
          <w:sz w:val="18"/>
          <w:szCs w:val="18"/>
        </w:rPr>
        <w:t> </w:t>
      </w:r>
    </w:p>
    <w:tbl>
      <w:tblPr>
        <w:tblW w:w="1537" w:type="pct"/>
        <w:tblCellMar>
          <w:top w:w="15" w:type="dxa"/>
          <w:left w:w="15" w:type="dxa"/>
          <w:bottom w:w="15" w:type="dxa"/>
          <w:right w:w="15" w:type="dxa"/>
        </w:tblCellMar>
        <w:tblLook w:val="04A0" w:firstRow="1" w:lastRow="0" w:firstColumn="1" w:lastColumn="0" w:noHBand="0" w:noVBand="1"/>
      </w:tblPr>
      <w:tblGrid>
        <w:gridCol w:w="37"/>
        <w:gridCol w:w="893"/>
        <w:gridCol w:w="36"/>
        <w:gridCol w:w="37"/>
        <w:gridCol w:w="1514"/>
        <w:gridCol w:w="36"/>
      </w:tblGrid>
      <w:tr w:rsidR="00000000">
        <w:trPr>
          <w:divId w:val="688020879"/>
        </w:trPr>
        <w:tc>
          <w:tcPr>
            <w:tcW w:w="50" w:type="pct"/>
            <w:vAlign w:val="center"/>
            <w:hideMark/>
          </w:tcPr>
          <w:p w:rsidR="00000000" w:rsidRDefault="00F5481A">
            <w:pPr>
              <w:ind w:firstLine="360"/>
              <w:rPr>
                <w:rFonts w:eastAsia="Times New Roman"/>
              </w:rPr>
            </w:pPr>
          </w:p>
        </w:tc>
        <w:tc>
          <w:tcPr>
            <w:tcW w:w="1837"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3052"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688020879"/>
        </w:trPr>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016676"/>
                <w:sz w:val="20"/>
                <w:szCs w:val="20"/>
              </w:rPr>
              <w:t> ITEM 2.</w:t>
            </w:r>
          </w:p>
        </w:tc>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283030"/>
                <w:sz w:val="20"/>
                <w:szCs w:val="20"/>
              </w:rPr>
              <w:t>PROPERTIES.</w:t>
            </w:r>
          </w:p>
        </w:tc>
      </w:tr>
    </w:tbl>
    <w:p w:rsidR="00000000" w:rsidRDefault="00F5481A">
      <w:pPr>
        <w:ind w:firstLine="360"/>
        <w:divId w:val="1401370698"/>
        <w:rPr>
          <w:rFonts w:eastAsia="Times New Roman"/>
        </w:rPr>
      </w:pPr>
      <w:r>
        <w:rPr>
          <w:rFonts w:ascii="IBM Plex Sans" w:eastAsia="Times New Roman" w:hAnsi="IBM Plex Sans"/>
          <w:color w:val="283030"/>
          <w:sz w:val="20"/>
          <w:szCs w:val="20"/>
        </w:rPr>
        <w:t>Our principal executive offices are located at owned facilities in Melbourne, Florida. As of December 30, 2022, we operated approximately 300 locations in the U.S., Canada, Europe, Oceania, Asia, the Middle East and South America, consisting of approximate</w:t>
      </w:r>
      <w:r>
        <w:rPr>
          <w:rFonts w:ascii="IBM Plex Sans" w:eastAsia="Times New Roman" w:hAnsi="IBM Plex Sans"/>
          <w:color w:val="283030"/>
          <w:sz w:val="20"/>
          <w:szCs w:val="20"/>
        </w:rPr>
        <w:t xml:space="preserve">ly 22 million square feet of manufacturing, administrative, R&amp;D, warehousing, engineering and office space, of which we owned approximately 9 million square feet and leased approximately 13 million square feet. There are no material encumbrances on any of </w:t>
      </w:r>
      <w:r>
        <w:rPr>
          <w:rFonts w:ascii="IBM Plex Sans" w:eastAsia="Times New Roman" w:hAnsi="IBM Plex Sans"/>
          <w:color w:val="283030"/>
          <w:sz w:val="20"/>
          <w:szCs w:val="20"/>
        </w:rPr>
        <w:t>our owned facilities. As of December 30, 2022, we had major operations at the following locations:</w:t>
      </w:r>
    </w:p>
    <w:p w:rsidR="00000000" w:rsidRDefault="00F5481A">
      <w:pPr>
        <w:ind w:firstLine="360"/>
        <w:divId w:val="221673824"/>
        <w:rPr>
          <w:rFonts w:eastAsia="Times New Roman"/>
        </w:rPr>
      </w:pPr>
      <w:r>
        <w:rPr>
          <w:rFonts w:ascii="IBM Plex Sans" w:eastAsia="Times New Roman" w:hAnsi="IBM Plex Sans"/>
          <w:b/>
          <w:bCs/>
          <w:color w:val="016676"/>
          <w:sz w:val="20"/>
          <w:szCs w:val="20"/>
        </w:rPr>
        <w:t>Integrated Mission Systems</w:t>
      </w:r>
      <w:r>
        <w:rPr>
          <w:rFonts w:ascii="IBM Plex Sans" w:eastAsia="Times New Roman" w:hAnsi="IBM Plex Sans"/>
          <w:color w:val="283030"/>
          <w:sz w:val="20"/>
          <w:szCs w:val="20"/>
        </w:rPr>
        <w:t> — Greenville, Waco, Rockwall and Plano, Texas; Camden, New Jersey; Mirabel and Waterdown, Canada; Anaheim, California; Mason and C</w:t>
      </w:r>
      <w:r>
        <w:rPr>
          <w:rFonts w:ascii="IBM Plex Sans" w:eastAsia="Times New Roman" w:hAnsi="IBM Plex Sans"/>
          <w:color w:val="283030"/>
          <w:sz w:val="20"/>
          <w:szCs w:val="20"/>
        </w:rPr>
        <w:t>incinnati, Ohio; Tulsa, Oklahoma; Salt Lake City, Utah; Philadelphia, Pennsylvania; Crawley, United Kingdom; and Grand Rapids, Michigan.</w:t>
      </w:r>
    </w:p>
    <w:p w:rsidR="00000000" w:rsidRDefault="00F5481A">
      <w:pPr>
        <w:ind w:firstLine="360"/>
        <w:divId w:val="189995135"/>
        <w:rPr>
          <w:rFonts w:eastAsia="Times New Roman"/>
        </w:rPr>
      </w:pPr>
      <w:r>
        <w:rPr>
          <w:rFonts w:ascii="IBM Plex Sans" w:eastAsia="Times New Roman" w:hAnsi="IBM Plex Sans"/>
          <w:b/>
          <w:bCs/>
          <w:color w:val="016676"/>
          <w:sz w:val="20"/>
          <w:szCs w:val="20"/>
        </w:rPr>
        <w:t>Space &amp; Airborne Systems</w:t>
      </w:r>
      <w:r>
        <w:rPr>
          <w:rFonts w:ascii="IBM Plex Sans" w:eastAsia="Times New Roman" w:hAnsi="IBM Plex Sans"/>
          <w:color w:val="283030"/>
          <w:sz w:val="20"/>
          <w:szCs w:val="20"/>
        </w:rPr>
        <w:t> — Palm Bay, Melbourne and Malabar, Florida; Clifton, New Jersey; Rochester and Amityville, New</w:t>
      </w:r>
      <w:r>
        <w:rPr>
          <w:rFonts w:ascii="IBM Plex Sans" w:eastAsia="Times New Roman" w:hAnsi="IBM Plex Sans"/>
          <w:color w:val="283030"/>
          <w:sz w:val="20"/>
          <w:szCs w:val="20"/>
        </w:rPr>
        <w:t xml:space="preserve"> York; Van Nuys, San Diego, San Leandro and Menlo Park, California; Colorado Springs, Colorado; Herndon, Virginia; Fort Wayne, Indiana; Wilmington, Massachusetts; and Alpharetta, Georgia. </w:t>
      </w:r>
    </w:p>
    <w:p w:rsidR="00000000" w:rsidRDefault="00F5481A">
      <w:pPr>
        <w:ind w:firstLine="360"/>
        <w:divId w:val="1467626151"/>
        <w:rPr>
          <w:rFonts w:eastAsia="Times New Roman"/>
        </w:rPr>
      </w:pPr>
      <w:r>
        <w:rPr>
          <w:rFonts w:ascii="IBM Plex Sans" w:eastAsia="Times New Roman" w:hAnsi="IBM Plex Sans"/>
          <w:b/>
          <w:bCs/>
          <w:color w:val="016676"/>
          <w:sz w:val="20"/>
          <w:szCs w:val="20"/>
        </w:rPr>
        <w:t>Communication Systems</w:t>
      </w:r>
      <w:r>
        <w:rPr>
          <w:rFonts w:ascii="IBM Plex Sans" w:eastAsia="Times New Roman" w:hAnsi="IBM Plex Sans"/>
          <w:color w:val="283030"/>
          <w:sz w:val="20"/>
          <w:szCs w:val="20"/>
        </w:rPr>
        <w:t xml:space="preserve"> — Salt Lake City, Utah; Rochester, New York; </w:t>
      </w:r>
      <w:r>
        <w:rPr>
          <w:rFonts w:ascii="IBM Plex Sans" w:eastAsia="Times New Roman" w:hAnsi="IBM Plex Sans"/>
          <w:color w:val="283030"/>
          <w:sz w:val="20"/>
          <w:szCs w:val="20"/>
        </w:rPr>
        <w:t>Londonderry, New Hampshire; Lynchburg, Virginia; Tempe, Arizona; Farnborough, United Kingdom; Brisbane, Australia; Sunrise, Florida; and Abu Dhabi, United Arab Emirates.</w:t>
      </w:r>
    </w:p>
    <w:p w:rsidR="00000000" w:rsidRDefault="00F5481A">
      <w:pPr>
        <w:ind w:firstLine="360"/>
        <w:divId w:val="1000817934"/>
        <w:rPr>
          <w:rFonts w:eastAsia="Times New Roman"/>
        </w:rPr>
      </w:pPr>
      <w:r>
        <w:rPr>
          <w:rFonts w:ascii="IBM Plex Sans" w:eastAsia="Times New Roman" w:hAnsi="IBM Plex Sans"/>
          <w:b/>
          <w:bCs/>
          <w:color w:val="016676"/>
          <w:sz w:val="20"/>
          <w:szCs w:val="20"/>
        </w:rPr>
        <w:t>Corporate</w:t>
      </w:r>
      <w:r>
        <w:rPr>
          <w:rFonts w:ascii="IBM Plex Sans" w:eastAsia="Times New Roman" w:hAnsi="IBM Plex Sans"/>
          <w:color w:val="283030"/>
          <w:sz w:val="20"/>
          <w:szCs w:val="20"/>
        </w:rPr>
        <w:t xml:space="preserve"> — Melbourne, Florida; and Washington, D.C. </w:t>
      </w:r>
    </w:p>
    <w:p w:rsidR="00000000" w:rsidRDefault="00F5481A">
      <w:pPr>
        <w:ind w:firstLine="360"/>
        <w:divId w:val="935941336"/>
        <w:rPr>
          <w:rFonts w:eastAsia="Times New Roman"/>
        </w:rPr>
      </w:pPr>
      <w:r>
        <w:rPr>
          <w:rFonts w:ascii="IBM Plex Sans" w:eastAsia="Times New Roman" w:hAnsi="IBM Plex Sans"/>
          <w:color w:val="283030"/>
          <w:sz w:val="20"/>
          <w:szCs w:val="20"/>
        </w:rPr>
        <w:t>The following is a summary of th</w:t>
      </w:r>
      <w:r>
        <w:rPr>
          <w:rFonts w:ascii="IBM Plex Sans" w:eastAsia="Times New Roman" w:hAnsi="IBM Plex Sans"/>
          <w:color w:val="283030"/>
          <w:sz w:val="20"/>
          <w:szCs w:val="20"/>
        </w:rPr>
        <w:t>e approximate floor space of our offices and facilities in productive use, by segment, at December 30, 2022:</w:t>
      </w:r>
    </w:p>
    <w:tbl>
      <w:tblPr>
        <w:tblW w:w="5000" w:type="pct"/>
        <w:tblCellMar>
          <w:top w:w="15" w:type="dxa"/>
          <w:left w:w="15" w:type="dxa"/>
          <w:bottom w:w="15" w:type="dxa"/>
          <w:right w:w="15" w:type="dxa"/>
        </w:tblCellMar>
        <w:tblLook w:val="04A0" w:firstRow="1" w:lastRow="0" w:firstColumn="1" w:lastColumn="0" w:noHBand="0" w:noVBand="1"/>
      </w:tblPr>
      <w:tblGrid>
        <w:gridCol w:w="53"/>
        <w:gridCol w:w="4261"/>
        <w:gridCol w:w="37"/>
        <w:gridCol w:w="67"/>
        <w:gridCol w:w="1142"/>
        <w:gridCol w:w="36"/>
        <w:gridCol w:w="36"/>
        <w:gridCol w:w="36"/>
        <w:gridCol w:w="36"/>
        <w:gridCol w:w="67"/>
        <w:gridCol w:w="1144"/>
        <w:gridCol w:w="36"/>
        <w:gridCol w:w="36"/>
        <w:gridCol w:w="36"/>
        <w:gridCol w:w="36"/>
        <w:gridCol w:w="67"/>
        <w:gridCol w:w="1144"/>
        <w:gridCol w:w="36"/>
      </w:tblGrid>
      <w:tr w:rsidR="00000000">
        <w:trPr>
          <w:divId w:val="663435990"/>
        </w:trPr>
        <w:tc>
          <w:tcPr>
            <w:tcW w:w="50" w:type="pct"/>
            <w:vAlign w:val="center"/>
            <w:hideMark/>
          </w:tcPr>
          <w:p w:rsidR="00000000" w:rsidRDefault="00F5481A">
            <w:pPr>
              <w:ind w:firstLine="360"/>
              <w:rPr>
                <w:rFonts w:eastAsia="Times New Roman"/>
              </w:rPr>
            </w:pPr>
          </w:p>
        </w:tc>
        <w:tc>
          <w:tcPr>
            <w:tcW w:w="2581"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663435990"/>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Approximate</w:t>
            </w:r>
            <w:r>
              <w:rPr>
                <w:rFonts w:ascii="IBM Plex Sans" w:eastAsia="Times New Roman" w:hAnsi="IBM Plex Sans"/>
                <w:b/>
                <w:bCs/>
                <w:color w:val="283030"/>
                <w:sz w:val="16"/>
                <w:szCs w:val="16"/>
              </w:rPr>
              <w:br/>
              <w:t>Total Square Feet</w:t>
            </w:r>
            <w:r>
              <w:rPr>
                <w:rFonts w:ascii="IBM Plex Sans" w:eastAsia="Times New Roman" w:hAnsi="IBM Plex Sans"/>
                <w:b/>
                <w:bCs/>
                <w:color w:val="283030"/>
                <w:sz w:val="16"/>
                <w:szCs w:val="16"/>
              </w:rPr>
              <w:br/>
              <w:t>Owned</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Approximate</w:t>
            </w:r>
            <w:r>
              <w:rPr>
                <w:rFonts w:ascii="IBM Plex Sans" w:eastAsia="Times New Roman" w:hAnsi="IBM Plex Sans"/>
                <w:b/>
                <w:bCs/>
                <w:color w:val="283030"/>
                <w:sz w:val="16"/>
                <w:szCs w:val="16"/>
              </w:rPr>
              <w:br/>
              <w:t>Total Square Feet</w:t>
            </w:r>
            <w:r>
              <w:rPr>
                <w:rFonts w:ascii="IBM Plex Sans" w:eastAsia="Times New Roman" w:hAnsi="IBM Plex Sans"/>
                <w:b/>
                <w:bCs/>
                <w:color w:val="283030"/>
                <w:sz w:val="16"/>
                <w:szCs w:val="16"/>
              </w:rPr>
              <w:br/>
              <w:t>Leased</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Approximate</w:t>
            </w:r>
            <w:r>
              <w:rPr>
                <w:rFonts w:ascii="IBM Plex Sans" w:eastAsia="Times New Roman" w:hAnsi="IBM Plex Sans"/>
                <w:b/>
                <w:bCs/>
                <w:color w:val="283030"/>
                <w:sz w:val="16"/>
                <w:szCs w:val="16"/>
              </w:rPr>
              <w:br/>
              <w:t>Total</w:t>
            </w:r>
            <w:r>
              <w:rPr>
                <w:rFonts w:ascii="IBM Plex Sans" w:eastAsia="Times New Roman" w:hAnsi="IBM Plex Sans"/>
                <w:b/>
                <w:bCs/>
                <w:color w:val="283030"/>
                <w:sz w:val="16"/>
                <w:szCs w:val="16"/>
              </w:rPr>
              <w:br/>
            </w:r>
            <w:r>
              <w:rPr>
                <w:rFonts w:ascii="IBM Plex Sans" w:eastAsia="Times New Roman" w:hAnsi="IBM Plex Sans"/>
                <w:b/>
                <w:bCs/>
                <w:color w:val="283030"/>
                <w:sz w:val="16"/>
                <w:szCs w:val="16"/>
              </w:rPr>
              <w:t>Square Feet</w:t>
            </w:r>
          </w:p>
        </w:tc>
      </w:tr>
      <w:tr w:rsidR="00000000">
        <w:trPr>
          <w:divId w:val="663435990"/>
          <w:trHeight w:val="6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663435990"/>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Integrated Mission Systems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2.5 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10.5 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663435990"/>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Space &amp; Airborne Systems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2.9 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663435990"/>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Communication Systems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1.7 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1.7 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663435990"/>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Corporate</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0.3 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0.1 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0.4 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663435990"/>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Total</w:t>
            </w:r>
          </w:p>
        </w:tc>
        <w:tc>
          <w:tcPr>
            <w:tcW w:w="0" w:type="auto"/>
            <w:gridSpan w:val="2"/>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9.3 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12.7 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22.0 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bl>
    <w:p w:rsidR="00000000" w:rsidRDefault="00F5481A">
      <w:pPr>
        <w:ind w:firstLine="360"/>
        <w:divId w:val="920261857"/>
        <w:rPr>
          <w:rFonts w:eastAsia="Times New Roman"/>
        </w:rPr>
      </w:pPr>
      <w:r>
        <w:rPr>
          <w:rFonts w:ascii="IBM Plex Sans" w:eastAsia="Times New Roman" w:hAnsi="IBM Plex Sans"/>
          <w:color w:val="283030"/>
          <w:sz w:val="20"/>
          <w:szCs w:val="20"/>
        </w:rPr>
        <w:t>In our opinion, our facilities, whether owned or leased, are suitable and adequate for their intended purposes, are well-maintained, are generally in regular use and have capacities adequate for current and projected needs. We frequently review our anticip</w:t>
      </w:r>
      <w:r>
        <w:rPr>
          <w:rFonts w:ascii="IBM Plex Sans" w:eastAsia="Times New Roman" w:hAnsi="IBM Plex Sans"/>
          <w:color w:val="283030"/>
          <w:sz w:val="20"/>
          <w:szCs w:val="20"/>
        </w:rPr>
        <w:t xml:space="preserve">ated requirements for facilities and will, from time to time, acquire additional facilities, expand existing facilities and dispose of existing facilities or parts thereof, as management deems necessary. See </w:t>
      </w:r>
      <w:r>
        <w:rPr>
          <w:rFonts w:ascii="IBM Plex Sans" w:eastAsia="Times New Roman" w:hAnsi="IBM Plex Sans"/>
          <w:i/>
          <w:iCs/>
          <w:color w:val="283030"/>
          <w:sz w:val="20"/>
          <w:szCs w:val="20"/>
        </w:rPr>
        <w:t xml:space="preserve">Note 8: Property, Plant and Equipment, Net </w:t>
      </w:r>
      <w:r>
        <w:rPr>
          <w:rFonts w:ascii="IBM Plex Sans" w:eastAsia="Times New Roman" w:hAnsi="IBM Plex Sans"/>
          <w:color w:val="283030"/>
          <w:sz w:val="20"/>
          <w:szCs w:val="20"/>
        </w:rPr>
        <w:t>and</w:t>
      </w:r>
      <w:r>
        <w:rPr>
          <w:rFonts w:ascii="IBM Plex Sans" w:eastAsia="Times New Roman" w:hAnsi="IBM Plex Sans"/>
          <w:i/>
          <w:iCs/>
          <w:color w:val="283030"/>
          <w:sz w:val="20"/>
          <w:szCs w:val="20"/>
        </w:rPr>
        <w:t xml:space="preserve"> N</w:t>
      </w:r>
      <w:r>
        <w:rPr>
          <w:rFonts w:ascii="IBM Plex Sans" w:eastAsia="Times New Roman" w:hAnsi="IBM Plex Sans"/>
          <w:i/>
          <w:iCs/>
          <w:color w:val="283030"/>
          <w:sz w:val="20"/>
          <w:szCs w:val="20"/>
        </w:rPr>
        <w:t xml:space="preserve">ote 18: Lease Commitments </w:t>
      </w:r>
      <w:r>
        <w:rPr>
          <w:rFonts w:ascii="IBM Plex Sans" w:eastAsia="Times New Roman" w:hAnsi="IBM Plex Sans"/>
          <w:color w:val="283030"/>
          <w:sz w:val="20"/>
          <w:szCs w:val="20"/>
        </w:rPr>
        <w:t>in the Notes for more information on our owned properties and our lease obligations, respectively. Our facilities and other properties are maintained in good operating condition.</w:t>
      </w:r>
    </w:p>
    <w:tbl>
      <w:tblPr>
        <w:tblW w:w="1724" w:type="pct"/>
        <w:tblCellMar>
          <w:top w:w="15" w:type="dxa"/>
          <w:left w:w="15" w:type="dxa"/>
          <w:bottom w:w="15" w:type="dxa"/>
          <w:right w:w="15" w:type="dxa"/>
        </w:tblCellMar>
        <w:tblLook w:val="04A0" w:firstRow="1" w:lastRow="0" w:firstColumn="1" w:lastColumn="0" w:noHBand="0" w:noVBand="1"/>
      </w:tblPr>
      <w:tblGrid>
        <w:gridCol w:w="37"/>
        <w:gridCol w:w="893"/>
        <w:gridCol w:w="36"/>
        <w:gridCol w:w="37"/>
        <w:gridCol w:w="1825"/>
        <w:gridCol w:w="36"/>
      </w:tblGrid>
      <w:tr w:rsidR="00000000">
        <w:trPr>
          <w:divId w:val="843669924"/>
        </w:trPr>
        <w:tc>
          <w:tcPr>
            <w:tcW w:w="50" w:type="pct"/>
            <w:vAlign w:val="center"/>
            <w:hideMark/>
          </w:tcPr>
          <w:p w:rsidR="00000000" w:rsidRDefault="00F5481A">
            <w:pPr>
              <w:ind w:firstLine="360"/>
              <w:rPr>
                <w:rFonts w:eastAsia="Times New Roman"/>
              </w:rPr>
            </w:pPr>
          </w:p>
        </w:tc>
        <w:tc>
          <w:tcPr>
            <w:tcW w:w="1632"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3257"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843669924"/>
        </w:trPr>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016676"/>
                <w:sz w:val="20"/>
                <w:szCs w:val="20"/>
              </w:rPr>
              <w:t> ITEM 3.</w:t>
            </w:r>
          </w:p>
        </w:tc>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283030"/>
                <w:sz w:val="20"/>
                <w:szCs w:val="20"/>
              </w:rPr>
              <w:t>LEGAL PROCEEDINGS.</w:t>
            </w:r>
          </w:p>
        </w:tc>
      </w:tr>
    </w:tbl>
    <w:p w:rsidR="00000000" w:rsidRDefault="00F5481A">
      <w:pPr>
        <w:ind w:firstLine="360"/>
        <w:divId w:val="1782602367"/>
        <w:rPr>
          <w:rFonts w:eastAsia="Times New Roman"/>
        </w:rPr>
      </w:pPr>
      <w:r>
        <w:rPr>
          <w:rFonts w:ascii="IBM Plex Sans" w:eastAsia="Times New Roman" w:hAnsi="IBM Plex Sans"/>
          <w:color w:val="283030"/>
          <w:sz w:val="20"/>
          <w:szCs w:val="20"/>
        </w:rPr>
        <w:t>From time to time, as a normal incident of the nature of businesses in which we are or were engaged, various claims or charges are asserted and litigation or arbitration is commenced by or against us arising from or related to matters, including, but not l</w:t>
      </w:r>
      <w:r>
        <w:rPr>
          <w:rFonts w:ascii="IBM Plex Sans" w:eastAsia="Times New Roman" w:hAnsi="IBM Plex Sans"/>
          <w:color w:val="283030"/>
          <w:sz w:val="20"/>
          <w:szCs w:val="20"/>
        </w:rPr>
        <w:t>imited to: product liability; personal injury; patents, trademarks, trade secrets or other intellectual property; labor and employee disputes; commercial or contractual disputes; strategic acquisitions or divestitures; the prior sale or use of former produ</w:t>
      </w:r>
      <w:r>
        <w:rPr>
          <w:rFonts w:ascii="IBM Plex Sans" w:eastAsia="Times New Roman" w:hAnsi="IBM Plex Sans"/>
          <w:color w:val="283030"/>
          <w:sz w:val="20"/>
          <w:szCs w:val="20"/>
        </w:rPr>
        <w:t>cts allegedly containing asbestos or other restricted materials; breach of warranty; environmental matters; or compliance with government procurement or related legal or regulatory requirements. Claimed amounts against us may be substantial, but may not be</w:t>
      </w:r>
      <w:r>
        <w:rPr>
          <w:rFonts w:ascii="IBM Plex Sans" w:eastAsia="Times New Roman" w:hAnsi="IBM Plex Sans"/>
          <w:color w:val="283030"/>
          <w:sz w:val="20"/>
          <w:szCs w:val="20"/>
        </w:rPr>
        <w:t>ar any reasonable relationship to the merits of the claim or the extent of any real risk of court or arbitral awards. Although it is not always feasible to predict the outcome of these matters with certainty, it is reasonably possible that some lawsuits, c</w:t>
      </w:r>
      <w:r>
        <w:rPr>
          <w:rFonts w:ascii="IBM Plex Sans" w:eastAsia="Times New Roman" w:hAnsi="IBM Plex Sans"/>
          <w:color w:val="283030"/>
          <w:sz w:val="20"/>
          <w:szCs w:val="20"/>
        </w:rPr>
        <w:t>laims or proceedings may be disposed of or decided unfavorably to us and in excess of the amounts currently accrued.</w:t>
      </w:r>
    </w:p>
    <w:p w:rsidR="00000000" w:rsidRDefault="00F5481A">
      <w:pPr>
        <w:ind w:firstLine="360"/>
        <w:divId w:val="1297757323"/>
        <w:rPr>
          <w:rFonts w:eastAsia="Times New Roman"/>
        </w:rPr>
      </w:pPr>
      <w:r>
        <w:rPr>
          <w:rFonts w:ascii="IBM Plex Sans" w:eastAsia="Times New Roman" w:hAnsi="IBM Plex Sans"/>
          <w:color w:val="283030"/>
          <w:sz w:val="20"/>
          <w:szCs w:val="20"/>
        </w:rPr>
        <w:t>We are subject to numerous U.S. Federal, state, local and international environmental laws and regulatory requirements and are involved fro</w:t>
      </w:r>
      <w:r>
        <w:rPr>
          <w:rFonts w:ascii="IBM Plex Sans" w:eastAsia="Times New Roman" w:hAnsi="IBM Plex Sans"/>
          <w:color w:val="283030"/>
          <w:sz w:val="20"/>
          <w:szCs w:val="20"/>
        </w:rPr>
        <w:t xml:space="preserve">m time to time in investigations or litigation of various potential environmental </w:t>
      </w:r>
    </w:p>
    <w:p w:rsidR="00000000" w:rsidRDefault="00F5481A">
      <w:pPr>
        <w:ind w:firstLine="360"/>
        <w:jc w:val="center"/>
        <w:divId w:val="1223954394"/>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24</w:t>
      </w:r>
    </w:p>
    <w:p w:rsidR="00000000" w:rsidRDefault="00F5481A">
      <w:pPr>
        <w:rPr>
          <w:rFonts w:eastAsia="Times New Roman"/>
        </w:rPr>
      </w:pPr>
      <w:r>
        <w:rPr>
          <w:rFonts w:eastAsia="Times New Roman"/>
        </w:rPr>
        <w:pict>
          <v:rect id="_x0000_i1054" style="width:0;height:1.5pt" o:hralign="center" o:hrstd="t" o:hr="t" fillcolor="#a0a0a0" stroked="f"/>
        </w:pict>
      </w:r>
    </w:p>
    <w:p w:rsidR="00000000" w:rsidRDefault="00F5481A">
      <w:pPr>
        <w:ind w:firstLine="360"/>
        <w:divId w:val="1925217146"/>
        <w:rPr>
          <w:rFonts w:eastAsia="Times New Roman"/>
        </w:rPr>
      </w:pPr>
    </w:p>
    <w:p w:rsidR="00000000" w:rsidRDefault="00F5481A">
      <w:pPr>
        <w:divId w:val="742727887"/>
        <w:rPr>
          <w:rFonts w:eastAsia="Times New Roman"/>
        </w:rPr>
      </w:pPr>
      <w:r>
        <w:rPr>
          <w:rFonts w:ascii="IBM Plex Sans" w:eastAsia="Times New Roman" w:hAnsi="IBM Plex Sans"/>
          <w:color w:val="283030"/>
          <w:sz w:val="20"/>
          <w:szCs w:val="20"/>
        </w:rPr>
        <w:t>issues. Due in part to the complexity and pervasiveness of the</w:t>
      </w:r>
      <w:r>
        <w:rPr>
          <w:rFonts w:ascii="IBM Plex Sans" w:eastAsia="Times New Roman" w:hAnsi="IBM Plex Sans"/>
          <w:color w:val="283030"/>
          <w:sz w:val="20"/>
          <w:szCs w:val="20"/>
        </w:rPr>
        <w:t>se requirements, we are a party to or have property subject to various litigation, proceedings and remediation obligations. The extent of our financial exposure cannot be reasonably estimated in all cases.</w:t>
      </w:r>
    </w:p>
    <w:p w:rsidR="00000000" w:rsidRDefault="00F5481A">
      <w:pPr>
        <w:ind w:firstLine="360"/>
        <w:divId w:val="1186752604"/>
        <w:rPr>
          <w:rFonts w:eastAsia="Times New Roman"/>
        </w:rPr>
      </w:pPr>
      <w:r>
        <w:rPr>
          <w:rFonts w:ascii="IBM Plex Sans" w:eastAsia="Times New Roman" w:hAnsi="IBM Plex Sans"/>
          <w:color w:val="283030"/>
          <w:sz w:val="20"/>
          <w:szCs w:val="20"/>
        </w:rPr>
        <w:t>For information regarding the matters discussed ab</w:t>
      </w:r>
      <w:r>
        <w:rPr>
          <w:rFonts w:ascii="IBM Plex Sans" w:eastAsia="Times New Roman" w:hAnsi="IBM Plex Sans"/>
          <w:color w:val="283030"/>
          <w:sz w:val="20"/>
          <w:szCs w:val="20"/>
        </w:rPr>
        <w:t xml:space="preserve">ove, including material legal proceedings and contingencies, see “Item 1. Business — Governmental Regulations — Environmental Regulations” of this Report and </w:t>
      </w:r>
      <w:r>
        <w:rPr>
          <w:rFonts w:ascii="IBM Plex Sans" w:eastAsia="Times New Roman" w:hAnsi="IBM Plex Sans"/>
          <w:i/>
          <w:iCs/>
          <w:color w:val="283030"/>
          <w:sz w:val="20"/>
          <w:szCs w:val="20"/>
        </w:rPr>
        <w:t xml:space="preserve">Note 1: Significant Accounting Policies </w:t>
      </w:r>
      <w:r>
        <w:rPr>
          <w:rFonts w:ascii="IBM Plex Sans" w:eastAsia="Times New Roman" w:hAnsi="IBM Plex Sans"/>
          <w:color w:val="283030"/>
          <w:sz w:val="20"/>
          <w:szCs w:val="20"/>
        </w:rPr>
        <w:t xml:space="preserve">regarding our environmental expenditures and </w:t>
      </w:r>
      <w:r>
        <w:rPr>
          <w:rFonts w:ascii="IBM Plex Sans" w:eastAsia="Times New Roman" w:hAnsi="IBM Plex Sans"/>
          <w:i/>
          <w:iCs/>
          <w:color w:val="283030"/>
          <w:sz w:val="20"/>
          <w:szCs w:val="20"/>
        </w:rPr>
        <w:t>Note 25: Lega</w:t>
      </w:r>
      <w:r>
        <w:rPr>
          <w:rFonts w:ascii="IBM Plex Sans" w:eastAsia="Times New Roman" w:hAnsi="IBM Plex Sans"/>
          <w:i/>
          <w:iCs/>
          <w:color w:val="283030"/>
          <w:sz w:val="20"/>
          <w:szCs w:val="20"/>
        </w:rPr>
        <w:t>l Proceedings and Contingencies</w:t>
      </w:r>
      <w:r>
        <w:rPr>
          <w:rFonts w:ascii="IBM Plex Sans" w:eastAsia="Times New Roman" w:hAnsi="IBM Plex Sans"/>
          <w:color w:val="283030"/>
          <w:sz w:val="20"/>
          <w:szCs w:val="20"/>
        </w:rPr>
        <w:t xml:space="preserve"> included in our Notes to Consolidated Financial Statements.</w:t>
      </w:r>
    </w:p>
    <w:tbl>
      <w:tblPr>
        <w:tblW w:w="2025" w:type="pct"/>
        <w:tblCellMar>
          <w:top w:w="15" w:type="dxa"/>
          <w:left w:w="15" w:type="dxa"/>
          <w:bottom w:w="15" w:type="dxa"/>
          <w:right w:w="15" w:type="dxa"/>
        </w:tblCellMar>
        <w:tblLook w:val="04A0" w:firstRow="1" w:lastRow="0" w:firstColumn="1" w:lastColumn="0" w:noHBand="0" w:noVBand="1"/>
      </w:tblPr>
      <w:tblGrid>
        <w:gridCol w:w="37"/>
        <w:gridCol w:w="893"/>
        <w:gridCol w:w="36"/>
        <w:gridCol w:w="37"/>
        <w:gridCol w:w="2325"/>
        <w:gridCol w:w="36"/>
      </w:tblGrid>
      <w:tr w:rsidR="00000000">
        <w:trPr>
          <w:divId w:val="1556770790"/>
        </w:trPr>
        <w:tc>
          <w:tcPr>
            <w:tcW w:w="50" w:type="pct"/>
            <w:vAlign w:val="center"/>
            <w:hideMark/>
          </w:tcPr>
          <w:p w:rsidR="00000000" w:rsidRDefault="00F5481A">
            <w:pPr>
              <w:ind w:firstLine="360"/>
              <w:rPr>
                <w:rFonts w:eastAsia="Times New Roman"/>
              </w:rPr>
            </w:pPr>
          </w:p>
        </w:tc>
        <w:tc>
          <w:tcPr>
            <w:tcW w:w="1381"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350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1556770790"/>
        </w:trPr>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016676"/>
                <w:sz w:val="20"/>
                <w:szCs w:val="20"/>
              </w:rPr>
              <w:t> ITEM 4.</w:t>
            </w:r>
          </w:p>
        </w:tc>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283030"/>
                <w:sz w:val="20"/>
                <w:szCs w:val="20"/>
              </w:rPr>
              <w:t>MINE SAFETY DISCLOSURES.</w:t>
            </w:r>
          </w:p>
        </w:tc>
      </w:tr>
    </w:tbl>
    <w:p w:rsidR="00000000" w:rsidRDefault="00F5481A">
      <w:pPr>
        <w:ind w:firstLine="360"/>
        <w:divId w:val="16659143"/>
        <w:rPr>
          <w:rFonts w:eastAsia="Times New Roman"/>
        </w:rPr>
      </w:pPr>
      <w:r>
        <w:rPr>
          <w:rFonts w:ascii="IBM Plex Sans" w:eastAsia="Times New Roman" w:hAnsi="IBM Plex Sans"/>
          <w:color w:val="283030"/>
          <w:sz w:val="20"/>
          <w:szCs w:val="20"/>
        </w:rPr>
        <w:t>Not applicable.</w:t>
      </w:r>
    </w:p>
    <w:p w:rsidR="00000000" w:rsidRDefault="00F5481A">
      <w:pPr>
        <w:ind w:firstLine="360"/>
        <w:jc w:val="center"/>
        <w:divId w:val="117921033"/>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25</w:t>
      </w:r>
    </w:p>
    <w:p w:rsidR="00000000" w:rsidRDefault="00F5481A">
      <w:pPr>
        <w:rPr>
          <w:rFonts w:eastAsia="Times New Roman"/>
        </w:rPr>
      </w:pPr>
      <w:r>
        <w:rPr>
          <w:rFonts w:eastAsia="Times New Roman"/>
        </w:rPr>
        <w:pict>
          <v:rect id="_x0000_i1055" style="width:0;height:1.5pt" o:hralign="center" o:hrstd="t" o:hr="t" fillcolor="#a0a0a0" stroked="f"/>
        </w:pict>
      </w:r>
    </w:p>
    <w:p w:rsidR="00000000" w:rsidRDefault="00F5481A">
      <w:pPr>
        <w:ind w:firstLine="360"/>
        <w:divId w:val="1296451360"/>
        <w:rPr>
          <w:rFonts w:eastAsia="Times New Roman"/>
        </w:rPr>
      </w:pPr>
    </w:p>
    <w:p w:rsidR="00000000" w:rsidRDefault="00F5481A">
      <w:pPr>
        <w:divId w:val="2113012719"/>
        <w:rPr>
          <w:rFonts w:eastAsia="Times New Roman"/>
        </w:rPr>
      </w:pPr>
      <w:r>
        <w:rPr>
          <w:rFonts w:ascii="IBM Plex Sans SemiBold" w:eastAsia="Times New Roman" w:hAnsi="IBM Plex Sans SemiBold"/>
          <w:b/>
          <w:bCs/>
          <w:color w:val="016676"/>
          <w:sz w:val="20"/>
          <w:szCs w:val="20"/>
        </w:rPr>
        <w:t>INFORMATION ABOUT OUR EXECUTIVE OFFICERS.</w:t>
      </w:r>
    </w:p>
    <w:p w:rsidR="00000000" w:rsidRDefault="00F5481A">
      <w:pPr>
        <w:ind w:firstLine="360"/>
        <w:divId w:val="340738706"/>
        <w:rPr>
          <w:rFonts w:eastAsia="Times New Roman"/>
        </w:rPr>
      </w:pPr>
      <w:r>
        <w:rPr>
          <w:rFonts w:ascii="IBM Plex Sans" w:eastAsia="Times New Roman" w:hAnsi="IBM Plex Sans"/>
          <w:color w:val="283030"/>
          <w:sz w:val="20"/>
          <w:szCs w:val="20"/>
        </w:rPr>
        <w:t xml:space="preserve">The name, age, position held with us and principal occupation and employment during at least the past </w:t>
      </w:r>
      <w:r>
        <w:rPr>
          <w:rFonts w:ascii="IBM Plex Sans" w:eastAsia="Times New Roman" w:hAnsi="IBM Plex Sans"/>
          <w:color w:val="283030"/>
          <w:sz w:val="20"/>
          <w:szCs w:val="20"/>
        </w:rPr>
        <w:t>five years for each of our executive officers as of February 24, 2023 were as follows:</w:t>
      </w:r>
    </w:p>
    <w:tbl>
      <w:tblPr>
        <w:tblW w:w="5000" w:type="pct"/>
        <w:tblCellMar>
          <w:top w:w="15" w:type="dxa"/>
          <w:left w:w="15" w:type="dxa"/>
          <w:bottom w:w="15" w:type="dxa"/>
          <w:right w:w="15" w:type="dxa"/>
        </w:tblCellMar>
        <w:tblLook w:val="04A0" w:firstRow="1" w:lastRow="0" w:firstColumn="1" w:lastColumn="0" w:noHBand="0" w:noVBand="1"/>
      </w:tblPr>
      <w:tblGrid>
        <w:gridCol w:w="60"/>
        <w:gridCol w:w="1962"/>
        <w:gridCol w:w="38"/>
        <w:gridCol w:w="36"/>
        <w:gridCol w:w="163"/>
        <w:gridCol w:w="36"/>
        <w:gridCol w:w="60"/>
        <w:gridCol w:w="5912"/>
        <w:gridCol w:w="39"/>
      </w:tblGrid>
      <w:tr w:rsidR="00000000">
        <w:trPr>
          <w:divId w:val="340738706"/>
        </w:trPr>
        <w:tc>
          <w:tcPr>
            <w:tcW w:w="50" w:type="pct"/>
            <w:vAlign w:val="center"/>
            <w:hideMark/>
          </w:tcPr>
          <w:p w:rsidR="00000000" w:rsidRDefault="00F5481A">
            <w:pPr>
              <w:ind w:firstLine="360"/>
              <w:rPr>
                <w:rFonts w:eastAsia="Times New Roman"/>
              </w:rPr>
            </w:pPr>
          </w:p>
        </w:tc>
        <w:tc>
          <w:tcPr>
            <w:tcW w:w="119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12"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3572"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340738706"/>
        </w:trPr>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Name and Age</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Position Currently Held and Past Business Experience</w:t>
            </w:r>
          </w:p>
        </w:tc>
      </w:tr>
      <w:tr w:rsidR="00000000">
        <w:trPr>
          <w:divId w:val="340738706"/>
        </w:trPr>
        <w:tc>
          <w:tcPr>
            <w:tcW w:w="0" w:type="auto"/>
            <w:gridSpan w:val="3"/>
            <w:tcBorders>
              <w:top w:val="single" w:sz="8" w:space="0" w:color="016676"/>
            </w:tcBorders>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James P. Girard, 46</w:t>
            </w:r>
          </w:p>
        </w:tc>
        <w:tc>
          <w:tcPr>
            <w:tcW w:w="0" w:type="auto"/>
            <w:gridSpan w:val="3"/>
            <w:tcBorders>
              <w:top w:val="single" w:sz="8" w:space="0" w:color="016676"/>
            </w:tcBorders>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tcBorders>
              <w:top w:val="single" w:sz="8" w:space="0" w:color="016676"/>
            </w:tcBorders>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Vice President and Chief Human Resources Officer since June 29, 2019. Vice President, Human Resources from July 2015 to June 2019.</w:t>
            </w:r>
          </w:p>
        </w:tc>
      </w:tr>
      <w:tr w:rsidR="00000000">
        <w:trPr>
          <w:divId w:val="340738706"/>
        </w:trPr>
        <w:tc>
          <w:tcPr>
            <w:tcW w:w="0" w:type="auto"/>
            <w:gridSpan w:val="3"/>
            <w:tcBorders>
              <w:top w:val="single" w:sz="8" w:space="0" w:color="DBDBDB"/>
            </w:tcBorders>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Christopher E. Kubasik, 61</w:t>
            </w:r>
          </w:p>
        </w:tc>
        <w:tc>
          <w:tcPr>
            <w:tcW w:w="0" w:type="auto"/>
            <w:gridSpan w:val="3"/>
            <w:tcBorders>
              <w:top w:val="single" w:sz="8" w:space="0" w:color="DBDBDB"/>
            </w:tcBorders>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tcBorders>
              <w:top w:val="single" w:sz="8" w:space="0" w:color="DBDBDB"/>
            </w:tcBorders>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Chair and Chief Executive Officer since June 29, 2022. Vice Chair and Chief Executive Offi</w:t>
            </w:r>
            <w:r>
              <w:rPr>
                <w:rFonts w:ascii="IBM Plex Sans" w:eastAsia="Times New Roman" w:hAnsi="IBM Plex Sans"/>
                <w:color w:val="283030"/>
                <w:sz w:val="20"/>
                <w:szCs w:val="20"/>
              </w:rPr>
              <w:t>cer from June 29, 2021. Vice Chair, President and Chief Operating Officer from June 29, 2019 to June 29, 2021 to June 29, 2022. Served with L3, as Chairman, Chief Executive Officer and President from May 2018 to June 2019; as Chief Executive Officer and Pr</w:t>
            </w:r>
            <w:r>
              <w:rPr>
                <w:rFonts w:ascii="IBM Plex Sans" w:eastAsia="Times New Roman" w:hAnsi="IBM Plex Sans"/>
                <w:color w:val="283030"/>
                <w:sz w:val="20"/>
                <w:szCs w:val="20"/>
              </w:rPr>
              <w:t>esident from January 2018 to May 2018.</w:t>
            </w:r>
          </w:p>
        </w:tc>
      </w:tr>
      <w:tr w:rsidR="00000000">
        <w:trPr>
          <w:divId w:val="340738706"/>
        </w:trPr>
        <w:tc>
          <w:tcPr>
            <w:tcW w:w="0" w:type="auto"/>
            <w:gridSpan w:val="3"/>
            <w:tcBorders>
              <w:top w:val="single" w:sz="8" w:space="0" w:color="DBDBDB"/>
            </w:tcBorders>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Samir B. Mehta, 50</w:t>
            </w:r>
          </w:p>
        </w:tc>
        <w:tc>
          <w:tcPr>
            <w:tcW w:w="0" w:type="auto"/>
            <w:gridSpan w:val="3"/>
            <w:tcBorders>
              <w:top w:val="single" w:sz="8" w:space="0" w:color="DBDBDB"/>
            </w:tcBorders>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tcBorders>
              <w:top w:val="single" w:sz="8" w:space="0" w:color="DBDBDB"/>
            </w:tcBorders>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President, Communication Systems since January 2023. Before joining L3Harris in January 2023, Mr. Mehta worked at Collins Aerospace, a subsidiary of Raytheon Technologies Corporation (“Rayth</w:t>
            </w:r>
            <w:r>
              <w:rPr>
                <w:rFonts w:ascii="IBM Plex Sans" w:eastAsia="Times New Roman" w:hAnsi="IBM Plex Sans"/>
                <w:color w:val="283030"/>
                <w:sz w:val="20"/>
                <w:szCs w:val="20"/>
              </w:rPr>
              <w:t>eon”), formerly United Technologies Corporation, as President of Advanced Structures from 2018 to 2022 and President, Aftermarket from 2017 to 2018. Prior to Raytheon, Mr. Mehta spent over 17 years with Sikorsky Aircraft, notably serving as President, Defe</w:t>
            </w:r>
            <w:r>
              <w:rPr>
                <w:rFonts w:ascii="IBM Plex Sans" w:eastAsia="Times New Roman" w:hAnsi="IBM Plex Sans"/>
                <w:color w:val="283030"/>
                <w:sz w:val="20"/>
                <w:szCs w:val="20"/>
              </w:rPr>
              <w:t>nse Systems and Services.</w:t>
            </w:r>
          </w:p>
        </w:tc>
      </w:tr>
      <w:tr w:rsidR="00000000">
        <w:trPr>
          <w:divId w:val="340738706"/>
        </w:trPr>
        <w:tc>
          <w:tcPr>
            <w:tcW w:w="0" w:type="auto"/>
            <w:gridSpan w:val="3"/>
            <w:tcBorders>
              <w:top w:val="single" w:sz="8" w:space="0" w:color="DBDBDB"/>
            </w:tcBorders>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Scott T. Mikuen, 61</w:t>
            </w:r>
          </w:p>
        </w:tc>
        <w:tc>
          <w:tcPr>
            <w:tcW w:w="0" w:type="auto"/>
            <w:gridSpan w:val="3"/>
            <w:tcBorders>
              <w:top w:val="single" w:sz="8" w:space="0" w:color="DBDBDB"/>
            </w:tcBorders>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tcBorders>
              <w:top w:val="single" w:sz="8" w:space="0" w:color="DBDBDB"/>
            </w:tcBorders>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Senior Vice President, General Counsel and Secretary since February 2013. General Counsel since 2010 and Secretary since 2004.</w:t>
            </w:r>
          </w:p>
        </w:tc>
      </w:tr>
      <w:tr w:rsidR="00000000">
        <w:trPr>
          <w:divId w:val="340738706"/>
        </w:trPr>
        <w:tc>
          <w:tcPr>
            <w:tcW w:w="0" w:type="auto"/>
            <w:gridSpan w:val="3"/>
            <w:tcBorders>
              <w:top w:val="single" w:sz="8" w:space="0" w:color="DBDBDB"/>
            </w:tcBorders>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Corliss J. Montesi, 58</w:t>
            </w:r>
          </w:p>
        </w:tc>
        <w:tc>
          <w:tcPr>
            <w:tcW w:w="0" w:type="auto"/>
            <w:gridSpan w:val="3"/>
            <w:tcBorders>
              <w:top w:val="single" w:sz="8" w:space="0" w:color="DBDBDB"/>
            </w:tcBorders>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tcBorders>
              <w:top w:val="single" w:sz="8" w:space="0" w:color="DBDBDB"/>
            </w:tcBorders>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 xml:space="preserve">Vice President and Principal Accounting Officer since August 2021. Vice President, Internal Audit </w:t>
            </w:r>
            <w:r>
              <w:rPr>
                <w:rFonts w:ascii="IBM Plex Sans" w:eastAsia="Times New Roman" w:hAnsi="IBM Plex Sans"/>
                <w:color w:val="283030"/>
                <w:sz w:val="20"/>
                <w:szCs w:val="20"/>
              </w:rPr>
              <w:t>from June 2020 to August 2021. Before joining L3Harris in June 2020, Ms. Montesi worked at Stanley Black and Decker as Vice President, Functional Transformation – Shared Services from 2018 to 2019; and as Vice President, Corporate Controller from 2014 to 2</w:t>
            </w:r>
            <w:r>
              <w:rPr>
                <w:rFonts w:ascii="IBM Plex Sans" w:eastAsia="Times New Roman" w:hAnsi="IBM Plex Sans"/>
                <w:color w:val="283030"/>
                <w:sz w:val="20"/>
                <w:szCs w:val="20"/>
              </w:rPr>
              <w:t>018.</w:t>
            </w:r>
          </w:p>
        </w:tc>
      </w:tr>
      <w:tr w:rsidR="00000000">
        <w:trPr>
          <w:divId w:val="340738706"/>
        </w:trPr>
        <w:tc>
          <w:tcPr>
            <w:tcW w:w="0" w:type="auto"/>
            <w:gridSpan w:val="3"/>
            <w:tcBorders>
              <w:top w:val="single" w:sz="8" w:space="0" w:color="DBDBDB"/>
            </w:tcBorders>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Jonathan P. Rambeau, 50</w:t>
            </w:r>
          </w:p>
        </w:tc>
        <w:tc>
          <w:tcPr>
            <w:tcW w:w="0" w:type="auto"/>
            <w:gridSpan w:val="3"/>
            <w:tcBorders>
              <w:top w:val="single" w:sz="8" w:space="0" w:color="DBDBDB"/>
            </w:tcBorders>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tcBorders>
              <w:top w:val="single" w:sz="8" w:space="0" w:color="DBDBDB"/>
            </w:tcBorders>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President, Integrated Mission Systems since October 2022. Before joining L3Harris, Mr. Rambeau worked at Lockheed Martin Corporation (“Lockheed Martin”) for 26 years, notably serving as Vice President and General Manager, Integrated Warfare Systems and Sen</w:t>
            </w:r>
            <w:r>
              <w:rPr>
                <w:rFonts w:ascii="IBM Plex Sans" w:eastAsia="Times New Roman" w:hAnsi="IBM Plex Sans"/>
                <w:color w:val="283030"/>
                <w:sz w:val="20"/>
                <w:szCs w:val="20"/>
              </w:rPr>
              <w:t>sors of the Rotary and Mission Systems business from 2020 to 2022 and Vice President and General Manager, C6ISR, Rotary and Mission Systems from 2016 to 2020.</w:t>
            </w:r>
          </w:p>
        </w:tc>
      </w:tr>
      <w:tr w:rsidR="00000000">
        <w:trPr>
          <w:divId w:val="340738706"/>
        </w:trPr>
        <w:tc>
          <w:tcPr>
            <w:tcW w:w="0" w:type="auto"/>
            <w:gridSpan w:val="3"/>
            <w:tcBorders>
              <w:top w:val="single" w:sz="8" w:space="0" w:color="DBDBDB"/>
            </w:tcBorders>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Sean J. Stackley, 65</w:t>
            </w:r>
          </w:p>
        </w:tc>
        <w:tc>
          <w:tcPr>
            <w:tcW w:w="0" w:type="auto"/>
            <w:gridSpan w:val="3"/>
            <w:tcBorders>
              <w:top w:val="single" w:sz="8" w:space="0" w:color="DBDBDB"/>
            </w:tcBorders>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tcBorders>
              <w:top w:val="single" w:sz="8" w:space="0" w:color="DBDBDB"/>
            </w:tcBorders>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Senior Vice President, Strategy &amp; Growth since October 2022. Preside</w:t>
            </w:r>
            <w:r>
              <w:rPr>
                <w:rFonts w:ascii="IBM Plex Sans" w:eastAsia="Times New Roman" w:hAnsi="IBM Plex Sans"/>
                <w:color w:val="283030"/>
                <w:sz w:val="20"/>
                <w:szCs w:val="20"/>
              </w:rPr>
              <w:t>nt, Integrated Mission Systems since June 29, 2019. Served with L3 as Senior Vice President and President of Communications &amp; Networked Systems Segment from September 2018 to June 2019; and as Corporate Vice President, Strategic Advance Programs and Techno</w:t>
            </w:r>
            <w:r>
              <w:rPr>
                <w:rFonts w:ascii="IBM Plex Sans" w:eastAsia="Times New Roman" w:hAnsi="IBM Plex Sans"/>
                <w:color w:val="283030"/>
                <w:sz w:val="20"/>
                <w:szCs w:val="20"/>
              </w:rPr>
              <w:t>logies from January 2018 to September 2018. Before joining L3 in January 2018, (Hon.) Mr. Stackley spent four decades in public service, including a 27-year career with the U.S. Navy, where he most recently was Acting Secretary of the Navy from January 201</w:t>
            </w:r>
            <w:r>
              <w:rPr>
                <w:rFonts w:ascii="IBM Plex Sans" w:eastAsia="Times New Roman" w:hAnsi="IBM Plex Sans"/>
                <w:color w:val="283030"/>
                <w:sz w:val="20"/>
                <w:szCs w:val="20"/>
              </w:rPr>
              <w:t>7 to July 2017 and Secretary of the Navy for Research, Development and Acquisition from 2008 to 2017.</w:t>
            </w:r>
          </w:p>
        </w:tc>
      </w:tr>
      <w:tr w:rsidR="00000000">
        <w:trPr>
          <w:divId w:val="340738706"/>
        </w:trPr>
        <w:tc>
          <w:tcPr>
            <w:tcW w:w="0" w:type="auto"/>
            <w:gridSpan w:val="3"/>
            <w:tcBorders>
              <w:top w:val="single" w:sz="8" w:space="0" w:color="DBDBDB"/>
            </w:tcBorders>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Michelle L. Turner, 49</w:t>
            </w:r>
          </w:p>
        </w:tc>
        <w:tc>
          <w:tcPr>
            <w:tcW w:w="0" w:type="auto"/>
            <w:gridSpan w:val="3"/>
            <w:tcBorders>
              <w:top w:val="single" w:sz="8" w:space="0" w:color="DBDBDB"/>
            </w:tcBorders>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tcBorders>
              <w:top w:val="single" w:sz="8" w:space="0" w:color="DBDBDB"/>
            </w:tcBorders>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Senior Vice President and Chief Financial Officer since January 2022. Before joining L3Harris, Ms. Turner worked at Johnson</w:t>
            </w:r>
            <w:r>
              <w:rPr>
                <w:rFonts w:ascii="IBM Plex Sans" w:eastAsia="Times New Roman" w:hAnsi="IBM Plex Sans"/>
                <w:color w:val="283030"/>
                <w:sz w:val="20"/>
                <w:szCs w:val="20"/>
              </w:rPr>
              <w:t xml:space="preserve"> &amp; Johnson as Vice President and Chief Financial Officer of Enterprise Supply Chain from October 2017 to January 2022; at BHP Billiton Petroleum from April 2016 to September 2017 as Vice President and Chief Financial Officer; and at Raytheon as Vice Presid</w:t>
            </w:r>
            <w:r>
              <w:rPr>
                <w:rFonts w:ascii="IBM Plex Sans" w:eastAsia="Times New Roman" w:hAnsi="IBM Plex Sans"/>
                <w:color w:val="283030"/>
                <w:sz w:val="20"/>
                <w:szCs w:val="20"/>
              </w:rPr>
              <w:t>ent and Chief Financial Officer of Space &amp; Airborne Systems from June 2012 to March 2016.</w:t>
            </w:r>
          </w:p>
        </w:tc>
      </w:tr>
      <w:tr w:rsidR="00000000">
        <w:trPr>
          <w:divId w:val="340738706"/>
        </w:trPr>
        <w:tc>
          <w:tcPr>
            <w:tcW w:w="0" w:type="auto"/>
            <w:gridSpan w:val="3"/>
            <w:tcBorders>
              <w:top w:val="single" w:sz="8" w:space="0" w:color="DBDBDB"/>
              <w:bottom w:val="single" w:sz="8" w:space="0" w:color="DBDBDB"/>
            </w:tcBorders>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Edward J. Zoiss, 58</w:t>
            </w:r>
          </w:p>
        </w:tc>
        <w:tc>
          <w:tcPr>
            <w:tcW w:w="0" w:type="auto"/>
            <w:gridSpan w:val="3"/>
            <w:tcBorders>
              <w:top w:val="single" w:sz="8" w:space="0" w:color="DBDBDB"/>
              <w:bottom w:val="single" w:sz="8" w:space="0" w:color="DBDBDB"/>
            </w:tcBorders>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tcBorders>
              <w:top w:val="single" w:sz="8" w:space="0" w:color="DBDBDB"/>
              <w:bottom w:val="single" w:sz="8" w:space="0" w:color="DBDBDB"/>
            </w:tcBorders>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 xml:space="preserve">President, Space &amp; </w:t>
            </w:r>
            <w:r>
              <w:rPr>
                <w:rFonts w:ascii="IBM Plex Sans" w:eastAsia="Times New Roman" w:hAnsi="IBM Plex Sans"/>
                <w:color w:val="283030"/>
                <w:sz w:val="20"/>
                <w:szCs w:val="20"/>
              </w:rPr>
              <w:t>Airborne Systems since June 29, 2019. President, Electronic Systems from July 2015 to June 2019. Vice President and General Manager, Defense Programs, Government Communications Systems from June 2013 to July 2015.</w:t>
            </w:r>
          </w:p>
        </w:tc>
      </w:tr>
      <w:tr w:rsidR="00000000">
        <w:trPr>
          <w:divId w:val="340738706"/>
        </w:trPr>
        <w:tc>
          <w:tcPr>
            <w:tcW w:w="0" w:type="auto"/>
            <w:gridSpan w:val="3"/>
            <w:vAlign w:val="center"/>
            <w:hideMark/>
          </w:tcPr>
          <w:p w:rsidR="00000000" w:rsidRDefault="00F5481A">
            <w:pPr>
              <w:spacing w:after="100"/>
              <w:rPr>
                <w:rFonts w:eastAsia="Times New Roman"/>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340738706"/>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340738706"/>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340738706"/>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340738706"/>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340738706"/>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340738706"/>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340738706"/>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340738706"/>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bl>
    <w:p w:rsidR="00000000" w:rsidRDefault="00F5481A">
      <w:pPr>
        <w:ind w:firstLine="360"/>
        <w:divId w:val="136848984"/>
        <w:rPr>
          <w:rFonts w:eastAsia="Times New Roman"/>
        </w:rPr>
      </w:pPr>
      <w:r>
        <w:rPr>
          <w:rFonts w:ascii="IBM Plex Sans" w:eastAsia="Times New Roman" w:hAnsi="IBM Plex Sans"/>
          <w:color w:val="283030"/>
          <w:sz w:val="20"/>
          <w:szCs w:val="20"/>
        </w:rPr>
        <w:t>There is no family relation</w:t>
      </w:r>
      <w:r>
        <w:rPr>
          <w:rFonts w:ascii="IBM Plex Sans" w:eastAsia="Times New Roman" w:hAnsi="IBM Plex Sans"/>
          <w:color w:val="283030"/>
          <w:sz w:val="20"/>
          <w:szCs w:val="20"/>
        </w:rPr>
        <w:t>ship between any of our executive officers or directors. There are no arrangements or understandings between any of our executive officers or directors and any other person pursuant to which any of them was appointed or elected as an officer or director, o</w:t>
      </w:r>
      <w:r>
        <w:rPr>
          <w:rFonts w:ascii="IBM Plex Sans" w:eastAsia="Times New Roman" w:hAnsi="IBM Plex Sans"/>
          <w:color w:val="283030"/>
          <w:sz w:val="20"/>
          <w:szCs w:val="20"/>
        </w:rPr>
        <w:t>ther than arrangements or understandings with our directors or officers acting solely in their capacities as such. All of our executive officers are elected annually and serve at the pleasure of our Board of Directors.</w:t>
      </w:r>
    </w:p>
    <w:p w:rsidR="00000000" w:rsidRDefault="00F5481A">
      <w:pPr>
        <w:ind w:firstLine="360"/>
        <w:jc w:val="center"/>
        <w:divId w:val="568150385"/>
        <w:rPr>
          <w:rFonts w:eastAsia="Times New Roman"/>
        </w:rPr>
      </w:pPr>
    </w:p>
    <w:p w:rsidR="00000000" w:rsidRDefault="00F5481A">
      <w:pPr>
        <w:ind w:firstLine="360"/>
        <w:jc w:val="center"/>
        <w:divId w:val="156770179"/>
        <w:rPr>
          <w:rFonts w:eastAsia="Times New Roman"/>
        </w:rPr>
      </w:pPr>
      <w:r>
        <w:rPr>
          <w:rFonts w:ascii="Arial" w:eastAsia="Times New Roman" w:hAnsi="Arial" w:cs="Arial"/>
          <w:b/>
          <w:bCs/>
          <w:color w:val="016676"/>
        </w:rPr>
        <w:t>___________________________________</w:t>
      </w:r>
      <w:r>
        <w:rPr>
          <w:rFonts w:ascii="Arial" w:eastAsia="Times New Roman" w:hAnsi="Arial" w:cs="Arial"/>
          <w:b/>
          <w:bCs/>
          <w:color w:val="016676"/>
        </w:rPr>
        <w:t>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26</w:t>
      </w:r>
    </w:p>
    <w:p w:rsidR="00000000" w:rsidRDefault="00F5481A">
      <w:pPr>
        <w:rPr>
          <w:rFonts w:eastAsia="Times New Roman"/>
        </w:rPr>
      </w:pPr>
      <w:r>
        <w:rPr>
          <w:rFonts w:eastAsia="Times New Roman"/>
        </w:rPr>
        <w:pict>
          <v:rect id="_x0000_i1056" style="width:0;height:1.5pt" o:hralign="center" o:hrstd="t" o:hr="t" fillcolor="#a0a0a0" stroked="f"/>
        </w:pict>
      </w:r>
    </w:p>
    <w:p w:rsidR="00000000" w:rsidRDefault="00F5481A">
      <w:pPr>
        <w:ind w:firstLine="360"/>
        <w:divId w:val="55206182"/>
        <w:rPr>
          <w:rFonts w:eastAsia="Times New Roman"/>
        </w:rPr>
      </w:pPr>
    </w:p>
    <w:p w:rsidR="00000000" w:rsidRDefault="00F5481A">
      <w:pPr>
        <w:ind w:firstLine="360"/>
        <w:jc w:val="center"/>
        <w:divId w:val="155658414"/>
        <w:rPr>
          <w:rFonts w:eastAsia="Times New Roman"/>
        </w:rPr>
      </w:pPr>
      <w:r>
        <w:rPr>
          <w:rFonts w:ascii="IBM Plex Sans" w:eastAsia="Times New Roman" w:hAnsi="IBM Plex Sans"/>
          <w:b/>
          <w:bCs/>
          <w:color w:val="016676"/>
        </w:rPr>
        <w:t>PART II</w:t>
      </w:r>
      <w:r>
        <w:rPr>
          <w:rFonts w:ascii="IBM Plex Sans" w:eastAsia="Times New Roman" w:hAnsi="IBM Plex Sans"/>
          <w:color w:val="283030"/>
          <w:sz w:val="18"/>
          <w:szCs w:val="18"/>
        </w:rPr>
        <w:t> </w:t>
      </w:r>
    </w:p>
    <w:tbl>
      <w:tblPr>
        <w:tblW w:w="4899" w:type="pct"/>
        <w:tblCellMar>
          <w:top w:w="15" w:type="dxa"/>
          <w:left w:w="15" w:type="dxa"/>
          <w:bottom w:w="15" w:type="dxa"/>
          <w:right w:w="15" w:type="dxa"/>
        </w:tblCellMar>
        <w:tblLook w:val="04A0" w:firstRow="1" w:lastRow="0" w:firstColumn="1" w:lastColumn="0" w:noHBand="0" w:noVBand="1"/>
      </w:tblPr>
      <w:tblGrid>
        <w:gridCol w:w="68"/>
        <w:gridCol w:w="861"/>
        <w:gridCol w:w="36"/>
        <w:gridCol w:w="67"/>
        <w:gridCol w:w="7070"/>
        <w:gridCol w:w="36"/>
      </w:tblGrid>
      <w:tr w:rsidR="00000000">
        <w:trPr>
          <w:divId w:val="626741162"/>
        </w:trPr>
        <w:tc>
          <w:tcPr>
            <w:tcW w:w="50" w:type="pct"/>
            <w:vAlign w:val="center"/>
            <w:hideMark/>
          </w:tcPr>
          <w:p w:rsidR="00000000" w:rsidRDefault="00F5481A">
            <w:pPr>
              <w:ind w:firstLine="360"/>
              <w:jc w:val="center"/>
              <w:rPr>
                <w:rFonts w:eastAsia="Times New Roman"/>
              </w:rPr>
            </w:pPr>
          </w:p>
        </w:tc>
        <w:tc>
          <w:tcPr>
            <w:tcW w:w="53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351"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626741162"/>
        </w:trPr>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016676"/>
                <w:sz w:val="20"/>
                <w:szCs w:val="20"/>
              </w:rPr>
              <w:t> ITEM 5.</w:t>
            </w:r>
          </w:p>
        </w:tc>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283030"/>
                <w:sz w:val="20"/>
                <w:szCs w:val="20"/>
              </w:rPr>
              <w:t>MARKET FOR REGISTRANT’</w:t>
            </w:r>
            <w:r>
              <w:rPr>
                <w:rFonts w:ascii="IBM Plex Sans" w:eastAsia="Times New Roman" w:hAnsi="IBM Plex Sans"/>
                <w:b/>
                <w:bCs/>
                <w:color w:val="283030"/>
                <w:sz w:val="20"/>
                <w:szCs w:val="20"/>
              </w:rPr>
              <w:t>S COMMON EQUITY, RELATED STOCKHOLDER MATTERS AND ISSUER PURCHASES OF EQUITY SECURITIES.</w:t>
            </w:r>
          </w:p>
        </w:tc>
      </w:tr>
    </w:tbl>
    <w:p w:rsidR="00000000" w:rsidRDefault="00F5481A">
      <w:pPr>
        <w:divId w:val="1213616686"/>
        <w:rPr>
          <w:rFonts w:eastAsia="Times New Roman"/>
        </w:rPr>
      </w:pPr>
      <w:r>
        <w:rPr>
          <w:rFonts w:ascii="IBM Plex Sans SemiBold" w:eastAsia="Times New Roman" w:hAnsi="IBM Plex Sans SemiBold"/>
          <w:b/>
          <w:bCs/>
          <w:color w:val="016676"/>
          <w:sz w:val="20"/>
          <w:szCs w:val="20"/>
        </w:rPr>
        <w:t xml:space="preserve">Market Information </w:t>
      </w:r>
    </w:p>
    <w:p w:rsidR="00000000" w:rsidRDefault="00F5481A">
      <w:pPr>
        <w:ind w:firstLine="360"/>
        <w:divId w:val="1400907008"/>
        <w:rPr>
          <w:rFonts w:eastAsia="Times New Roman"/>
        </w:rPr>
      </w:pPr>
      <w:r>
        <w:rPr>
          <w:rFonts w:ascii="IBM Plex Sans" w:eastAsia="Times New Roman" w:hAnsi="IBM Plex Sans"/>
          <w:color w:val="283030"/>
          <w:sz w:val="20"/>
          <w:szCs w:val="20"/>
        </w:rPr>
        <w:t xml:space="preserve">Our common stock, par value $1.00 per share, is listed and traded on the NYSE, under the ticker symbol “LHX.” According to the records of our transfer agent, as of February 17, 2023, there were 10,087 holders of record of our common stock. </w:t>
      </w:r>
    </w:p>
    <w:p w:rsidR="00000000" w:rsidRDefault="00F5481A">
      <w:pPr>
        <w:divId w:val="23140959"/>
        <w:rPr>
          <w:rFonts w:eastAsia="Times New Roman"/>
        </w:rPr>
      </w:pPr>
      <w:r>
        <w:rPr>
          <w:rFonts w:ascii="IBM Plex Sans SemiBold" w:eastAsia="Times New Roman" w:hAnsi="IBM Plex Sans SemiBold"/>
          <w:b/>
          <w:bCs/>
          <w:color w:val="016676"/>
          <w:sz w:val="20"/>
          <w:szCs w:val="20"/>
        </w:rPr>
        <w:t>Dividends</w:t>
      </w:r>
    </w:p>
    <w:p w:rsidR="00000000" w:rsidRDefault="00F5481A">
      <w:pPr>
        <w:ind w:firstLine="360"/>
        <w:divId w:val="1252546566"/>
        <w:rPr>
          <w:rFonts w:eastAsia="Times New Roman"/>
        </w:rPr>
      </w:pPr>
      <w:r>
        <w:rPr>
          <w:rFonts w:ascii="IBM Plex Sans" w:eastAsia="Times New Roman" w:hAnsi="IBM Plex Sans"/>
          <w:color w:val="283030"/>
          <w:sz w:val="20"/>
          <w:szCs w:val="20"/>
        </w:rPr>
        <w:t>We pa</w:t>
      </w:r>
      <w:r>
        <w:rPr>
          <w:rFonts w:ascii="IBM Plex Sans" w:eastAsia="Times New Roman" w:hAnsi="IBM Plex Sans"/>
          <w:color w:val="283030"/>
          <w:sz w:val="20"/>
          <w:szCs w:val="20"/>
        </w:rPr>
        <w:t>id per share cash dividends on our common stock of $1.12 each quarterly period of fiscal 2022, $1.02 each quarterly period of fiscal 2021 and $.85 each quarterly period of fiscal 2020. On February 24, 2023, we announced that our Board of Directors increase</w:t>
      </w:r>
      <w:r>
        <w:rPr>
          <w:rFonts w:ascii="IBM Plex Sans" w:eastAsia="Times New Roman" w:hAnsi="IBM Plex Sans"/>
          <w:color w:val="283030"/>
          <w:sz w:val="20"/>
          <w:szCs w:val="20"/>
        </w:rPr>
        <w:t>d the quarterly per share cash dividend rate on our common stock from $1.12 to $1.14,</w:t>
      </w:r>
      <w:r>
        <w:rPr>
          <w:rFonts w:ascii="IBM Plex Sans" w:eastAsia="Times New Roman" w:hAnsi="IBM Plex Sans"/>
          <w:color w:val="FF0000"/>
          <w:sz w:val="20"/>
          <w:szCs w:val="20"/>
        </w:rPr>
        <w:t xml:space="preserve"> </w:t>
      </w:r>
      <w:r>
        <w:rPr>
          <w:rFonts w:ascii="IBM Plex Sans" w:eastAsia="Times New Roman" w:hAnsi="IBM Plex Sans"/>
          <w:color w:val="283030"/>
          <w:sz w:val="20"/>
          <w:szCs w:val="20"/>
        </w:rPr>
        <w:t>commencing with the dividend declared by our Board of Directors for the first quarter of fiscal 2023, for an annualized per share cash dividend rate</w:t>
      </w:r>
      <w:r>
        <w:rPr>
          <w:rFonts w:ascii="IBM Plex Sans" w:eastAsia="Times New Roman" w:hAnsi="IBM Plex Sans"/>
          <w:color w:val="FF0000"/>
          <w:sz w:val="20"/>
          <w:szCs w:val="20"/>
        </w:rPr>
        <w:t xml:space="preserve"> </w:t>
      </w:r>
      <w:r>
        <w:rPr>
          <w:rFonts w:ascii="IBM Plex Sans" w:eastAsia="Times New Roman" w:hAnsi="IBM Plex Sans"/>
          <w:color w:val="283030"/>
          <w:sz w:val="20"/>
          <w:szCs w:val="20"/>
        </w:rPr>
        <w:t>of $4.56, which was o</w:t>
      </w:r>
      <w:r>
        <w:rPr>
          <w:rFonts w:ascii="IBM Plex Sans" w:eastAsia="Times New Roman" w:hAnsi="IBM Plex Sans"/>
          <w:color w:val="283030"/>
          <w:sz w:val="20"/>
          <w:szCs w:val="20"/>
        </w:rPr>
        <w:t>ur twenty-second consecutive annual increase in our quarterly cash dividend rate. Our annualized per share cash dividend rate was $4.48 in fiscal 2022, $4.08 in fiscal 2021 and $3.40 in fiscal 2020. Quarterly cash dividends are typically paid in March, Jun</w:t>
      </w:r>
      <w:r>
        <w:rPr>
          <w:rFonts w:ascii="IBM Plex Sans" w:eastAsia="Times New Roman" w:hAnsi="IBM Plex Sans"/>
          <w:color w:val="283030"/>
          <w:sz w:val="20"/>
          <w:szCs w:val="20"/>
        </w:rPr>
        <w:t>e, September and December. We currently expect to continue paying and increasing the rates of cash dividends in the near future, but we can give no assurances concerning payment of future dividends or future dividend increases. The annual declaration of di</w:t>
      </w:r>
      <w:r>
        <w:rPr>
          <w:rFonts w:ascii="IBM Plex Sans" w:eastAsia="Times New Roman" w:hAnsi="IBM Plex Sans"/>
          <w:color w:val="283030"/>
          <w:sz w:val="20"/>
          <w:szCs w:val="20"/>
        </w:rPr>
        <w:t xml:space="preserve">vidends by our Board of Directors and the amount thereof will depend on a number of factors, including our financial condition, capital requirements, cash flows, results of operations, future business prospects and other factors our Board of Directors may </w:t>
      </w:r>
      <w:r>
        <w:rPr>
          <w:rFonts w:ascii="IBM Plex Sans" w:eastAsia="Times New Roman" w:hAnsi="IBM Plex Sans"/>
          <w:color w:val="283030"/>
          <w:sz w:val="20"/>
          <w:szCs w:val="20"/>
        </w:rPr>
        <w:t>deem relevant.</w:t>
      </w:r>
    </w:p>
    <w:p w:rsidR="00000000" w:rsidRDefault="00F5481A">
      <w:pPr>
        <w:divId w:val="6905287"/>
        <w:rPr>
          <w:rFonts w:eastAsia="Times New Roman"/>
        </w:rPr>
      </w:pPr>
      <w:r>
        <w:rPr>
          <w:rFonts w:ascii="IBM Plex Sans SemiBold" w:eastAsia="Times New Roman" w:hAnsi="IBM Plex Sans SemiBold"/>
          <w:b/>
          <w:bCs/>
          <w:color w:val="016676"/>
          <w:sz w:val="20"/>
          <w:szCs w:val="20"/>
        </w:rPr>
        <w:t>L3Harris Stock Performance Graph</w:t>
      </w:r>
    </w:p>
    <w:p w:rsidR="00000000" w:rsidRDefault="00F5481A">
      <w:pPr>
        <w:ind w:firstLine="360"/>
        <w:divId w:val="951857340"/>
        <w:rPr>
          <w:rFonts w:eastAsia="Times New Roman"/>
        </w:rPr>
      </w:pPr>
      <w:r>
        <w:rPr>
          <w:rFonts w:ascii="IBM Plex Sans" w:eastAsia="Times New Roman" w:hAnsi="IBM Plex Sans"/>
          <w:i/>
          <w:iCs/>
          <w:color w:val="283030"/>
          <w:sz w:val="20"/>
          <w:szCs w:val="20"/>
        </w:rPr>
        <w:t>The following performance graph and table do not constitute soliciting material and the performance graph and table should not be deemed filed or incorporated by reference into any other previous or future filings by us under the Securities Act or the Exch</w:t>
      </w:r>
      <w:r>
        <w:rPr>
          <w:rFonts w:ascii="IBM Plex Sans" w:eastAsia="Times New Roman" w:hAnsi="IBM Plex Sans"/>
          <w:i/>
          <w:iCs/>
          <w:color w:val="283030"/>
          <w:sz w:val="20"/>
          <w:szCs w:val="20"/>
        </w:rPr>
        <w:t>ange Act, except to the extent that we specifically incorporate the performance graph and table by reference therein.</w:t>
      </w:r>
    </w:p>
    <w:p w:rsidR="00000000" w:rsidRDefault="00F5481A">
      <w:pPr>
        <w:ind w:firstLine="360"/>
        <w:divId w:val="576331251"/>
        <w:rPr>
          <w:rFonts w:eastAsia="Times New Roman"/>
        </w:rPr>
      </w:pPr>
      <w:r>
        <w:rPr>
          <w:rFonts w:ascii="IBM Plex Sans" w:eastAsia="Times New Roman" w:hAnsi="IBM Plex Sans"/>
          <w:color w:val="283030"/>
          <w:sz w:val="20"/>
          <w:szCs w:val="20"/>
        </w:rPr>
        <w:t>The performance graph and table below compare each of the 2 fiscal years in the period ended June 28, 2019, the fiscal transition period f</w:t>
      </w:r>
      <w:r>
        <w:rPr>
          <w:rFonts w:ascii="IBM Plex Sans" w:eastAsia="Times New Roman" w:hAnsi="IBM Plex Sans"/>
          <w:color w:val="283030"/>
          <w:sz w:val="20"/>
          <w:szCs w:val="20"/>
        </w:rPr>
        <w:t>or the two quarters ended January 3, 2020, fiscal 2020, fiscal 2021 and fiscal 2022 cumulative total shareholder return, or TSR, of our common stock (the common stock of Harris Corporation prior to the L3Harris Merger on June 29, 2019, and the common stock</w:t>
      </w:r>
      <w:r>
        <w:rPr>
          <w:rFonts w:ascii="IBM Plex Sans" w:eastAsia="Times New Roman" w:hAnsi="IBM Plex Sans"/>
          <w:color w:val="283030"/>
          <w:sz w:val="20"/>
          <w:szCs w:val="20"/>
        </w:rPr>
        <w:t xml:space="preserve"> of L3Harris Technologies, Inc. after the L3Harris Merger) with the comparable cumulative total returns of the Standard &amp; Poor’s 500 Composite Stock Index (“S&amp;P 500”) and the Standard &amp; Poor’s 500 Aerospace &amp; Defense Index (“S&amp;P 500 Aerospace &amp; Defense”). </w:t>
      </w:r>
      <w:r>
        <w:rPr>
          <w:rFonts w:ascii="IBM Plex Sans" w:eastAsia="Times New Roman" w:hAnsi="IBM Plex Sans"/>
          <w:color w:val="283030"/>
          <w:sz w:val="20"/>
          <w:szCs w:val="20"/>
        </w:rPr>
        <w:t>The figures in the performance graph and table below assume an initial investment of $100 at the close of business on June 30, 2017 in L3Harris common stock, the S&amp;P 500 and the S&amp;P 500 Aerospace &amp; Defense and the reinvestment of all dividends.</w:t>
      </w:r>
    </w:p>
    <w:p w:rsidR="00000000" w:rsidRDefault="00F5481A">
      <w:pPr>
        <w:ind w:firstLine="360"/>
        <w:jc w:val="center"/>
        <w:divId w:val="2049261997"/>
        <w:rPr>
          <w:rFonts w:eastAsia="Times New Roman"/>
        </w:rPr>
      </w:pPr>
      <w:r>
        <w:rPr>
          <w:rFonts w:ascii="Arial" w:eastAsia="Times New Roman" w:hAnsi="Arial" w:cs="Arial"/>
          <w:b/>
          <w:bCs/>
          <w:color w:val="016676"/>
        </w:rPr>
        <w:t>___________</w:t>
      </w:r>
      <w:r>
        <w:rPr>
          <w:rFonts w:ascii="Arial" w:eastAsia="Times New Roman" w:hAnsi="Arial" w:cs="Arial"/>
          <w:b/>
          <w:bCs/>
          <w:color w:val="016676"/>
        </w:rPr>
        <w:t>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27</w:t>
      </w:r>
    </w:p>
    <w:p w:rsidR="00000000" w:rsidRDefault="00F5481A">
      <w:pPr>
        <w:rPr>
          <w:rFonts w:eastAsia="Times New Roman"/>
        </w:rPr>
      </w:pPr>
      <w:r>
        <w:rPr>
          <w:rFonts w:eastAsia="Times New Roman"/>
        </w:rPr>
        <w:pict>
          <v:rect id="_x0000_i1057" style="width:0;height:1.5pt" o:hralign="center" o:hrstd="t" o:hr="t" fillcolor="#a0a0a0" stroked="f"/>
        </w:pict>
      </w:r>
    </w:p>
    <w:p w:rsidR="00000000" w:rsidRDefault="00F5481A">
      <w:pPr>
        <w:ind w:firstLine="360"/>
        <w:divId w:val="1885560178"/>
        <w:rPr>
          <w:rFonts w:eastAsia="Times New Roman"/>
        </w:rPr>
      </w:pPr>
    </w:p>
    <w:p w:rsidR="00000000" w:rsidRDefault="00F5481A">
      <w:pPr>
        <w:ind w:firstLine="360"/>
        <w:jc w:val="center"/>
        <w:divId w:val="203104026"/>
        <w:rPr>
          <w:rFonts w:eastAsia="Times New Roman"/>
        </w:rPr>
      </w:pPr>
      <w:r>
        <w:rPr>
          <w:rFonts w:ascii="IBM Plex Sans" w:eastAsia="Times New Roman" w:hAnsi="IBM Plex Sans"/>
          <w:b/>
          <w:bCs/>
          <w:color w:val="283030"/>
          <w:sz w:val="20"/>
          <w:szCs w:val="20"/>
        </w:rPr>
        <w:t>COMPARISON OF EACH OF THE TWO FISCAL YEARS IN THE PERIOD ENDED JUNE 28, 2019 (PRIOR TO THE L3HARRIS MERGER), THE FISCAL TRANSITION PERIOD FOR THE TWO QUARTE</w:t>
      </w:r>
      <w:r>
        <w:rPr>
          <w:rFonts w:ascii="IBM Plex Sans" w:eastAsia="Times New Roman" w:hAnsi="IBM Plex Sans"/>
          <w:b/>
          <w:bCs/>
          <w:color w:val="283030"/>
          <w:sz w:val="20"/>
          <w:szCs w:val="20"/>
        </w:rPr>
        <w:t>RS ENDED JANUARY 3, 2020, FISCAL 2020, FISCAL 2021 AND FISCAL 2022 CUMULATIVE TOTAL RETURN AMONG L3HARRIS, S&amp;P 500 AND S&amp;P 500 AEROSPACE &amp; DEFENSE</w:t>
      </w:r>
    </w:p>
    <w:p w:rsidR="00000000" w:rsidRDefault="00F5481A">
      <w:pPr>
        <w:jc w:val="center"/>
        <w:divId w:val="1039669977"/>
        <w:rPr>
          <w:rFonts w:eastAsia="Times New Roman"/>
        </w:rPr>
      </w:pPr>
    </w:p>
    <w:p w:rsidR="00000000" w:rsidRDefault="00F5481A">
      <w:pPr>
        <w:spacing w:after="100"/>
        <w:ind w:firstLine="360"/>
        <w:jc w:val="center"/>
        <w:divId w:val="145558569"/>
        <w:rPr>
          <w:rFonts w:eastAsia="Times New Roman"/>
        </w:rPr>
      </w:pPr>
      <w:r>
        <w:rPr>
          <w:rFonts w:eastAsia="Times New Roman"/>
          <w:noProof/>
        </w:rPr>
        <w:drawing>
          <wp:inline distT="0" distB="0" distL="0" distR="0">
            <wp:extent cx="304800" cy="3048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5000" w:type="pct"/>
        <w:tblCellMar>
          <w:top w:w="15" w:type="dxa"/>
          <w:left w:w="15" w:type="dxa"/>
          <w:bottom w:w="15" w:type="dxa"/>
          <w:right w:w="15" w:type="dxa"/>
        </w:tblCellMar>
        <w:tblLook w:val="04A0" w:firstRow="1" w:lastRow="0" w:firstColumn="1" w:lastColumn="0" w:noHBand="0" w:noVBand="1"/>
      </w:tblPr>
      <w:tblGrid>
        <w:gridCol w:w="54"/>
        <w:gridCol w:w="1805"/>
        <w:gridCol w:w="37"/>
        <w:gridCol w:w="132"/>
        <w:gridCol w:w="596"/>
        <w:gridCol w:w="36"/>
        <w:gridCol w:w="132"/>
        <w:gridCol w:w="596"/>
        <w:gridCol w:w="36"/>
        <w:gridCol w:w="132"/>
        <w:gridCol w:w="596"/>
        <w:gridCol w:w="36"/>
        <w:gridCol w:w="133"/>
        <w:gridCol w:w="740"/>
        <w:gridCol w:w="36"/>
        <w:gridCol w:w="133"/>
        <w:gridCol w:w="740"/>
        <w:gridCol w:w="36"/>
        <w:gridCol w:w="133"/>
        <w:gridCol w:w="981"/>
        <w:gridCol w:w="36"/>
        <w:gridCol w:w="133"/>
        <w:gridCol w:w="981"/>
        <w:gridCol w:w="36"/>
      </w:tblGrid>
      <w:tr w:rsidR="00000000">
        <w:trPr>
          <w:divId w:val="647515508"/>
        </w:trPr>
        <w:tc>
          <w:tcPr>
            <w:tcW w:w="50" w:type="pct"/>
            <w:vAlign w:val="center"/>
            <w:hideMark/>
          </w:tcPr>
          <w:p w:rsidR="00000000" w:rsidRDefault="00F5481A">
            <w:pPr>
              <w:ind w:firstLine="360"/>
              <w:jc w:val="center"/>
              <w:rPr>
                <w:rFonts w:eastAsia="Times New Roman"/>
              </w:rPr>
            </w:pPr>
          </w:p>
        </w:tc>
        <w:tc>
          <w:tcPr>
            <w:tcW w:w="1144"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397"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397"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397"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8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8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627"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627"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647515508"/>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L3HARRIS PERIOD END</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20"/>
                <w:szCs w:val="20"/>
              </w:rPr>
              <w:t>June 30,</w:t>
            </w:r>
            <w:r>
              <w:rPr>
                <w:rFonts w:ascii="IBM Plex Sans" w:eastAsia="Times New Roman" w:hAnsi="IBM Plex Sans"/>
                <w:b/>
                <w:bCs/>
                <w:color w:val="283030"/>
                <w:sz w:val="20"/>
                <w:szCs w:val="20"/>
              </w:rPr>
              <w:br/>
              <w:t>2017</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20"/>
                <w:szCs w:val="20"/>
              </w:rPr>
              <w:t>June 29,</w:t>
            </w:r>
            <w:r>
              <w:rPr>
                <w:rFonts w:ascii="IBM Plex Sans" w:eastAsia="Times New Roman" w:hAnsi="IBM Plex Sans"/>
                <w:b/>
                <w:bCs/>
                <w:color w:val="283030"/>
                <w:sz w:val="20"/>
                <w:szCs w:val="20"/>
              </w:rPr>
              <w:br/>
              <w:t>2018</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20"/>
                <w:szCs w:val="20"/>
              </w:rPr>
              <w:t>June 28,</w:t>
            </w:r>
            <w:r>
              <w:rPr>
                <w:rFonts w:ascii="IBM Plex Sans" w:eastAsia="Times New Roman" w:hAnsi="IBM Plex Sans"/>
                <w:b/>
                <w:bCs/>
                <w:color w:val="283030"/>
                <w:sz w:val="20"/>
                <w:szCs w:val="20"/>
              </w:rPr>
              <w:br/>
              <w:t>2019</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20"/>
                <w:szCs w:val="20"/>
              </w:rPr>
              <w:t>January 3,</w:t>
            </w:r>
            <w:r>
              <w:rPr>
                <w:rFonts w:ascii="IBM Plex Sans" w:eastAsia="Times New Roman" w:hAnsi="IBM Plex Sans"/>
                <w:b/>
                <w:bCs/>
                <w:color w:val="283030"/>
                <w:sz w:val="20"/>
                <w:szCs w:val="20"/>
              </w:rPr>
              <w:br/>
              <w:t>2020</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20"/>
                <w:szCs w:val="20"/>
              </w:rPr>
              <w:t>January 1,</w:t>
            </w:r>
            <w:r>
              <w:rPr>
                <w:rFonts w:ascii="IBM Plex Sans" w:eastAsia="Times New Roman" w:hAnsi="IBM Plex Sans"/>
                <w:b/>
                <w:bCs/>
                <w:color w:val="283030"/>
                <w:sz w:val="20"/>
                <w:szCs w:val="20"/>
              </w:rPr>
              <w:br/>
              <w:t>2021</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20"/>
                <w:szCs w:val="20"/>
              </w:rPr>
              <w:t>December 31,</w:t>
            </w:r>
            <w:r>
              <w:rPr>
                <w:rFonts w:ascii="IBM Plex Sans" w:eastAsia="Times New Roman" w:hAnsi="IBM Plex Sans"/>
                <w:b/>
                <w:bCs/>
                <w:color w:val="283030"/>
                <w:sz w:val="20"/>
                <w:szCs w:val="20"/>
              </w:rPr>
              <w:br/>
              <w:t>2021</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20"/>
                <w:szCs w:val="20"/>
              </w:rPr>
              <w:t>December 30,</w:t>
            </w:r>
            <w:r>
              <w:rPr>
                <w:rFonts w:ascii="IBM Plex Sans" w:eastAsia="Times New Roman" w:hAnsi="IBM Plex Sans"/>
                <w:b/>
                <w:bCs/>
                <w:color w:val="283030"/>
                <w:sz w:val="20"/>
                <w:szCs w:val="20"/>
              </w:rPr>
              <w:br/>
              <w:t>2022</w:t>
            </w:r>
          </w:p>
        </w:tc>
      </w:tr>
      <w:tr w:rsidR="00000000">
        <w:trPr>
          <w:divId w:val="647515508"/>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L3Harris Technologies, Inc.</w:t>
            </w:r>
          </w:p>
        </w:tc>
        <w:tc>
          <w:tcPr>
            <w:tcW w:w="0" w:type="auto"/>
            <w:tcBorders>
              <w:top w:val="single" w:sz="8" w:space="0" w:color="000000"/>
              <w:left w:val="single" w:sz="8" w:space="0" w:color="000000"/>
            </w:tcBorders>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100 </w:t>
            </w:r>
          </w:p>
        </w:tc>
        <w:tc>
          <w:tcPr>
            <w:tcW w:w="0" w:type="auto"/>
            <w:tcBorders>
              <w:top w:val="single" w:sz="8" w:space="0" w:color="000000"/>
            </w:tcBorders>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tcBorders>
              <w:top w:val="single" w:sz="8" w:space="0" w:color="000000"/>
              <w:left w:val="single" w:sz="8" w:space="0" w:color="000000"/>
            </w:tcBorders>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135 </w:t>
            </w:r>
          </w:p>
        </w:tc>
        <w:tc>
          <w:tcPr>
            <w:tcW w:w="0" w:type="auto"/>
            <w:tcBorders>
              <w:top w:val="single" w:sz="8" w:space="0" w:color="000000"/>
            </w:tcBorders>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tcBorders>
              <w:top w:val="single" w:sz="8" w:space="0" w:color="000000"/>
              <w:left w:val="single" w:sz="8" w:space="0" w:color="000000"/>
            </w:tcBorders>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179 </w:t>
            </w:r>
          </w:p>
        </w:tc>
        <w:tc>
          <w:tcPr>
            <w:tcW w:w="0" w:type="auto"/>
            <w:tcBorders>
              <w:top w:val="single" w:sz="8" w:space="0" w:color="000000"/>
            </w:tcBorders>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tcBorders>
              <w:top w:val="single" w:sz="8" w:space="0" w:color="000000"/>
              <w:left w:val="single" w:sz="8" w:space="0" w:color="000000"/>
            </w:tcBorders>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201 </w:t>
            </w:r>
          </w:p>
        </w:tc>
        <w:tc>
          <w:tcPr>
            <w:tcW w:w="0" w:type="auto"/>
            <w:tcBorders>
              <w:top w:val="single" w:sz="8" w:space="0" w:color="000000"/>
            </w:tcBorders>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tcBorders>
              <w:top w:val="single" w:sz="8" w:space="0" w:color="000000"/>
              <w:left w:val="single" w:sz="8" w:space="0" w:color="000000"/>
            </w:tcBorders>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184 </w:t>
            </w:r>
          </w:p>
        </w:tc>
        <w:tc>
          <w:tcPr>
            <w:tcW w:w="0" w:type="auto"/>
            <w:tcBorders>
              <w:top w:val="single" w:sz="8" w:space="0" w:color="000000"/>
            </w:tcBorders>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tcBorders>
              <w:top w:val="single" w:sz="8" w:space="0" w:color="000000"/>
              <w:left w:val="single" w:sz="8" w:space="0" w:color="000000"/>
            </w:tcBorders>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211 </w:t>
            </w:r>
          </w:p>
        </w:tc>
        <w:tc>
          <w:tcPr>
            <w:tcW w:w="0" w:type="auto"/>
            <w:tcBorders>
              <w:top w:val="single" w:sz="8" w:space="0" w:color="000000"/>
            </w:tcBorders>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tcBorders>
              <w:top w:val="single" w:sz="8" w:space="0" w:color="000000"/>
              <w:left w:val="single" w:sz="8" w:space="0" w:color="000000"/>
            </w:tcBorders>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210 </w:t>
            </w:r>
          </w:p>
        </w:tc>
        <w:tc>
          <w:tcPr>
            <w:tcW w:w="0" w:type="auto"/>
            <w:tcBorders>
              <w:top w:val="single" w:sz="8" w:space="0" w:color="000000"/>
              <w:right w:val="single" w:sz="8" w:space="0" w:color="000000"/>
            </w:tcBorders>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647515508"/>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S&amp;P 500</w:t>
            </w:r>
          </w:p>
        </w:tc>
        <w:tc>
          <w:tcPr>
            <w:tcW w:w="0" w:type="auto"/>
            <w:tcBorders>
              <w:top w:val="single" w:sz="8" w:space="0" w:color="000000"/>
              <w:left w:val="single" w:sz="8" w:space="0" w:color="000000"/>
            </w:tcBorders>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100 </w:t>
            </w:r>
          </w:p>
        </w:tc>
        <w:tc>
          <w:tcPr>
            <w:tcW w:w="0" w:type="auto"/>
            <w:tcBorders>
              <w:top w:val="single" w:sz="8" w:space="0" w:color="000000"/>
            </w:tcBorders>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tcBorders>
              <w:top w:val="single" w:sz="8" w:space="0" w:color="000000"/>
              <w:left w:val="single" w:sz="8" w:space="0" w:color="000000"/>
            </w:tcBorders>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114 </w:t>
            </w:r>
          </w:p>
        </w:tc>
        <w:tc>
          <w:tcPr>
            <w:tcW w:w="0" w:type="auto"/>
            <w:tcBorders>
              <w:top w:val="single" w:sz="8" w:space="0" w:color="000000"/>
            </w:tcBorders>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tcBorders>
              <w:top w:val="single" w:sz="8" w:space="0" w:color="000000"/>
              <w:left w:val="single" w:sz="8" w:space="0" w:color="000000"/>
            </w:tcBorders>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126 </w:t>
            </w:r>
          </w:p>
        </w:tc>
        <w:tc>
          <w:tcPr>
            <w:tcW w:w="0" w:type="auto"/>
            <w:tcBorders>
              <w:top w:val="single" w:sz="8" w:space="0" w:color="000000"/>
            </w:tcBorders>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tcBorders>
              <w:top w:val="single" w:sz="8" w:space="0" w:color="000000"/>
              <w:left w:val="single" w:sz="8" w:space="0" w:color="000000"/>
            </w:tcBorders>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140 </w:t>
            </w:r>
          </w:p>
        </w:tc>
        <w:tc>
          <w:tcPr>
            <w:tcW w:w="0" w:type="auto"/>
            <w:tcBorders>
              <w:top w:val="single" w:sz="8" w:space="0" w:color="000000"/>
            </w:tcBorders>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tcBorders>
              <w:top w:val="single" w:sz="8" w:space="0" w:color="000000"/>
              <w:left w:val="single" w:sz="8" w:space="0" w:color="000000"/>
            </w:tcBorders>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166 </w:t>
            </w:r>
          </w:p>
        </w:tc>
        <w:tc>
          <w:tcPr>
            <w:tcW w:w="0" w:type="auto"/>
            <w:tcBorders>
              <w:top w:val="single" w:sz="8" w:space="0" w:color="000000"/>
            </w:tcBorders>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tcBorders>
              <w:top w:val="single" w:sz="8" w:space="0" w:color="000000"/>
              <w:left w:val="single" w:sz="8" w:space="0" w:color="000000"/>
            </w:tcBorders>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213 </w:t>
            </w:r>
          </w:p>
        </w:tc>
        <w:tc>
          <w:tcPr>
            <w:tcW w:w="0" w:type="auto"/>
            <w:tcBorders>
              <w:top w:val="single" w:sz="8" w:space="0" w:color="000000"/>
            </w:tcBorders>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tcBorders>
              <w:top w:val="single" w:sz="8" w:space="0" w:color="000000"/>
              <w:left w:val="single" w:sz="8" w:space="0" w:color="000000"/>
            </w:tcBorders>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175 </w:t>
            </w:r>
          </w:p>
        </w:tc>
        <w:tc>
          <w:tcPr>
            <w:tcW w:w="0" w:type="auto"/>
            <w:tcBorders>
              <w:top w:val="single" w:sz="8" w:space="0" w:color="000000"/>
              <w:right w:val="single" w:sz="8" w:space="0" w:color="000000"/>
            </w:tcBorders>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647515508"/>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S&amp;P 500 Aerospace &amp; Defense</w:t>
            </w:r>
          </w:p>
        </w:tc>
        <w:tc>
          <w:tcPr>
            <w:tcW w:w="0" w:type="auto"/>
            <w:tcBorders>
              <w:top w:val="single" w:sz="8" w:space="0" w:color="000000"/>
              <w:left w:val="single" w:sz="8" w:space="0" w:color="000000"/>
              <w:bottom w:val="single" w:sz="8" w:space="0" w:color="000000"/>
            </w:tcBorders>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single" w:sz="8" w:space="0" w:color="000000"/>
            </w:tcBorders>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100 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tcBorders>
              <w:top w:val="single" w:sz="8" w:space="0" w:color="000000"/>
              <w:left w:val="single" w:sz="8" w:space="0" w:color="000000"/>
              <w:bottom w:val="single" w:sz="8" w:space="0" w:color="000000"/>
            </w:tcBorders>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single" w:sz="8" w:space="0" w:color="000000"/>
            </w:tcBorders>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125 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tcBorders>
              <w:top w:val="single" w:sz="8" w:space="0" w:color="000000"/>
              <w:left w:val="single" w:sz="8" w:space="0" w:color="000000"/>
              <w:bottom w:val="single" w:sz="8" w:space="0" w:color="000000"/>
            </w:tcBorders>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single" w:sz="8" w:space="0" w:color="000000"/>
            </w:tcBorders>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139 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tcBorders>
              <w:top w:val="single" w:sz="8" w:space="0" w:color="000000"/>
              <w:left w:val="single" w:sz="8" w:space="0" w:color="000000"/>
              <w:bottom w:val="single" w:sz="8" w:space="0" w:color="000000"/>
            </w:tcBorders>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single" w:sz="8" w:space="0" w:color="000000"/>
            </w:tcBorders>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152 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tcBorders>
              <w:top w:val="single" w:sz="8" w:space="0" w:color="000000"/>
              <w:left w:val="single" w:sz="8" w:space="0" w:color="000000"/>
              <w:bottom w:val="single" w:sz="8" w:space="0" w:color="000000"/>
            </w:tcBorders>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single" w:sz="8" w:space="0" w:color="000000"/>
            </w:tcBorders>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123 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tcBorders>
              <w:top w:val="single" w:sz="8" w:space="0" w:color="000000"/>
              <w:left w:val="single" w:sz="8" w:space="0" w:color="000000"/>
              <w:bottom w:val="single" w:sz="8" w:space="0" w:color="000000"/>
            </w:tcBorders>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single" w:sz="8" w:space="0" w:color="000000"/>
            </w:tcBorders>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139 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tcBorders>
              <w:top w:val="single" w:sz="8" w:space="0" w:color="000000"/>
              <w:left w:val="single" w:sz="8" w:space="0" w:color="000000"/>
              <w:bottom w:val="single" w:sz="8" w:space="0" w:color="000000"/>
            </w:tcBorders>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single" w:sz="8" w:space="0" w:color="000000"/>
            </w:tcBorders>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163 </w:t>
            </w:r>
          </w:p>
        </w:tc>
        <w:tc>
          <w:tcPr>
            <w:tcW w:w="0" w:type="auto"/>
            <w:tcBorders>
              <w:top w:val="single" w:sz="8" w:space="0" w:color="000000"/>
              <w:bottom w:val="single" w:sz="8" w:space="0" w:color="000000"/>
              <w:right w:val="single" w:sz="8" w:space="0" w:color="000000"/>
            </w:tcBorders>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647515508"/>
        </w:trPr>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647515508"/>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647515508"/>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647515508"/>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647515508"/>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647515508"/>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bl>
    <w:p w:rsidR="00000000" w:rsidRDefault="00F5481A">
      <w:pPr>
        <w:divId w:val="85884746"/>
        <w:rPr>
          <w:rFonts w:eastAsia="Times New Roman"/>
        </w:rPr>
      </w:pPr>
      <w:r>
        <w:rPr>
          <w:rFonts w:ascii="IBM Plex Sans SemiBold" w:eastAsia="Times New Roman" w:hAnsi="IBM Plex Sans SemiBold"/>
          <w:b/>
          <w:bCs/>
          <w:color w:val="016676"/>
          <w:sz w:val="20"/>
          <w:szCs w:val="20"/>
        </w:rPr>
        <w:t>Recent Sales of Unregistered Securities</w:t>
      </w:r>
    </w:p>
    <w:p w:rsidR="00000000" w:rsidRDefault="00F5481A">
      <w:pPr>
        <w:ind w:firstLine="360"/>
        <w:divId w:val="1936280968"/>
        <w:rPr>
          <w:rFonts w:eastAsia="Times New Roman"/>
        </w:rPr>
      </w:pPr>
      <w:r>
        <w:rPr>
          <w:rFonts w:ascii="IBM Plex Sans" w:eastAsia="Times New Roman" w:hAnsi="IBM Plex Sans"/>
          <w:color w:val="283030"/>
          <w:sz w:val="20"/>
          <w:szCs w:val="20"/>
        </w:rPr>
        <w:t xml:space="preserve">During fiscal 2022, </w:t>
      </w:r>
      <w:r>
        <w:rPr>
          <w:rFonts w:ascii="IBM Plex Sans" w:eastAsia="Times New Roman" w:hAnsi="IBM Plex Sans"/>
          <w:color w:val="283030"/>
          <w:sz w:val="20"/>
          <w:szCs w:val="20"/>
        </w:rPr>
        <w:t>we did not issue or sell any unregistered securities.</w:t>
      </w:r>
    </w:p>
    <w:p w:rsidR="00000000" w:rsidRDefault="00F5481A">
      <w:pPr>
        <w:divId w:val="2062365824"/>
        <w:rPr>
          <w:rFonts w:eastAsia="Times New Roman"/>
        </w:rPr>
      </w:pPr>
      <w:r>
        <w:rPr>
          <w:rFonts w:ascii="IBM Plex Sans SemiBold" w:eastAsia="Times New Roman" w:hAnsi="IBM Plex Sans SemiBold"/>
          <w:b/>
          <w:bCs/>
          <w:color w:val="016676"/>
          <w:sz w:val="20"/>
          <w:szCs w:val="20"/>
        </w:rPr>
        <w:t>Issuer Purchases of Equity Securities</w:t>
      </w:r>
    </w:p>
    <w:p w:rsidR="00000000" w:rsidRDefault="00F5481A">
      <w:pPr>
        <w:ind w:firstLine="360"/>
        <w:divId w:val="564220414"/>
        <w:rPr>
          <w:rFonts w:eastAsia="Times New Roman"/>
        </w:rPr>
      </w:pPr>
      <w:r>
        <w:rPr>
          <w:rFonts w:ascii="IBM Plex Sans" w:eastAsia="Times New Roman" w:hAnsi="IBM Plex Sans"/>
          <w:color w:val="283030"/>
          <w:sz w:val="20"/>
          <w:szCs w:val="20"/>
        </w:rPr>
        <w:t>On January 28, 2021, we announced that our Board of Directors approved a $6.0 billion share repurchase authorization under our repurchase program that was in additi</w:t>
      </w:r>
      <w:r>
        <w:rPr>
          <w:rFonts w:ascii="IBM Plex Sans" w:eastAsia="Times New Roman" w:hAnsi="IBM Plex Sans"/>
          <w:color w:val="283030"/>
          <w:sz w:val="20"/>
          <w:szCs w:val="20"/>
        </w:rPr>
        <w:t>on to the remaining unused authorization of $210 million as of January 1, 2021. On October 21, 2022, we announced that our Board of Directors approved an additional $3.0 billion share repurchase authorization.</w:t>
      </w:r>
    </w:p>
    <w:p w:rsidR="00000000" w:rsidRDefault="00F5481A">
      <w:pPr>
        <w:ind w:firstLine="360"/>
        <w:divId w:val="540283231"/>
        <w:rPr>
          <w:rFonts w:eastAsia="Times New Roman"/>
        </w:rPr>
      </w:pPr>
      <w:r>
        <w:rPr>
          <w:rFonts w:ascii="IBM Plex Sans" w:eastAsia="Times New Roman" w:hAnsi="IBM Plex Sans"/>
          <w:color w:val="283030"/>
          <w:sz w:val="20"/>
          <w:szCs w:val="20"/>
        </w:rPr>
        <w:t>During fiscal 2022, we repurchased 4.7 million</w:t>
      </w:r>
      <w:r>
        <w:rPr>
          <w:rFonts w:ascii="IBM Plex Sans" w:eastAsia="Times New Roman" w:hAnsi="IBM Plex Sans"/>
          <w:color w:val="283030"/>
          <w:sz w:val="20"/>
          <w:szCs w:val="20"/>
        </w:rPr>
        <w:t xml:space="preserve"> shares of our common stock under our share repurchase program for $1.1 billion at an average share price of $231.44, excluding commissions of $0.02 per share. During fiscal 2021, we repurchased 17.1 million shares of our common stock under our share repur</w:t>
      </w:r>
      <w:r>
        <w:rPr>
          <w:rFonts w:ascii="IBM Plex Sans" w:eastAsia="Times New Roman" w:hAnsi="IBM Plex Sans"/>
          <w:color w:val="283030"/>
          <w:sz w:val="20"/>
          <w:szCs w:val="20"/>
        </w:rPr>
        <w:t xml:space="preserve">chase program for $3.7 billion at an average share price of $215.28, excluding commissions of $0.02 per share. The level and timing of our repurchases depends on a number of factors, including our financial condition, capital requirements, cash flows, </w:t>
      </w:r>
    </w:p>
    <w:p w:rsidR="00000000" w:rsidRDefault="00F5481A">
      <w:pPr>
        <w:ind w:firstLine="360"/>
        <w:jc w:val="center"/>
        <w:divId w:val="1912543887"/>
        <w:rPr>
          <w:rFonts w:eastAsia="Times New Roman"/>
        </w:rPr>
      </w:pPr>
      <w:r>
        <w:rPr>
          <w:rFonts w:ascii="Arial" w:eastAsia="Times New Roman" w:hAnsi="Arial" w:cs="Arial"/>
          <w:b/>
          <w:bCs/>
          <w:color w:val="016676"/>
        </w:rPr>
        <w:t>___</w:t>
      </w:r>
      <w:r>
        <w:rPr>
          <w:rFonts w:ascii="Arial" w:eastAsia="Times New Roman" w:hAnsi="Arial" w:cs="Arial"/>
          <w:b/>
          <w:bCs/>
          <w:color w:val="016676"/>
        </w:rPr>
        <w:t>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28</w:t>
      </w:r>
    </w:p>
    <w:p w:rsidR="00000000" w:rsidRDefault="00F5481A">
      <w:pPr>
        <w:rPr>
          <w:rFonts w:eastAsia="Times New Roman"/>
        </w:rPr>
      </w:pPr>
      <w:r>
        <w:rPr>
          <w:rFonts w:eastAsia="Times New Roman"/>
        </w:rPr>
        <w:pict>
          <v:rect id="_x0000_i1059" style="width:0;height:1.5pt" o:hralign="center" o:hrstd="t" o:hr="t" fillcolor="#a0a0a0" stroked="f"/>
        </w:pict>
      </w:r>
    </w:p>
    <w:p w:rsidR="00000000" w:rsidRDefault="00F5481A">
      <w:pPr>
        <w:ind w:firstLine="360"/>
        <w:divId w:val="1498110788"/>
        <w:rPr>
          <w:rFonts w:eastAsia="Times New Roman"/>
        </w:rPr>
      </w:pPr>
    </w:p>
    <w:p w:rsidR="00000000" w:rsidRDefault="00F5481A">
      <w:pPr>
        <w:divId w:val="734157251"/>
        <w:rPr>
          <w:rFonts w:eastAsia="Times New Roman"/>
        </w:rPr>
      </w:pPr>
      <w:r>
        <w:rPr>
          <w:rFonts w:ascii="IBM Plex Sans" w:eastAsia="Times New Roman" w:hAnsi="IBM Plex Sans"/>
          <w:color w:val="283030"/>
          <w:sz w:val="20"/>
          <w:szCs w:val="20"/>
        </w:rPr>
        <w:t>results of operations, future business prospects and other factors our Board of Directors and management may deem relevant. The timing, volume and nature of repurchases are subject to market conditions, applicable secu</w:t>
      </w:r>
      <w:r>
        <w:rPr>
          <w:rFonts w:ascii="IBM Plex Sans" w:eastAsia="Times New Roman" w:hAnsi="IBM Plex Sans"/>
          <w:color w:val="283030"/>
          <w:sz w:val="20"/>
          <w:szCs w:val="20"/>
        </w:rPr>
        <w:t>rities laws and other factors and are at our discretion and may be suspended or discontinued at any time. Shares repurchased by us are cancelled and retired. The following table sets forth information with respect to repurchases by us of our common stock d</w:t>
      </w:r>
      <w:r>
        <w:rPr>
          <w:rFonts w:ascii="IBM Plex Sans" w:eastAsia="Times New Roman" w:hAnsi="IBM Plex Sans"/>
          <w:color w:val="283030"/>
          <w:sz w:val="20"/>
          <w:szCs w:val="20"/>
        </w:rPr>
        <w:t>uring the fiscal quarter ended December 30, 2022:</w:t>
      </w:r>
    </w:p>
    <w:tbl>
      <w:tblPr>
        <w:tblW w:w="5000" w:type="pct"/>
        <w:tblCellMar>
          <w:top w:w="15" w:type="dxa"/>
          <w:left w:w="15" w:type="dxa"/>
          <w:bottom w:w="15" w:type="dxa"/>
          <w:right w:w="15" w:type="dxa"/>
        </w:tblCellMar>
        <w:tblLook w:val="04A0" w:firstRow="1" w:lastRow="0" w:firstColumn="1" w:lastColumn="0" w:noHBand="0" w:noVBand="1"/>
      </w:tblPr>
      <w:tblGrid>
        <w:gridCol w:w="39"/>
        <w:gridCol w:w="2114"/>
        <w:gridCol w:w="38"/>
        <w:gridCol w:w="99"/>
        <w:gridCol w:w="1302"/>
        <w:gridCol w:w="36"/>
        <w:gridCol w:w="36"/>
        <w:gridCol w:w="36"/>
        <w:gridCol w:w="36"/>
        <w:gridCol w:w="133"/>
        <w:gridCol w:w="1048"/>
        <w:gridCol w:w="36"/>
        <w:gridCol w:w="36"/>
        <w:gridCol w:w="36"/>
        <w:gridCol w:w="36"/>
        <w:gridCol w:w="114"/>
        <w:gridCol w:w="1507"/>
        <w:gridCol w:w="36"/>
        <w:gridCol w:w="36"/>
        <w:gridCol w:w="36"/>
        <w:gridCol w:w="36"/>
        <w:gridCol w:w="102"/>
        <w:gridCol w:w="1342"/>
        <w:gridCol w:w="36"/>
      </w:tblGrid>
      <w:tr w:rsidR="00000000">
        <w:trPr>
          <w:divId w:val="734157251"/>
        </w:trPr>
        <w:tc>
          <w:tcPr>
            <w:tcW w:w="50" w:type="pct"/>
            <w:vAlign w:val="center"/>
            <w:hideMark/>
          </w:tcPr>
          <w:p w:rsidR="00000000" w:rsidRDefault="00F5481A">
            <w:pPr>
              <w:rPr>
                <w:rFonts w:eastAsia="Times New Roman"/>
              </w:rPr>
            </w:pPr>
          </w:p>
        </w:tc>
        <w:tc>
          <w:tcPr>
            <w:tcW w:w="198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66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66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66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66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734157251"/>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Period*</w:t>
            </w: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Total number of</w:t>
            </w:r>
            <w:r>
              <w:rPr>
                <w:rFonts w:ascii="IBM Plex Sans" w:eastAsia="Times New Roman" w:hAnsi="IBM Plex Sans"/>
                <w:b/>
                <w:bCs/>
                <w:color w:val="283030"/>
                <w:sz w:val="16"/>
                <w:szCs w:val="16"/>
              </w:rPr>
              <w:br/>
              <w:t>shares purchased</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Average price</w:t>
            </w:r>
            <w:r>
              <w:rPr>
                <w:rFonts w:ascii="IBM Plex Sans" w:eastAsia="Times New Roman" w:hAnsi="IBM Plex Sans"/>
                <w:b/>
                <w:bCs/>
                <w:color w:val="283030"/>
                <w:sz w:val="16"/>
                <w:szCs w:val="16"/>
              </w:rPr>
              <w:br/>
              <w:t>paid per share</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Total number of</w:t>
            </w:r>
          </w:p>
          <w:p w:rsidR="00000000" w:rsidRDefault="00F5481A">
            <w:pPr>
              <w:spacing w:after="100"/>
              <w:jc w:val="center"/>
              <w:rPr>
                <w:rFonts w:eastAsia="Times New Roman"/>
              </w:rPr>
            </w:pPr>
            <w:r>
              <w:rPr>
                <w:rFonts w:ascii="IBM Plex Sans" w:eastAsia="Times New Roman" w:hAnsi="IBM Plex Sans"/>
                <w:b/>
                <w:bCs/>
                <w:color w:val="283030"/>
                <w:sz w:val="16"/>
                <w:szCs w:val="16"/>
              </w:rPr>
              <w:t>shares purchased as part of publicly</w:t>
            </w:r>
          </w:p>
          <w:p w:rsidR="00000000" w:rsidRDefault="00F5481A">
            <w:pPr>
              <w:spacing w:after="100"/>
              <w:jc w:val="center"/>
              <w:rPr>
                <w:rFonts w:eastAsia="Times New Roman"/>
              </w:rPr>
            </w:pPr>
            <w:r>
              <w:rPr>
                <w:rFonts w:ascii="IBM Plex Sans" w:eastAsia="Times New Roman" w:hAnsi="IBM Plex Sans"/>
                <w:b/>
                <w:bCs/>
                <w:color w:val="283030"/>
                <w:sz w:val="16"/>
                <w:szCs w:val="16"/>
              </w:rPr>
              <w:t>announced plans or program</w:t>
            </w:r>
            <w:r>
              <w:rPr>
                <w:rFonts w:ascii="IBM Plex Sans" w:eastAsia="Times New Roman" w:hAnsi="IBM Plex Sans"/>
                <w:b/>
                <w:bCs/>
                <w:color w:val="283030"/>
                <w:sz w:val="16"/>
                <w:szCs w:val="16"/>
              </w:rPr>
              <w:t>s</w:t>
            </w:r>
            <w:r>
              <w:rPr>
                <w:rFonts w:ascii="IBM Plex Sans" w:eastAsia="Times New Roman" w:hAnsi="IBM Plex Sans"/>
                <w:b/>
                <w:bCs/>
                <w:color w:val="283030"/>
                <w:sz w:val="13"/>
                <w:szCs w:val="13"/>
              </w:rPr>
              <w:t>(1</w:t>
            </w:r>
            <w:r>
              <w:rPr>
                <w:rFonts w:ascii="IBM Plex Sans" w:eastAsia="Times New Roman" w:hAnsi="IBM Plex Sans"/>
                <w:b/>
                <w:bCs/>
                <w:color w:val="283030"/>
                <w:sz w:val="13"/>
                <w:szCs w:val="13"/>
              </w:rPr>
              <w:t>)</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Maximum</w:t>
            </w:r>
          </w:p>
          <w:p w:rsidR="00000000" w:rsidRDefault="00F5481A">
            <w:pPr>
              <w:spacing w:after="100"/>
              <w:jc w:val="center"/>
              <w:rPr>
                <w:rFonts w:eastAsia="Times New Roman"/>
              </w:rPr>
            </w:pPr>
            <w:r>
              <w:rPr>
                <w:rFonts w:ascii="IBM Plex Sans" w:eastAsia="Times New Roman" w:hAnsi="IBM Plex Sans"/>
                <w:b/>
                <w:bCs/>
                <w:color w:val="283030"/>
                <w:sz w:val="16"/>
                <w:szCs w:val="16"/>
              </w:rPr>
              <w:t>approximate</w:t>
            </w:r>
          </w:p>
          <w:p w:rsidR="00000000" w:rsidRDefault="00F5481A">
            <w:pPr>
              <w:spacing w:after="100"/>
              <w:jc w:val="center"/>
              <w:rPr>
                <w:rFonts w:eastAsia="Times New Roman"/>
              </w:rPr>
            </w:pPr>
            <w:r>
              <w:rPr>
                <w:rFonts w:ascii="IBM Plex Sans" w:eastAsia="Times New Roman" w:hAnsi="IBM Plex Sans"/>
                <w:b/>
                <w:bCs/>
                <w:color w:val="283030"/>
                <w:sz w:val="16"/>
                <w:szCs w:val="16"/>
              </w:rPr>
              <w:t>dollar value</w:t>
            </w:r>
          </w:p>
          <w:p w:rsidR="00000000" w:rsidRDefault="00F5481A">
            <w:pPr>
              <w:spacing w:after="100"/>
              <w:jc w:val="center"/>
              <w:rPr>
                <w:rFonts w:eastAsia="Times New Roman"/>
              </w:rPr>
            </w:pPr>
            <w:r>
              <w:rPr>
                <w:rFonts w:ascii="IBM Plex Sans" w:eastAsia="Times New Roman" w:hAnsi="IBM Plex Sans"/>
                <w:b/>
                <w:bCs/>
                <w:color w:val="283030"/>
                <w:sz w:val="16"/>
                <w:szCs w:val="16"/>
              </w:rPr>
              <w:t>of shares that may</w:t>
            </w:r>
          </w:p>
          <w:p w:rsidR="00000000" w:rsidRDefault="00F5481A">
            <w:pPr>
              <w:spacing w:after="100"/>
              <w:jc w:val="center"/>
              <w:rPr>
                <w:rFonts w:eastAsia="Times New Roman"/>
              </w:rPr>
            </w:pPr>
            <w:r>
              <w:rPr>
                <w:rFonts w:ascii="IBM Plex Sans" w:eastAsia="Times New Roman" w:hAnsi="IBM Plex Sans"/>
                <w:b/>
                <w:bCs/>
                <w:color w:val="283030"/>
                <w:sz w:val="16"/>
                <w:szCs w:val="16"/>
              </w:rPr>
              <w:t>yet be purchased</w:t>
            </w:r>
          </w:p>
          <w:p w:rsidR="00000000" w:rsidRDefault="00F5481A">
            <w:pPr>
              <w:spacing w:after="100"/>
              <w:jc w:val="center"/>
              <w:rPr>
                <w:rFonts w:eastAsia="Times New Roman"/>
              </w:rPr>
            </w:pPr>
            <w:r>
              <w:rPr>
                <w:rFonts w:ascii="IBM Plex Sans" w:eastAsia="Times New Roman" w:hAnsi="IBM Plex Sans"/>
                <w:b/>
                <w:bCs/>
                <w:color w:val="283030"/>
                <w:sz w:val="16"/>
                <w:szCs w:val="16"/>
              </w:rPr>
              <w:t>under the plans</w:t>
            </w:r>
          </w:p>
          <w:p w:rsidR="00000000" w:rsidRDefault="00F5481A">
            <w:pPr>
              <w:spacing w:after="100"/>
              <w:jc w:val="center"/>
              <w:rPr>
                <w:rFonts w:eastAsia="Times New Roman"/>
              </w:rPr>
            </w:pPr>
            <w:r>
              <w:rPr>
                <w:rFonts w:ascii="IBM Plex Sans" w:eastAsia="Times New Roman" w:hAnsi="IBM Plex Sans"/>
                <w:b/>
                <w:bCs/>
                <w:color w:val="283030"/>
                <w:sz w:val="16"/>
                <w:szCs w:val="16"/>
              </w:rPr>
              <w:t>or program</w:t>
            </w:r>
            <w:r>
              <w:rPr>
                <w:rFonts w:ascii="IBM Plex Sans" w:eastAsia="Times New Roman" w:hAnsi="IBM Plex Sans"/>
                <w:b/>
                <w:bCs/>
                <w:color w:val="283030"/>
                <w:sz w:val="16"/>
                <w:szCs w:val="16"/>
              </w:rPr>
              <w:t>s</w:t>
            </w:r>
            <w:r>
              <w:rPr>
                <w:rFonts w:ascii="IBM Plex Sans" w:eastAsia="Times New Roman" w:hAnsi="IBM Plex Sans"/>
                <w:b/>
                <w:bCs/>
                <w:color w:val="283030"/>
                <w:sz w:val="13"/>
                <w:szCs w:val="13"/>
              </w:rPr>
              <w:t>(1</w:t>
            </w:r>
            <w:r>
              <w:rPr>
                <w:rFonts w:ascii="IBM Plex Sans" w:eastAsia="Times New Roman" w:hAnsi="IBM Plex Sans"/>
                <w:b/>
                <w:bCs/>
                <w:color w:val="283030"/>
                <w:sz w:val="13"/>
                <w:szCs w:val="13"/>
              </w:rPr>
              <w:t>)</w:t>
            </w:r>
            <w:r>
              <w:rPr>
                <w:rFonts w:ascii="IBM Plex Sans" w:eastAsia="Times New Roman" w:hAnsi="IBM Plex Sans"/>
                <w:b/>
                <w:bCs/>
                <w:color w:val="283030"/>
                <w:sz w:val="20"/>
                <w:szCs w:val="20"/>
              </w:rPr>
              <w:t xml:space="preserve"> </w:t>
            </w:r>
          </w:p>
          <w:p w:rsidR="00000000" w:rsidRDefault="00F5481A">
            <w:pPr>
              <w:spacing w:after="100"/>
              <w:jc w:val="center"/>
              <w:rPr>
                <w:rFonts w:eastAsia="Times New Roman"/>
              </w:rPr>
            </w:pPr>
            <w:r>
              <w:rPr>
                <w:rFonts w:ascii="IBM Plex Sans" w:eastAsia="Times New Roman" w:hAnsi="IBM Plex Sans"/>
                <w:b/>
                <w:bCs/>
                <w:color w:val="283030"/>
                <w:sz w:val="16"/>
                <w:szCs w:val="16"/>
              </w:rPr>
              <w:t>($ in millions)</w:t>
            </w:r>
          </w:p>
        </w:tc>
      </w:tr>
      <w:tr w:rsidR="00000000">
        <w:trPr>
          <w:divId w:val="734157251"/>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Month No. 1</w:t>
            </w:r>
          </w:p>
        </w:tc>
        <w:tc>
          <w:tcPr>
            <w:tcW w:w="0" w:type="auto"/>
            <w:gridSpan w:val="3"/>
            <w:tcBorders>
              <w:top w:val="single" w:sz="8" w:space="0" w:color="000000"/>
            </w:tcBorders>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tcBorders>
              <w:top w:val="single" w:sz="8" w:space="0" w:color="000000"/>
            </w:tcBorders>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tcBorders>
              <w:top w:val="single" w:sz="8" w:space="0" w:color="000000"/>
            </w:tcBorders>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tcBorders>
              <w:top w:val="single" w:sz="8" w:space="0" w:color="000000"/>
            </w:tcBorders>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r>
      <w:tr w:rsidR="00000000">
        <w:trPr>
          <w:divId w:val="734157251"/>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(October 1, 2022 - October 28, 2022)</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734157251"/>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ind w:firstLine="180"/>
              <w:divId w:val="2141343718"/>
              <w:rPr>
                <w:rFonts w:eastAsia="Times New Roman"/>
              </w:rPr>
            </w:pPr>
            <w:r>
              <w:rPr>
                <w:rFonts w:ascii="IBM Plex Sans" w:eastAsia="Times New Roman" w:hAnsi="IBM Plex Sans"/>
                <w:color w:val="283030"/>
                <w:sz w:val="20"/>
                <w:szCs w:val="20"/>
              </w:rPr>
              <w:t>Repurchase progra</w:t>
            </w:r>
            <w:r>
              <w:rPr>
                <w:rFonts w:ascii="IBM Plex Sans" w:eastAsia="Times New Roman" w:hAnsi="IBM Plex Sans"/>
                <w:color w:val="283030"/>
                <w:sz w:val="20"/>
                <w:szCs w:val="20"/>
              </w:rPr>
              <w:t>m</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829,862 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220.71 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829,862 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$4,452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734157251"/>
        </w:trPr>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ind w:firstLine="180"/>
              <w:divId w:val="1180660578"/>
              <w:rPr>
                <w:rFonts w:eastAsia="Times New Roman"/>
              </w:rPr>
            </w:pPr>
            <w:r>
              <w:rPr>
                <w:rFonts w:ascii="IBM Plex Sans" w:eastAsia="Times New Roman" w:hAnsi="IBM Plex Sans"/>
                <w:color w:val="283030"/>
                <w:sz w:val="20"/>
                <w:szCs w:val="20"/>
              </w:rPr>
              <w:t>Employee transaction</w:t>
            </w:r>
            <w:r>
              <w:rPr>
                <w:rFonts w:ascii="IBM Plex Sans" w:eastAsia="Times New Roman" w:hAnsi="IBM Plex Sans"/>
                <w:color w:val="283030"/>
                <w:sz w:val="20"/>
                <w:szCs w:val="20"/>
              </w:rPr>
              <w:t>s</w:t>
            </w:r>
            <w:r>
              <w:rPr>
                <w:rFonts w:ascii="IBM Plex Sans" w:eastAsia="Times New Roman" w:hAnsi="IBM Plex Sans"/>
                <w:color w:val="283030"/>
                <w:sz w:val="13"/>
                <w:szCs w:val="13"/>
              </w:rPr>
              <w:t>(2</w:t>
            </w:r>
            <w:r>
              <w:rPr>
                <w:rFonts w:ascii="IBM Plex Sans" w:eastAsia="Times New Roman" w:hAnsi="IBM Plex Sans"/>
                <w:color w:val="28303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4,760 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220.47 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734157251"/>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Month No. 2</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734157251"/>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(October 29, 2022 - November 25, 2022)</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734157251"/>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ind w:firstLine="180"/>
              <w:divId w:val="782841836"/>
              <w:rPr>
                <w:rFonts w:eastAsia="Times New Roman"/>
              </w:rPr>
            </w:pPr>
            <w:r>
              <w:rPr>
                <w:rFonts w:ascii="IBM Plex Sans" w:eastAsia="Times New Roman" w:hAnsi="IBM Plex Sans"/>
                <w:color w:val="283030"/>
                <w:sz w:val="20"/>
                <w:szCs w:val="20"/>
              </w:rPr>
              <w:t>Repurchase progra</w:t>
            </w:r>
            <w:r>
              <w:rPr>
                <w:rFonts w:ascii="IBM Plex Sans" w:eastAsia="Times New Roman" w:hAnsi="IBM Plex Sans"/>
                <w:color w:val="283030"/>
                <w:sz w:val="20"/>
                <w:szCs w:val="20"/>
              </w:rPr>
              <w:t>m</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$4,452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734157251"/>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734157251"/>
        </w:trPr>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ind w:firstLine="180"/>
              <w:divId w:val="1778864010"/>
              <w:rPr>
                <w:rFonts w:eastAsia="Times New Roman"/>
              </w:rPr>
            </w:pPr>
            <w:r>
              <w:rPr>
                <w:rFonts w:ascii="IBM Plex Sans" w:eastAsia="Times New Roman" w:hAnsi="IBM Plex Sans"/>
                <w:color w:val="283030"/>
                <w:sz w:val="20"/>
                <w:szCs w:val="20"/>
              </w:rPr>
              <w:t>Employee transaction</w:t>
            </w:r>
            <w:r>
              <w:rPr>
                <w:rFonts w:ascii="IBM Plex Sans" w:eastAsia="Times New Roman" w:hAnsi="IBM Plex Sans"/>
                <w:color w:val="283030"/>
                <w:sz w:val="20"/>
                <w:szCs w:val="20"/>
              </w:rPr>
              <w:t>s</w:t>
            </w:r>
            <w:r>
              <w:rPr>
                <w:rFonts w:ascii="IBM Plex Sans" w:eastAsia="Times New Roman" w:hAnsi="IBM Plex Sans"/>
                <w:color w:val="283030"/>
                <w:sz w:val="13"/>
                <w:szCs w:val="13"/>
              </w:rPr>
              <w:t>(2</w:t>
            </w:r>
            <w:r>
              <w:rPr>
                <w:rFonts w:ascii="IBM Plex Sans" w:eastAsia="Times New Roman" w:hAnsi="IBM Plex Sans"/>
                <w:color w:val="28303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6,380 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227.36 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734157251"/>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Month No. 3</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734157251"/>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(November 26, 2022 - December 30, 2022)</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734157251"/>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ind w:firstLine="180"/>
              <w:divId w:val="1965648777"/>
              <w:rPr>
                <w:rFonts w:eastAsia="Times New Roman"/>
              </w:rPr>
            </w:pPr>
            <w:r>
              <w:rPr>
                <w:rFonts w:ascii="IBM Plex Sans" w:eastAsia="Times New Roman" w:hAnsi="IBM Plex Sans"/>
                <w:color w:val="283030"/>
                <w:sz w:val="20"/>
                <w:szCs w:val="20"/>
              </w:rPr>
              <w:t>Repurchase progra</w:t>
            </w:r>
            <w:r>
              <w:rPr>
                <w:rFonts w:ascii="IBM Plex Sans" w:eastAsia="Times New Roman" w:hAnsi="IBM Plex Sans"/>
                <w:color w:val="283030"/>
                <w:sz w:val="20"/>
                <w:szCs w:val="20"/>
              </w:rPr>
              <w:t>m</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$4,452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734157251"/>
        </w:trPr>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ind w:firstLine="180"/>
              <w:divId w:val="134304255"/>
              <w:rPr>
                <w:rFonts w:eastAsia="Times New Roman"/>
              </w:rPr>
            </w:pPr>
            <w:r>
              <w:rPr>
                <w:rFonts w:ascii="IBM Plex Sans" w:eastAsia="Times New Roman" w:hAnsi="IBM Plex Sans"/>
                <w:color w:val="283030"/>
                <w:sz w:val="20"/>
                <w:szCs w:val="20"/>
              </w:rPr>
              <w:t>Employee transaction</w:t>
            </w:r>
            <w:r>
              <w:rPr>
                <w:rFonts w:ascii="IBM Plex Sans" w:eastAsia="Times New Roman" w:hAnsi="IBM Plex Sans"/>
                <w:color w:val="283030"/>
                <w:sz w:val="20"/>
                <w:szCs w:val="20"/>
              </w:rPr>
              <w:t>s</w:t>
            </w:r>
            <w:r>
              <w:rPr>
                <w:rFonts w:ascii="IBM Plex Sans" w:eastAsia="Times New Roman" w:hAnsi="IBM Plex Sans"/>
                <w:color w:val="283030"/>
                <w:sz w:val="13"/>
                <w:szCs w:val="13"/>
              </w:rPr>
              <w:t>(2</w:t>
            </w:r>
            <w:r>
              <w:rPr>
                <w:rFonts w:ascii="IBM Plex Sans" w:eastAsia="Times New Roman" w:hAnsi="IBM Plex Sans"/>
                <w:color w:val="28303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2,240 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223.41 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734157251"/>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Total</w:t>
            </w:r>
          </w:p>
        </w:tc>
        <w:tc>
          <w:tcPr>
            <w:tcW w:w="0" w:type="auto"/>
            <w:gridSpan w:val="2"/>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843,242 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829,862 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$4,452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bl>
    <w:p w:rsidR="00000000" w:rsidRDefault="00F5481A">
      <w:pPr>
        <w:divId w:val="977950816"/>
        <w:rPr>
          <w:rFonts w:eastAsia="Times New Roman"/>
        </w:rPr>
      </w:pPr>
      <w:r>
        <w:rPr>
          <w:rFonts w:ascii="IBM Plex Sans" w:eastAsia="Times New Roman" w:hAnsi="IBM Plex Sans"/>
          <w:color w:val="283030"/>
          <w:sz w:val="16"/>
          <w:szCs w:val="16"/>
        </w:rPr>
        <w:t>_______________</w:t>
      </w:r>
    </w:p>
    <w:p w:rsidR="00000000" w:rsidRDefault="00F5481A">
      <w:pPr>
        <w:ind w:hanging="360"/>
        <w:divId w:val="223566173"/>
        <w:rPr>
          <w:rFonts w:eastAsia="Times New Roman"/>
        </w:rPr>
      </w:pPr>
      <w:r>
        <w:rPr>
          <w:rFonts w:ascii="IBM Plex Sans" w:eastAsia="Times New Roman" w:hAnsi="IBM Plex Sans"/>
          <w:color w:val="283030"/>
          <w:sz w:val="16"/>
          <w:szCs w:val="16"/>
        </w:rPr>
        <w:t>*Periods represent our fiscal months.</w:t>
      </w:r>
    </w:p>
    <w:p w:rsidR="00000000" w:rsidRDefault="00F5481A">
      <w:pPr>
        <w:ind w:hanging="360"/>
        <w:divId w:val="1735814067"/>
        <w:rPr>
          <w:rFonts w:eastAsia="Times New Roman"/>
        </w:rPr>
      </w:pPr>
      <w:r>
        <w:rPr>
          <w:rFonts w:ascii="IBM Plex Sans" w:eastAsia="Times New Roman" w:hAnsi="IBM Plex Sans"/>
          <w:color w:val="283030"/>
          <w:sz w:val="16"/>
          <w:szCs w:val="16"/>
        </w:rPr>
        <w:t>(1)On October 21, 2022, we announced that our Board of D</w:t>
      </w:r>
      <w:r>
        <w:rPr>
          <w:rFonts w:ascii="IBM Plex Sans" w:eastAsia="Times New Roman" w:hAnsi="IBM Plex Sans"/>
          <w:color w:val="283030"/>
          <w:sz w:val="16"/>
          <w:szCs w:val="16"/>
        </w:rPr>
        <w:t xml:space="preserve">irectors approved a $3.0 billion share repurchase authorization under our share repurchase program that was in addition to the remaining unused authorization of $1.6 billion as of September 30, 2022. Our repurchase program does not have an expiration date </w:t>
      </w:r>
      <w:r>
        <w:rPr>
          <w:rFonts w:ascii="IBM Plex Sans" w:eastAsia="Times New Roman" w:hAnsi="IBM Plex Sans"/>
          <w:color w:val="283030"/>
          <w:sz w:val="16"/>
          <w:szCs w:val="16"/>
        </w:rPr>
        <w:t>and authorizes us to repurchase shares of our common stock through open market purchases, private transactions, transactions structured through investment banking institutions or any combination thereof. As of December 30, 2022, the remaining unused author</w:t>
      </w:r>
      <w:r>
        <w:rPr>
          <w:rFonts w:ascii="IBM Plex Sans" w:eastAsia="Times New Roman" w:hAnsi="IBM Plex Sans"/>
          <w:color w:val="283030"/>
          <w:sz w:val="16"/>
          <w:szCs w:val="16"/>
        </w:rPr>
        <w:t xml:space="preserve">ization under our repurchase programs was $4.5 billion (as reflected in the table above). </w:t>
      </w:r>
    </w:p>
    <w:p w:rsidR="00000000" w:rsidRDefault="00F5481A">
      <w:pPr>
        <w:ind w:hanging="360"/>
        <w:divId w:val="1296596888"/>
        <w:rPr>
          <w:rFonts w:eastAsia="Times New Roman"/>
        </w:rPr>
      </w:pPr>
      <w:r>
        <w:rPr>
          <w:rFonts w:ascii="IBM Plex Sans" w:eastAsia="Times New Roman" w:hAnsi="IBM Plex Sans"/>
          <w:color w:val="283030"/>
          <w:sz w:val="16"/>
          <w:szCs w:val="16"/>
        </w:rPr>
        <w:t>(2)Represents a combination of (a) shares of our common stock delivered to us in satisfaction of the tax withholding obligation of holders of performance units, rest</w:t>
      </w:r>
      <w:r>
        <w:rPr>
          <w:rFonts w:ascii="IBM Plex Sans" w:eastAsia="Times New Roman" w:hAnsi="IBM Plex Sans"/>
          <w:color w:val="283030"/>
          <w:sz w:val="16"/>
          <w:szCs w:val="16"/>
        </w:rPr>
        <w:t>ricted units or restricted shares that vested during the quarter and (b) performance units, restricted units or restricted shares returned to us upon retirement or employment termination of employees. Our equity incentive plans provide that the value of sh</w:t>
      </w:r>
      <w:r>
        <w:rPr>
          <w:rFonts w:ascii="IBM Plex Sans" w:eastAsia="Times New Roman" w:hAnsi="IBM Plex Sans"/>
          <w:color w:val="283030"/>
          <w:sz w:val="16"/>
          <w:szCs w:val="16"/>
        </w:rPr>
        <w:t>ares delivered to us to pay the exercise price of options or to cover tax withholding obligations shall be the closing price of our common stock on the date the relevant transaction occurs.</w:t>
      </w:r>
    </w:p>
    <w:tbl>
      <w:tblPr>
        <w:tblW w:w="1551" w:type="pct"/>
        <w:tblCellMar>
          <w:top w:w="15" w:type="dxa"/>
          <w:left w:w="15" w:type="dxa"/>
          <w:bottom w:w="15" w:type="dxa"/>
          <w:right w:w="15" w:type="dxa"/>
        </w:tblCellMar>
        <w:tblLook w:val="04A0" w:firstRow="1" w:lastRow="0" w:firstColumn="1" w:lastColumn="0" w:noHBand="0" w:noVBand="1"/>
      </w:tblPr>
      <w:tblGrid>
        <w:gridCol w:w="37"/>
        <w:gridCol w:w="845"/>
        <w:gridCol w:w="36"/>
        <w:gridCol w:w="37"/>
        <w:gridCol w:w="1586"/>
        <w:gridCol w:w="36"/>
      </w:tblGrid>
      <w:tr w:rsidR="00000000">
        <w:trPr>
          <w:divId w:val="341667240"/>
        </w:trPr>
        <w:tc>
          <w:tcPr>
            <w:tcW w:w="50" w:type="pct"/>
            <w:vAlign w:val="center"/>
            <w:hideMark/>
          </w:tcPr>
          <w:p w:rsidR="00000000" w:rsidRDefault="00F5481A">
            <w:pPr>
              <w:ind w:hanging="360"/>
              <w:rPr>
                <w:rFonts w:eastAsia="Times New Roman"/>
              </w:rPr>
            </w:pPr>
          </w:p>
        </w:tc>
        <w:tc>
          <w:tcPr>
            <w:tcW w:w="1727"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3162"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341667240"/>
        </w:trPr>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016676"/>
                <w:sz w:val="20"/>
                <w:szCs w:val="20"/>
              </w:rPr>
              <w:t>ITEM 6.</w:t>
            </w:r>
          </w:p>
        </w:tc>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283030"/>
                <w:sz w:val="20"/>
                <w:szCs w:val="20"/>
              </w:rPr>
              <w:t>[RESERVED.]</w:t>
            </w:r>
          </w:p>
        </w:tc>
      </w:tr>
      <w:tr w:rsidR="00000000">
        <w:trPr>
          <w:divId w:val="341667240"/>
          <w:trHeight w:val="300"/>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r>
    </w:tbl>
    <w:tbl>
      <w:tblPr>
        <w:tblW w:w="4691" w:type="pct"/>
        <w:tblCellMar>
          <w:top w:w="15" w:type="dxa"/>
          <w:left w:w="15" w:type="dxa"/>
          <w:bottom w:w="15" w:type="dxa"/>
          <w:right w:w="15" w:type="dxa"/>
        </w:tblCellMar>
        <w:tblLook w:val="04A0" w:firstRow="1" w:lastRow="0" w:firstColumn="1" w:lastColumn="0" w:noHBand="0" w:noVBand="1"/>
      </w:tblPr>
      <w:tblGrid>
        <w:gridCol w:w="144"/>
        <w:gridCol w:w="832"/>
        <w:gridCol w:w="144"/>
        <w:gridCol w:w="144"/>
        <w:gridCol w:w="6786"/>
        <w:gridCol w:w="144"/>
      </w:tblGrid>
      <w:tr w:rsidR="00000000">
        <w:tc>
          <w:tcPr>
            <w:tcW w:w="50" w:type="pct"/>
            <w:vAlign w:val="center"/>
            <w:hideMark/>
          </w:tcPr>
          <w:p w:rsidR="00000000" w:rsidRDefault="00F5481A">
            <w:pPr>
              <w:ind w:firstLine="360"/>
              <w:rPr>
                <w:rFonts w:eastAsia="Times New Roman"/>
              </w:rPr>
            </w:pPr>
          </w:p>
        </w:tc>
        <w:tc>
          <w:tcPr>
            <w:tcW w:w="534"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35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016676"/>
                <w:sz w:val="20"/>
                <w:szCs w:val="20"/>
              </w:rPr>
              <w:t> ITEM 7.</w:t>
            </w:r>
          </w:p>
        </w:tc>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283030"/>
                <w:sz w:val="20"/>
                <w:szCs w:val="20"/>
              </w:rPr>
              <w:t>MANAGEMENT’S DISCUSSION AND ANALYSIS OF FINANCIAL CONDITION AND RESULTS OF OPERATIONS.</w:t>
            </w:r>
          </w:p>
        </w:tc>
      </w:tr>
    </w:tbl>
    <w:p w:rsidR="00000000" w:rsidRDefault="00F5481A">
      <w:pPr>
        <w:divId w:val="1176379234"/>
        <w:rPr>
          <w:rFonts w:eastAsia="Times New Roman"/>
        </w:rPr>
      </w:pPr>
      <w:r>
        <w:rPr>
          <w:rFonts w:ascii="IBM Plex Sans SemiBold" w:eastAsia="Times New Roman" w:hAnsi="IBM Plex Sans SemiBold"/>
          <w:b/>
          <w:bCs/>
          <w:color w:val="016676"/>
          <w:sz w:val="20"/>
          <w:szCs w:val="20"/>
        </w:rPr>
        <w:t>OVERVIEW</w:t>
      </w:r>
    </w:p>
    <w:p w:rsidR="00000000" w:rsidRDefault="00F5481A">
      <w:pPr>
        <w:ind w:firstLine="360"/>
        <w:divId w:val="288783048"/>
        <w:rPr>
          <w:rFonts w:eastAsia="Times New Roman"/>
        </w:rPr>
      </w:pPr>
      <w:r>
        <w:rPr>
          <w:rFonts w:ascii="IBM Plex Sans" w:eastAsia="Times New Roman" w:hAnsi="IBM Plex Sans"/>
          <w:color w:val="283030"/>
          <w:sz w:val="20"/>
          <w:szCs w:val="20"/>
        </w:rPr>
        <w:t>The following Management’s Discussion and Analysis (“MD&amp;A”) is intended to assist in an understanding of our financial condition and results of operations f</w:t>
      </w:r>
      <w:r>
        <w:rPr>
          <w:rFonts w:ascii="IBM Plex Sans" w:eastAsia="Times New Roman" w:hAnsi="IBM Plex Sans"/>
          <w:color w:val="283030"/>
          <w:sz w:val="20"/>
          <w:szCs w:val="20"/>
        </w:rPr>
        <w:t>or fiscal 2022 compared with fiscal 2021 and fiscal 2021 compared with fiscal 2020. This MD&amp;A is provided as a supplement to, should be read in conjunction with and is qualified in its entirety by reference to, our Consolidated Financial Statements and acc</w:t>
      </w:r>
      <w:r>
        <w:rPr>
          <w:rFonts w:ascii="IBM Plex Sans" w:eastAsia="Times New Roman" w:hAnsi="IBM Plex Sans"/>
          <w:color w:val="283030"/>
          <w:sz w:val="20"/>
          <w:szCs w:val="20"/>
        </w:rPr>
        <w:t>ompanying Notes appearing elsewhere in this Report. Except for the historical information contained herein, the discussions in this MD&amp;A contain forward-looking statements that involve risks and uncertainties. Our future results could differ materially fro</w:t>
      </w:r>
      <w:r>
        <w:rPr>
          <w:rFonts w:ascii="IBM Plex Sans" w:eastAsia="Times New Roman" w:hAnsi="IBM Plex Sans"/>
          <w:color w:val="283030"/>
          <w:sz w:val="20"/>
          <w:szCs w:val="20"/>
        </w:rPr>
        <w:t>m those discussed herein. Factors that could cause or contribute to such differences include, but are not limited to, those discussed below in this MD&amp;A under “Forward-Looking Statements and Factors that May Affect Future Results.”</w:t>
      </w:r>
    </w:p>
    <w:p w:rsidR="00000000" w:rsidRDefault="00F5481A">
      <w:pPr>
        <w:ind w:firstLine="360"/>
        <w:divId w:val="1793982678"/>
        <w:rPr>
          <w:rFonts w:eastAsia="Times New Roman"/>
        </w:rPr>
      </w:pPr>
      <w:r>
        <w:rPr>
          <w:rFonts w:ascii="IBM Plex Sans" w:eastAsia="Times New Roman" w:hAnsi="IBM Plex Sans"/>
          <w:color w:val="283030"/>
          <w:sz w:val="20"/>
          <w:szCs w:val="20"/>
        </w:rPr>
        <w:t>We are a Trusted Disrupt</w:t>
      </w:r>
      <w:r>
        <w:rPr>
          <w:rFonts w:ascii="IBM Plex Sans" w:eastAsia="Times New Roman" w:hAnsi="IBM Plex Sans"/>
          <w:color w:val="283030"/>
          <w:sz w:val="20"/>
          <w:szCs w:val="20"/>
        </w:rPr>
        <w:t>or for the global aerospace and defense industry. With customers’ mission-critical needs in mind, we deliver end-to-end technology solutions connecting the space, air, land, sea and cyber domains. We support government and commercial customers in more than</w:t>
      </w:r>
      <w:r>
        <w:rPr>
          <w:rFonts w:ascii="IBM Plex Sans" w:eastAsia="Times New Roman" w:hAnsi="IBM Plex Sans"/>
          <w:color w:val="283030"/>
          <w:sz w:val="20"/>
          <w:szCs w:val="20"/>
        </w:rPr>
        <w:t xml:space="preserve"> 100 countries, with our largest customers being </w:t>
      </w:r>
    </w:p>
    <w:p w:rsidR="00000000" w:rsidRDefault="00F5481A">
      <w:pPr>
        <w:ind w:firstLine="360"/>
        <w:jc w:val="center"/>
        <w:divId w:val="270824308"/>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29</w:t>
      </w:r>
    </w:p>
    <w:p w:rsidR="00000000" w:rsidRDefault="00F5481A">
      <w:pPr>
        <w:rPr>
          <w:rFonts w:eastAsia="Times New Roman"/>
        </w:rPr>
      </w:pPr>
      <w:r>
        <w:rPr>
          <w:rFonts w:eastAsia="Times New Roman"/>
        </w:rPr>
        <w:pict>
          <v:rect id="_x0000_i1060" style="width:0;height:1.5pt" o:hralign="center" o:hrstd="t" o:hr="t" fillcolor="#a0a0a0" stroked="f"/>
        </w:pict>
      </w:r>
    </w:p>
    <w:p w:rsidR="00000000" w:rsidRDefault="00F5481A">
      <w:pPr>
        <w:ind w:firstLine="360"/>
        <w:divId w:val="1889103878"/>
        <w:rPr>
          <w:rFonts w:eastAsia="Times New Roman"/>
        </w:rPr>
      </w:pPr>
    </w:p>
    <w:p w:rsidR="00000000" w:rsidRDefault="00F5481A">
      <w:pPr>
        <w:divId w:val="1912619578"/>
        <w:rPr>
          <w:rFonts w:eastAsia="Times New Roman"/>
        </w:rPr>
      </w:pPr>
      <w:r>
        <w:rPr>
          <w:rFonts w:ascii="IBM Plex Sans" w:eastAsia="Times New Roman" w:hAnsi="IBM Plex Sans"/>
          <w:color w:val="283030"/>
          <w:sz w:val="20"/>
          <w:szCs w:val="20"/>
        </w:rPr>
        <w:t>various departments and agencies of the U.S. Government and their prime contractors. Our produ</w:t>
      </w:r>
      <w:r>
        <w:rPr>
          <w:rFonts w:ascii="IBM Plex Sans" w:eastAsia="Times New Roman" w:hAnsi="IBM Plex Sans"/>
          <w:color w:val="283030"/>
          <w:sz w:val="20"/>
          <w:szCs w:val="20"/>
        </w:rPr>
        <w:t xml:space="preserve">cts and services have defense and civil government applications, as well as commercial applications. As of December 30, 2022, we had approximately 46,000 employees, including approximately 20,000 engineers and scientists. We generally sell directly to our </w:t>
      </w:r>
      <w:r>
        <w:rPr>
          <w:rFonts w:ascii="IBM Plex Sans" w:eastAsia="Times New Roman" w:hAnsi="IBM Plex Sans"/>
          <w:color w:val="283030"/>
          <w:sz w:val="20"/>
          <w:szCs w:val="20"/>
        </w:rPr>
        <w:t>customers, and we utilize agents and intermediaries to sell and market some products and services, especially in international markets.</w:t>
      </w:r>
    </w:p>
    <w:p w:rsidR="00000000" w:rsidRDefault="00F5481A">
      <w:pPr>
        <w:ind w:firstLine="360"/>
        <w:divId w:val="1239438142"/>
        <w:rPr>
          <w:rFonts w:eastAsia="Times New Roman"/>
        </w:rPr>
      </w:pPr>
      <w:r>
        <w:rPr>
          <w:rFonts w:ascii="IBM Plex Sans" w:eastAsia="Times New Roman" w:hAnsi="IBM Plex Sans"/>
          <w:color w:val="283030"/>
          <w:sz w:val="20"/>
          <w:szCs w:val="20"/>
        </w:rPr>
        <w:t>We structure our operations primarily around the products and services we sell and the markets we serve, and we report t</w:t>
      </w:r>
      <w:r>
        <w:rPr>
          <w:rFonts w:ascii="IBM Plex Sans" w:eastAsia="Times New Roman" w:hAnsi="IBM Plex Sans"/>
          <w:color w:val="283030"/>
          <w:sz w:val="20"/>
          <w:szCs w:val="20"/>
        </w:rPr>
        <w:t>he financial results of our continuing operations in the three operating segments: Integrated Mission Systems, Space &amp; Airborne Systems and Communication Systems. Our operating segments are also our reportable segments and are referred to as our business s</w:t>
      </w:r>
      <w:r>
        <w:rPr>
          <w:rFonts w:ascii="IBM Plex Sans" w:eastAsia="Times New Roman" w:hAnsi="IBM Plex Sans"/>
          <w:color w:val="283030"/>
          <w:sz w:val="20"/>
          <w:szCs w:val="20"/>
        </w:rPr>
        <w:t xml:space="preserve">egments. See </w:t>
      </w:r>
      <w:r>
        <w:rPr>
          <w:rFonts w:ascii="IBM Plex Sans" w:eastAsia="Times New Roman" w:hAnsi="IBM Plex Sans"/>
          <w:i/>
          <w:iCs/>
          <w:color w:val="283030"/>
          <w:sz w:val="20"/>
          <w:szCs w:val="20"/>
        </w:rPr>
        <w:t>Note 24: Business Segments</w:t>
      </w:r>
      <w:r>
        <w:rPr>
          <w:rFonts w:ascii="IBM Plex Sans" w:eastAsia="Times New Roman" w:hAnsi="IBM Plex Sans"/>
          <w:color w:val="283030"/>
          <w:sz w:val="20"/>
          <w:szCs w:val="20"/>
        </w:rPr>
        <w:t xml:space="preserve"> in the Notes for further information regarding our business segments, including how we define segment operating income or loss. </w:t>
      </w:r>
    </w:p>
    <w:p w:rsidR="00000000" w:rsidRDefault="00F5481A">
      <w:pPr>
        <w:divId w:val="313877084"/>
        <w:rPr>
          <w:rFonts w:eastAsia="Times New Roman"/>
        </w:rPr>
      </w:pPr>
      <w:r>
        <w:rPr>
          <w:rFonts w:ascii="IBM Plex Sans SemiBold" w:eastAsia="Times New Roman" w:hAnsi="IBM Plex Sans SemiBold"/>
          <w:b/>
          <w:bCs/>
          <w:color w:val="016676"/>
          <w:sz w:val="20"/>
          <w:szCs w:val="20"/>
        </w:rPr>
        <w:t>U.S. and International Budget Environment</w:t>
      </w:r>
    </w:p>
    <w:p w:rsidR="00000000" w:rsidRDefault="00F5481A">
      <w:pPr>
        <w:ind w:firstLine="360"/>
        <w:divId w:val="2102800511"/>
        <w:rPr>
          <w:rFonts w:eastAsia="Times New Roman"/>
        </w:rPr>
      </w:pPr>
      <w:r>
        <w:rPr>
          <w:rFonts w:ascii="IBM Plex Sans" w:eastAsia="Times New Roman" w:hAnsi="IBM Plex Sans"/>
          <w:color w:val="283030"/>
          <w:sz w:val="20"/>
          <w:szCs w:val="20"/>
        </w:rPr>
        <w:t>Our largest customers are various departments</w:t>
      </w:r>
      <w:r>
        <w:rPr>
          <w:rFonts w:ascii="IBM Plex Sans" w:eastAsia="Times New Roman" w:hAnsi="IBM Plex Sans"/>
          <w:color w:val="283030"/>
          <w:sz w:val="20"/>
          <w:szCs w:val="20"/>
        </w:rPr>
        <w:t xml:space="preserve"> and agencies of the U.S. Government — the percentage of our revenue that was derived from sales to U.S. Government customers, including foreign military sales funded through the U.S. Government, whether directly or through prime contractors, was 74%, 75% </w:t>
      </w:r>
      <w:r>
        <w:rPr>
          <w:rFonts w:ascii="IBM Plex Sans" w:eastAsia="Times New Roman" w:hAnsi="IBM Plex Sans"/>
          <w:color w:val="283030"/>
          <w:sz w:val="20"/>
          <w:szCs w:val="20"/>
        </w:rPr>
        <w:t xml:space="preserve">and 78%, in fiscal 2022, 2021 and 2020, respectively. </w:t>
      </w:r>
    </w:p>
    <w:p w:rsidR="00000000" w:rsidRDefault="00F5481A">
      <w:pPr>
        <w:ind w:firstLine="360"/>
        <w:divId w:val="215090996"/>
        <w:rPr>
          <w:rFonts w:eastAsia="Times New Roman"/>
        </w:rPr>
      </w:pPr>
      <w:r>
        <w:rPr>
          <w:rFonts w:ascii="IBM Plex Sans" w:eastAsia="Times New Roman" w:hAnsi="IBM Plex Sans"/>
          <w:color w:val="283030"/>
          <w:sz w:val="20"/>
          <w:szCs w:val="20"/>
        </w:rPr>
        <w:t>For the 2023 GFY, which began on October 1, 2022, the President’s budget request (“PBR”) proposed $773 </w:t>
      </w:r>
      <w:r>
        <w:rPr>
          <w:rFonts w:ascii="IBM Plex Sans" w:eastAsia="Times New Roman" w:hAnsi="IBM Plex Sans"/>
          <w:color w:val="283030"/>
          <w:sz w:val="20"/>
          <w:szCs w:val="20"/>
        </w:rPr>
        <w:t xml:space="preserve">billion of DoD funding, a 4% increase above the amount enacted for the 2022 GFY, and the Senate Appropriations Subcommittee on Defense has supported a $37 billion increase to the PBR, representing a 9% increase year over year. On December 29, 2022, a 2023 </w:t>
      </w:r>
      <w:r>
        <w:rPr>
          <w:rFonts w:ascii="IBM Plex Sans" w:eastAsia="Times New Roman" w:hAnsi="IBM Plex Sans"/>
          <w:color w:val="283030"/>
          <w:sz w:val="20"/>
          <w:szCs w:val="20"/>
        </w:rPr>
        <w:t>GFY DoD budget of $817 billion was enacted. Many of L3Harris’ offerings are supported in the 2023 GFY DoD budget, including responsive satellites, ISR aircraft, tactical communications, networked maritime systems and classified cyber solutions, however, we</w:t>
      </w:r>
      <w:r>
        <w:rPr>
          <w:rFonts w:ascii="IBM Plex Sans" w:eastAsia="Times New Roman" w:hAnsi="IBM Plex Sans"/>
          <w:color w:val="283030"/>
          <w:sz w:val="20"/>
          <w:szCs w:val="20"/>
        </w:rPr>
        <w:t xml:space="preserve"> continue to monitor the political and budget environments and we can give no assurances on the extent of future orders.</w:t>
      </w:r>
    </w:p>
    <w:p w:rsidR="00000000" w:rsidRDefault="00F5481A">
      <w:pPr>
        <w:ind w:firstLine="360"/>
        <w:divId w:val="1837916213"/>
        <w:rPr>
          <w:rFonts w:eastAsia="Times New Roman"/>
        </w:rPr>
      </w:pPr>
      <w:r>
        <w:rPr>
          <w:rFonts w:ascii="IBM Plex Sans" w:eastAsia="Times New Roman" w:hAnsi="IBM Plex Sans"/>
          <w:color w:val="283030"/>
          <w:sz w:val="20"/>
          <w:szCs w:val="20"/>
        </w:rPr>
        <w:t xml:space="preserve">In international markets, the North Atlantic Treaty Organization (“NATO”) continues to evolve its strategy on multiple levels. Several </w:t>
      </w:r>
      <w:r>
        <w:rPr>
          <w:rFonts w:ascii="IBM Plex Sans" w:eastAsia="Times New Roman" w:hAnsi="IBM Plex Sans"/>
          <w:color w:val="283030"/>
          <w:sz w:val="20"/>
          <w:szCs w:val="20"/>
        </w:rPr>
        <w:t>countries, including Finland and Sweden, are pursuing NATO membership, while existing NATO members such as the U.K. and France have in recent months committed to increased spending beyond the 2% of gross domestic product target. Recently, additional countr</w:t>
      </w:r>
      <w:r>
        <w:rPr>
          <w:rFonts w:ascii="IBM Plex Sans" w:eastAsia="Times New Roman" w:hAnsi="IBM Plex Sans"/>
          <w:color w:val="283030"/>
          <w:sz w:val="20"/>
          <w:szCs w:val="20"/>
        </w:rPr>
        <w:t>ies, such as Japan, have followed similar paths with expanded defense budgets. The expectation of increased spending in international markets provides us with the opportunity to offer a range of solutions to international customers, but international sales</w:t>
      </w:r>
      <w:r>
        <w:rPr>
          <w:rFonts w:ascii="IBM Plex Sans" w:eastAsia="Times New Roman" w:hAnsi="IBM Plex Sans"/>
          <w:color w:val="283030"/>
          <w:sz w:val="20"/>
          <w:szCs w:val="20"/>
        </w:rPr>
        <w:t xml:space="preserve"> remain dependent on economic, social and political conditions that may differ from those in the United States as well as changes in export controls and other trade regulations in the United States. </w:t>
      </w:r>
    </w:p>
    <w:p w:rsidR="00000000" w:rsidRDefault="00F5481A">
      <w:pPr>
        <w:ind w:firstLine="360"/>
        <w:divId w:val="1839491297"/>
        <w:rPr>
          <w:rFonts w:eastAsia="Times New Roman"/>
        </w:rPr>
      </w:pPr>
      <w:r>
        <w:rPr>
          <w:rFonts w:ascii="IBM Plex Sans" w:eastAsia="Times New Roman" w:hAnsi="IBM Plex Sans"/>
          <w:color w:val="283030"/>
          <w:sz w:val="20"/>
          <w:szCs w:val="20"/>
        </w:rPr>
        <w:t>Even with the increases in expected DoD budget proposals</w:t>
      </w:r>
      <w:r>
        <w:rPr>
          <w:rFonts w:ascii="IBM Plex Sans" w:eastAsia="Times New Roman" w:hAnsi="IBM Plex Sans"/>
          <w:color w:val="283030"/>
          <w:sz w:val="20"/>
          <w:szCs w:val="20"/>
        </w:rPr>
        <w:t xml:space="preserve"> and with the overall demand environment both in the U.S. and internationally reflecting the conflict in Ukraine and geopolitical tensions, changes to U.S. Government spending priorities have and could in the future impact our business. A decline in demand</w:t>
      </w:r>
      <w:r>
        <w:rPr>
          <w:rFonts w:ascii="IBM Plex Sans" w:eastAsia="Times New Roman" w:hAnsi="IBM Plex Sans"/>
          <w:color w:val="283030"/>
          <w:sz w:val="20"/>
          <w:szCs w:val="20"/>
        </w:rPr>
        <w:t xml:space="preserve"> for fuzing and ordnance systems due to reduced U.S. Government spending for precision weapons was largely responsible for charges for impairment of goodwill in our IMS segment. See </w:t>
      </w:r>
      <w:r>
        <w:rPr>
          <w:rFonts w:ascii="IBM Plex Sans" w:eastAsia="Times New Roman" w:hAnsi="IBM Plex Sans"/>
          <w:i/>
          <w:iCs/>
          <w:color w:val="283030"/>
          <w:sz w:val="20"/>
          <w:szCs w:val="20"/>
        </w:rPr>
        <w:t>Note 9: Goodwill</w:t>
      </w:r>
      <w:r>
        <w:rPr>
          <w:rFonts w:ascii="IBM Plex Sans" w:eastAsia="Times New Roman" w:hAnsi="IBM Plex Sans"/>
          <w:color w:val="283030"/>
          <w:sz w:val="20"/>
          <w:szCs w:val="20"/>
        </w:rPr>
        <w:t xml:space="preserve"> in the Notes for further information. Other changes in sp</w:t>
      </w:r>
      <w:r>
        <w:rPr>
          <w:rFonts w:ascii="IBM Plex Sans" w:eastAsia="Times New Roman" w:hAnsi="IBM Plex Sans"/>
          <w:color w:val="283030"/>
          <w:sz w:val="20"/>
          <w:szCs w:val="20"/>
        </w:rPr>
        <w:t>ending priorities in the future could adversely affect our existing programs and future contracts and impact our financial condition and results of operations.</w:t>
      </w:r>
    </w:p>
    <w:p w:rsidR="00000000" w:rsidRDefault="00F5481A">
      <w:pPr>
        <w:ind w:firstLine="360"/>
        <w:divId w:val="659576423"/>
        <w:rPr>
          <w:rFonts w:eastAsia="Times New Roman"/>
        </w:rPr>
      </w:pPr>
      <w:r>
        <w:rPr>
          <w:rFonts w:ascii="IBM Plex Sans" w:eastAsia="Times New Roman" w:hAnsi="IBM Plex Sans"/>
          <w:color w:val="283030"/>
          <w:sz w:val="20"/>
          <w:szCs w:val="20"/>
        </w:rPr>
        <w:t xml:space="preserve">For a discussion of U.S. Government funding risks and international business risks see “Item 1. </w:t>
      </w:r>
      <w:r>
        <w:rPr>
          <w:rFonts w:ascii="IBM Plex Sans" w:eastAsia="Times New Roman" w:hAnsi="IBM Plex Sans"/>
          <w:color w:val="283030"/>
          <w:sz w:val="20"/>
          <w:szCs w:val="20"/>
        </w:rPr>
        <w:t xml:space="preserve">Business - Principal Customers: Government Contracts,” “Item 1. Business - International Business,” “Item 1A. Risk Factors” and “Item 3. Legal Proceedings” of this Report. </w:t>
      </w:r>
    </w:p>
    <w:p w:rsidR="00000000" w:rsidRDefault="00F5481A">
      <w:pPr>
        <w:divId w:val="1347095456"/>
        <w:rPr>
          <w:rFonts w:eastAsia="Times New Roman"/>
        </w:rPr>
      </w:pPr>
      <w:r>
        <w:rPr>
          <w:rFonts w:ascii="IBM Plex Sans SemiBold" w:eastAsia="Times New Roman" w:hAnsi="IBM Plex Sans SemiBold"/>
          <w:b/>
          <w:bCs/>
          <w:color w:val="016676"/>
          <w:sz w:val="20"/>
          <w:szCs w:val="20"/>
        </w:rPr>
        <w:t xml:space="preserve">Economic Environment </w:t>
      </w:r>
    </w:p>
    <w:p w:rsidR="00000000" w:rsidRDefault="00F5481A">
      <w:pPr>
        <w:ind w:firstLine="360"/>
        <w:divId w:val="84157178"/>
        <w:rPr>
          <w:rFonts w:eastAsia="Times New Roman"/>
        </w:rPr>
      </w:pPr>
      <w:r>
        <w:rPr>
          <w:rFonts w:ascii="IBM Plex Sans" w:eastAsia="Times New Roman" w:hAnsi="IBM Plex Sans"/>
          <w:color w:val="283030"/>
          <w:sz w:val="20"/>
          <w:szCs w:val="20"/>
        </w:rPr>
        <w:t xml:space="preserve">The macroeconomic environment continues to present challenges, which have impacted and may continue to impact our future results. Rising inflation in the U.S. has led to higher costs. The ongoing uncertainty related to the impacts of inflation, as well as </w:t>
      </w:r>
      <w:r>
        <w:rPr>
          <w:rFonts w:ascii="IBM Plex Sans" w:eastAsia="Times New Roman" w:hAnsi="IBM Plex Sans"/>
          <w:color w:val="283030"/>
          <w:sz w:val="20"/>
          <w:szCs w:val="20"/>
        </w:rPr>
        <w:t xml:space="preserve">increased interest rates, which raises the cost of borrowing for the Federal government, could in the future impact U.S. Government spending priorities and the demand for our products. Higher interest rates have also had an impact on the fair value of our </w:t>
      </w:r>
      <w:r>
        <w:rPr>
          <w:rFonts w:ascii="IBM Plex Sans" w:eastAsia="Times New Roman" w:hAnsi="IBM Plex Sans"/>
          <w:color w:val="283030"/>
          <w:sz w:val="20"/>
          <w:szCs w:val="20"/>
        </w:rPr>
        <w:t xml:space="preserve">reporting units and contributed to charges for impairment of goodwill at our IMS and CS segments. See </w:t>
      </w:r>
      <w:r>
        <w:rPr>
          <w:rFonts w:ascii="IBM Plex Sans" w:eastAsia="Times New Roman" w:hAnsi="IBM Plex Sans"/>
          <w:i/>
          <w:iCs/>
          <w:color w:val="283030"/>
          <w:sz w:val="20"/>
          <w:szCs w:val="20"/>
        </w:rPr>
        <w:t>Note 9: Goodwill</w:t>
      </w:r>
      <w:r>
        <w:rPr>
          <w:rFonts w:ascii="IBM Plex Sans" w:eastAsia="Times New Roman" w:hAnsi="IBM Plex Sans"/>
          <w:color w:val="283030"/>
          <w:sz w:val="20"/>
          <w:szCs w:val="20"/>
        </w:rPr>
        <w:t xml:space="preserve"> in the Notes for further information.</w:t>
      </w:r>
    </w:p>
    <w:p w:rsidR="00000000" w:rsidRDefault="00F5481A">
      <w:pPr>
        <w:ind w:firstLine="360"/>
        <w:divId w:val="1407339906"/>
        <w:rPr>
          <w:rFonts w:eastAsia="Times New Roman"/>
        </w:rPr>
      </w:pPr>
      <w:r>
        <w:rPr>
          <w:rFonts w:ascii="IBM Plex Sans" w:eastAsia="Times New Roman" w:hAnsi="IBM Plex Sans"/>
          <w:color w:val="283030"/>
          <w:sz w:val="20"/>
          <w:szCs w:val="20"/>
        </w:rPr>
        <w:t>To the extent feasible, we have consistently followed the practice of adjusting our prices to refle</w:t>
      </w:r>
      <w:r>
        <w:rPr>
          <w:rFonts w:ascii="IBM Plex Sans" w:eastAsia="Times New Roman" w:hAnsi="IBM Plex Sans"/>
          <w:color w:val="283030"/>
          <w:sz w:val="20"/>
          <w:szCs w:val="20"/>
        </w:rPr>
        <w:t>ct the impact of inflation on salaries and fringe benefits for employees and the cost of purchased materials and services; our fixed-price contracts could subject us to losses in the event of cost overruns or a significant increase in or a sustained period</w:t>
      </w:r>
      <w:r>
        <w:rPr>
          <w:rFonts w:ascii="IBM Plex Sans" w:eastAsia="Times New Roman" w:hAnsi="IBM Plex Sans"/>
          <w:color w:val="283030"/>
          <w:sz w:val="20"/>
          <w:szCs w:val="20"/>
        </w:rPr>
        <w:t xml:space="preserve"> of increased inflation. Management has worked to mitigate supply chain disruptions and labor mobility challenges, with modest improvements in the supply chain during the second half of fiscal 2022 for Tactical Communications, our largest product-based bus</w:t>
      </w:r>
      <w:r>
        <w:rPr>
          <w:rFonts w:ascii="IBM Plex Sans" w:eastAsia="Times New Roman" w:hAnsi="IBM Plex Sans"/>
          <w:color w:val="283030"/>
          <w:sz w:val="20"/>
          <w:szCs w:val="20"/>
        </w:rPr>
        <w:t xml:space="preserve">iness, and increasing stability in labor mobility and employee </w:t>
      </w:r>
    </w:p>
    <w:p w:rsidR="00000000" w:rsidRDefault="00F5481A">
      <w:pPr>
        <w:ind w:firstLine="360"/>
        <w:jc w:val="center"/>
        <w:divId w:val="358971613"/>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30</w:t>
      </w:r>
    </w:p>
    <w:p w:rsidR="00000000" w:rsidRDefault="00F5481A">
      <w:pPr>
        <w:rPr>
          <w:rFonts w:eastAsia="Times New Roman"/>
        </w:rPr>
      </w:pPr>
      <w:r>
        <w:rPr>
          <w:rFonts w:eastAsia="Times New Roman"/>
        </w:rPr>
        <w:pict>
          <v:rect id="_x0000_i1061" style="width:0;height:1.5pt" o:hralign="center" o:hrstd="t" o:hr="t" fillcolor="#a0a0a0" stroked="f"/>
        </w:pict>
      </w:r>
    </w:p>
    <w:p w:rsidR="00000000" w:rsidRDefault="00F5481A">
      <w:pPr>
        <w:ind w:firstLine="360"/>
        <w:divId w:val="1810200594"/>
        <w:rPr>
          <w:rFonts w:eastAsia="Times New Roman"/>
        </w:rPr>
      </w:pPr>
    </w:p>
    <w:p w:rsidR="00000000" w:rsidRDefault="00F5481A">
      <w:pPr>
        <w:divId w:val="1324236617"/>
        <w:rPr>
          <w:rFonts w:eastAsia="Times New Roman"/>
        </w:rPr>
      </w:pPr>
      <w:r>
        <w:rPr>
          <w:rFonts w:ascii="IBM Plex Sans" w:eastAsia="Times New Roman" w:hAnsi="IBM Plex Sans"/>
          <w:color w:val="283030"/>
          <w:sz w:val="20"/>
          <w:szCs w:val="20"/>
        </w:rPr>
        <w:t>attrition. However due to uncertainty in the current environment, there can be n</w:t>
      </w:r>
      <w:r>
        <w:rPr>
          <w:rFonts w:ascii="IBM Plex Sans" w:eastAsia="Times New Roman" w:hAnsi="IBM Plex Sans"/>
          <w:color w:val="283030"/>
          <w:sz w:val="20"/>
          <w:szCs w:val="20"/>
        </w:rPr>
        <w:t>o assurances that we will not see further impacts in our financial condition and results of operations.</w:t>
      </w:r>
    </w:p>
    <w:p w:rsidR="00000000" w:rsidRDefault="00F5481A">
      <w:pPr>
        <w:divId w:val="1539778068"/>
        <w:rPr>
          <w:rFonts w:eastAsia="Times New Roman"/>
        </w:rPr>
      </w:pPr>
      <w:r>
        <w:rPr>
          <w:rFonts w:ascii="IBM Plex Sans SemiBold" w:eastAsia="Times New Roman" w:hAnsi="IBM Plex Sans SemiBold"/>
          <w:b/>
          <w:bCs/>
          <w:color w:val="016676"/>
          <w:sz w:val="20"/>
          <w:szCs w:val="20"/>
        </w:rPr>
        <w:t>Acquisition of TDL Product Line</w:t>
      </w:r>
    </w:p>
    <w:p w:rsidR="00000000" w:rsidRDefault="00F5481A">
      <w:pPr>
        <w:ind w:firstLine="360"/>
        <w:divId w:val="1910143631"/>
        <w:rPr>
          <w:rFonts w:eastAsia="Times New Roman"/>
        </w:rPr>
      </w:pPr>
      <w:r>
        <w:rPr>
          <w:rFonts w:ascii="IBM Plex Sans" w:eastAsia="Times New Roman" w:hAnsi="IBM Plex Sans"/>
          <w:color w:val="283030"/>
          <w:sz w:val="20"/>
          <w:szCs w:val="20"/>
        </w:rPr>
        <w:t>On October 3, 2022, we entered into a definitive agreement to acquire the TDL product line for a purchase price of appro</w:t>
      </w:r>
      <w:r>
        <w:rPr>
          <w:rFonts w:ascii="IBM Plex Sans" w:eastAsia="Times New Roman" w:hAnsi="IBM Plex Sans"/>
          <w:color w:val="283030"/>
          <w:sz w:val="20"/>
          <w:szCs w:val="20"/>
        </w:rPr>
        <w:t>ximately $1.96 billion, subject to customary adjustments. The acquisition was completed subsequent to fiscal 2022 year-end on January 3, 2023. We used third-party debt borrowings under a new $2.25 billion three-year senior unsecured term loan facility, the</w:t>
      </w:r>
      <w:r>
        <w:rPr>
          <w:rFonts w:ascii="IBM Plex Sans" w:eastAsia="Times New Roman" w:hAnsi="IBM Plex Sans"/>
          <w:color w:val="283030"/>
          <w:sz w:val="20"/>
          <w:szCs w:val="20"/>
        </w:rPr>
        <w:t xml:space="preserve"> Term Loan 2025, to finance the acquisition. The purchase of the TDL product line will enhance our networking capability and provide immediate access to the ubiquitous Link 16 waveform, better positioning us to enable the DoD’s integrated architecture goal</w:t>
      </w:r>
      <w:r>
        <w:rPr>
          <w:rFonts w:ascii="IBM Plex Sans" w:eastAsia="Times New Roman" w:hAnsi="IBM Plex Sans"/>
          <w:color w:val="283030"/>
          <w:sz w:val="20"/>
          <w:szCs w:val="20"/>
        </w:rPr>
        <w:t xml:space="preserve"> in JADC2. The TDL product line will be reported within our CS segment. </w:t>
      </w:r>
    </w:p>
    <w:p w:rsidR="00000000" w:rsidRDefault="00F5481A">
      <w:pPr>
        <w:divId w:val="1648702020"/>
        <w:rPr>
          <w:rFonts w:eastAsia="Times New Roman"/>
        </w:rPr>
      </w:pPr>
      <w:r>
        <w:rPr>
          <w:rFonts w:ascii="IBM Plex Sans SemiBold" w:eastAsia="Times New Roman" w:hAnsi="IBM Plex Sans SemiBold"/>
          <w:b/>
          <w:bCs/>
          <w:color w:val="016676"/>
          <w:sz w:val="20"/>
          <w:szCs w:val="20"/>
        </w:rPr>
        <w:t>Pending Acquisition of AJRD</w:t>
      </w:r>
    </w:p>
    <w:p w:rsidR="00000000" w:rsidRDefault="00F5481A">
      <w:pPr>
        <w:ind w:firstLine="360"/>
        <w:divId w:val="1859389955"/>
        <w:rPr>
          <w:rFonts w:eastAsia="Times New Roman"/>
        </w:rPr>
      </w:pPr>
      <w:r>
        <w:rPr>
          <w:rFonts w:ascii="IBM Plex Sans" w:eastAsia="Times New Roman" w:hAnsi="IBM Plex Sans"/>
          <w:color w:val="283030"/>
          <w:sz w:val="20"/>
          <w:szCs w:val="20"/>
        </w:rPr>
        <w:t>On December 17, 2022, we entered into a definitive agreement to acquire AJRD in an all-cash transaction of approximately $4.7 billion. AJRD is a provider o</w:t>
      </w:r>
      <w:r>
        <w:rPr>
          <w:rFonts w:ascii="IBM Plex Sans" w:eastAsia="Times New Roman" w:hAnsi="IBM Plex Sans"/>
          <w:color w:val="283030"/>
          <w:sz w:val="20"/>
          <w:szCs w:val="20"/>
        </w:rPr>
        <w:t xml:space="preserve">f propulsion systems and energetics for tactical and strategic missiles, missile defense systems and hypersonic applications. AJRD also provides liquid-fuel engines and propulsion and power systems for in-space crew and cargo transports. </w:t>
      </w:r>
      <w:r>
        <w:rPr>
          <w:rFonts w:ascii="IBM Plex Sans" w:eastAsia="Times New Roman" w:hAnsi="IBM Plex Sans"/>
          <w:color w:val="172430"/>
          <w:sz w:val="20"/>
          <w:szCs w:val="20"/>
        </w:rPr>
        <w:t>Upon closure of th</w:t>
      </w:r>
      <w:r>
        <w:rPr>
          <w:rFonts w:ascii="IBM Plex Sans" w:eastAsia="Times New Roman" w:hAnsi="IBM Plex Sans"/>
          <w:color w:val="172430"/>
          <w:sz w:val="20"/>
          <w:szCs w:val="20"/>
        </w:rPr>
        <w:t xml:space="preserve">e acquisition, we anticipate creating a new business segment. The </w:t>
      </w:r>
      <w:r>
        <w:rPr>
          <w:rFonts w:ascii="IBM Plex Sans" w:eastAsia="Times New Roman" w:hAnsi="IBM Plex Sans"/>
          <w:color w:val="283030"/>
          <w:sz w:val="20"/>
          <w:szCs w:val="20"/>
        </w:rPr>
        <w:t>acquisition is expected to close in fiscal 2023, pending required regulatory approvals and clearances and other customary closing conditions.</w:t>
      </w:r>
    </w:p>
    <w:p w:rsidR="00000000" w:rsidRDefault="00F5481A">
      <w:pPr>
        <w:divId w:val="544172102"/>
        <w:rPr>
          <w:rFonts w:eastAsia="Times New Roman"/>
        </w:rPr>
      </w:pPr>
      <w:r>
        <w:rPr>
          <w:rFonts w:ascii="IBM Plex Sans SemiBold" w:eastAsia="Times New Roman" w:hAnsi="IBM Plex Sans SemiBold"/>
          <w:b/>
          <w:bCs/>
          <w:color w:val="016676"/>
          <w:sz w:val="20"/>
          <w:szCs w:val="20"/>
        </w:rPr>
        <w:t>Divestiture of Visual Information Solutions (“VI</w:t>
      </w:r>
      <w:r>
        <w:rPr>
          <w:rFonts w:ascii="IBM Plex Sans SemiBold" w:eastAsia="Times New Roman" w:hAnsi="IBM Plex Sans SemiBold"/>
          <w:b/>
          <w:bCs/>
          <w:color w:val="016676"/>
          <w:sz w:val="20"/>
          <w:szCs w:val="20"/>
        </w:rPr>
        <w:t>S”) Business</w:t>
      </w:r>
    </w:p>
    <w:p w:rsidR="00000000" w:rsidRDefault="00F5481A">
      <w:pPr>
        <w:ind w:firstLine="360"/>
        <w:divId w:val="1682778744"/>
        <w:rPr>
          <w:rFonts w:eastAsia="Times New Roman"/>
        </w:rPr>
      </w:pPr>
      <w:r>
        <w:rPr>
          <w:rFonts w:ascii="IBM Plex Sans" w:eastAsia="Times New Roman" w:hAnsi="IBM Plex Sans"/>
          <w:color w:val="283030"/>
          <w:sz w:val="20"/>
          <w:szCs w:val="20"/>
        </w:rPr>
        <w:t>On December 21, 2022, we entered into a definitive agreement to sell our VIS business for $70 million, subject to customary purchase price adjustments and closing conditions as set forth in the definitive agreement. VIS, which is part of our S</w:t>
      </w:r>
      <w:r>
        <w:rPr>
          <w:rFonts w:ascii="IBM Plex Sans" w:eastAsia="Times New Roman" w:hAnsi="IBM Plex Sans"/>
          <w:color w:val="283030"/>
          <w:sz w:val="20"/>
          <w:szCs w:val="20"/>
        </w:rPr>
        <w:t xml:space="preserve">AS segment, provides commercial geospatial software, technology and services used to extract and analyze reliable, accurate and actionable information from geospatial to terrestrial imagery. The transaction is expected to close mid-fiscal 2023, subject to </w:t>
      </w:r>
      <w:r>
        <w:rPr>
          <w:rFonts w:ascii="IBM Plex Sans" w:eastAsia="Times New Roman" w:hAnsi="IBM Plex Sans"/>
          <w:color w:val="283030"/>
          <w:sz w:val="20"/>
          <w:szCs w:val="20"/>
        </w:rPr>
        <w:t>regulatory approvals and other customary closing conditions.</w:t>
      </w:r>
    </w:p>
    <w:p w:rsidR="00000000" w:rsidRDefault="00F5481A">
      <w:pPr>
        <w:divId w:val="1400208712"/>
        <w:rPr>
          <w:rFonts w:eastAsia="Times New Roman"/>
        </w:rPr>
      </w:pPr>
      <w:r>
        <w:rPr>
          <w:rFonts w:ascii="IBM Plex Sans SemiBold" w:eastAsia="Times New Roman" w:hAnsi="IBM Plex Sans SemiBold"/>
          <w:b/>
          <w:bCs/>
          <w:color w:val="016676"/>
          <w:sz w:val="20"/>
          <w:szCs w:val="20"/>
        </w:rPr>
        <w:t xml:space="preserve">Operating Performance Assessment and Key Performance Measures </w:t>
      </w:r>
    </w:p>
    <w:p w:rsidR="00000000" w:rsidRDefault="00F5481A">
      <w:pPr>
        <w:ind w:firstLine="360"/>
        <w:divId w:val="1764033807"/>
        <w:rPr>
          <w:rFonts w:eastAsia="Times New Roman"/>
        </w:rPr>
      </w:pPr>
      <w:r>
        <w:rPr>
          <w:rFonts w:ascii="IBM Plex Sans" w:eastAsia="Times New Roman" w:hAnsi="IBM Plex Sans"/>
          <w:color w:val="283030"/>
          <w:sz w:val="20"/>
          <w:szCs w:val="20"/>
        </w:rPr>
        <w:t>During fiscal 2022, we were impacted by the macroeconomic environment, including supply chain, labor mobility and inflation, which c</w:t>
      </w:r>
      <w:r>
        <w:rPr>
          <w:rFonts w:ascii="IBM Plex Sans" w:eastAsia="Times New Roman" w:hAnsi="IBM Plex Sans"/>
          <w:color w:val="283030"/>
          <w:sz w:val="20"/>
          <w:szCs w:val="20"/>
        </w:rPr>
        <w:t>ontinued to cause significant disruptions and adverse effects on the U.S. and global economies. We continue to implement mitigation strategies to minimize the future impacts of these challenges, including working closely with our second and third-tier supp</w:t>
      </w:r>
      <w:r>
        <w:rPr>
          <w:rFonts w:ascii="IBM Plex Sans" w:eastAsia="Times New Roman" w:hAnsi="IBM Plex Sans"/>
          <w:color w:val="283030"/>
          <w:sz w:val="20"/>
          <w:szCs w:val="20"/>
        </w:rPr>
        <w:t xml:space="preserve">liers to improve demand management and resilience in our supply chain, efforts to improve retention of our skilled workforce and accounting for inflation uncertainty within the terms of future contracts. </w:t>
      </w:r>
    </w:p>
    <w:p w:rsidR="00000000" w:rsidRDefault="00F5481A">
      <w:pPr>
        <w:ind w:firstLine="360"/>
        <w:divId w:val="446317250"/>
        <w:rPr>
          <w:rFonts w:eastAsia="Times New Roman"/>
        </w:rPr>
      </w:pPr>
      <w:r>
        <w:rPr>
          <w:rFonts w:ascii="IBM Plex Sans" w:eastAsia="Times New Roman" w:hAnsi="IBM Plex Sans"/>
          <w:color w:val="283030"/>
          <w:sz w:val="20"/>
          <w:szCs w:val="20"/>
        </w:rPr>
        <w:t>Despite the dynamic operating environment, we belie</w:t>
      </w:r>
      <w:r>
        <w:rPr>
          <w:rFonts w:ascii="IBM Plex Sans" w:eastAsia="Times New Roman" w:hAnsi="IBM Plex Sans"/>
          <w:color w:val="283030"/>
          <w:sz w:val="20"/>
          <w:szCs w:val="20"/>
        </w:rPr>
        <w:t>ve demand for our products remains strong. Many of our offerings are supported in the 2023 GFY DoD budget, including responsive satellites, ISR aircraft, tactical communications, networked maritime systems and classified cyber solutions. In fiscal 2022, we</w:t>
      </w:r>
      <w:r>
        <w:rPr>
          <w:rFonts w:ascii="IBM Plex Sans" w:eastAsia="Times New Roman" w:hAnsi="IBM Plex Sans"/>
          <w:color w:val="283030"/>
          <w:sz w:val="20"/>
          <w:szCs w:val="20"/>
        </w:rPr>
        <w:t xml:space="preserve"> received several key strategic contract awards across each of our domains, and we ended the year with backlog of $22.3 billion, a 5% increase over the prior year. Also in fiscal 2022, we invested $603 million (4% of total revenue) in company-sponsored R&amp;D</w:t>
      </w:r>
      <w:r>
        <w:rPr>
          <w:rFonts w:ascii="IBM Plex Sans" w:eastAsia="Times New Roman" w:hAnsi="IBM Plex Sans"/>
          <w:color w:val="283030"/>
          <w:sz w:val="20"/>
          <w:szCs w:val="20"/>
        </w:rPr>
        <w:t xml:space="preserve"> focused on technologies that expand our capabilities across our domains. </w:t>
      </w:r>
    </w:p>
    <w:p w:rsidR="00000000" w:rsidRDefault="00F5481A">
      <w:pPr>
        <w:ind w:firstLine="360"/>
        <w:divId w:val="582488952"/>
        <w:rPr>
          <w:rFonts w:eastAsia="Times New Roman"/>
        </w:rPr>
      </w:pPr>
      <w:r>
        <w:rPr>
          <w:rFonts w:ascii="IBM Plex Sans" w:eastAsia="Times New Roman" w:hAnsi="IBM Plex Sans"/>
          <w:color w:val="283030"/>
          <w:sz w:val="20"/>
          <w:szCs w:val="20"/>
        </w:rPr>
        <w:t>Executing on our capital allocation strategy, on January 3, 2023 we closed the acquisition of the TDL product line for approximately $1.96 billion, subject to customary adjustments,</w:t>
      </w:r>
      <w:r>
        <w:rPr>
          <w:rFonts w:ascii="IBM Plex Sans" w:eastAsia="Times New Roman" w:hAnsi="IBM Plex Sans"/>
          <w:color w:val="283030"/>
          <w:sz w:val="20"/>
          <w:szCs w:val="20"/>
        </w:rPr>
        <w:t xml:space="preserve"> which will provide access to the Link 16 network and position us to make the installed base of terminals more resilient and relevant, consistent with JADC2 modernization efforts. Additionally, on December 17, 2022, we entered into a definitive agreement t</w:t>
      </w:r>
      <w:r>
        <w:rPr>
          <w:rFonts w:ascii="IBM Plex Sans" w:eastAsia="Times New Roman" w:hAnsi="IBM Plex Sans"/>
          <w:color w:val="283030"/>
          <w:sz w:val="20"/>
          <w:szCs w:val="20"/>
        </w:rPr>
        <w:t>o acquire AJRD for approximately $4.7 billion, gaining access to new markets in missiles and missile defense as well as space exploration. These unique assets are intended to strengthen our trusted position as an industry leading merchant supplier, providi</w:t>
      </w:r>
      <w:r>
        <w:rPr>
          <w:rFonts w:ascii="IBM Plex Sans" w:eastAsia="Times New Roman" w:hAnsi="IBM Plex Sans"/>
          <w:color w:val="283030"/>
          <w:sz w:val="20"/>
          <w:szCs w:val="20"/>
        </w:rPr>
        <w:t>ng rapid and innovative solutions to customers, and create long term value for our shareholders.</w:t>
      </w:r>
    </w:p>
    <w:p w:rsidR="00000000" w:rsidRDefault="00F5481A">
      <w:pPr>
        <w:ind w:firstLine="360"/>
        <w:divId w:val="1893880300"/>
        <w:rPr>
          <w:rFonts w:eastAsia="Times New Roman"/>
        </w:rPr>
      </w:pPr>
      <w:r>
        <w:rPr>
          <w:rFonts w:ascii="IBM Plex Sans" w:eastAsia="Times New Roman" w:hAnsi="IBM Plex Sans"/>
          <w:color w:val="283030"/>
          <w:sz w:val="20"/>
          <w:szCs w:val="20"/>
        </w:rPr>
        <w:t>We reported full year operating cash flow of $2.2 billion in fiscal 2022, and consistent with our shareholder-friendly capital deployment priority, we paid $86</w:t>
      </w:r>
      <w:r>
        <w:rPr>
          <w:rFonts w:ascii="IBM Plex Sans" w:eastAsia="Times New Roman" w:hAnsi="IBM Plex Sans"/>
          <w:color w:val="283030"/>
          <w:sz w:val="20"/>
          <w:szCs w:val="20"/>
        </w:rPr>
        <w:t xml:space="preserve">4 million in dividends and made share repurchases totaling $1.1 billion. </w:t>
      </w:r>
    </w:p>
    <w:p w:rsidR="00000000" w:rsidRDefault="00F5481A">
      <w:pPr>
        <w:ind w:firstLine="360"/>
        <w:divId w:val="1855806290"/>
        <w:rPr>
          <w:rFonts w:eastAsia="Times New Roman"/>
        </w:rPr>
      </w:pPr>
      <w:r>
        <w:rPr>
          <w:rFonts w:ascii="IBM Plex Sans" w:eastAsia="Times New Roman" w:hAnsi="IBM Plex Sans"/>
          <w:color w:val="283030"/>
          <w:sz w:val="20"/>
          <w:szCs w:val="20"/>
        </w:rPr>
        <w:t xml:space="preserve">Our strategic priorities continue to be growth, innovation and performance. For fiscal 2023, “Performance First” is our primary focus. We plan to continue to invest, consistent with </w:t>
      </w:r>
      <w:r>
        <w:rPr>
          <w:rFonts w:ascii="IBM Plex Sans" w:eastAsia="Times New Roman" w:hAnsi="IBM Plex Sans"/>
          <w:color w:val="283030"/>
          <w:sz w:val="20"/>
          <w:szCs w:val="20"/>
        </w:rPr>
        <w:t xml:space="preserve">growth opportunities, and sustain our culture of innovation, but delivering on our commitments to investors, our customers and on every contract we are awarded is paramount. We intend to accomplish this by: </w:t>
      </w:r>
    </w:p>
    <w:p w:rsidR="00000000" w:rsidRDefault="00F5481A">
      <w:pPr>
        <w:ind w:hanging="360"/>
        <w:divId w:val="2000381740"/>
        <w:rPr>
          <w:rFonts w:eastAsia="Times New Roman"/>
        </w:rPr>
      </w:pPr>
      <w:r>
        <w:rPr>
          <w:rFonts w:ascii="IBM Plex Sans" w:eastAsia="Times New Roman" w:hAnsi="IBM Plex Sans"/>
          <w:color w:val="283030"/>
          <w:sz w:val="20"/>
          <w:szCs w:val="20"/>
        </w:rPr>
        <w:t xml:space="preserve">•Relentlessly focusing on program execution and </w:t>
      </w:r>
      <w:r>
        <w:rPr>
          <w:rFonts w:ascii="IBM Plex Sans" w:eastAsia="Times New Roman" w:hAnsi="IBM Plex Sans"/>
          <w:color w:val="283030"/>
          <w:sz w:val="20"/>
          <w:szCs w:val="20"/>
        </w:rPr>
        <w:t>continuous improvement;</w:t>
      </w:r>
    </w:p>
    <w:p w:rsidR="00000000" w:rsidRDefault="00F5481A">
      <w:pPr>
        <w:ind w:hanging="360"/>
        <w:divId w:val="409623457"/>
        <w:rPr>
          <w:rFonts w:eastAsia="Times New Roman"/>
        </w:rPr>
      </w:pPr>
      <w:r>
        <w:rPr>
          <w:rFonts w:ascii="IBM Plex Sans" w:eastAsia="Times New Roman" w:hAnsi="IBM Plex Sans"/>
          <w:color w:val="283030"/>
          <w:sz w:val="20"/>
          <w:szCs w:val="20"/>
        </w:rPr>
        <w:t>•Strengthening the risk management culture that has developed over the highly volatile past three years;</w:t>
      </w:r>
    </w:p>
    <w:p w:rsidR="00000000" w:rsidRDefault="00F5481A">
      <w:pPr>
        <w:ind w:hanging="360"/>
        <w:divId w:val="1319575084"/>
        <w:rPr>
          <w:rFonts w:eastAsia="Times New Roman"/>
        </w:rPr>
      </w:pPr>
      <w:r>
        <w:rPr>
          <w:rFonts w:ascii="IBM Plex Sans" w:eastAsia="Times New Roman" w:hAnsi="IBM Plex Sans"/>
          <w:color w:val="283030"/>
          <w:sz w:val="20"/>
          <w:szCs w:val="20"/>
        </w:rPr>
        <w:t xml:space="preserve">•Seamlessly integrating TDL and closing the AJRD acquisition; and </w:t>
      </w:r>
    </w:p>
    <w:p w:rsidR="00000000" w:rsidRDefault="00F5481A">
      <w:pPr>
        <w:ind w:firstLine="360"/>
        <w:jc w:val="center"/>
        <w:divId w:val="201092112"/>
        <w:rPr>
          <w:rFonts w:eastAsia="Times New Roman"/>
        </w:rPr>
      </w:pPr>
      <w:r>
        <w:rPr>
          <w:rFonts w:ascii="Arial" w:eastAsia="Times New Roman" w:hAnsi="Arial" w:cs="Arial"/>
          <w:b/>
          <w:bCs/>
          <w:color w:val="016676"/>
        </w:rPr>
        <w:t>____________________________________________________________</w:t>
      </w:r>
      <w:r>
        <w:rPr>
          <w:rFonts w:ascii="Arial" w:eastAsia="Times New Roman" w:hAnsi="Arial" w:cs="Arial"/>
          <w:b/>
          <w:bCs/>
          <w:color w:val="016676"/>
        </w:rPr>
        <w:t>_________</w:t>
      </w:r>
      <w:r>
        <w:rPr>
          <w:rFonts w:ascii="Arial" w:eastAsia="Times New Roman" w:hAnsi="Arial" w:cs="Arial"/>
          <w:b/>
          <w:bCs/>
          <w:color w:val="233D6F"/>
        </w:rPr>
        <w:br/>
      </w:r>
      <w:r>
        <w:rPr>
          <w:rFonts w:ascii="IBM Plex Sans" w:eastAsia="Times New Roman" w:hAnsi="IBM Plex Sans"/>
          <w:color w:val="283030"/>
          <w:sz w:val="20"/>
          <w:szCs w:val="20"/>
        </w:rPr>
        <w:t>31</w:t>
      </w:r>
    </w:p>
    <w:p w:rsidR="00000000" w:rsidRDefault="00F5481A">
      <w:pPr>
        <w:rPr>
          <w:rFonts w:eastAsia="Times New Roman"/>
        </w:rPr>
      </w:pPr>
      <w:r>
        <w:rPr>
          <w:rFonts w:eastAsia="Times New Roman"/>
        </w:rPr>
        <w:pict>
          <v:rect id="_x0000_i1062" style="width:0;height:1.5pt" o:hralign="center" o:hrstd="t" o:hr="t" fillcolor="#a0a0a0" stroked="f"/>
        </w:pict>
      </w:r>
    </w:p>
    <w:p w:rsidR="00000000" w:rsidRDefault="00F5481A">
      <w:pPr>
        <w:ind w:firstLine="360"/>
        <w:divId w:val="91360082"/>
        <w:rPr>
          <w:rFonts w:eastAsia="Times New Roman"/>
        </w:rPr>
      </w:pPr>
    </w:p>
    <w:p w:rsidR="00000000" w:rsidRDefault="00F5481A">
      <w:pPr>
        <w:ind w:hanging="360"/>
        <w:divId w:val="923413268"/>
        <w:rPr>
          <w:rFonts w:eastAsia="Times New Roman"/>
        </w:rPr>
      </w:pPr>
      <w:r>
        <w:rPr>
          <w:rFonts w:ascii="IBM Plex Sans" w:eastAsia="Times New Roman" w:hAnsi="IBM Plex Sans"/>
          <w:color w:val="283030"/>
          <w:sz w:val="20"/>
          <w:szCs w:val="20"/>
        </w:rPr>
        <w:t>•Attracting, developing and retaining the skilled workforce key to our role as a Trusted Disruptor.</w:t>
      </w:r>
    </w:p>
    <w:p w:rsidR="00000000" w:rsidRDefault="00F5481A">
      <w:pPr>
        <w:ind w:firstLine="360"/>
        <w:divId w:val="574360275"/>
        <w:rPr>
          <w:rFonts w:eastAsia="Times New Roman"/>
        </w:rPr>
      </w:pPr>
      <w:r>
        <w:rPr>
          <w:rFonts w:ascii="IBM Plex Sans" w:eastAsia="Times New Roman" w:hAnsi="IBM Plex Sans"/>
          <w:color w:val="283030"/>
          <w:sz w:val="20"/>
          <w:szCs w:val="20"/>
        </w:rPr>
        <w:t xml:space="preserve">We use the following key financial performance measures to manage our business, which are discussed in detail below in the “Operations Review” and “Liquidity and Capital Resources” sections of this MD&amp;A: </w:t>
      </w:r>
    </w:p>
    <w:p w:rsidR="00000000" w:rsidRDefault="00F5481A">
      <w:pPr>
        <w:ind w:hanging="360"/>
        <w:divId w:val="1098016210"/>
        <w:rPr>
          <w:rFonts w:eastAsia="Times New Roman"/>
        </w:rPr>
      </w:pPr>
      <w:r>
        <w:rPr>
          <w:rFonts w:ascii="IBM Plex Sans" w:eastAsia="Times New Roman" w:hAnsi="IBM Plex Sans"/>
          <w:color w:val="283030"/>
          <w:sz w:val="20"/>
          <w:szCs w:val="20"/>
        </w:rPr>
        <w:t>•Revenue;</w:t>
      </w:r>
    </w:p>
    <w:p w:rsidR="00000000" w:rsidRDefault="00F5481A">
      <w:pPr>
        <w:ind w:hanging="360"/>
        <w:divId w:val="1328365070"/>
        <w:rPr>
          <w:rFonts w:eastAsia="Times New Roman"/>
        </w:rPr>
      </w:pPr>
      <w:r>
        <w:rPr>
          <w:rFonts w:ascii="IBM Plex Sans" w:eastAsia="Times New Roman" w:hAnsi="IBM Plex Sans"/>
          <w:color w:val="283030"/>
          <w:sz w:val="20"/>
          <w:szCs w:val="20"/>
        </w:rPr>
        <w:t>•Income from continuing operations; and</w:t>
      </w:r>
    </w:p>
    <w:p w:rsidR="00000000" w:rsidRDefault="00F5481A">
      <w:pPr>
        <w:ind w:hanging="360"/>
        <w:divId w:val="874192706"/>
        <w:rPr>
          <w:rFonts w:eastAsia="Times New Roman"/>
        </w:rPr>
      </w:pPr>
      <w:r>
        <w:rPr>
          <w:rFonts w:ascii="IBM Plex Sans" w:eastAsia="Times New Roman" w:hAnsi="IBM Plex Sans"/>
          <w:color w:val="283030"/>
          <w:sz w:val="20"/>
          <w:szCs w:val="20"/>
        </w:rPr>
        <w:t>•</w:t>
      </w:r>
      <w:r>
        <w:rPr>
          <w:rFonts w:ascii="IBM Plex Sans" w:eastAsia="Times New Roman" w:hAnsi="IBM Plex Sans"/>
          <w:color w:val="283030"/>
          <w:sz w:val="20"/>
          <w:szCs w:val="20"/>
        </w:rPr>
        <w:t>Net cash provided by operating activities.</w:t>
      </w:r>
    </w:p>
    <w:p w:rsidR="00000000" w:rsidRDefault="00F5481A">
      <w:pPr>
        <w:ind w:firstLine="360"/>
        <w:divId w:val="951284125"/>
        <w:rPr>
          <w:rFonts w:eastAsia="Times New Roman"/>
        </w:rPr>
      </w:pPr>
      <w:r>
        <w:rPr>
          <w:rFonts w:ascii="IBM Plex Sans" w:eastAsia="Times New Roman" w:hAnsi="IBM Plex Sans"/>
          <w:color w:val="283030"/>
          <w:sz w:val="20"/>
          <w:szCs w:val="20"/>
        </w:rPr>
        <w:t>We also measure the success of our business using certain measures that are not defined by U.S. Generally Accepted Accounting Principles (“GAAP”), such as adjusted EBIT, or earnings before interest and taxes, non-</w:t>
      </w:r>
      <w:r>
        <w:rPr>
          <w:rFonts w:ascii="IBM Plex Sans" w:eastAsia="Times New Roman" w:hAnsi="IBM Plex Sans"/>
          <w:color w:val="283030"/>
          <w:sz w:val="20"/>
          <w:szCs w:val="20"/>
        </w:rPr>
        <w:t>GAAP earnings per share, adjusted free cash flow and return on invested capital (defined as after-tax operating income from continuing operations divided by the two-point average of invested capital at the beginning and end of the period, where invested ca</w:t>
      </w:r>
      <w:r>
        <w:rPr>
          <w:rFonts w:ascii="IBM Plex Sans" w:eastAsia="Times New Roman" w:hAnsi="IBM Plex Sans"/>
          <w:color w:val="283030"/>
          <w:sz w:val="20"/>
          <w:szCs w:val="20"/>
        </w:rPr>
        <w:t>pital equals equity plus debt, less cash and cash equivalents), which may be calculated differently by other companies. We use these measures, along with our key financial performance measures above, to assess the success of our business and our ability to</w:t>
      </w:r>
      <w:r>
        <w:rPr>
          <w:rFonts w:ascii="IBM Plex Sans" w:eastAsia="Times New Roman" w:hAnsi="IBM Plex Sans"/>
          <w:color w:val="283030"/>
          <w:sz w:val="20"/>
          <w:szCs w:val="20"/>
        </w:rPr>
        <w:t xml:space="preserve"> create shareholder value. We believe these measures are balanced among long-term and short-term performance, efficiency and growth. We also use some of these and other performance metrics for executive compensation purposes.</w:t>
      </w:r>
    </w:p>
    <w:p w:rsidR="00000000" w:rsidRDefault="00F5481A">
      <w:pPr>
        <w:ind w:firstLine="360"/>
        <w:jc w:val="center"/>
        <w:divId w:val="922494075"/>
        <w:rPr>
          <w:rFonts w:eastAsia="Times New Roman"/>
        </w:rPr>
      </w:pPr>
      <w:r>
        <w:rPr>
          <w:rFonts w:ascii="Arial" w:eastAsia="Times New Roman" w:hAnsi="Arial" w:cs="Arial"/>
          <w:b/>
          <w:bCs/>
          <w:color w:val="016676"/>
        </w:rPr>
        <w:t>______________________________</w:t>
      </w:r>
      <w:r>
        <w:rPr>
          <w:rFonts w:ascii="Arial" w:eastAsia="Times New Roman" w:hAnsi="Arial" w:cs="Arial"/>
          <w:b/>
          <w:bCs/>
          <w:color w:val="016676"/>
        </w:rPr>
        <w:t>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32</w:t>
      </w:r>
    </w:p>
    <w:p w:rsidR="00000000" w:rsidRDefault="00F5481A">
      <w:pPr>
        <w:rPr>
          <w:rFonts w:eastAsia="Times New Roman"/>
        </w:rPr>
      </w:pPr>
      <w:r>
        <w:rPr>
          <w:rFonts w:eastAsia="Times New Roman"/>
        </w:rPr>
        <w:pict>
          <v:rect id="_x0000_i1063" style="width:0;height:1.5pt" o:hralign="center" o:hrstd="t" o:hr="t" fillcolor="#a0a0a0" stroked="f"/>
        </w:pict>
      </w:r>
    </w:p>
    <w:p w:rsidR="00000000" w:rsidRDefault="00F5481A">
      <w:pPr>
        <w:ind w:firstLine="360"/>
        <w:divId w:val="1834565314"/>
        <w:rPr>
          <w:rFonts w:eastAsia="Times New Roman"/>
        </w:rPr>
      </w:pPr>
    </w:p>
    <w:p w:rsidR="00000000" w:rsidRDefault="00F5481A">
      <w:pPr>
        <w:divId w:val="334572052"/>
        <w:rPr>
          <w:rFonts w:eastAsia="Times New Roman"/>
        </w:rPr>
      </w:pPr>
      <w:r>
        <w:rPr>
          <w:rFonts w:ascii="IBM Plex Sans SemiBold" w:eastAsia="Times New Roman" w:hAnsi="IBM Plex Sans SemiBold"/>
          <w:b/>
          <w:bCs/>
          <w:color w:val="016676"/>
          <w:sz w:val="20"/>
          <w:szCs w:val="20"/>
        </w:rPr>
        <w:t>OPERATIONS REVIEW</w:t>
      </w:r>
    </w:p>
    <w:p w:rsidR="00000000" w:rsidRDefault="00F5481A">
      <w:pPr>
        <w:divId w:val="1576932031"/>
        <w:rPr>
          <w:rFonts w:eastAsia="Times New Roman"/>
        </w:rPr>
      </w:pPr>
      <w:r>
        <w:rPr>
          <w:rFonts w:ascii="IBM Plex Sans SemiBold" w:eastAsia="Times New Roman" w:hAnsi="IBM Plex Sans SemiBold"/>
          <w:b/>
          <w:bCs/>
          <w:i/>
          <w:iCs/>
          <w:color w:val="016676"/>
          <w:sz w:val="20"/>
          <w:szCs w:val="20"/>
        </w:rPr>
        <w:t>Consolidated Results of Operations</w:t>
      </w:r>
    </w:p>
    <w:tbl>
      <w:tblPr>
        <w:tblW w:w="4971" w:type="pct"/>
        <w:jc w:val="center"/>
        <w:tblCellMar>
          <w:top w:w="15" w:type="dxa"/>
          <w:left w:w="15" w:type="dxa"/>
          <w:bottom w:w="15" w:type="dxa"/>
          <w:right w:w="15" w:type="dxa"/>
        </w:tblCellMar>
        <w:tblLook w:val="04A0" w:firstRow="1" w:lastRow="0" w:firstColumn="1" w:lastColumn="0" w:noHBand="0" w:noVBand="1"/>
      </w:tblPr>
      <w:tblGrid>
        <w:gridCol w:w="41"/>
        <w:gridCol w:w="2689"/>
        <w:gridCol w:w="39"/>
        <w:gridCol w:w="133"/>
        <w:gridCol w:w="765"/>
        <w:gridCol w:w="198"/>
        <w:gridCol w:w="36"/>
        <w:gridCol w:w="36"/>
        <w:gridCol w:w="36"/>
        <w:gridCol w:w="133"/>
        <w:gridCol w:w="715"/>
        <w:gridCol w:w="198"/>
        <w:gridCol w:w="36"/>
        <w:gridCol w:w="36"/>
        <w:gridCol w:w="36"/>
        <w:gridCol w:w="113"/>
        <w:gridCol w:w="592"/>
        <w:gridCol w:w="198"/>
        <w:gridCol w:w="36"/>
        <w:gridCol w:w="36"/>
        <w:gridCol w:w="36"/>
        <w:gridCol w:w="133"/>
        <w:gridCol w:w="706"/>
        <w:gridCol w:w="198"/>
        <w:gridCol w:w="36"/>
        <w:gridCol w:w="36"/>
        <w:gridCol w:w="36"/>
        <w:gridCol w:w="116"/>
        <w:gridCol w:w="589"/>
        <w:gridCol w:w="198"/>
        <w:gridCol w:w="36"/>
        <w:gridCol w:w="36"/>
      </w:tblGrid>
      <w:tr w:rsidR="00000000">
        <w:trPr>
          <w:divId w:val="515461353"/>
          <w:jc w:val="center"/>
        </w:trPr>
        <w:tc>
          <w:tcPr>
            <w:tcW w:w="50" w:type="pct"/>
            <w:vAlign w:val="center"/>
            <w:hideMark/>
          </w:tcPr>
          <w:p w:rsidR="00000000" w:rsidRDefault="00F5481A">
            <w:pPr>
              <w:rPr>
                <w:rFonts w:eastAsia="Times New Roman"/>
              </w:rPr>
            </w:pPr>
          </w:p>
        </w:tc>
        <w:tc>
          <w:tcPr>
            <w:tcW w:w="203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0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2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0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262"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58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25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515461353"/>
          <w:jc w:val="center"/>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27"/>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Fiscal Year Ended</w:t>
            </w:r>
          </w:p>
        </w:tc>
        <w:tc>
          <w:tcPr>
            <w:tcW w:w="0" w:type="auto"/>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r>
      <w:tr w:rsidR="00000000">
        <w:trPr>
          <w:divId w:val="515461353"/>
          <w:jc w:val="center"/>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(Dollars 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 Inc/(Dec)</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January 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 Inc/(Dec)</w:t>
            </w:r>
          </w:p>
        </w:tc>
        <w:tc>
          <w:tcPr>
            <w:tcW w:w="0" w:type="auto"/>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r>
      <w:tr w:rsidR="00000000">
        <w:trPr>
          <w:divId w:val="515461353"/>
          <w:jc w:val="center"/>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515461353"/>
          <w:jc w:val="center"/>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Revenue:</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515461353"/>
          <w:jc w:val="center"/>
        </w:trPr>
        <w:tc>
          <w:tcPr>
            <w:tcW w:w="0" w:type="auto"/>
            <w:gridSpan w:val="3"/>
            <w:shd w:val="clear" w:color="auto" w:fill="FFFFFF"/>
            <w:tcMar>
              <w:top w:w="30" w:type="dxa"/>
              <w:left w:w="29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Integrated Mission Systems</w:t>
            </w: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6,916 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7,042 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6,793 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rsidR="00000000" w:rsidRDefault="00F5481A">
            <w:pPr>
              <w:spacing w:after="100"/>
              <w:jc w:val="right"/>
              <w:rPr>
                <w:rFonts w:eastAsia="Times New Roman"/>
              </w:rPr>
            </w:pPr>
          </w:p>
        </w:tc>
        <w:tc>
          <w:tcPr>
            <w:tcW w:w="0" w:type="auto"/>
            <w:vAlign w:val="center"/>
            <w:hideMark/>
          </w:tcPr>
          <w:p w:rsidR="00000000" w:rsidRDefault="00F5481A">
            <w:pPr>
              <w:spacing w:after="100"/>
              <w:rPr>
                <w:rFonts w:eastAsia="Times New Roman"/>
                <w:sz w:val="20"/>
                <w:szCs w:val="20"/>
              </w:rPr>
            </w:pPr>
          </w:p>
        </w:tc>
      </w:tr>
      <w:tr w:rsidR="00000000">
        <w:trPr>
          <w:divId w:val="515461353"/>
          <w:jc w:val="center"/>
        </w:trPr>
        <w:tc>
          <w:tcPr>
            <w:tcW w:w="0" w:type="auto"/>
            <w:gridSpan w:val="3"/>
            <w:shd w:val="clear" w:color="auto" w:fill="D7EFF1"/>
            <w:tcMar>
              <w:top w:w="30" w:type="dxa"/>
              <w:left w:w="29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Space &amp; Airborne Systems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6,060 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5,965 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5,823 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rsidR="00000000" w:rsidRDefault="00F5481A">
            <w:pPr>
              <w:spacing w:after="100"/>
              <w:jc w:val="right"/>
              <w:rPr>
                <w:rFonts w:eastAsia="Times New Roman"/>
              </w:rPr>
            </w:pPr>
          </w:p>
        </w:tc>
        <w:tc>
          <w:tcPr>
            <w:tcW w:w="0" w:type="auto"/>
            <w:vAlign w:val="center"/>
            <w:hideMark/>
          </w:tcPr>
          <w:p w:rsidR="00000000" w:rsidRDefault="00F5481A">
            <w:pPr>
              <w:spacing w:after="100"/>
              <w:rPr>
                <w:rFonts w:eastAsia="Times New Roman"/>
                <w:sz w:val="20"/>
                <w:szCs w:val="20"/>
              </w:rPr>
            </w:pPr>
          </w:p>
        </w:tc>
      </w:tr>
      <w:tr w:rsidR="00000000">
        <w:trPr>
          <w:divId w:val="515461353"/>
          <w:jc w:val="center"/>
        </w:trPr>
        <w:tc>
          <w:tcPr>
            <w:tcW w:w="0" w:type="auto"/>
            <w:gridSpan w:val="3"/>
            <w:shd w:val="clear" w:color="auto" w:fill="FFFFFF"/>
            <w:tcMar>
              <w:top w:w="30" w:type="dxa"/>
              <w:left w:w="29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Communication Systems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4,217 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4,287 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4,402 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rsidR="00000000" w:rsidRDefault="00F5481A">
            <w:pPr>
              <w:spacing w:after="100"/>
              <w:jc w:val="right"/>
              <w:rPr>
                <w:rFonts w:eastAsia="Times New Roman"/>
              </w:rPr>
            </w:pPr>
          </w:p>
        </w:tc>
        <w:tc>
          <w:tcPr>
            <w:tcW w:w="0" w:type="auto"/>
            <w:vAlign w:val="center"/>
            <w:hideMark/>
          </w:tcPr>
          <w:p w:rsidR="00000000" w:rsidRDefault="00F5481A">
            <w:pPr>
              <w:spacing w:after="100"/>
              <w:rPr>
                <w:rFonts w:eastAsia="Times New Roman"/>
                <w:sz w:val="20"/>
                <w:szCs w:val="20"/>
              </w:rPr>
            </w:pPr>
          </w:p>
        </w:tc>
      </w:tr>
      <w:tr w:rsidR="00000000">
        <w:trPr>
          <w:divId w:val="515461353"/>
          <w:jc w:val="center"/>
        </w:trPr>
        <w:tc>
          <w:tcPr>
            <w:tcW w:w="0" w:type="auto"/>
            <w:gridSpan w:val="3"/>
            <w:shd w:val="clear" w:color="auto" w:fill="D7EFF1"/>
            <w:tcMar>
              <w:top w:w="30" w:type="dxa"/>
              <w:left w:w="29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Other non-reportable businesses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683 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1,347 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(49)</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rsidR="00000000" w:rsidRDefault="00F5481A">
            <w:pPr>
              <w:spacing w:after="100"/>
              <w:jc w:val="right"/>
              <w:rPr>
                <w:rFonts w:eastAsia="Times New Roman"/>
              </w:rPr>
            </w:pPr>
          </w:p>
        </w:tc>
        <w:tc>
          <w:tcPr>
            <w:tcW w:w="0" w:type="auto"/>
            <w:vAlign w:val="center"/>
            <w:hideMark/>
          </w:tcPr>
          <w:p w:rsidR="00000000" w:rsidRDefault="00F5481A">
            <w:pPr>
              <w:spacing w:after="100"/>
              <w:rPr>
                <w:rFonts w:eastAsia="Times New Roman"/>
                <w:sz w:val="20"/>
                <w:szCs w:val="20"/>
              </w:rPr>
            </w:pPr>
          </w:p>
        </w:tc>
      </w:tr>
      <w:tr w:rsidR="00000000">
        <w:trPr>
          <w:divId w:val="515461353"/>
          <w:jc w:val="center"/>
        </w:trPr>
        <w:tc>
          <w:tcPr>
            <w:tcW w:w="0" w:type="auto"/>
            <w:gridSpan w:val="3"/>
            <w:shd w:val="clear" w:color="auto" w:fill="FFFFFF"/>
            <w:tcMar>
              <w:top w:w="30" w:type="dxa"/>
              <w:left w:w="29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Corporate eliminations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(131)</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(163)</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(20)</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(171)</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rsidR="00000000" w:rsidRDefault="00F5481A">
            <w:pPr>
              <w:spacing w:after="100"/>
              <w:jc w:val="right"/>
              <w:rPr>
                <w:rFonts w:eastAsia="Times New Roman"/>
              </w:rPr>
            </w:pPr>
          </w:p>
        </w:tc>
        <w:tc>
          <w:tcPr>
            <w:tcW w:w="0" w:type="auto"/>
            <w:vAlign w:val="center"/>
            <w:hideMark/>
          </w:tcPr>
          <w:p w:rsidR="00000000" w:rsidRDefault="00F5481A">
            <w:pPr>
              <w:spacing w:after="100"/>
              <w:rPr>
                <w:rFonts w:eastAsia="Times New Roman"/>
                <w:sz w:val="20"/>
                <w:szCs w:val="20"/>
              </w:rPr>
            </w:pPr>
          </w:p>
        </w:tc>
      </w:tr>
      <w:tr w:rsidR="00000000">
        <w:trPr>
          <w:divId w:val="515461353"/>
          <w:jc w:val="center"/>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Total revenue</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17,062 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17,814 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18,194 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rsidR="00000000" w:rsidRDefault="00F5481A">
            <w:pPr>
              <w:spacing w:after="100"/>
              <w:jc w:val="right"/>
              <w:rPr>
                <w:rFonts w:eastAsia="Times New Roman"/>
              </w:rPr>
            </w:pPr>
          </w:p>
        </w:tc>
        <w:tc>
          <w:tcPr>
            <w:tcW w:w="0" w:type="auto"/>
            <w:vAlign w:val="center"/>
            <w:hideMark/>
          </w:tcPr>
          <w:p w:rsidR="00000000" w:rsidRDefault="00F5481A">
            <w:pPr>
              <w:spacing w:after="100"/>
              <w:rPr>
                <w:rFonts w:eastAsia="Times New Roman"/>
                <w:sz w:val="20"/>
                <w:szCs w:val="20"/>
              </w:rPr>
            </w:pPr>
          </w:p>
        </w:tc>
      </w:tr>
      <w:tr w:rsidR="00000000">
        <w:trPr>
          <w:divId w:val="515461353"/>
          <w:jc w:val="center"/>
        </w:trPr>
        <w:tc>
          <w:tcPr>
            <w:tcW w:w="0" w:type="auto"/>
            <w:gridSpan w:val="3"/>
            <w:shd w:val="clear" w:color="auto" w:fill="FFFFFF"/>
            <w:tcMar>
              <w:top w:w="30" w:type="dxa"/>
              <w:left w:w="3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Total cost of product sales and services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(12,135)</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(12,438)</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(12,886)</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rsidR="00000000" w:rsidRDefault="00F5481A">
            <w:pPr>
              <w:spacing w:after="100"/>
              <w:jc w:val="right"/>
              <w:rPr>
                <w:rFonts w:eastAsia="Times New Roman"/>
              </w:rPr>
            </w:pPr>
          </w:p>
        </w:tc>
        <w:tc>
          <w:tcPr>
            <w:tcW w:w="0" w:type="auto"/>
            <w:vAlign w:val="center"/>
            <w:hideMark/>
          </w:tcPr>
          <w:p w:rsidR="00000000" w:rsidRDefault="00F5481A">
            <w:pPr>
              <w:spacing w:after="100"/>
              <w:rPr>
                <w:rFonts w:eastAsia="Times New Roman"/>
                <w:sz w:val="20"/>
                <w:szCs w:val="20"/>
              </w:rPr>
            </w:pPr>
          </w:p>
        </w:tc>
      </w:tr>
      <w:tr w:rsidR="00000000">
        <w:trPr>
          <w:divId w:val="515461353"/>
          <w:jc w:val="center"/>
        </w:trPr>
        <w:tc>
          <w:tcPr>
            <w:tcW w:w="0" w:type="auto"/>
            <w:gridSpan w:val="3"/>
            <w:shd w:val="clear" w:color="auto" w:fill="D7EFF1"/>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i/>
                <w:iCs/>
                <w:color w:val="283030"/>
                <w:sz w:val="20"/>
                <w:szCs w:val="20"/>
              </w:rPr>
              <w:t>% of total revenue</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i/>
                <w:iCs/>
                <w:color w:val="283030"/>
                <w:sz w:val="20"/>
                <w:szCs w:val="20"/>
              </w:rPr>
              <w:t>71 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i/>
                <w:iC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i/>
                <w:iCs/>
                <w:color w:val="283030"/>
                <w:sz w:val="20"/>
                <w:szCs w:val="20"/>
              </w:rPr>
              <w:t>70 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i/>
                <w:iC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i/>
                <w:iCs/>
                <w:color w:val="283030"/>
                <w:sz w:val="20"/>
                <w:szCs w:val="20"/>
              </w:rPr>
              <w:t>71 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i/>
                <w:iC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515461353"/>
          <w:jc w:val="center"/>
        </w:trPr>
        <w:tc>
          <w:tcPr>
            <w:tcW w:w="0" w:type="auto"/>
            <w:gridSpan w:val="3"/>
            <w:shd w:val="clear" w:color="auto" w:fill="FFFFFF"/>
            <w:tcMar>
              <w:top w:w="30" w:type="dxa"/>
              <w:left w:w="3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Gross margin</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4,927 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5,376 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5,308 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rsidR="00000000" w:rsidRDefault="00F5481A">
            <w:pPr>
              <w:spacing w:after="100"/>
              <w:jc w:val="right"/>
              <w:rPr>
                <w:rFonts w:eastAsia="Times New Roman"/>
              </w:rPr>
            </w:pPr>
          </w:p>
        </w:tc>
        <w:tc>
          <w:tcPr>
            <w:tcW w:w="0" w:type="auto"/>
            <w:vAlign w:val="center"/>
            <w:hideMark/>
          </w:tcPr>
          <w:p w:rsidR="00000000" w:rsidRDefault="00F5481A">
            <w:pPr>
              <w:spacing w:after="100"/>
              <w:rPr>
                <w:rFonts w:eastAsia="Times New Roman"/>
                <w:sz w:val="20"/>
                <w:szCs w:val="20"/>
              </w:rPr>
            </w:pPr>
          </w:p>
        </w:tc>
      </w:tr>
      <w:tr w:rsidR="00000000">
        <w:trPr>
          <w:divId w:val="515461353"/>
          <w:jc w:val="center"/>
        </w:trPr>
        <w:tc>
          <w:tcPr>
            <w:tcW w:w="0" w:type="auto"/>
            <w:gridSpan w:val="3"/>
            <w:shd w:val="clear" w:color="auto" w:fill="D7EFF1"/>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i/>
                <w:iCs/>
                <w:color w:val="283030"/>
                <w:sz w:val="20"/>
                <w:szCs w:val="20"/>
              </w:rPr>
              <w:t>% of total revenue</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i/>
                <w:iCs/>
                <w:color w:val="283030"/>
                <w:sz w:val="20"/>
                <w:szCs w:val="20"/>
              </w:rPr>
              <w:t>29 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i/>
                <w:iC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i/>
                <w:iCs/>
                <w:color w:val="283030"/>
                <w:sz w:val="20"/>
                <w:szCs w:val="20"/>
              </w:rPr>
              <w:t>30 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i/>
                <w:iC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i/>
                <w:iCs/>
                <w:color w:val="283030"/>
                <w:sz w:val="20"/>
                <w:szCs w:val="20"/>
              </w:rPr>
              <w:t>29 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i/>
                <w:iC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515461353"/>
          <w:jc w:val="center"/>
        </w:trPr>
        <w:tc>
          <w:tcPr>
            <w:tcW w:w="0" w:type="auto"/>
            <w:gridSpan w:val="3"/>
            <w:shd w:val="clear" w:color="auto" w:fill="FFFFFF"/>
            <w:tcMar>
              <w:top w:w="30" w:type="dxa"/>
              <w:left w:w="3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Engineering, selling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(2,998)</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(3,280)</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(3,315)</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rsidR="00000000" w:rsidRDefault="00F5481A">
            <w:pPr>
              <w:spacing w:after="100"/>
              <w:jc w:val="right"/>
              <w:rPr>
                <w:rFonts w:eastAsia="Times New Roman"/>
              </w:rPr>
            </w:pPr>
          </w:p>
        </w:tc>
        <w:tc>
          <w:tcPr>
            <w:tcW w:w="0" w:type="auto"/>
            <w:vAlign w:val="center"/>
            <w:hideMark/>
          </w:tcPr>
          <w:p w:rsidR="00000000" w:rsidRDefault="00F5481A">
            <w:pPr>
              <w:spacing w:after="100"/>
              <w:rPr>
                <w:rFonts w:eastAsia="Times New Roman"/>
                <w:sz w:val="20"/>
                <w:szCs w:val="20"/>
              </w:rPr>
            </w:pPr>
          </w:p>
        </w:tc>
      </w:tr>
      <w:tr w:rsidR="00000000">
        <w:trPr>
          <w:divId w:val="515461353"/>
          <w:jc w:val="center"/>
        </w:trPr>
        <w:tc>
          <w:tcPr>
            <w:tcW w:w="0" w:type="auto"/>
            <w:gridSpan w:val="3"/>
            <w:shd w:val="clear" w:color="auto" w:fill="D7EFF1"/>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i/>
                <w:iCs/>
                <w:color w:val="283030"/>
                <w:sz w:val="20"/>
                <w:szCs w:val="20"/>
              </w:rPr>
              <w:t>% of total revenue</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i/>
                <w:iCs/>
                <w:color w:val="283030"/>
                <w:sz w:val="20"/>
                <w:szCs w:val="20"/>
              </w:rPr>
              <w:t>18 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i/>
                <w:iC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i/>
                <w:iCs/>
                <w:color w:val="283030"/>
                <w:sz w:val="20"/>
                <w:szCs w:val="20"/>
              </w:rPr>
              <w:t>18 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i/>
                <w:iC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i/>
                <w:iCs/>
                <w:color w:val="283030"/>
                <w:sz w:val="20"/>
                <w:szCs w:val="20"/>
              </w:rPr>
              <w:t>18 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i/>
                <w:iC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515461353"/>
          <w:jc w:val="center"/>
        </w:trPr>
        <w:tc>
          <w:tcPr>
            <w:tcW w:w="0" w:type="auto"/>
            <w:gridSpan w:val="3"/>
            <w:shd w:val="clear" w:color="auto" w:fill="FFFFFF"/>
            <w:tcMar>
              <w:top w:w="30" w:type="dxa"/>
              <w:left w:w="3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Business divestiture-related gains (losses), net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220 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(51)</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rsidR="00000000" w:rsidRDefault="00F5481A">
            <w:pPr>
              <w:spacing w:after="100"/>
              <w:jc w:val="right"/>
              <w:rPr>
                <w:rFonts w:eastAsia="Times New Roman"/>
              </w:rPr>
            </w:pPr>
          </w:p>
        </w:tc>
        <w:tc>
          <w:tcPr>
            <w:tcW w:w="0" w:type="auto"/>
            <w:vAlign w:val="center"/>
            <w:hideMark/>
          </w:tcPr>
          <w:p w:rsidR="00000000" w:rsidRDefault="00F5481A">
            <w:pPr>
              <w:spacing w:after="100"/>
              <w:rPr>
                <w:rFonts w:eastAsia="Times New Roman"/>
                <w:sz w:val="20"/>
                <w:szCs w:val="20"/>
              </w:rPr>
            </w:pPr>
          </w:p>
        </w:tc>
      </w:tr>
      <w:tr w:rsidR="00000000">
        <w:trPr>
          <w:divId w:val="515461353"/>
          <w:jc w:val="center"/>
        </w:trPr>
        <w:tc>
          <w:tcPr>
            <w:tcW w:w="0" w:type="auto"/>
            <w:gridSpan w:val="3"/>
            <w:shd w:val="clear" w:color="auto" w:fill="D7EFF1"/>
            <w:tcMar>
              <w:top w:w="30" w:type="dxa"/>
              <w:left w:w="3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Impairment of goodwill and other assets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(802)</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(207)</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(767)</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rsidR="00000000" w:rsidRDefault="00F5481A">
            <w:pPr>
              <w:spacing w:after="100"/>
              <w:jc w:val="right"/>
              <w:rPr>
                <w:rFonts w:eastAsia="Times New Roman"/>
              </w:rPr>
            </w:pPr>
          </w:p>
        </w:tc>
        <w:tc>
          <w:tcPr>
            <w:tcW w:w="0" w:type="auto"/>
            <w:vAlign w:val="center"/>
            <w:hideMark/>
          </w:tcPr>
          <w:p w:rsidR="00000000" w:rsidRDefault="00F5481A">
            <w:pPr>
              <w:spacing w:after="100"/>
              <w:rPr>
                <w:rFonts w:eastAsia="Times New Roman"/>
                <w:sz w:val="20"/>
                <w:szCs w:val="20"/>
              </w:rPr>
            </w:pPr>
          </w:p>
        </w:tc>
      </w:tr>
      <w:tr w:rsidR="00000000">
        <w:trPr>
          <w:divId w:val="515461353"/>
          <w:jc w:val="center"/>
        </w:trPr>
        <w:tc>
          <w:tcPr>
            <w:tcW w:w="0" w:type="auto"/>
            <w:gridSpan w:val="3"/>
            <w:shd w:val="clear" w:color="auto" w:fill="FFFFFF"/>
            <w:tcMar>
              <w:top w:w="30" w:type="dxa"/>
              <w:left w:w="20" w:type="dxa"/>
              <w:bottom w:w="30" w:type="dxa"/>
              <w:right w:w="20" w:type="dxa"/>
            </w:tcMar>
            <w:hideMark/>
          </w:tcPr>
          <w:p w:rsidR="00000000" w:rsidRDefault="00F5481A">
            <w:pPr>
              <w:spacing w:after="100"/>
              <w:divId w:val="692654950"/>
              <w:rPr>
                <w:rFonts w:eastAsia="Times New Roman"/>
              </w:rPr>
            </w:pPr>
            <w:r>
              <w:rPr>
                <w:rFonts w:ascii="IBM Plex Sans" w:eastAsia="Times New Roman" w:hAnsi="IBM Plex Sans"/>
                <w:color w:val="283030"/>
                <w:sz w:val="20"/>
                <w:szCs w:val="20"/>
              </w:rPr>
              <w:t>Non-operating income, net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425 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439 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401 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rsidR="00000000" w:rsidRDefault="00F5481A">
            <w:pPr>
              <w:spacing w:after="100"/>
              <w:jc w:val="right"/>
              <w:rPr>
                <w:rFonts w:eastAsia="Times New Roman"/>
              </w:rPr>
            </w:pPr>
          </w:p>
        </w:tc>
        <w:tc>
          <w:tcPr>
            <w:tcW w:w="0" w:type="auto"/>
            <w:vAlign w:val="center"/>
            <w:hideMark/>
          </w:tcPr>
          <w:p w:rsidR="00000000" w:rsidRDefault="00F5481A">
            <w:pPr>
              <w:spacing w:after="100"/>
              <w:rPr>
                <w:rFonts w:eastAsia="Times New Roman"/>
                <w:sz w:val="20"/>
                <w:szCs w:val="20"/>
              </w:rPr>
            </w:pPr>
          </w:p>
        </w:tc>
      </w:tr>
      <w:tr w:rsidR="00000000">
        <w:trPr>
          <w:divId w:val="515461353"/>
          <w:jc w:val="center"/>
        </w:trPr>
        <w:tc>
          <w:tcPr>
            <w:tcW w:w="0" w:type="auto"/>
            <w:gridSpan w:val="3"/>
            <w:shd w:val="clear" w:color="auto" w:fill="D7EFF1"/>
            <w:tcMar>
              <w:top w:w="30" w:type="dxa"/>
              <w:left w:w="3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Net interest expense</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(279)</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(265)</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(254)</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rsidR="00000000" w:rsidRDefault="00F5481A">
            <w:pPr>
              <w:spacing w:after="100"/>
              <w:jc w:val="right"/>
              <w:rPr>
                <w:rFonts w:eastAsia="Times New Roman"/>
              </w:rPr>
            </w:pPr>
          </w:p>
        </w:tc>
        <w:tc>
          <w:tcPr>
            <w:tcW w:w="0" w:type="auto"/>
            <w:vAlign w:val="center"/>
            <w:hideMark/>
          </w:tcPr>
          <w:p w:rsidR="00000000" w:rsidRDefault="00F5481A">
            <w:pPr>
              <w:spacing w:after="100"/>
              <w:rPr>
                <w:rFonts w:eastAsia="Times New Roman"/>
                <w:sz w:val="20"/>
                <w:szCs w:val="20"/>
              </w:rPr>
            </w:pPr>
          </w:p>
        </w:tc>
      </w:tr>
      <w:tr w:rsidR="00000000">
        <w:trPr>
          <w:divId w:val="515461353"/>
          <w:jc w:val="center"/>
        </w:trPr>
        <w:tc>
          <w:tcPr>
            <w:tcW w:w="0" w:type="auto"/>
            <w:gridSpan w:val="3"/>
            <w:shd w:val="clear" w:color="auto" w:fill="FFFFFF"/>
            <w:tcMar>
              <w:top w:w="30" w:type="dxa"/>
              <w:left w:w="200" w:type="dxa"/>
              <w:bottom w:w="30" w:type="dxa"/>
              <w:right w:w="20" w:type="dxa"/>
            </w:tcMar>
            <w:hideMark/>
          </w:tcPr>
          <w:p w:rsidR="00000000" w:rsidRDefault="00F5481A">
            <w:pPr>
              <w:spacing w:after="100"/>
              <w:ind w:hanging="180"/>
              <w:rPr>
                <w:rFonts w:eastAsia="Times New Roman"/>
              </w:rPr>
            </w:pPr>
            <w:r>
              <w:rPr>
                <w:rFonts w:ascii="IBM Plex Sans" w:eastAsia="Times New Roman" w:hAnsi="IBM Plex Sans"/>
                <w:color w:val="283030"/>
                <w:sz w:val="20"/>
                <w:szCs w:val="20"/>
              </w:rPr>
              <w:t>Income from continuing operations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2,283 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(44)</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73 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rsidR="00000000" w:rsidRDefault="00F5481A">
            <w:pPr>
              <w:spacing w:after="100"/>
              <w:jc w:val="right"/>
              <w:rPr>
                <w:rFonts w:eastAsia="Times New Roman"/>
              </w:rPr>
            </w:pPr>
          </w:p>
        </w:tc>
        <w:tc>
          <w:tcPr>
            <w:tcW w:w="0" w:type="auto"/>
            <w:vAlign w:val="center"/>
            <w:hideMark/>
          </w:tcPr>
          <w:p w:rsidR="00000000" w:rsidRDefault="00F5481A">
            <w:pPr>
              <w:spacing w:after="100"/>
              <w:rPr>
                <w:rFonts w:eastAsia="Times New Roman"/>
                <w:sz w:val="20"/>
                <w:szCs w:val="20"/>
              </w:rPr>
            </w:pPr>
          </w:p>
        </w:tc>
      </w:tr>
      <w:tr w:rsidR="00000000">
        <w:trPr>
          <w:divId w:val="515461353"/>
          <w:jc w:val="center"/>
        </w:trPr>
        <w:tc>
          <w:tcPr>
            <w:tcW w:w="0" w:type="auto"/>
            <w:gridSpan w:val="3"/>
            <w:shd w:val="clear" w:color="auto" w:fill="D7EFF1"/>
            <w:tcMar>
              <w:top w:w="30" w:type="dxa"/>
              <w:left w:w="3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Income taxes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(212)</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(440)</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(52)</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(234)</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88 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rsidR="00000000" w:rsidRDefault="00F5481A">
            <w:pPr>
              <w:spacing w:after="100"/>
              <w:jc w:val="right"/>
              <w:rPr>
                <w:rFonts w:eastAsia="Times New Roman"/>
              </w:rPr>
            </w:pPr>
          </w:p>
        </w:tc>
        <w:tc>
          <w:tcPr>
            <w:tcW w:w="0" w:type="auto"/>
            <w:vAlign w:val="center"/>
            <w:hideMark/>
          </w:tcPr>
          <w:p w:rsidR="00000000" w:rsidRDefault="00F5481A">
            <w:pPr>
              <w:spacing w:after="100"/>
              <w:rPr>
                <w:rFonts w:eastAsia="Times New Roman"/>
                <w:sz w:val="20"/>
                <w:szCs w:val="20"/>
              </w:rPr>
            </w:pPr>
          </w:p>
        </w:tc>
      </w:tr>
      <w:tr w:rsidR="00000000">
        <w:trPr>
          <w:divId w:val="515461353"/>
          <w:jc w:val="center"/>
        </w:trPr>
        <w:tc>
          <w:tcPr>
            <w:tcW w:w="0" w:type="auto"/>
            <w:gridSpan w:val="3"/>
            <w:shd w:val="clear" w:color="auto" w:fill="FFFFFF"/>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i/>
                <w:iCs/>
                <w:color w:val="283030"/>
                <w:sz w:val="20"/>
                <w:szCs w:val="20"/>
              </w:rPr>
              <w:t>Effective tax rate</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i/>
                <w:iCs/>
                <w:color w:val="283030"/>
                <w:sz w:val="20"/>
                <w:szCs w:val="20"/>
              </w:rPr>
              <w:t>17 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i/>
                <w:iCs/>
                <w:color w:val="28303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i/>
                <w:iCs/>
                <w:color w:val="283030"/>
                <w:sz w:val="20"/>
                <w:szCs w:val="20"/>
              </w:rPr>
              <w:t>19 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i/>
                <w:iCs/>
                <w:color w:val="28303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i/>
                <w:iCs/>
                <w:color w:val="283030"/>
                <w:sz w:val="20"/>
                <w:szCs w:val="20"/>
              </w:rPr>
              <w:t>18 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i/>
                <w:iCs/>
                <w:color w:val="28303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515461353"/>
          <w:jc w:val="center"/>
        </w:trPr>
        <w:tc>
          <w:tcPr>
            <w:tcW w:w="0" w:type="auto"/>
            <w:gridSpan w:val="3"/>
            <w:shd w:val="clear" w:color="auto" w:fill="D7EFF1"/>
            <w:tcMar>
              <w:top w:w="30" w:type="dxa"/>
              <w:left w:w="3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Income from continuing operations</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1,061 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1,843 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(42)</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1,088 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rsidR="00000000" w:rsidRDefault="00F5481A">
            <w:pPr>
              <w:spacing w:after="100"/>
              <w:jc w:val="right"/>
              <w:rPr>
                <w:rFonts w:eastAsia="Times New Roman"/>
              </w:rPr>
            </w:pPr>
          </w:p>
        </w:tc>
        <w:tc>
          <w:tcPr>
            <w:tcW w:w="0" w:type="auto"/>
            <w:vAlign w:val="center"/>
            <w:hideMark/>
          </w:tcPr>
          <w:p w:rsidR="00000000" w:rsidRDefault="00F5481A">
            <w:pPr>
              <w:spacing w:after="100"/>
              <w:rPr>
                <w:rFonts w:eastAsia="Times New Roman"/>
                <w:sz w:val="20"/>
                <w:szCs w:val="20"/>
              </w:rPr>
            </w:pPr>
          </w:p>
        </w:tc>
      </w:tr>
      <w:tr w:rsidR="00000000">
        <w:trPr>
          <w:divId w:val="515461353"/>
          <w:jc w:val="center"/>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Discontinued operations, net of income taxes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rsidR="00000000" w:rsidRDefault="00F5481A">
            <w:pPr>
              <w:spacing w:after="100"/>
              <w:jc w:val="right"/>
              <w:rPr>
                <w:rFonts w:eastAsia="Times New Roman"/>
              </w:rPr>
            </w:pPr>
          </w:p>
        </w:tc>
        <w:tc>
          <w:tcPr>
            <w:tcW w:w="0" w:type="auto"/>
            <w:vAlign w:val="center"/>
            <w:hideMark/>
          </w:tcPr>
          <w:p w:rsidR="00000000" w:rsidRDefault="00F5481A">
            <w:pPr>
              <w:spacing w:after="100"/>
              <w:rPr>
                <w:rFonts w:eastAsia="Times New Roman"/>
                <w:sz w:val="20"/>
                <w:szCs w:val="20"/>
              </w:rPr>
            </w:pPr>
          </w:p>
        </w:tc>
      </w:tr>
      <w:tr w:rsidR="00000000">
        <w:trPr>
          <w:divId w:val="515461353"/>
          <w:jc w:val="center"/>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Net income</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1,061 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1,842 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(42)</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1,086 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rsidR="00000000" w:rsidRDefault="00F5481A">
            <w:pPr>
              <w:spacing w:after="100"/>
              <w:jc w:val="right"/>
              <w:rPr>
                <w:rFonts w:eastAsia="Times New Roman"/>
              </w:rPr>
            </w:pPr>
          </w:p>
        </w:tc>
        <w:tc>
          <w:tcPr>
            <w:tcW w:w="0" w:type="auto"/>
            <w:vAlign w:val="center"/>
            <w:hideMark/>
          </w:tcPr>
          <w:p w:rsidR="00000000" w:rsidRDefault="00F5481A">
            <w:pPr>
              <w:spacing w:after="100"/>
              <w:rPr>
                <w:rFonts w:eastAsia="Times New Roman"/>
                <w:sz w:val="20"/>
                <w:szCs w:val="20"/>
              </w:rPr>
            </w:pPr>
          </w:p>
        </w:tc>
      </w:tr>
      <w:tr w:rsidR="00000000">
        <w:trPr>
          <w:divId w:val="515461353"/>
          <w:jc w:val="center"/>
        </w:trPr>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Noncontrolling interests, net of income taxes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33 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rsidR="00000000" w:rsidRDefault="00F5481A">
            <w:pPr>
              <w:spacing w:after="100"/>
              <w:jc w:val="right"/>
              <w:rPr>
                <w:rFonts w:eastAsia="Times New Roman"/>
              </w:rPr>
            </w:pPr>
          </w:p>
        </w:tc>
        <w:tc>
          <w:tcPr>
            <w:tcW w:w="0" w:type="auto"/>
            <w:vAlign w:val="center"/>
            <w:hideMark/>
          </w:tcPr>
          <w:p w:rsidR="00000000" w:rsidRDefault="00F5481A">
            <w:pPr>
              <w:spacing w:after="100"/>
              <w:rPr>
                <w:rFonts w:eastAsia="Times New Roman"/>
                <w:sz w:val="20"/>
                <w:szCs w:val="20"/>
              </w:rPr>
            </w:pPr>
          </w:p>
        </w:tc>
      </w:tr>
      <w:tr w:rsidR="00000000">
        <w:trPr>
          <w:divId w:val="515461353"/>
          <w:jc w:val="center"/>
        </w:trPr>
        <w:tc>
          <w:tcPr>
            <w:tcW w:w="0" w:type="auto"/>
            <w:gridSpan w:val="3"/>
            <w:shd w:val="clear" w:color="auto" w:fill="D7EFF1"/>
            <w:tcMar>
              <w:top w:w="30" w:type="dxa"/>
              <w:left w:w="200" w:type="dxa"/>
              <w:bottom w:w="30" w:type="dxa"/>
              <w:right w:w="20" w:type="dxa"/>
            </w:tcMar>
            <w:hideMark/>
          </w:tcPr>
          <w:p w:rsidR="00000000" w:rsidRDefault="00F5481A">
            <w:pPr>
              <w:spacing w:after="100"/>
              <w:ind w:hanging="180"/>
              <w:rPr>
                <w:rFonts w:eastAsia="Times New Roman"/>
              </w:rPr>
            </w:pPr>
            <w:r>
              <w:rPr>
                <w:rFonts w:ascii="IBM Plex Sans" w:eastAsia="Times New Roman" w:hAnsi="IBM Plex Sans"/>
                <w:color w:val="283030"/>
                <w:sz w:val="20"/>
                <w:szCs w:val="20"/>
              </w:rPr>
              <w:t>Income from continuing operations attributable to L3Harris common shareholders</w:t>
            </w:r>
          </w:p>
        </w:tc>
        <w:tc>
          <w:tcPr>
            <w:tcW w:w="0" w:type="auto"/>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1,062 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1,846 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(42)</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1,119 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65 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rsidR="00000000" w:rsidRDefault="00F5481A">
            <w:pPr>
              <w:spacing w:after="100"/>
              <w:jc w:val="right"/>
              <w:rPr>
                <w:rFonts w:eastAsia="Times New Roman"/>
              </w:rPr>
            </w:pPr>
          </w:p>
        </w:tc>
        <w:tc>
          <w:tcPr>
            <w:tcW w:w="0" w:type="auto"/>
            <w:vAlign w:val="center"/>
            <w:hideMark/>
          </w:tcPr>
          <w:p w:rsidR="00000000" w:rsidRDefault="00F5481A">
            <w:pPr>
              <w:spacing w:after="100"/>
              <w:rPr>
                <w:rFonts w:eastAsia="Times New Roman"/>
                <w:sz w:val="20"/>
                <w:szCs w:val="20"/>
              </w:rPr>
            </w:pPr>
          </w:p>
        </w:tc>
      </w:tr>
      <w:tr w:rsidR="00000000">
        <w:trPr>
          <w:divId w:val="515461353"/>
          <w:jc w:val="center"/>
        </w:trPr>
        <w:tc>
          <w:tcPr>
            <w:tcW w:w="0" w:type="auto"/>
            <w:gridSpan w:val="3"/>
            <w:shd w:val="clear" w:color="auto" w:fill="FFFFFF"/>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i/>
                <w:iCs/>
                <w:color w:val="283030"/>
                <w:sz w:val="20"/>
                <w:szCs w:val="20"/>
              </w:rPr>
              <w:t>% of total revenue</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i/>
                <w:iCs/>
                <w:color w:val="283030"/>
                <w:sz w:val="20"/>
                <w:szCs w:val="20"/>
              </w:rPr>
              <w:t>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i/>
                <w:iCs/>
                <w:color w:val="28303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i/>
                <w:iCs/>
                <w:color w:val="283030"/>
                <w:sz w:val="20"/>
                <w:szCs w:val="20"/>
              </w:rPr>
              <w:t>10 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i/>
                <w:iCs/>
                <w:color w:val="28303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i/>
                <w:iCs/>
                <w:color w:val="283030"/>
                <w:sz w:val="20"/>
                <w:szCs w:val="20"/>
              </w:rPr>
              <w:t>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i/>
                <w:iCs/>
                <w:color w:val="28303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515461353"/>
          <w:jc w:val="center"/>
        </w:trPr>
        <w:tc>
          <w:tcPr>
            <w:tcW w:w="0" w:type="auto"/>
            <w:gridSpan w:val="3"/>
            <w:shd w:val="clear" w:color="auto" w:fill="D7EFF1"/>
            <w:tcMar>
              <w:top w:w="30" w:type="dxa"/>
              <w:left w:w="200" w:type="dxa"/>
              <w:bottom w:w="30" w:type="dxa"/>
              <w:right w:w="20" w:type="dxa"/>
            </w:tcMar>
            <w:hideMark/>
          </w:tcPr>
          <w:p w:rsidR="00000000" w:rsidRDefault="00F5481A">
            <w:pPr>
              <w:spacing w:after="100"/>
              <w:ind w:hanging="180"/>
              <w:rPr>
                <w:rFonts w:eastAsia="Times New Roman"/>
              </w:rPr>
            </w:pPr>
            <w:r>
              <w:rPr>
                <w:rFonts w:ascii="IBM Plex Sans" w:eastAsia="Times New Roman" w:hAnsi="IBM Plex Sans"/>
                <w:color w:val="283030"/>
                <w:sz w:val="20"/>
                <w:szCs w:val="20"/>
              </w:rPr>
              <w:t>Income from continuing operations per diluted common share attributable to L3Harris common shareholders</w:t>
            </w:r>
          </w:p>
        </w:tc>
        <w:tc>
          <w:tcPr>
            <w:tcW w:w="0" w:type="auto"/>
            <w:tcBorders>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5.49 </w:t>
            </w:r>
          </w:p>
        </w:tc>
        <w:tc>
          <w:tcPr>
            <w:tcW w:w="0" w:type="auto"/>
            <w:tcBorders>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9.09 </w:t>
            </w:r>
          </w:p>
        </w:tc>
        <w:tc>
          <w:tcPr>
            <w:tcW w:w="0" w:type="auto"/>
            <w:tcBorders>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(40)</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tcBorders>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5.19 </w:t>
            </w:r>
          </w:p>
        </w:tc>
        <w:tc>
          <w:tcPr>
            <w:tcW w:w="0" w:type="auto"/>
            <w:tcBorders>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75 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rsidR="00000000" w:rsidRDefault="00F5481A">
            <w:pPr>
              <w:spacing w:after="100"/>
              <w:jc w:val="right"/>
              <w:rPr>
                <w:rFonts w:eastAsia="Times New Roman"/>
              </w:rPr>
            </w:pPr>
          </w:p>
        </w:tc>
        <w:tc>
          <w:tcPr>
            <w:tcW w:w="0" w:type="auto"/>
            <w:vAlign w:val="center"/>
            <w:hideMark/>
          </w:tcPr>
          <w:p w:rsidR="00000000" w:rsidRDefault="00F5481A">
            <w:pPr>
              <w:spacing w:after="100"/>
              <w:rPr>
                <w:rFonts w:eastAsia="Times New Roman"/>
                <w:sz w:val="20"/>
                <w:szCs w:val="20"/>
              </w:rPr>
            </w:pPr>
          </w:p>
        </w:tc>
      </w:tr>
    </w:tbl>
    <w:p w:rsidR="00000000" w:rsidRDefault="00F5481A">
      <w:pPr>
        <w:divId w:val="305400750"/>
        <w:rPr>
          <w:rFonts w:eastAsia="Times New Roman"/>
        </w:rPr>
      </w:pPr>
      <w:r>
        <w:rPr>
          <w:rFonts w:ascii="IBM Plex Sans" w:eastAsia="Times New Roman" w:hAnsi="IBM Plex Sans"/>
          <w:color w:val="283030"/>
          <w:sz w:val="16"/>
          <w:szCs w:val="16"/>
        </w:rPr>
        <w:t>_________________</w:t>
      </w:r>
    </w:p>
    <w:p w:rsidR="00000000" w:rsidRDefault="00F5481A">
      <w:pPr>
        <w:ind w:hanging="360"/>
        <w:divId w:val="778453297"/>
        <w:rPr>
          <w:rFonts w:eastAsia="Times New Roman"/>
        </w:rPr>
      </w:pPr>
      <w:r>
        <w:rPr>
          <w:rFonts w:ascii="IBM Plex Sans" w:eastAsia="Times New Roman" w:hAnsi="IBM Plex Sans"/>
          <w:color w:val="283030"/>
          <w:sz w:val="16"/>
          <w:szCs w:val="16"/>
        </w:rPr>
        <w:t>*Not meaningful</w:t>
      </w:r>
    </w:p>
    <w:p w:rsidR="00000000" w:rsidRDefault="00F5481A">
      <w:pPr>
        <w:ind w:firstLine="360"/>
        <w:jc w:val="center"/>
        <w:divId w:val="243227227"/>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33</w:t>
      </w:r>
    </w:p>
    <w:p w:rsidR="00000000" w:rsidRDefault="00F5481A">
      <w:pPr>
        <w:rPr>
          <w:rFonts w:eastAsia="Times New Roman"/>
        </w:rPr>
      </w:pPr>
      <w:r>
        <w:rPr>
          <w:rFonts w:eastAsia="Times New Roman"/>
        </w:rPr>
        <w:pict>
          <v:rect id="_x0000_i1064" style="width:0;height:1.5pt" o:hralign="center" o:hrstd="t" o:hr="t" fillcolor="#a0a0a0" stroked="f"/>
        </w:pict>
      </w:r>
    </w:p>
    <w:p w:rsidR="00000000" w:rsidRDefault="00F5481A">
      <w:pPr>
        <w:ind w:firstLine="360"/>
        <w:divId w:val="868681032"/>
        <w:rPr>
          <w:rFonts w:eastAsia="Times New Roman"/>
        </w:rPr>
      </w:pPr>
    </w:p>
    <w:p w:rsidR="00000000" w:rsidRDefault="00F5481A">
      <w:pPr>
        <w:jc w:val="both"/>
        <w:divId w:val="1936669070"/>
        <w:rPr>
          <w:rFonts w:eastAsia="Times New Roman"/>
        </w:rPr>
      </w:pPr>
      <w:r>
        <w:rPr>
          <w:rFonts w:ascii="IBM Plex Sans SemiBold" w:eastAsia="Times New Roman" w:hAnsi="IBM Plex Sans SemiBold"/>
          <w:b/>
          <w:bCs/>
          <w:i/>
          <w:iCs/>
          <w:color w:val="016676"/>
          <w:sz w:val="20"/>
          <w:szCs w:val="20"/>
        </w:rPr>
        <w:t>Revenue</w:t>
      </w:r>
    </w:p>
    <w:p w:rsidR="00000000" w:rsidRDefault="00F5481A">
      <w:pPr>
        <w:ind w:firstLine="360"/>
        <w:divId w:val="267780106"/>
        <w:rPr>
          <w:rFonts w:eastAsia="Times New Roman"/>
        </w:rPr>
      </w:pPr>
      <w:r>
        <w:rPr>
          <w:rFonts w:ascii="IBM Plex Sans" w:eastAsia="Times New Roman" w:hAnsi="IBM Plex Sans"/>
          <w:color w:val="283030"/>
          <w:sz w:val="20"/>
          <w:szCs w:val="20"/>
        </w:rPr>
        <w:t xml:space="preserve">As described in more detail in </w:t>
      </w:r>
      <w:r>
        <w:rPr>
          <w:rFonts w:ascii="IBM Plex Sans" w:eastAsia="Times New Roman" w:hAnsi="IBM Plex Sans"/>
          <w:i/>
          <w:iCs/>
          <w:color w:val="283030"/>
          <w:sz w:val="20"/>
          <w:szCs w:val="20"/>
        </w:rPr>
        <w:t>Note 4: Business Divestitures and Asset Sales</w:t>
      </w:r>
      <w:r>
        <w:rPr>
          <w:rFonts w:ascii="IBM Plex Sans" w:eastAsia="Times New Roman" w:hAnsi="IBM Plex Sans"/>
          <w:color w:val="283030"/>
          <w:sz w:val="20"/>
          <w:szCs w:val="20"/>
        </w:rPr>
        <w:t xml:space="preserve"> and elsewhere in the Notes, during fiscal 2022, 2021 and 20</w:t>
      </w:r>
      <w:r>
        <w:rPr>
          <w:rFonts w:ascii="IBM Plex Sans" w:eastAsia="Times New Roman" w:hAnsi="IBM Plex Sans"/>
          <w:color w:val="283030"/>
          <w:sz w:val="20"/>
          <w:szCs w:val="20"/>
        </w:rPr>
        <w:t xml:space="preserve">20, we completed the following business divestitures, which had revenue attributable to them as set forth below: </w:t>
      </w:r>
    </w:p>
    <w:tbl>
      <w:tblPr>
        <w:tblW w:w="5000" w:type="pct"/>
        <w:tblCellMar>
          <w:top w:w="15" w:type="dxa"/>
          <w:left w:w="15" w:type="dxa"/>
          <w:bottom w:w="15" w:type="dxa"/>
          <w:right w:w="15" w:type="dxa"/>
        </w:tblCellMar>
        <w:tblLook w:val="04A0" w:firstRow="1" w:lastRow="0" w:firstColumn="1" w:lastColumn="0" w:noHBand="0" w:noVBand="1"/>
      </w:tblPr>
      <w:tblGrid>
        <w:gridCol w:w="38"/>
        <w:gridCol w:w="4182"/>
        <w:gridCol w:w="36"/>
        <w:gridCol w:w="133"/>
        <w:gridCol w:w="1109"/>
        <w:gridCol w:w="36"/>
        <w:gridCol w:w="36"/>
        <w:gridCol w:w="36"/>
        <w:gridCol w:w="36"/>
        <w:gridCol w:w="133"/>
        <w:gridCol w:w="1109"/>
        <w:gridCol w:w="36"/>
        <w:gridCol w:w="36"/>
        <w:gridCol w:w="36"/>
        <w:gridCol w:w="36"/>
        <w:gridCol w:w="132"/>
        <w:gridCol w:w="1110"/>
        <w:gridCol w:w="36"/>
      </w:tblGrid>
      <w:tr w:rsidR="00000000">
        <w:trPr>
          <w:divId w:val="267780106"/>
        </w:trPr>
        <w:tc>
          <w:tcPr>
            <w:tcW w:w="50" w:type="pct"/>
            <w:vAlign w:val="center"/>
            <w:hideMark/>
          </w:tcPr>
          <w:p w:rsidR="00000000" w:rsidRDefault="00F5481A">
            <w:pPr>
              <w:ind w:firstLine="360"/>
              <w:rPr>
                <w:rFonts w:eastAsia="Times New Roman"/>
              </w:rPr>
            </w:pPr>
          </w:p>
        </w:tc>
        <w:tc>
          <w:tcPr>
            <w:tcW w:w="2581"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267780106"/>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Fiscal Year Ended</w:t>
            </w:r>
          </w:p>
        </w:tc>
      </w:tr>
      <w:tr w:rsidR="00000000">
        <w:trPr>
          <w:divId w:val="267780106"/>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January 1, 2021</w:t>
            </w:r>
          </w:p>
        </w:tc>
      </w:tr>
      <w:tr w:rsidR="00000000">
        <w:trPr>
          <w:divId w:val="267780106"/>
          <w:trHeight w:val="6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267780106"/>
        </w:trPr>
        <w:tc>
          <w:tcPr>
            <w:tcW w:w="0" w:type="auto"/>
            <w:gridSpan w:val="3"/>
            <w:shd w:val="clear" w:color="auto" w:fill="D7EFF1"/>
            <w:tcMar>
              <w:top w:w="30" w:type="dxa"/>
              <w:left w:w="20" w:type="dxa"/>
              <w:bottom w:w="30" w:type="dxa"/>
              <w:right w:w="20" w:type="dxa"/>
            </w:tcMar>
            <w:hideMark/>
          </w:tcPr>
          <w:p w:rsidR="00000000" w:rsidRDefault="00F5481A">
            <w:pPr>
              <w:spacing w:after="100"/>
              <w:ind w:hanging="180"/>
              <w:divId w:val="326590450"/>
              <w:rPr>
                <w:rFonts w:eastAsia="Times New Roman"/>
              </w:rPr>
            </w:pPr>
            <w:r>
              <w:rPr>
                <w:rFonts w:ascii="IBM Plex Sans" w:eastAsia="Times New Roman" w:hAnsi="IBM Plex Sans"/>
                <w:b/>
                <w:bCs/>
                <w:color w:val="283030"/>
                <w:sz w:val="20"/>
                <w:szCs w:val="20"/>
              </w:rPr>
              <w:t>Revenue attributable to divested businesse</w:t>
            </w:r>
            <w:r>
              <w:rPr>
                <w:rFonts w:ascii="IBM Plex Sans" w:eastAsia="Times New Roman" w:hAnsi="IBM Plex Sans"/>
                <w:b/>
                <w:bCs/>
                <w:color w:val="283030"/>
                <w:sz w:val="20"/>
                <w:szCs w:val="20"/>
              </w:rPr>
              <w:t>s</w:t>
            </w:r>
            <w:r>
              <w:rPr>
                <w:rFonts w:ascii="IBM Plex Sans" w:eastAsia="Times New Roman" w:hAnsi="IBM Plex Sans"/>
                <w:b/>
                <w:bCs/>
                <w:color w:val="283030"/>
                <w:sz w:val="13"/>
                <w:szCs w:val="13"/>
              </w:rPr>
              <w:t>(1</w:t>
            </w:r>
            <w:r>
              <w:rPr>
                <w:rFonts w:ascii="IBM Plex Sans" w:eastAsia="Times New Roman" w:hAnsi="IBM Plex Sans"/>
                <w:b/>
                <w:bCs/>
                <w:color w:val="283030"/>
                <w:sz w:val="13"/>
                <w:szCs w:val="13"/>
              </w:rPr>
              <w:t>)</w:t>
            </w:r>
            <w:r>
              <w:rPr>
                <w:rFonts w:ascii="IBM Plex Sans" w:eastAsia="Times New Roman" w:hAnsi="IBM Plex Sans"/>
                <w:b/>
                <w:bC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ind w:hanging="180"/>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267780106"/>
        </w:trPr>
        <w:tc>
          <w:tcPr>
            <w:tcW w:w="0" w:type="auto"/>
            <w:gridSpan w:val="3"/>
            <w:shd w:val="clear" w:color="auto" w:fill="FFFFFF"/>
            <w:tcMar>
              <w:top w:w="30" w:type="dxa"/>
              <w:left w:w="320" w:type="dxa"/>
              <w:bottom w:w="30" w:type="dxa"/>
              <w:right w:w="20" w:type="dxa"/>
            </w:tcMar>
            <w:hideMark/>
          </w:tcPr>
          <w:p w:rsidR="00000000" w:rsidRDefault="00F5481A">
            <w:pPr>
              <w:spacing w:after="100"/>
              <w:ind w:hanging="180"/>
              <w:rPr>
                <w:rFonts w:eastAsia="Times New Roman"/>
              </w:rPr>
            </w:pPr>
            <w:r>
              <w:rPr>
                <w:rFonts w:ascii="IBM Plex Sans" w:eastAsia="Times New Roman" w:hAnsi="IBM Plex Sans"/>
                <w:color w:val="283030"/>
                <w:sz w:val="20"/>
                <w:szCs w:val="20"/>
              </w:rPr>
              <w:t>Space &amp; Navigation business</w:t>
            </w: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24 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267780106"/>
        </w:trPr>
        <w:tc>
          <w:tcPr>
            <w:tcW w:w="0" w:type="auto"/>
            <w:gridSpan w:val="3"/>
            <w:shd w:val="clear" w:color="auto" w:fill="D7EFF1"/>
            <w:tcMar>
              <w:top w:w="30" w:type="dxa"/>
              <w:left w:w="320" w:type="dxa"/>
              <w:bottom w:w="30" w:type="dxa"/>
              <w:right w:w="20" w:type="dxa"/>
            </w:tcMar>
            <w:hideMark/>
          </w:tcPr>
          <w:p w:rsidR="00000000" w:rsidRDefault="00F5481A">
            <w:pPr>
              <w:spacing w:after="100"/>
              <w:ind w:hanging="180"/>
              <w:rPr>
                <w:rFonts w:eastAsia="Times New Roman"/>
              </w:rPr>
            </w:pPr>
            <w:r>
              <w:rPr>
                <w:rFonts w:ascii="IBM Plex Sans" w:eastAsia="Times New Roman" w:hAnsi="IBM Plex Sans"/>
                <w:color w:val="283030"/>
                <w:sz w:val="20"/>
                <w:szCs w:val="20"/>
              </w:rPr>
              <w:t>Narda-MITEQ business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267780106"/>
        </w:trPr>
        <w:tc>
          <w:tcPr>
            <w:tcW w:w="0" w:type="auto"/>
            <w:gridSpan w:val="3"/>
            <w:shd w:val="clear" w:color="auto" w:fill="FFFFFF"/>
            <w:tcMar>
              <w:top w:w="30" w:type="dxa"/>
              <w:left w:w="320" w:type="dxa"/>
              <w:bottom w:w="30" w:type="dxa"/>
              <w:right w:w="20" w:type="dxa"/>
            </w:tcMar>
            <w:hideMark/>
          </w:tcPr>
          <w:p w:rsidR="00000000" w:rsidRDefault="00F5481A">
            <w:pPr>
              <w:spacing w:after="100"/>
              <w:ind w:hanging="180"/>
              <w:rPr>
                <w:rFonts w:eastAsia="Times New Roman"/>
              </w:rPr>
            </w:pPr>
            <w:r>
              <w:rPr>
                <w:rFonts w:ascii="IBM Plex Sans" w:eastAsia="Times New Roman" w:hAnsi="IBM Plex Sans"/>
                <w:color w:val="283030"/>
                <w:sz w:val="20"/>
                <w:szCs w:val="20"/>
              </w:rPr>
              <w:t>ESSCO business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23 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267780106"/>
        </w:trPr>
        <w:tc>
          <w:tcPr>
            <w:tcW w:w="0" w:type="auto"/>
            <w:gridSpan w:val="3"/>
            <w:shd w:val="clear" w:color="auto" w:fill="D7EFF1"/>
            <w:tcMar>
              <w:top w:w="30" w:type="dxa"/>
              <w:left w:w="320" w:type="dxa"/>
              <w:bottom w:w="30" w:type="dxa"/>
              <w:right w:w="20" w:type="dxa"/>
            </w:tcMar>
            <w:hideMark/>
          </w:tcPr>
          <w:p w:rsidR="00000000" w:rsidRDefault="00F5481A">
            <w:pPr>
              <w:spacing w:after="100"/>
              <w:ind w:hanging="180"/>
              <w:rPr>
                <w:rFonts w:eastAsia="Times New Roman"/>
              </w:rPr>
            </w:pPr>
            <w:r>
              <w:rPr>
                <w:rFonts w:ascii="IBM Plex Sans" w:eastAsia="Times New Roman" w:hAnsi="IBM Plex Sans"/>
                <w:color w:val="283030"/>
                <w:sz w:val="20"/>
                <w:szCs w:val="20"/>
              </w:rPr>
              <w:t>Electron Devices business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167 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265 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267780106"/>
        </w:trPr>
        <w:tc>
          <w:tcPr>
            <w:tcW w:w="0" w:type="auto"/>
            <w:gridSpan w:val="3"/>
            <w:shd w:val="clear" w:color="auto" w:fill="FFFFFF"/>
            <w:tcMar>
              <w:top w:w="30" w:type="dxa"/>
              <w:left w:w="320" w:type="dxa"/>
              <w:bottom w:w="30" w:type="dxa"/>
              <w:right w:w="20" w:type="dxa"/>
            </w:tcMar>
            <w:hideMark/>
          </w:tcPr>
          <w:p w:rsidR="00000000" w:rsidRDefault="00F5481A">
            <w:pPr>
              <w:spacing w:after="100"/>
              <w:ind w:hanging="180"/>
              <w:rPr>
                <w:rFonts w:eastAsia="Times New Roman"/>
              </w:rPr>
            </w:pPr>
            <w:r>
              <w:rPr>
                <w:rFonts w:ascii="IBM Plex Sans" w:eastAsia="Times New Roman" w:hAnsi="IBM Plex Sans"/>
                <w:color w:val="283030"/>
                <w:sz w:val="20"/>
                <w:szCs w:val="20"/>
              </w:rPr>
              <w:t>Voice Switch Enterprise disposal group (“VSE disposal group”)</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19 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267780106"/>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ind w:hanging="360"/>
              <w:divId w:val="2020689733"/>
              <w:rPr>
                <w:rFonts w:eastAsia="Times New Roman"/>
              </w:rPr>
            </w:pPr>
            <w:r>
              <w:rPr>
                <w:rFonts w:ascii="IBM Plex Sans" w:eastAsia="Times New Roman" w:hAnsi="IBM Plex Sans"/>
                <w:color w:val="000000"/>
                <w:sz w:val="20"/>
                <w:szCs w:val="20"/>
              </w:rPr>
              <w:t>Combat Propulsion Systems and related businesses (“CPS business”)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142 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233 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267780106"/>
        </w:trPr>
        <w:tc>
          <w:tcPr>
            <w:tcW w:w="0" w:type="auto"/>
            <w:gridSpan w:val="3"/>
            <w:shd w:val="clear" w:color="auto" w:fill="FFFFFF"/>
            <w:tcMar>
              <w:top w:w="30" w:type="dxa"/>
              <w:left w:w="320" w:type="dxa"/>
              <w:bottom w:w="30" w:type="dxa"/>
              <w:right w:w="20" w:type="dxa"/>
            </w:tcMar>
            <w:hideMark/>
          </w:tcPr>
          <w:p w:rsidR="00000000" w:rsidRDefault="00F5481A">
            <w:pPr>
              <w:spacing w:after="100"/>
              <w:ind w:hanging="180"/>
              <w:rPr>
                <w:rFonts w:eastAsia="Times New Roman"/>
              </w:rPr>
            </w:pPr>
            <w:r>
              <w:rPr>
                <w:rFonts w:ascii="IBM Plex Sans" w:eastAsia="Times New Roman" w:hAnsi="IBM Plex Sans"/>
                <w:color w:val="283030"/>
                <w:sz w:val="20"/>
                <w:szCs w:val="20"/>
              </w:rPr>
              <w:t>Military training business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205 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458 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267780106"/>
        </w:trPr>
        <w:tc>
          <w:tcPr>
            <w:tcW w:w="0" w:type="auto"/>
            <w:gridSpan w:val="3"/>
            <w:shd w:val="clear" w:color="auto" w:fill="D7EFF1"/>
            <w:tcMar>
              <w:top w:w="30" w:type="dxa"/>
              <w:left w:w="320" w:type="dxa"/>
              <w:bottom w:w="30" w:type="dxa"/>
              <w:right w:w="20" w:type="dxa"/>
            </w:tcMar>
            <w:hideMark/>
          </w:tcPr>
          <w:p w:rsidR="00000000" w:rsidRDefault="00F5481A">
            <w:pPr>
              <w:spacing w:after="100"/>
              <w:ind w:hanging="180"/>
              <w:rPr>
                <w:rFonts w:eastAsia="Times New Roman"/>
              </w:rPr>
            </w:pPr>
            <w:r>
              <w:rPr>
                <w:rFonts w:ascii="IBM Plex Sans" w:eastAsia="Times New Roman" w:hAnsi="IBM Plex Sans"/>
                <w:color w:val="283030"/>
                <w:sz w:val="20"/>
                <w:szCs w:val="20"/>
              </w:rPr>
              <w:t>EOTech business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48 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267780106"/>
        </w:trPr>
        <w:tc>
          <w:tcPr>
            <w:tcW w:w="0" w:type="auto"/>
            <w:gridSpan w:val="3"/>
            <w:shd w:val="clear" w:color="auto" w:fill="FFFFFF"/>
            <w:tcMar>
              <w:top w:w="30" w:type="dxa"/>
              <w:left w:w="320" w:type="dxa"/>
              <w:bottom w:w="30" w:type="dxa"/>
              <w:right w:w="20" w:type="dxa"/>
            </w:tcMar>
            <w:hideMark/>
          </w:tcPr>
          <w:p w:rsidR="00000000" w:rsidRDefault="00F5481A">
            <w:pPr>
              <w:spacing w:after="100"/>
              <w:ind w:hanging="180"/>
              <w:rPr>
                <w:rFonts w:eastAsia="Times New Roman"/>
              </w:rPr>
            </w:pPr>
            <w:r>
              <w:rPr>
                <w:rFonts w:ascii="IBM Plex Sans" w:eastAsia="Times New Roman" w:hAnsi="IBM Plex Sans"/>
                <w:color w:val="283030"/>
                <w:sz w:val="20"/>
                <w:szCs w:val="20"/>
              </w:rPr>
              <w:t>Applied Kilovolts business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267780106"/>
        </w:trPr>
        <w:tc>
          <w:tcPr>
            <w:tcW w:w="0" w:type="auto"/>
            <w:gridSpan w:val="3"/>
            <w:shd w:val="clear" w:color="auto" w:fill="D7EFF1"/>
            <w:tcMar>
              <w:top w:w="30" w:type="dxa"/>
              <w:left w:w="320" w:type="dxa"/>
              <w:bottom w:w="30" w:type="dxa"/>
              <w:right w:w="20" w:type="dxa"/>
            </w:tcMar>
            <w:hideMark/>
          </w:tcPr>
          <w:p w:rsidR="00000000" w:rsidRDefault="00F5481A">
            <w:pPr>
              <w:spacing w:after="100"/>
              <w:ind w:hanging="180"/>
              <w:rPr>
                <w:rFonts w:eastAsia="Times New Roman"/>
              </w:rPr>
            </w:pPr>
            <w:r>
              <w:rPr>
                <w:rFonts w:ascii="IBM Plex Sans" w:eastAsia="Times New Roman" w:hAnsi="IBM Plex Sans"/>
                <w:color w:val="283030"/>
                <w:sz w:val="20"/>
                <w:szCs w:val="20"/>
              </w:rPr>
              <w:t>Airport security and automation business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147 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267780106"/>
        </w:trPr>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267780106"/>
        </w:trPr>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 xml:space="preserve">Total </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1,346 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bl>
    <w:p w:rsidR="00000000" w:rsidRDefault="00F5481A">
      <w:pPr>
        <w:divId w:val="148404716"/>
        <w:rPr>
          <w:rFonts w:eastAsia="Times New Roman"/>
        </w:rPr>
      </w:pPr>
      <w:r>
        <w:rPr>
          <w:rFonts w:ascii="IBM Plex Sans" w:eastAsia="Times New Roman" w:hAnsi="IBM Plex Sans"/>
          <w:color w:val="283030"/>
          <w:sz w:val="16"/>
          <w:szCs w:val="16"/>
        </w:rPr>
        <w:t>_________________</w:t>
      </w:r>
    </w:p>
    <w:p w:rsidR="00000000" w:rsidRDefault="00F5481A">
      <w:pPr>
        <w:ind w:hanging="360"/>
        <w:divId w:val="22950981"/>
        <w:rPr>
          <w:rFonts w:eastAsia="Times New Roman"/>
        </w:rPr>
      </w:pPr>
      <w:r>
        <w:rPr>
          <w:rFonts w:ascii="IBM Plex Sans" w:eastAsia="Times New Roman" w:hAnsi="IBM Plex Sans"/>
          <w:color w:val="283030"/>
          <w:sz w:val="16"/>
          <w:szCs w:val="16"/>
        </w:rPr>
        <w:t xml:space="preserve">(1)Net of intracompany sales. </w:t>
      </w:r>
    </w:p>
    <w:p w:rsidR="00000000" w:rsidRDefault="00F5481A">
      <w:pPr>
        <w:ind w:firstLine="360"/>
        <w:divId w:val="1174151428"/>
        <w:rPr>
          <w:rFonts w:eastAsia="Times New Roman"/>
        </w:rPr>
      </w:pPr>
      <w:r>
        <w:rPr>
          <w:rFonts w:ascii="IBM Plex Sans" w:eastAsia="Times New Roman" w:hAnsi="IBM Plex Sans"/>
          <w:i/>
          <w:iCs/>
          <w:color w:val="283030"/>
          <w:sz w:val="20"/>
          <w:szCs w:val="20"/>
        </w:rPr>
        <w:t>Fiscal 2022 Compared With Fiscal 2021</w:t>
      </w:r>
      <w:r>
        <w:rPr>
          <w:rFonts w:ascii="IBM Plex Sans" w:eastAsia="Times New Roman" w:hAnsi="IBM Plex Sans"/>
          <w:color w:val="283030"/>
          <w:sz w:val="20"/>
          <w:szCs w:val="20"/>
        </w:rPr>
        <w:t xml:space="preserve">: </w:t>
      </w:r>
      <w:r>
        <w:rPr>
          <w:rFonts w:ascii="IBM Plex Sans" w:eastAsia="Times New Roman" w:hAnsi="IBM Plex Sans"/>
          <w:color w:val="283030"/>
          <w:sz w:val="20"/>
          <w:szCs w:val="20"/>
        </w:rPr>
        <w:t>The decrease in revenue in fiscal 2022 compared with fiscal 2021 was primarily due to the impact of $655 million of lower revenue from completed business divestitures during fiscal 2021 and supply chain disruptions.</w:t>
      </w:r>
    </w:p>
    <w:p w:rsidR="00000000" w:rsidRDefault="00F5481A">
      <w:pPr>
        <w:ind w:firstLine="360"/>
        <w:divId w:val="779105890"/>
        <w:rPr>
          <w:rFonts w:eastAsia="Times New Roman"/>
        </w:rPr>
      </w:pPr>
      <w:r>
        <w:rPr>
          <w:rFonts w:ascii="IBM Plex Sans" w:eastAsia="Times New Roman" w:hAnsi="IBM Plex Sans"/>
          <w:i/>
          <w:iCs/>
          <w:color w:val="283030"/>
          <w:sz w:val="20"/>
          <w:szCs w:val="20"/>
        </w:rPr>
        <w:t>Fiscal 2021 Compared With Fiscal 2020:</w:t>
      </w:r>
      <w:r>
        <w:rPr>
          <w:rFonts w:ascii="IBM Plex Sans" w:eastAsia="Times New Roman" w:hAnsi="IBM Plex Sans"/>
          <w:color w:val="283030"/>
          <w:sz w:val="20"/>
          <w:szCs w:val="20"/>
        </w:rPr>
        <w:t xml:space="preserve">  </w:t>
      </w:r>
      <w:r>
        <w:rPr>
          <w:rFonts w:ascii="IBM Plex Sans" w:eastAsia="Times New Roman" w:hAnsi="IBM Plex Sans"/>
          <w:color w:val="283030"/>
          <w:sz w:val="20"/>
          <w:szCs w:val="20"/>
        </w:rPr>
        <w:t xml:space="preserve">The decrease in revenue in fiscal 2021 compared with fiscal 2020 was primarily due to divestitures within other non-reportable businesses and supply chain disruptions within CS. </w:t>
      </w:r>
    </w:p>
    <w:p w:rsidR="00000000" w:rsidRDefault="00F5481A">
      <w:pPr>
        <w:ind w:firstLine="360"/>
        <w:divId w:val="1501847822"/>
        <w:rPr>
          <w:rFonts w:eastAsia="Times New Roman"/>
        </w:rPr>
      </w:pPr>
      <w:r>
        <w:rPr>
          <w:rFonts w:ascii="IBM Plex Sans" w:eastAsia="Times New Roman" w:hAnsi="IBM Plex Sans"/>
          <w:color w:val="283030"/>
          <w:sz w:val="20"/>
          <w:szCs w:val="20"/>
        </w:rPr>
        <w:t>See the “Discussion of Business Segment Results of Operations” discussion bel</w:t>
      </w:r>
      <w:r>
        <w:rPr>
          <w:rFonts w:ascii="IBM Plex Sans" w:eastAsia="Times New Roman" w:hAnsi="IBM Plex Sans"/>
          <w:color w:val="283030"/>
          <w:sz w:val="20"/>
          <w:szCs w:val="20"/>
        </w:rPr>
        <w:t>ow in this MD&amp;A for further information.</w:t>
      </w:r>
    </w:p>
    <w:p w:rsidR="00000000" w:rsidRDefault="00F5481A">
      <w:pPr>
        <w:divId w:val="1977100098"/>
        <w:rPr>
          <w:rFonts w:eastAsia="Times New Roman"/>
        </w:rPr>
      </w:pPr>
      <w:r>
        <w:rPr>
          <w:rFonts w:ascii="IBM Plex Sans SemiBold" w:eastAsia="Times New Roman" w:hAnsi="IBM Plex Sans SemiBold"/>
          <w:b/>
          <w:bCs/>
          <w:i/>
          <w:iCs/>
          <w:color w:val="016676"/>
          <w:sz w:val="20"/>
          <w:szCs w:val="20"/>
        </w:rPr>
        <w:t>Gross Margin</w:t>
      </w:r>
    </w:p>
    <w:p w:rsidR="00000000" w:rsidRDefault="00F5481A">
      <w:pPr>
        <w:ind w:firstLine="360"/>
        <w:divId w:val="480343695"/>
        <w:rPr>
          <w:rFonts w:eastAsia="Times New Roman"/>
        </w:rPr>
      </w:pPr>
      <w:r>
        <w:rPr>
          <w:rFonts w:ascii="IBM Plex Sans" w:eastAsia="Times New Roman" w:hAnsi="IBM Plex Sans"/>
          <w:i/>
          <w:iCs/>
          <w:color w:val="283030"/>
          <w:sz w:val="20"/>
          <w:szCs w:val="20"/>
        </w:rPr>
        <w:t xml:space="preserve">Fiscal 2022 Compared With Fiscal 2021: </w:t>
      </w:r>
      <w:r>
        <w:rPr>
          <w:rFonts w:ascii="IBM Plex Sans" w:eastAsia="Times New Roman" w:hAnsi="IBM Plex Sans"/>
          <w:color w:val="283030"/>
          <w:sz w:val="20"/>
          <w:szCs w:val="20"/>
        </w:rPr>
        <w:t>Gross margin and gross margin as a percentage of revenue (“gross margin percentage”) for fiscal 2022 decreased compared to fiscal 2021, largely due to higher input</w:t>
      </w:r>
      <w:r>
        <w:rPr>
          <w:rFonts w:ascii="IBM Plex Sans" w:eastAsia="Times New Roman" w:hAnsi="IBM Plex Sans"/>
          <w:color w:val="283030"/>
          <w:sz w:val="20"/>
          <w:szCs w:val="20"/>
        </w:rPr>
        <w:t xml:space="preserve"> costs (labor, material and overhead) and supply chain disruptions that adversely impacted program performance, Estimate At Completion (“EAC”) adjustments and a mix of program revenue and product sales with relatively lower gross margin percentage.</w:t>
      </w:r>
    </w:p>
    <w:p w:rsidR="00000000" w:rsidRDefault="00F5481A">
      <w:pPr>
        <w:ind w:firstLine="360"/>
        <w:divId w:val="2114782125"/>
        <w:rPr>
          <w:rFonts w:eastAsia="Times New Roman"/>
        </w:rPr>
      </w:pPr>
      <w:r>
        <w:rPr>
          <w:rFonts w:ascii="IBM Plex Sans" w:eastAsia="Times New Roman" w:hAnsi="IBM Plex Sans"/>
          <w:i/>
          <w:iCs/>
          <w:color w:val="283030"/>
          <w:sz w:val="20"/>
          <w:szCs w:val="20"/>
        </w:rPr>
        <w:t xml:space="preserve">Fiscal </w:t>
      </w:r>
      <w:r>
        <w:rPr>
          <w:rFonts w:ascii="IBM Plex Sans" w:eastAsia="Times New Roman" w:hAnsi="IBM Plex Sans"/>
          <w:i/>
          <w:iCs/>
          <w:color w:val="283030"/>
          <w:sz w:val="20"/>
          <w:szCs w:val="20"/>
        </w:rPr>
        <w:t xml:space="preserve">2021 Compared With Fiscal 2020: </w:t>
      </w:r>
      <w:r>
        <w:rPr>
          <w:rFonts w:ascii="IBM Plex Sans" w:eastAsia="Times New Roman" w:hAnsi="IBM Plex Sans"/>
          <w:color w:val="283030"/>
          <w:sz w:val="20"/>
          <w:szCs w:val="20"/>
        </w:rPr>
        <w:t> Gross margin and gross margin percentage for fiscal 2021 increased compared to fiscal 2020, primarily due to integration benefits and operational excellence, $31 million of lower cost of sales related to the fair value step</w:t>
      </w:r>
      <w:r>
        <w:rPr>
          <w:rFonts w:ascii="IBM Plex Sans" w:eastAsia="Times New Roman" w:hAnsi="IBM Plex Sans"/>
          <w:color w:val="283030"/>
          <w:sz w:val="20"/>
          <w:szCs w:val="20"/>
        </w:rPr>
        <w:t>-up in inventory sold and $12 million of lower amortization of identifiable intangible assets acquired as a result of the L3Harris Merger, partially offset by a mix of program revenue and product sales with relatively lower gross margin percentage.</w:t>
      </w:r>
    </w:p>
    <w:p w:rsidR="00000000" w:rsidRDefault="00F5481A">
      <w:pPr>
        <w:ind w:firstLine="360"/>
        <w:divId w:val="267196453"/>
        <w:rPr>
          <w:rFonts w:eastAsia="Times New Roman"/>
        </w:rPr>
      </w:pPr>
      <w:r>
        <w:rPr>
          <w:rFonts w:ascii="IBM Plex Sans" w:eastAsia="Times New Roman" w:hAnsi="IBM Plex Sans"/>
          <w:color w:val="283030"/>
          <w:sz w:val="20"/>
          <w:szCs w:val="20"/>
        </w:rPr>
        <w:t>See the</w:t>
      </w:r>
      <w:r>
        <w:rPr>
          <w:rFonts w:ascii="IBM Plex Sans" w:eastAsia="Times New Roman" w:hAnsi="IBM Plex Sans"/>
          <w:color w:val="283030"/>
          <w:sz w:val="20"/>
          <w:szCs w:val="20"/>
        </w:rPr>
        <w:t xml:space="preserve"> “Discussion of Business Segment Results of Operations” discussion below in this MD&amp;A for further information.</w:t>
      </w:r>
    </w:p>
    <w:p w:rsidR="00000000" w:rsidRDefault="00F5481A">
      <w:pPr>
        <w:ind w:firstLine="360"/>
        <w:jc w:val="center"/>
        <w:divId w:val="1156147483"/>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34</w:t>
      </w:r>
    </w:p>
    <w:p w:rsidR="00000000" w:rsidRDefault="00F5481A">
      <w:pPr>
        <w:rPr>
          <w:rFonts w:eastAsia="Times New Roman"/>
        </w:rPr>
      </w:pPr>
      <w:r>
        <w:rPr>
          <w:rFonts w:eastAsia="Times New Roman"/>
        </w:rPr>
        <w:pict>
          <v:rect id="_x0000_i1065" style="width:0;height:1.5pt" o:hralign="center" o:hrstd="t" o:hr="t" fillcolor="#a0a0a0" stroked="f"/>
        </w:pict>
      </w:r>
    </w:p>
    <w:p w:rsidR="00000000" w:rsidRDefault="00F5481A">
      <w:pPr>
        <w:ind w:firstLine="360"/>
        <w:divId w:val="1919247845"/>
        <w:rPr>
          <w:rFonts w:eastAsia="Times New Roman"/>
        </w:rPr>
      </w:pPr>
    </w:p>
    <w:p w:rsidR="00000000" w:rsidRDefault="00F5481A">
      <w:pPr>
        <w:divId w:val="1142620383"/>
        <w:rPr>
          <w:rFonts w:eastAsia="Times New Roman"/>
        </w:rPr>
      </w:pPr>
      <w:r>
        <w:rPr>
          <w:rFonts w:ascii="IBM Plex Sans SemiBold" w:eastAsia="Times New Roman" w:hAnsi="IBM Plex Sans SemiBold"/>
          <w:b/>
          <w:bCs/>
          <w:i/>
          <w:iCs/>
          <w:color w:val="016676"/>
          <w:sz w:val="20"/>
          <w:szCs w:val="20"/>
        </w:rPr>
        <w:t>Engineering, Selling and Administr</w:t>
      </w:r>
      <w:r>
        <w:rPr>
          <w:rFonts w:ascii="IBM Plex Sans SemiBold" w:eastAsia="Times New Roman" w:hAnsi="IBM Plex Sans SemiBold"/>
          <w:b/>
          <w:bCs/>
          <w:i/>
          <w:iCs/>
          <w:color w:val="016676"/>
          <w:sz w:val="20"/>
          <w:szCs w:val="20"/>
        </w:rPr>
        <w:t>ative Expenses</w:t>
      </w:r>
    </w:p>
    <w:p w:rsidR="00000000" w:rsidRDefault="00F5481A">
      <w:pPr>
        <w:ind w:firstLine="360"/>
        <w:divId w:val="875776830"/>
        <w:rPr>
          <w:rFonts w:eastAsia="Times New Roman"/>
        </w:rPr>
      </w:pPr>
      <w:r>
        <w:rPr>
          <w:rFonts w:ascii="IBM Plex Sans" w:eastAsia="Times New Roman" w:hAnsi="IBM Plex Sans"/>
          <w:color w:val="283030"/>
          <w:sz w:val="20"/>
          <w:szCs w:val="20"/>
        </w:rPr>
        <w:t>Major components of Engineering, selling and administrative (“ESA”) expenses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4179"/>
        <w:gridCol w:w="38"/>
        <w:gridCol w:w="133"/>
        <w:gridCol w:w="1109"/>
        <w:gridCol w:w="36"/>
        <w:gridCol w:w="36"/>
        <w:gridCol w:w="36"/>
        <w:gridCol w:w="36"/>
        <w:gridCol w:w="133"/>
        <w:gridCol w:w="1109"/>
        <w:gridCol w:w="36"/>
        <w:gridCol w:w="36"/>
        <w:gridCol w:w="36"/>
        <w:gridCol w:w="36"/>
        <w:gridCol w:w="132"/>
        <w:gridCol w:w="1109"/>
        <w:gridCol w:w="36"/>
      </w:tblGrid>
      <w:tr w:rsidR="00000000">
        <w:trPr>
          <w:divId w:val="875776830"/>
        </w:trPr>
        <w:tc>
          <w:tcPr>
            <w:tcW w:w="50" w:type="pct"/>
            <w:vAlign w:val="center"/>
            <w:hideMark/>
          </w:tcPr>
          <w:p w:rsidR="00000000" w:rsidRDefault="00F5481A">
            <w:pPr>
              <w:ind w:firstLine="360"/>
              <w:rPr>
                <w:rFonts w:eastAsia="Times New Roman"/>
              </w:rPr>
            </w:pPr>
          </w:p>
        </w:tc>
        <w:tc>
          <w:tcPr>
            <w:tcW w:w="2581"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875776830"/>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Fiscal Year Ended</w:t>
            </w:r>
          </w:p>
        </w:tc>
      </w:tr>
      <w:tr w:rsidR="00000000">
        <w:trPr>
          <w:divId w:val="875776830"/>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January 1, 2021</w:t>
            </w:r>
          </w:p>
        </w:tc>
      </w:tr>
      <w:tr w:rsidR="00000000">
        <w:trPr>
          <w:divId w:val="875776830"/>
          <w:trHeight w:val="6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875776830"/>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875776830"/>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875776830"/>
        </w:trPr>
        <w:tc>
          <w:tcPr>
            <w:tcW w:w="0" w:type="auto"/>
            <w:gridSpan w:val="3"/>
            <w:shd w:val="clear" w:color="auto" w:fill="D7EFF1"/>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Company-sponsored R&amp;D costs</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(603)</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(692)</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(684)</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875776830"/>
        </w:trPr>
        <w:tc>
          <w:tcPr>
            <w:tcW w:w="0" w:type="auto"/>
            <w:gridSpan w:val="3"/>
            <w:shd w:val="clear" w:color="auto" w:fill="FFFFFF"/>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Amortization of acquisition-related intangibles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(532)</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(550)</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(620)</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875776830"/>
        </w:trPr>
        <w:tc>
          <w:tcPr>
            <w:tcW w:w="0" w:type="auto"/>
            <w:gridSpan w:val="3"/>
            <w:shd w:val="clear" w:color="auto" w:fill="D7EFF1"/>
            <w:tcMar>
              <w:top w:w="30" w:type="dxa"/>
              <w:left w:w="320" w:type="dxa"/>
              <w:bottom w:w="30" w:type="dxa"/>
              <w:right w:w="20" w:type="dxa"/>
            </w:tcMar>
            <w:hideMark/>
          </w:tcPr>
          <w:p w:rsidR="00000000" w:rsidRDefault="00F5481A">
            <w:pPr>
              <w:spacing w:after="100"/>
              <w:ind w:hanging="180"/>
              <w:rPr>
                <w:rFonts w:eastAsia="Times New Roman"/>
              </w:rPr>
            </w:pPr>
            <w:r>
              <w:rPr>
                <w:rFonts w:ascii="IBM Plex Sans" w:eastAsia="Times New Roman" w:hAnsi="IBM Plex Sans"/>
                <w:color w:val="283030"/>
                <w:sz w:val="20"/>
                <w:szCs w:val="20"/>
              </w:rPr>
              <w:t>L3Harris Merger-related transaction, integration and other expenses and losses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(90)</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(134)</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(155)</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875776830"/>
        </w:trPr>
        <w:tc>
          <w:tcPr>
            <w:tcW w:w="0" w:type="auto"/>
            <w:gridSpan w:val="3"/>
            <w:shd w:val="clear" w:color="auto" w:fill="FFFFFF"/>
            <w:tcMar>
              <w:top w:w="30" w:type="dxa"/>
              <w:left w:w="320" w:type="dxa"/>
              <w:bottom w:w="30" w:type="dxa"/>
              <w:right w:w="20" w:type="dxa"/>
            </w:tcMar>
            <w:hideMark/>
          </w:tcPr>
          <w:p w:rsidR="00000000" w:rsidRDefault="00F5481A">
            <w:pPr>
              <w:spacing w:after="100"/>
              <w:ind w:hanging="180"/>
              <w:rPr>
                <w:rFonts w:eastAsia="Times New Roman"/>
              </w:rPr>
            </w:pPr>
            <w:r>
              <w:rPr>
                <w:rFonts w:ascii="IBM Plex Sans" w:eastAsia="Times New Roman" w:hAnsi="IBM Plex Sans"/>
                <w:color w:val="283030"/>
                <w:sz w:val="20"/>
                <w:szCs w:val="20"/>
              </w:rPr>
              <w:t>Acquisition-related transaction and integration expenses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875776830"/>
        </w:trPr>
        <w:tc>
          <w:tcPr>
            <w:tcW w:w="0" w:type="auto"/>
            <w:gridSpan w:val="3"/>
            <w:shd w:val="clear" w:color="auto" w:fill="D7EFF1"/>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Pre-acquisition and other divestiture-related expenses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(63)</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(66)</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875776830"/>
        </w:trPr>
        <w:tc>
          <w:tcPr>
            <w:tcW w:w="0" w:type="auto"/>
            <w:gridSpan w:val="3"/>
            <w:shd w:val="clear" w:color="auto" w:fill="FFFFFF"/>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Charges for severance and other termination costs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(29)</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875776830"/>
        </w:trPr>
        <w:tc>
          <w:tcPr>
            <w:tcW w:w="0" w:type="auto"/>
            <w:gridSpan w:val="3"/>
            <w:shd w:val="clear" w:color="auto" w:fill="D7EFF1"/>
            <w:tcMar>
              <w:top w:w="30" w:type="dxa"/>
              <w:left w:w="320" w:type="dxa"/>
              <w:bottom w:w="30" w:type="dxa"/>
              <w:right w:w="20" w:type="dxa"/>
            </w:tcMar>
            <w:hideMark/>
          </w:tcPr>
          <w:p w:rsidR="00000000" w:rsidRDefault="00F5481A">
            <w:pPr>
              <w:spacing w:after="100"/>
              <w:ind w:hanging="180"/>
              <w:rPr>
                <w:rFonts w:eastAsia="Times New Roman"/>
              </w:rPr>
            </w:pPr>
            <w:r>
              <w:rPr>
                <w:rFonts w:ascii="IBM Plex Sans" w:eastAsia="Times New Roman" w:hAnsi="IBM Plex Sans"/>
                <w:color w:val="283030"/>
                <w:sz w:val="20"/>
                <w:szCs w:val="20"/>
              </w:rPr>
              <w:t>Charges related to an additional pre-merger legal contingency</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(31)</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875776830"/>
        </w:trPr>
        <w:tc>
          <w:tcPr>
            <w:tcW w:w="0" w:type="auto"/>
            <w:gridSpan w:val="3"/>
            <w:shd w:val="clear" w:color="auto" w:fill="FFFFFF"/>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Gain on sale of property, plant and equipment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875776830"/>
        </w:trPr>
        <w:tc>
          <w:tcPr>
            <w:tcW w:w="0" w:type="auto"/>
            <w:gridSpan w:val="3"/>
            <w:shd w:val="clear" w:color="auto" w:fill="D7EFF1"/>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Gain on sale of asset group</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875776830"/>
        </w:trPr>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Major components of ESA</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(1,349)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(1,442)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(1,450)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bl>
    <w:p w:rsidR="00000000" w:rsidRDefault="00F5481A">
      <w:pPr>
        <w:divId w:val="793475494"/>
        <w:rPr>
          <w:rFonts w:eastAsia="Times New Roman"/>
        </w:rPr>
      </w:pPr>
      <w:r>
        <w:rPr>
          <w:rFonts w:ascii="IBM Plex Sans SemiBold" w:eastAsia="Times New Roman" w:hAnsi="IBM Plex Sans SemiBold"/>
          <w:b/>
          <w:bCs/>
          <w:i/>
          <w:iCs/>
          <w:color w:val="016676"/>
          <w:sz w:val="20"/>
          <w:szCs w:val="20"/>
        </w:rPr>
        <w:t>Business Divestiture-Related Gains (Losses), net</w:t>
      </w:r>
    </w:p>
    <w:p w:rsidR="00000000" w:rsidRDefault="00F5481A">
      <w:pPr>
        <w:ind w:firstLine="360"/>
        <w:divId w:val="34234029"/>
        <w:rPr>
          <w:rFonts w:eastAsia="Times New Roman"/>
        </w:rPr>
      </w:pPr>
      <w:r>
        <w:rPr>
          <w:rFonts w:ascii="IBM Plex Sans" w:eastAsia="Times New Roman" w:hAnsi="IBM Plex Sans"/>
          <w:color w:val="283030"/>
          <w:sz w:val="20"/>
          <w:szCs w:val="20"/>
        </w:rPr>
        <w:t>During fiscal 2022, there were no significant business divestiture-related gains or losses. We completed one business divestiture and one asset sale from our IMS segment and recognized a pre-tax gain of $8 million associated with the CyTerra asset sale, wh</w:t>
      </w:r>
      <w:r>
        <w:rPr>
          <w:rFonts w:ascii="IBM Plex Sans" w:eastAsia="Times New Roman" w:hAnsi="IBM Plex Sans"/>
          <w:color w:val="283030"/>
          <w:sz w:val="20"/>
          <w:szCs w:val="20"/>
        </w:rPr>
        <w:t xml:space="preserve">ich is recorded in the “Engineering, selling and administrative expenses“ line item in our Consolidated Statement of Operations for fiscal 2022. </w:t>
      </w:r>
    </w:p>
    <w:p w:rsidR="00000000" w:rsidRDefault="00F5481A">
      <w:pPr>
        <w:ind w:firstLine="360"/>
        <w:divId w:val="742683027"/>
        <w:rPr>
          <w:rFonts w:eastAsia="Times New Roman"/>
        </w:rPr>
      </w:pPr>
      <w:r>
        <w:rPr>
          <w:rFonts w:ascii="IBM Plex Sans" w:eastAsia="Times New Roman" w:hAnsi="IBM Plex Sans"/>
          <w:color w:val="283030"/>
          <w:sz w:val="20"/>
          <w:szCs w:val="20"/>
        </w:rPr>
        <w:t>In fiscal 2021 and fiscal 2020, we had the following pre-tax gains (losses) associated with businesses diveste</w:t>
      </w:r>
      <w:r>
        <w:rPr>
          <w:rFonts w:ascii="IBM Plex Sans" w:eastAsia="Times New Roman" w:hAnsi="IBM Plex Sans"/>
          <w:color w:val="283030"/>
          <w:sz w:val="20"/>
          <w:szCs w:val="20"/>
        </w:rPr>
        <w:t xml:space="preserve">d, which are included in the “Business divestiture-related gains (losses), net” line item in our Consolidated Statement of Operations: </w:t>
      </w:r>
    </w:p>
    <w:tbl>
      <w:tblPr>
        <w:tblW w:w="5000" w:type="pct"/>
        <w:tblCellMar>
          <w:top w:w="15" w:type="dxa"/>
          <w:left w:w="15" w:type="dxa"/>
          <w:bottom w:w="15" w:type="dxa"/>
          <w:right w:w="15" w:type="dxa"/>
        </w:tblCellMar>
        <w:tblLook w:val="04A0" w:firstRow="1" w:lastRow="0" w:firstColumn="1" w:lastColumn="0" w:noHBand="0" w:noVBand="1"/>
      </w:tblPr>
      <w:tblGrid>
        <w:gridCol w:w="39"/>
        <w:gridCol w:w="5571"/>
        <w:gridCol w:w="37"/>
        <w:gridCol w:w="36"/>
        <w:gridCol w:w="36"/>
        <w:gridCol w:w="133"/>
        <w:gridCol w:w="1092"/>
        <w:gridCol w:w="36"/>
        <w:gridCol w:w="36"/>
        <w:gridCol w:w="36"/>
        <w:gridCol w:w="36"/>
        <w:gridCol w:w="133"/>
        <w:gridCol w:w="905"/>
        <w:gridCol w:w="36"/>
        <w:gridCol w:w="36"/>
        <w:gridCol w:w="36"/>
        <w:gridCol w:w="36"/>
        <w:gridCol w:w="36"/>
      </w:tblGrid>
      <w:tr w:rsidR="00000000">
        <w:trPr>
          <w:divId w:val="692146269"/>
        </w:trPr>
        <w:tc>
          <w:tcPr>
            <w:tcW w:w="50" w:type="pct"/>
            <w:vAlign w:val="center"/>
            <w:hideMark/>
          </w:tcPr>
          <w:p w:rsidR="00000000" w:rsidRDefault="00F5481A">
            <w:pPr>
              <w:ind w:firstLine="360"/>
              <w:rPr>
                <w:rFonts w:eastAsia="Times New Roman"/>
              </w:rPr>
            </w:pPr>
          </w:p>
        </w:tc>
        <w:tc>
          <w:tcPr>
            <w:tcW w:w="349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59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692146269"/>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SemiBold" w:eastAsia="Times New Roman" w:hAnsi="IBM Plex Sans SemiBold"/>
                <w:b/>
                <w:bCs/>
                <w:color w:val="000000"/>
                <w:sz w:val="16"/>
                <w:szCs w:val="16"/>
              </w:rPr>
              <w:t>Fiscal Year Ended</w:t>
            </w:r>
          </w:p>
        </w:tc>
        <w:tc>
          <w:tcPr>
            <w:tcW w:w="0" w:type="auto"/>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692146269"/>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SemiBold" w:eastAsia="Times New Roman" w:hAnsi="IBM Plex Sans SemiBold"/>
                <w:b/>
                <w:bCs/>
                <w:color w:val="000000"/>
                <w:sz w:val="16"/>
                <w:szCs w:val="16"/>
              </w:rPr>
              <w:t>(In millions)</w:t>
            </w:r>
          </w:p>
        </w:tc>
        <w:tc>
          <w:tcPr>
            <w:tcW w:w="0" w:type="auto"/>
            <w:vAlign w:val="center"/>
            <w:hideMark/>
          </w:tcPr>
          <w:p w:rsidR="00000000" w:rsidRDefault="00F5481A">
            <w:pPr>
              <w:spacing w:after="100"/>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SemiBold" w:eastAsia="Times New Roman" w:hAnsi="IBM Plex Sans SemiBold"/>
                <w:b/>
                <w:bCs/>
                <w:color w:val="00000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SemiBold" w:eastAsia="Times New Roman" w:hAnsi="IBM Plex Sans SemiBold"/>
                <w:b/>
                <w:bCs/>
                <w:color w:val="000000"/>
                <w:sz w:val="16"/>
                <w:szCs w:val="16"/>
              </w:rPr>
              <w:t>January 1, 2021</w:t>
            </w:r>
          </w:p>
        </w:tc>
        <w:tc>
          <w:tcPr>
            <w:tcW w:w="0" w:type="auto"/>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692146269"/>
          <w:trHeight w:val="60"/>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692146269"/>
        </w:trPr>
        <w:tc>
          <w:tcPr>
            <w:tcW w:w="0" w:type="auto"/>
            <w:gridSpan w:val="3"/>
            <w:shd w:val="clear" w:color="auto" w:fill="D7EFF1"/>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000000"/>
                <w:sz w:val="20"/>
                <w:szCs w:val="20"/>
              </w:rPr>
              <w:t>Narda-MITEQ business</w:t>
            </w:r>
          </w:p>
        </w:tc>
        <w:tc>
          <w:tcPr>
            <w:tcW w:w="0" w:type="auto"/>
            <w:vAlign w:val="center"/>
            <w:hideMark/>
          </w:tcPr>
          <w:p w:rsidR="00000000" w:rsidRDefault="00F5481A">
            <w:pPr>
              <w:spacing w:after="100"/>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00000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(9)</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00000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692146269"/>
        </w:trPr>
        <w:tc>
          <w:tcPr>
            <w:tcW w:w="0" w:type="auto"/>
            <w:gridSpan w:val="3"/>
            <w:shd w:val="clear" w:color="auto" w:fill="FFFFFF"/>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000000"/>
                <w:sz w:val="20"/>
                <w:szCs w:val="20"/>
              </w:rPr>
              <w:t>ESSCO business</w:t>
            </w:r>
          </w:p>
        </w:tc>
        <w:tc>
          <w:tcPr>
            <w:tcW w:w="0" w:type="auto"/>
            <w:vAlign w:val="center"/>
            <w:hideMark/>
          </w:tcPr>
          <w:p w:rsidR="00000000" w:rsidRDefault="00F5481A">
            <w:pPr>
              <w:spacing w:after="100"/>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692146269"/>
        </w:trPr>
        <w:tc>
          <w:tcPr>
            <w:tcW w:w="0" w:type="auto"/>
            <w:gridSpan w:val="3"/>
            <w:shd w:val="clear" w:color="auto" w:fill="D7EFF1"/>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000000"/>
                <w:sz w:val="20"/>
                <w:szCs w:val="20"/>
              </w:rPr>
              <w:t>Electron Devices business</w:t>
            </w:r>
          </w:p>
        </w:tc>
        <w:tc>
          <w:tcPr>
            <w:tcW w:w="0" w:type="auto"/>
            <w:vAlign w:val="center"/>
            <w:hideMark/>
          </w:tcPr>
          <w:p w:rsidR="00000000" w:rsidRDefault="00F5481A">
            <w:pPr>
              <w:spacing w:after="100"/>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31 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692146269"/>
        </w:trPr>
        <w:tc>
          <w:tcPr>
            <w:tcW w:w="0" w:type="auto"/>
            <w:gridSpan w:val="3"/>
            <w:shd w:val="clear" w:color="auto" w:fill="FFFFFF"/>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000000"/>
                <w:sz w:val="20"/>
                <w:szCs w:val="20"/>
              </w:rPr>
              <w:t>VSE disposal group</w:t>
            </w:r>
          </w:p>
        </w:tc>
        <w:tc>
          <w:tcPr>
            <w:tcW w:w="0" w:type="auto"/>
            <w:vAlign w:val="center"/>
            <w:hideMark/>
          </w:tcPr>
          <w:p w:rsidR="00000000" w:rsidRDefault="00F5481A">
            <w:pPr>
              <w:spacing w:after="100"/>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(29)</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(18)</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692146269"/>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ind w:hanging="360"/>
              <w:divId w:val="1061370146"/>
              <w:rPr>
                <w:rFonts w:eastAsia="Times New Roman"/>
              </w:rPr>
            </w:pPr>
            <w:r>
              <w:rPr>
                <w:rFonts w:ascii="IBM Plex Sans" w:eastAsia="Times New Roman" w:hAnsi="IBM Plex Sans"/>
                <w:color w:val="000000"/>
                <w:sz w:val="20"/>
                <w:szCs w:val="20"/>
              </w:rPr>
              <w:t>CPS business</w:t>
            </w:r>
          </w:p>
        </w:tc>
        <w:tc>
          <w:tcPr>
            <w:tcW w:w="0" w:type="auto"/>
            <w:vAlign w:val="center"/>
            <w:hideMark/>
          </w:tcPr>
          <w:p w:rsidR="00000000" w:rsidRDefault="00F5481A">
            <w:pPr>
              <w:spacing w:after="100"/>
              <w:ind w:hanging="360"/>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(19)</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692146269"/>
        </w:trPr>
        <w:tc>
          <w:tcPr>
            <w:tcW w:w="0" w:type="auto"/>
            <w:gridSpan w:val="3"/>
            <w:shd w:val="clear" w:color="auto" w:fill="FFFFFF"/>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000000"/>
                <w:sz w:val="20"/>
                <w:szCs w:val="20"/>
              </w:rPr>
              <w:t>Military training business</w:t>
            </w:r>
          </w:p>
        </w:tc>
        <w:tc>
          <w:tcPr>
            <w:tcW w:w="0" w:type="auto"/>
            <w:vAlign w:val="center"/>
            <w:hideMark/>
          </w:tcPr>
          <w:p w:rsidR="00000000" w:rsidRDefault="00F5481A">
            <w:pPr>
              <w:spacing w:after="100"/>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217 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692146269"/>
        </w:trPr>
        <w:tc>
          <w:tcPr>
            <w:tcW w:w="0" w:type="auto"/>
            <w:gridSpan w:val="3"/>
            <w:shd w:val="clear" w:color="auto" w:fill="D7EFF1"/>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000000"/>
                <w:sz w:val="20"/>
                <w:szCs w:val="20"/>
              </w:rPr>
              <w:t>EOTech</w:t>
            </w:r>
          </w:p>
        </w:tc>
        <w:tc>
          <w:tcPr>
            <w:tcW w:w="0" w:type="auto"/>
            <w:vAlign w:val="center"/>
            <w:hideMark/>
          </w:tcPr>
          <w:p w:rsidR="00000000" w:rsidRDefault="00F5481A">
            <w:pPr>
              <w:spacing w:after="100"/>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692146269"/>
        </w:trPr>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692146269"/>
        </w:trPr>
        <w:tc>
          <w:tcPr>
            <w:tcW w:w="0" w:type="auto"/>
            <w:gridSpan w:val="3"/>
            <w:shd w:val="clear" w:color="auto" w:fill="FFFFFF"/>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000000"/>
                <w:sz w:val="20"/>
                <w:szCs w:val="20"/>
              </w:rPr>
              <w:t>Airport security and automation business</w:t>
            </w:r>
          </w:p>
        </w:tc>
        <w:tc>
          <w:tcPr>
            <w:tcW w:w="0" w:type="auto"/>
            <w:vAlign w:val="center"/>
            <w:hideMark/>
          </w:tcPr>
          <w:p w:rsidR="00000000" w:rsidRDefault="00F5481A">
            <w:pPr>
              <w:spacing w:after="100"/>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692146269"/>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divId w:val="1955598487"/>
              <w:rPr>
                <w:rFonts w:eastAsia="Times New Roman"/>
              </w:rPr>
            </w:pPr>
            <w:r>
              <w:rPr>
                <w:rFonts w:ascii="IBM Plex Sans" w:eastAsia="Times New Roman" w:hAnsi="IBM Plex Sans"/>
                <w:color w:val="000000"/>
                <w:sz w:val="20"/>
                <w:szCs w:val="20"/>
              </w:rPr>
              <w:t>Othe</w:t>
            </w:r>
            <w:r>
              <w:rPr>
                <w:rFonts w:ascii="IBM Plex Sans" w:eastAsia="Times New Roman" w:hAnsi="IBM Plex Sans"/>
                <w:color w:val="000000"/>
                <w:sz w:val="20"/>
                <w:szCs w:val="20"/>
              </w:rPr>
              <w:t>r</w:t>
            </w:r>
            <w:r>
              <w:rPr>
                <w:rFonts w:ascii="IBM Plex Sans" w:eastAsia="Times New Roman" w:hAnsi="IBM Plex Sans"/>
                <w:color w:val="000000"/>
                <w:sz w:val="13"/>
                <w:szCs w:val="13"/>
              </w:rPr>
              <w:t>(1</w:t>
            </w:r>
            <w:r>
              <w:rPr>
                <w:rFonts w:ascii="IBM Plex Sans" w:eastAsia="Times New Roman" w:hAnsi="IBM Plex Sans"/>
                <w:color w:val="000000"/>
                <w:sz w:val="13"/>
                <w:szCs w:val="13"/>
              </w:rPr>
              <w:t>)</w:t>
            </w:r>
          </w:p>
        </w:tc>
        <w:tc>
          <w:tcPr>
            <w:tcW w:w="0" w:type="auto"/>
            <w:vAlign w:val="center"/>
            <w:hideMark/>
          </w:tcPr>
          <w:p w:rsidR="00000000" w:rsidRDefault="00F5481A">
            <w:pPr>
              <w:spacing w:after="100"/>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(2)</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(12)</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692146269"/>
        </w:trPr>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000000"/>
                <w:sz w:val="20"/>
                <w:szCs w:val="20"/>
              </w:rPr>
              <w:t>Total Business divestiture-related gain (loss), net</w:t>
            </w:r>
          </w:p>
        </w:tc>
        <w:tc>
          <w:tcPr>
            <w:tcW w:w="0" w:type="auto"/>
            <w:vAlign w:val="center"/>
            <w:hideMark/>
          </w:tcPr>
          <w:p w:rsidR="00000000" w:rsidRDefault="00F5481A">
            <w:pPr>
              <w:spacing w:after="100"/>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220 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(51)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692146269"/>
        </w:trPr>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bl>
    <w:p w:rsidR="00000000" w:rsidRDefault="00F5481A">
      <w:pPr>
        <w:divId w:val="607978038"/>
        <w:rPr>
          <w:rFonts w:eastAsia="Times New Roman"/>
        </w:rPr>
      </w:pPr>
      <w:r>
        <w:rPr>
          <w:rFonts w:ascii="IBM Plex Sans" w:eastAsia="Times New Roman" w:hAnsi="IBM Plex Sans"/>
          <w:color w:val="283030"/>
          <w:sz w:val="16"/>
          <w:szCs w:val="16"/>
        </w:rPr>
        <w:t>_________________</w:t>
      </w:r>
    </w:p>
    <w:p w:rsidR="00000000" w:rsidRDefault="00F5481A">
      <w:pPr>
        <w:ind w:hanging="360"/>
        <w:divId w:val="1519081060"/>
        <w:rPr>
          <w:rFonts w:eastAsia="Times New Roman"/>
        </w:rPr>
      </w:pPr>
      <w:r>
        <w:rPr>
          <w:rFonts w:ascii="IBM Plex Sans" w:eastAsia="Times New Roman" w:hAnsi="IBM Plex Sans"/>
          <w:color w:val="283030"/>
          <w:sz w:val="16"/>
          <w:szCs w:val="16"/>
        </w:rPr>
        <w:t>(1)</w:t>
      </w:r>
      <w:r>
        <w:rPr>
          <w:rFonts w:ascii="IBM Plex Sans" w:eastAsia="Times New Roman" w:hAnsi="IBM Plex Sans"/>
          <w:color w:val="283030"/>
          <w:sz w:val="16"/>
          <w:szCs w:val="16"/>
        </w:rPr>
        <w:t>Reflects adjustments to the gains (losses) on completed divestitures not shown above, including for fiscal 2020, $12 million for finalization of purchase price adjustments and recognition of a non-cash adjustment related to working capital, which decreased</w:t>
      </w:r>
      <w:r>
        <w:rPr>
          <w:rFonts w:ascii="IBM Plex Sans" w:eastAsia="Times New Roman" w:hAnsi="IBM Plex Sans"/>
          <w:color w:val="283030"/>
          <w:sz w:val="16"/>
          <w:szCs w:val="16"/>
        </w:rPr>
        <w:t xml:space="preserve"> the $229 million gain initially recognized on the sale of the Harris Night Vision business divested on September 13, 2019.</w:t>
      </w:r>
    </w:p>
    <w:p w:rsidR="00000000" w:rsidRDefault="00F5481A">
      <w:pPr>
        <w:ind w:firstLine="360"/>
        <w:divId w:val="1499076674"/>
        <w:rPr>
          <w:rFonts w:eastAsia="Times New Roman"/>
        </w:rPr>
      </w:pPr>
      <w:r>
        <w:rPr>
          <w:rFonts w:ascii="IBM Plex Sans" w:eastAsia="Times New Roman" w:hAnsi="IBM Plex Sans"/>
          <w:color w:val="283030"/>
          <w:sz w:val="20"/>
          <w:szCs w:val="20"/>
        </w:rPr>
        <w:t xml:space="preserve">See </w:t>
      </w:r>
      <w:r>
        <w:rPr>
          <w:rFonts w:ascii="IBM Plex Sans" w:eastAsia="Times New Roman" w:hAnsi="IBM Plex Sans"/>
          <w:i/>
          <w:iCs/>
          <w:color w:val="283030"/>
          <w:sz w:val="20"/>
          <w:szCs w:val="20"/>
        </w:rPr>
        <w:t xml:space="preserve">Note 4: Business Divestitures and Asset Sales </w:t>
      </w:r>
      <w:r>
        <w:rPr>
          <w:rFonts w:ascii="IBM Plex Sans" w:eastAsia="Times New Roman" w:hAnsi="IBM Plex Sans"/>
          <w:color w:val="283030"/>
          <w:sz w:val="20"/>
          <w:szCs w:val="20"/>
        </w:rPr>
        <w:t>in the Notes for further information.</w:t>
      </w:r>
    </w:p>
    <w:p w:rsidR="00000000" w:rsidRDefault="00F5481A">
      <w:pPr>
        <w:divId w:val="886525478"/>
        <w:rPr>
          <w:rFonts w:eastAsia="Times New Roman"/>
        </w:rPr>
      </w:pPr>
      <w:r>
        <w:rPr>
          <w:rFonts w:ascii="IBM Plex Sans SemiBold" w:eastAsia="Times New Roman" w:hAnsi="IBM Plex Sans SemiBold"/>
          <w:b/>
          <w:bCs/>
          <w:i/>
          <w:iCs/>
          <w:color w:val="016676"/>
          <w:sz w:val="20"/>
          <w:szCs w:val="20"/>
        </w:rPr>
        <w:t>Impairment of Goodwill and Other Assets</w:t>
      </w:r>
    </w:p>
    <w:p w:rsidR="00000000" w:rsidRDefault="00F5481A">
      <w:pPr>
        <w:ind w:firstLine="360"/>
        <w:divId w:val="913470901"/>
        <w:rPr>
          <w:rFonts w:eastAsia="Times New Roman"/>
        </w:rPr>
      </w:pPr>
      <w:r>
        <w:rPr>
          <w:rFonts w:ascii="IBM Plex Sans" w:eastAsia="Times New Roman" w:hAnsi="IBM Plex Sans"/>
          <w:i/>
          <w:iCs/>
          <w:color w:val="283030"/>
          <w:sz w:val="20"/>
          <w:szCs w:val="20"/>
        </w:rPr>
        <w:t>Fisc</w:t>
      </w:r>
      <w:r>
        <w:rPr>
          <w:rFonts w:ascii="IBM Plex Sans" w:eastAsia="Times New Roman" w:hAnsi="IBM Plex Sans"/>
          <w:i/>
          <w:iCs/>
          <w:color w:val="283030"/>
          <w:sz w:val="20"/>
          <w:szCs w:val="20"/>
        </w:rPr>
        <w:t xml:space="preserve">al 2022 Compared With Fiscal 2021: </w:t>
      </w:r>
      <w:r>
        <w:rPr>
          <w:rFonts w:ascii="IBM Plex Sans" w:eastAsia="Times New Roman" w:hAnsi="IBM Plex Sans"/>
          <w:color w:val="283030"/>
          <w:sz w:val="20"/>
          <w:szCs w:val="20"/>
        </w:rPr>
        <w:t>Impairment of goodwill and other assets for fiscal 2022 reflected non-cash impairment charges of $355 million, $313 million and $134 million associated with our Broadband, ADG and Electro Optical reporting units, respecti</w:t>
      </w:r>
      <w:r>
        <w:rPr>
          <w:rFonts w:ascii="IBM Plex Sans" w:eastAsia="Times New Roman" w:hAnsi="IBM Plex Sans"/>
          <w:color w:val="283030"/>
          <w:sz w:val="20"/>
          <w:szCs w:val="20"/>
        </w:rPr>
        <w:t>vely. Impairment of goodwill and other assets for fiscal 2021 reflects $62 million of non-cash charges for the impairment of goodwill and other assets associated with the divestiture of the CPS business and $145 million of non-cash charges for impairment o</w:t>
      </w:r>
      <w:r>
        <w:rPr>
          <w:rFonts w:ascii="IBM Plex Sans" w:eastAsia="Times New Roman" w:hAnsi="IBM Plex Sans"/>
          <w:color w:val="283030"/>
          <w:sz w:val="20"/>
          <w:szCs w:val="20"/>
        </w:rPr>
        <w:t>f identifiable intangible and other long-lived assets related to the Commercial Training Solutions (“CTS”) business.</w:t>
      </w:r>
    </w:p>
    <w:p w:rsidR="00000000" w:rsidRDefault="00F5481A">
      <w:pPr>
        <w:ind w:firstLine="360"/>
        <w:divId w:val="1071393036"/>
        <w:rPr>
          <w:rFonts w:eastAsia="Times New Roman"/>
        </w:rPr>
      </w:pPr>
      <w:r>
        <w:rPr>
          <w:rFonts w:ascii="IBM Plex Sans" w:eastAsia="Times New Roman" w:hAnsi="IBM Plex Sans"/>
          <w:i/>
          <w:iCs/>
          <w:color w:val="283030"/>
          <w:sz w:val="20"/>
          <w:szCs w:val="20"/>
        </w:rPr>
        <w:t>Fiscal 2021 Compared With Fiscal 2020:</w:t>
      </w:r>
      <w:r>
        <w:rPr>
          <w:rFonts w:ascii="IBM Plex Sans" w:eastAsia="Times New Roman" w:hAnsi="IBM Plex Sans"/>
          <w:color w:val="283030"/>
          <w:sz w:val="20"/>
          <w:szCs w:val="20"/>
        </w:rPr>
        <w:t>  Impairment of goodwill and other assets for fiscal 2021 reflects $62 million of non-cash charges fo</w:t>
      </w:r>
      <w:r>
        <w:rPr>
          <w:rFonts w:ascii="IBM Plex Sans" w:eastAsia="Times New Roman" w:hAnsi="IBM Plex Sans"/>
          <w:color w:val="283030"/>
          <w:sz w:val="20"/>
          <w:szCs w:val="20"/>
        </w:rPr>
        <w:t xml:space="preserve">r the impairment of goodwill and other assets associated with the divestiture of the </w:t>
      </w:r>
    </w:p>
    <w:p w:rsidR="00000000" w:rsidRDefault="00F5481A">
      <w:pPr>
        <w:ind w:firstLine="360"/>
        <w:jc w:val="center"/>
        <w:divId w:val="1028947248"/>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35</w:t>
      </w:r>
    </w:p>
    <w:p w:rsidR="00000000" w:rsidRDefault="00F5481A">
      <w:pPr>
        <w:rPr>
          <w:rFonts w:eastAsia="Times New Roman"/>
        </w:rPr>
      </w:pPr>
      <w:r>
        <w:rPr>
          <w:rFonts w:eastAsia="Times New Roman"/>
        </w:rPr>
        <w:pict>
          <v:rect id="_x0000_i1066" style="width:0;height:1.5pt" o:hralign="center" o:hrstd="t" o:hr="t" fillcolor="#a0a0a0" stroked="f"/>
        </w:pict>
      </w:r>
    </w:p>
    <w:p w:rsidR="00000000" w:rsidRDefault="00F5481A">
      <w:pPr>
        <w:ind w:firstLine="360"/>
        <w:divId w:val="1484394274"/>
        <w:rPr>
          <w:rFonts w:eastAsia="Times New Roman"/>
        </w:rPr>
      </w:pPr>
    </w:p>
    <w:p w:rsidR="00000000" w:rsidRDefault="00F5481A">
      <w:pPr>
        <w:divId w:val="873929887"/>
        <w:rPr>
          <w:rFonts w:eastAsia="Times New Roman"/>
        </w:rPr>
      </w:pPr>
      <w:r>
        <w:rPr>
          <w:rFonts w:ascii="IBM Plex Sans" w:eastAsia="Times New Roman" w:hAnsi="IBM Plex Sans"/>
          <w:color w:val="283030"/>
          <w:sz w:val="20"/>
          <w:szCs w:val="20"/>
        </w:rPr>
        <w:t>CPS business and $145 million of non-cash charges for impa</w:t>
      </w:r>
      <w:r>
        <w:rPr>
          <w:rFonts w:ascii="IBM Plex Sans" w:eastAsia="Times New Roman" w:hAnsi="IBM Plex Sans"/>
          <w:color w:val="283030"/>
          <w:sz w:val="20"/>
          <w:szCs w:val="20"/>
        </w:rPr>
        <w:t>irment of identifiable intangible and other long-lived assets related to our CTS business. Impairment of goodwill and other assets for fiscal 2020 included $748 million of non-cash charges for the impairment of goodwill and other assets associated with the</w:t>
      </w:r>
      <w:r>
        <w:rPr>
          <w:rFonts w:ascii="IBM Plex Sans" w:eastAsia="Times New Roman" w:hAnsi="IBM Plex Sans"/>
          <w:color w:val="283030"/>
          <w:sz w:val="20"/>
          <w:szCs w:val="20"/>
        </w:rPr>
        <w:t xml:space="preserve"> COVID-related downturn in the commercial aviation market and its impact on customer operations, a $14 million non-cash charge for impairment of goodwill recorded in connection with the then-potential divestiture of the VSE disposal group and a $5 million </w:t>
      </w:r>
      <w:r>
        <w:rPr>
          <w:rFonts w:ascii="IBM Plex Sans" w:eastAsia="Times New Roman" w:hAnsi="IBM Plex Sans"/>
          <w:color w:val="283030"/>
          <w:sz w:val="20"/>
          <w:szCs w:val="20"/>
        </w:rPr>
        <w:t xml:space="preserve">non-cash charge for impairment of goodwill recorded in connection with the divestiture of our Applied Kilovolts business. </w:t>
      </w:r>
    </w:p>
    <w:p w:rsidR="00000000" w:rsidRDefault="00F5481A">
      <w:pPr>
        <w:ind w:firstLine="360"/>
        <w:divId w:val="529077349"/>
        <w:rPr>
          <w:rFonts w:eastAsia="Times New Roman"/>
        </w:rPr>
      </w:pPr>
      <w:r>
        <w:rPr>
          <w:rFonts w:ascii="IBM Plex Sans" w:eastAsia="Times New Roman" w:hAnsi="IBM Plex Sans"/>
          <w:color w:val="283030"/>
          <w:sz w:val="20"/>
          <w:szCs w:val="20"/>
        </w:rPr>
        <w:t xml:space="preserve">See </w:t>
      </w:r>
      <w:r>
        <w:rPr>
          <w:rFonts w:ascii="IBM Plex Sans" w:eastAsia="Times New Roman" w:hAnsi="IBM Plex Sans"/>
          <w:i/>
          <w:iCs/>
          <w:color w:val="283030"/>
          <w:sz w:val="20"/>
          <w:szCs w:val="20"/>
        </w:rPr>
        <w:t xml:space="preserve">Note 4: Business Divestitures and Asset Sales </w:t>
      </w:r>
      <w:r>
        <w:rPr>
          <w:rFonts w:ascii="IBM Plex Sans" w:eastAsia="Times New Roman" w:hAnsi="IBM Plex Sans"/>
          <w:color w:val="283030"/>
          <w:sz w:val="20"/>
          <w:szCs w:val="20"/>
        </w:rPr>
        <w:t xml:space="preserve">and </w:t>
      </w:r>
      <w:r>
        <w:rPr>
          <w:rFonts w:ascii="IBM Plex Sans" w:eastAsia="Times New Roman" w:hAnsi="IBM Plex Sans"/>
          <w:i/>
          <w:iCs/>
          <w:color w:val="283030"/>
          <w:sz w:val="20"/>
          <w:szCs w:val="20"/>
        </w:rPr>
        <w:t>Note 9: Goodwill</w:t>
      </w:r>
      <w:r>
        <w:rPr>
          <w:rFonts w:ascii="IBM Plex Sans" w:eastAsia="Times New Roman" w:hAnsi="IBM Plex Sans"/>
          <w:color w:val="283030"/>
          <w:sz w:val="20"/>
          <w:szCs w:val="20"/>
        </w:rPr>
        <w:t xml:space="preserve"> and </w:t>
      </w:r>
      <w:r>
        <w:rPr>
          <w:rFonts w:ascii="IBM Plex Sans" w:eastAsia="Times New Roman" w:hAnsi="IBM Plex Sans"/>
          <w:i/>
          <w:iCs/>
          <w:color w:val="283030"/>
          <w:sz w:val="20"/>
          <w:szCs w:val="20"/>
        </w:rPr>
        <w:t>Note 10: Intangible Assets</w:t>
      </w:r>
      <w:r>
        <w:rPr>
          <w:rFonts w:ascii="IBM Plex Sans" w:eastAsia="Times New Roman" w:hAnsi="IBM Plex Sans"/>
          <w:color w:val="283030"/>
          <w:sz w:val="20"/>
          <w:szCs w:val="20"/>
        </w:rPr>
        <w:t xml:space="preserve"> in the Notes for further inform</w:t>
      </w:r>
      <w:r>
        <w:rPr>
          <w:rFonts w:ascii="IBM Plex Sans" w:eastAsia="Times New Roman" w:hAnsi="IBM Plex Sans"/>
          <w:color w:val="283030"/>
          <w:sz w:val="20"/>
          <w:szCs w:val="20"/>
        </w:rPr>
        <w:t>ation.</w:t>
      </w:r>
    </w:p>
    <w:p w:rsidR="00000000" w:rsidRDefault="00F5481A">
      <w:pPr>
        <w:divId w:val="2121341859"/>
        <w:rPr>
          <w:rFonts w:eastAsia="Times New Roman"/>
        </w:rPr>
      </w:pPr>
      <w:r>
        <w:rPr>
          <w:rFonts w:ascii="IBM Plex Sans SemiBold" w:eastAsia="Times New Roman" w:hAnsi="IBM Plex Sans SemiBold"/>
          <w:b/>
          <w:bCs/>
          <w:i/>
          <w:iCs/>
          <w:color w:val="016676"/>
          <w:sz w:val="20"/>
          <w:szCs w:val="20"/>
        </w:rPr>
        <w:t>Non-Operating Income, net</w:t>
      </w:r>
      <w:r>
        <w:rPr>
          <w:rFonts w:ascii="IBM Plex Sans" w:eastAsia="Times New Roman" w:hAnsi="IBM Plex Sans"/>
          <w:b/>
          <w:bCs/>
          <w:i/>
          <w:iCs/>
          <w:color w:val="283030"/>
          <w:sz w:val="20"/>
          <w:szCs w:val="20"/>
        </w:rPr>
        <w:t xml:space="preserve"> </w:t>
      </w:r>
    </w:p>
    <w:p w:rsidR="00000000" w:rsidRDefault="00F5481A">
      <w:pPr>
        <w:ind w:firstLine="360"/>
        <w:divId w:val="1178035726"/>
        <w:rPr>
          <w:rFonts w:eastAsia="Times New Roman"/>
        </w:rPr>
      </w:pPr>
      <w:r>
        <w:rPr>
          <w:rFonts w:ascii="IBM Plex Sans" w:eastAsia="Times New Roman" w:hAnsi="IBM Plex Sans"/>
          <w:color w:val="283030"/>
          <w:sz w:val="20"/>
          <w:szCs w:val="20"/>
        </w:rPr>
        <w:t>The components of Non-operating income, net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4180"/>
        <w:gridCol w:w="37"/>
        <w:gridCol w:w="133"/>
        <w:gridCol w:w="1109"/>
        <w:gridCol w:w="36"/>
        <w:gridCol w:w="36"/>
        <w:gridCol w:w="36"/>
        <w:gridCol w:w="36"/>
        <w:gridCol w:w="133"/>
        <w:gridCol w:w="1109"/>
        <w:gridCol w:w="36"/>
        <w:gridCol w:w="36"/>
        <w:gridCol w:w="36"/>
        <w:gridCol w:w="36"/>
        <w:gridCol w:w="133"/>
        <w:gridCol w:w="1109"/>
        <w:gridCol w:w="36"/>
      </w:tblGrid>
      <w:tr w:rsidR="00000000">
        <w:trPr>
          <w:divId w:val="753280359"/>
        </w:trPr>
        <w:tc>
          <w:tcPr>
            <w:tcW w:w="50" w:type="pct"/>
            <w:vAlign w:val="center"/>
            <w:hideMark/>
          </w:tcPr>
          <w:p w:rsidR="00000000" w:rsidRDefault="00F5481A">
            <w:pPr>
              <w:ind w:firstLine="360"/>
              <w:rPr>
                <w:rFonts w:eastAsia="Times New Roman"/>
              </w:rPr>
            </w:pPr>
          </w:p>
        </w:tc>
        <w:tc>
          <w:tcPr>
            <w:tcW w:w="2581"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753280359"/>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15"/>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Fiscal Year Ended</w:t>
            </w:r>
          </w:p>
        </w:tc>
      </w:tr>
      <w:tr w:rsidR="00000000">
        <w:trPr>
          <w:divId w:val="753280359"/>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January 1, 2021</w:t>
            </w:r>
          </w:p>
        </w:tc>
      </w:tr>
      <w:tr w:rsidR="00000000">
        <w:trPr>
          <w:divId w:val="753280359"/>
          <w:trHeight w:val="6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753280359"/>
        </w:trPr>
        <w:tc>
          <w:tcPr>
            <w:tcW w:w="0" w:type="auto"/>
            <w:gridSpan w:val="3"/>
            <w:shd w:val="clear" w:color="auto" w:fill="D7EFF1"/>
            <w:tcMar>
              <w:top w:w="30" w:type="dxa"/>
              <w:left w:w="20" w:type="dxa"/>
              <w:bottom w:w="30" w:type="dxa"/>
              <w:right w:w="20" w:type="dxa"/>
            </w:tcMar>
            <w:hideMark/>
          </w:tcPr>
          <w:p w:rsidR="00000000" w:rsidRDefault="00F5481A">
            <w:pPr>
              <w:spacing w:after="100"/>
              <w:ind w:hanging="270"/>
              <w:divId w:val="1551385546"/>
              <w:rPr>
                <w:rFonts w:eastAsia="Times New Roman"/>
              </w:rPr>
            </w:pPr>
            <w:r>
              <w:rPr>
                <w:rFonts w:ascii="IBM Plex Sans" w:eastAsia="Times New Roman" w:hAnsi="IBM Plex Sans"/>
                <w:color w:val="283030"/>
                <w:sz w:val="20"/>
                <w:szCs w:val="20"/>
              </w:rPr>
              <w:t>Non-service Financial Accounting Standards ("FAS") pension incom</w:t>
            </w:r>
            <w:r>
              <w:rPr>
                <w:rFonts w:ascii="IBM Plex Sans" w:eastAsia="Times New Roman" w:hAnsi="IBM Plex Sans"/>
                <w:color w:val="283030"/>
                <w:sz w:val="20"/>
                <w:szCs w:val="20"/>
              </w:rPr>
              <w:t>e</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441 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445 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389 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753280359"/>
        </w:trPr>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753280359"/>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753280359"/>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753280359"/>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753280359"/>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Equity investment (losses) gains, net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753280359"/>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Impairment of equity method investment</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(35)</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753280359"/>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Other, net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24 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753280359"/>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Total Non-operating income, net</w:t>
            </w: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425 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439 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401 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bl>
    <w:p w:rsidR="00000000" w:rsidRDefault="00F5481A">
      <w:pPr>
        <w:divId w:val="753280359"/>
        <w:rPr>
          <w:rFonts w:eastAsia="Times New Roman"/>
        </w:rPr>
      </w:pPr>
      <w:r>
        <w:rPr>
          <w:rFonts w:ascii="IBM Plex Sans" w:eastAsia="Times New Roman" w:hAnsi="IBM Plex Sans"/>
          <w:color w:val="283030"/>
          <w:sz w:val="16"/>
          <w:szCs w:val="16"/>
        </w:rPr>
        <w:t>_______________</w:t>
      </w:r>
    </w:p>
    <w:p w:rsidR="00000000" w:rsidRDefault="00F5481A">
      <w:pPr>
        <w:ind w:hanging="360"/>
        <w:divId w:val="1686711046"/>
        <w:rPr>
          <w:rFonts w:eastAsia="Times New Roman"/>
        </w:rPr>
      </w:pPr>
      <w:r>
        <w:rPr>
          <w:rFonts w:ascii="IBM Plex Sans" w:eastAsia="Times New Roman" w:hAnsi="IBM Plex Sans"/>
          <w:color w:val="283030"/>
          <w:sz w:val="16"/>
          <w:szCs w:val="16"/>
        </w:rPr>
        <w:t xml:space="preserve">(1)Non-service cost components of net periodic benefit income recorded in the “Non-operating income, net” </w:t>
      </w:r>
      <w:r>
        <w:rPr>
          <w:rFonts w:ascii="IBM Plex Sans" w:eastAsia="Times New Roman" w:hAnsi="IBM Plex Sans"/>
          <w:color w:val="283030"/>
          <w:sz w:val="16"/>
          <w:szCs w:val="16"/>
        </w:rPr>
        <w:t>line item in our Consolidated Statement of Operations include interest cost, expected return on plan assets, amortization of net actuarial gain and effect of curtailments or settlements under our pension and postretirement benefit plans.</w:t>
      </w:r>
    </w:p>
    <w:p w:rsidR="00000000" w:rsidRDefault="00F5481A">
      <w:pPr>
        <w:divId w:val="754790264"/>
        <w:rPr>
          <w:rFonts w:eastAsia="Times New Roman"/>
        </w:rPr>
      </w:pPr>
      <w:r>
        <w:rPr>
          <w:rFonts w:ascii="IBM Plex Sans SemiBold" w:eastAsia="Times New Roman" w:hAnsi="IBM Plex Sans SemiBold"/>
          <w:b/>
          <w:bCs/>
          <w:i/>
          <w:iCs/>
          <w:color w:val="016676"/>
          <w:sz w:val="20"/>
          <w:szCs w:val="20"/>
        </w:rPr>
        <w:t>Net Interest Expen</w:t>
      </w:r>
      <w:r>
        <w:rPr>
          <w:rFonts w:ascii="IBM Plex Sans SemiBold" w:eastAsia="Times New Roman" w:hAnsi="IBM Plex Sans SemiBold"/>
          <w:b/>
          <w:bCs/>
          <w:i/>
          <w:iCs/>
          <w:color w:val="016676"/>
          <w:sz w:val="20"/>
          <w:szCs w:val="20"/>
        </w:rPr>
        <w:t>se</w:t>
      </w:r>
    </w:p>
    <w:p w:rsidR="00000000" w:rsidRDefault="00F5481A">
      <w:pPr>
        <w:ind w:firstLine="360"/>
        <w:divId w:val="646982268"/>
        <w:rPr>
          <w:rFonts w:eastAsia="Times New Roman"/>
        </w:rPr>
      </w:pPr>
      <w:r>
        <w:rPr>
          <w:rFonts w:ascii="IBM Plex Sans" w:eastAsia="Times New Roman" w:hAnsi="IBM Plex Sans"/>
          <w:i/>
          <w:iCs/>
          <w:color w:val="283030"/>
          <w:sz w:val="20"/>
          <w:szCs w:val="20"/>
        </w:rPr>
        <w:t xml:space="preserve">Fiscal 2022 Compared With Fiscal 2021: </w:t>
      </w:r>
      <w:r>
        <w:rPr>
          <w:rFonts w:ascii="IBM Plex Sans" w:eastAsia="Times New Roman" w:hAnsi="IBM Plex Sans"/>
          <w:color w:val="283030"/>
          <w:sz w:val="20"/>
          <w:szCs w:val="20"/>
        </w:rPr>
        <w:t> Our net interest expense increased in fiscal 2022 compared with fiscal 2021 primarily due to lower interest income in fiscal 2022.</w:t>
      </w:r>
    </w:p>
    <w:p w:rsidR="00000000" w:rsidRDefault="00F5481A">
      <w:pPr>
        <w:ind w:firstLine="360"/>
        <w:divId w:val="1684549696"/>
        <w:rPr>
          <w:rFonts w:eastAsia="Times New Roman"/>
        </w:rPr>
      </w:pPr>
      <w:r>
        <w:rPr>
          <w:rFonts w:ascii="IBM Plex Sans" w:eastAsia="Times New Roman" w:hAnsi="IBM Plex Sans"/>
          <w:i/>
          <w:iCs/>
          <w:color w:val="283030"/>
          <w:sz w:val="20"/>
          <w:szCs w:val="20"/>
        </w:rPr>
        <w:t xml:space="preserve">Fiscal 2021 Compared With Fiscal 2020: </w:t>
      </w:r>
      <w:r>
        <w:rPr>
          <w:rFonts w:ascii="IBM Plex Sans" w:eastAsia="Times New Roman" w:hAnsi="IBM Plex Sans"/>
          <w:color w:val="283030"/>
          <w:sz w:val="20"/>
          <w:szCs w:val="20"/>
        </w:rPr>
        <w:t> Our net interest expense increased in fisc</w:t>
      </w:r>
      <w:r>
        <w:rPr>
          <w:rFonts w:ascii="IBM Plex Sans" w:eastAsia="Times New Roman" w:hAnsi="IBM Plex Sans"/>
          <w:color w:val="283030"/>
          <w:sz w:val="20"/>
          <w:szCs w:val="20"/>
        </w:rPr>
        <w:t xml:space="preserve">al 2021 compared with fiscal 2020 primarily due to lower interest income in fiscal 2021, reflecting lower sales-type lease income due to the divestiture of the military training business on July 2, 2021. </w:t>
      </w:r>
    </w:p>
    <w:p w:rsidR="00000000" w:rsidRDefault="00F5481A">
      <w:pPr>
        <w:ind w:firstLine="360"/>
        <w:divId w:val="751128471"/>
        <w:rPr>
          <w:rFonts w:eastAsia="Times New Roman"/>
        </w:rPr>
      </w:pPr>
      <w:r>
        <w:rPr>
          <w:rFonts w:ascii="IBM Plex Sans" w:eastAsia="Times New Roman" w:hAnsi="IBM Plex Sans"/>
          <w:color w:val="283030"/>
          <w:sz w:val="20"/>
          <w:szCs w:val="20"/>
        </w:rPr>
        <w:t xml:space="preserve">See </w:t>
      </w:r>
      <w:r>
        <w:rPr>
          <w:rFonts w:ascii="IBM Plex Sans" w:eastAsia="Times New Roman" w:hAnsi="IBM Plex Sans"/>
          <w:i/>
          <w:iCs/>
          <w:color w:val="283030"/>
          <w:sz w:val="20"/>
          <w:szCs w:val="20"/>
        </w:rPr>
        <w:t>Note 18: Lease Commitments</w:t>
      </w:r>
      <w:r>
        <w:rPr>
          <w:rFonts w:ascii="IBM Plex Sans" w:eastAsia="Times New Roman" w:hAnsi="IBM Plex Sans"/>
          <w:color w:val="283030"/>
          <w:sz w:val="20"/>
          <w:szCs w:val="20"/>
        </w:rPr>
        <w:t xml:space="preserve"> and </w:t>
      </w:r>
      <w:r>
        <w:rPr>
          <w:rFonts w:ascii="IBM Plex Sans" w:eastAsia="Times New Roman" w:hAnsi="IBM Plex Sans"/>
          <w:i/>
          <w:iCs/>
          <w:color w:val="283030"/>
          <w:sz w:val="20"/>
          <w:szCs w:val="20"/>
        </w:rPr>
        <w:t>Note 13: Debt</w:t>
      </w:r>
      <w:r>
        <w:rPr>
          <w:rFonts w:ascii="IBM Plex Sans" w:eastAsia="Times New Roman" w:hAnsi="IBM Plex Sans"/>
          <w:color w:val="283030"/>
          <w:sz w:val="20"/>
          <w:szCs w:val="20"/>
        </w:rPr>
        <w:t xml:space="preserve"> in</w:t>
      </w:r>
      <w:r>
        <w:rPr>
          <w:rFonts w:ascii="IBM Plex Sans" w:eastAsia="Times New Roman" w:hAnsi="IBM Plex Sans"/>
          <w:color w:val="283030"/>
          <w:sz w:val="20"/>
          <w:szCs w:val="20"/>
        </w:rPr>
        <w:t xml:space="preserve"> the Notes for further information.</w:t>
      </w:r>
    </w:p>
    <w:p w:rsidR="00000000" w:rsidRDefault="00F5481A">
      <w:pPr>
        <w:divId w:val="2119374216"/>
        <w:rPr>
          <w:rFonts w:eastAsia="Times New Roman"/>
        </w:rPr>
      </w:pPr>
      <w:r>
        <w:rPr>
          <w:rFonts w:ascii="IBM Plex Sans SemiBold" w:eastAsia="Times New Roman" w:hAnsi="IBM Plex Sans SemiBold"/>
          <w:b/>
          <w:bCs/>
          <w:i/>
          <w:iCs/>
          <w:color w:val="016676"/>
          <w:sz w:val="20"/>
          <w:szCs w:val="20"/>
        </w:rPr>
        <w:t>Income Taxes</w:t>
      </w:r>
    </w:p>
    <w:p w:rsidR="00000000" w:rsidRDefault="00F5481A">
      <w:pPr>
        <w:ind w:firstLine="360"/>
        <w:divId w:val="195119885"/>
        <w:rPr>
          <w:rFonts w:eastAsia="Times New Roman"/>
        </w:rPr>
      </w:pPr>
      <w:r>
        <w:rPr>
          <w:rFonts w:ascii="IBM Plex Sans" w:eastAsia="Times New Roman" w:hAnsi="IBM Plex Sans"/>
          <w:i/>
          <w:iCs/>
          <w:color w:val="283030"/>
          <w:sz w:val="20"/>
          <w:szCs w:val="20"/>
        </w:rPr>
        <w:t xml:space="preserve">Fiscal 2022 Compared With Fiscal 2021: </w:t>
      </w:r>
      <w:r>
        <w:rPr>
          <w:rFonts w:ascii="IBM Plex Sans" w:eastAsia="Times New Roman" w:hAnsi="IBM Plex Sans"/>
          <w:color w:val="283030"/>
          <w:sz w:val="20"/>
          <w:szCs w:val="20"/>
        </w:rPr>
        <w:t> Our effective tax rate (income taxes as a percentage of income from continuing operations before income taxes) was 17% in fiscal 2022 compared with 19% in fiscal 2021.</w:t>
      </w:r>
      <w:r>
        <w:rPr>
          <w:rFonts w:ascii="IBM Plex Sans" w:eastAsia="Times New Roman" w:hAnsi="IBM Plex Sans"/>
          <w:color w:val="283030"/>
          <w:sz w:val="20"/>
          <w:szCs w:val="20"/>
        </w:rPr>
        <w:t xml:space="preserve"> The decrease was primarily attributable to incremental R&amp;D credits and incremental foreign derived intangible income (“FDII”) benefits claimed in fiscal 2022 as a result of legislative changes in the Tax Cuts and Jobs Act of 2017 (“TCJA”) that became effe</w:t>
      </w:r>
      <w:r>
        <w:rPr>
          <w:rFonts w:ascii="IBM Plex Sans" w:eastAsia="Times New Roman" w:hAnsi="IBM Plex Sans"/>
          <w:color w:val="283030"/>
          <w:sz w:val="20"/>
          <w:szCs w:val="20"/>
        </w:rPr>
        <w:t xml:space="preserve">ctive in fiscal 2022 and the absence of unfavorable divestiture impacts in fiscal 2022, partially offset by the unfavorable impact of non-deductible goodwill impairments. </w:t>
      </w:r>
    </w:p>
    <w:p w:rsidR="00000000" w:rsidRDefault="00F5481A">
      <w:pPr>
        <w:ind w:firstLine="360"/>
        <w:divId w:val="1489202953"/>
        <w:rPr>
          <w:rFonts w:eastAsia="Times New Roman"/>
        </w:rPr>
      </w:pPr>
      <w:r>
        <w:rPr>
          <w:rFonts w:ascii="IBM Plex Sans" w:eastAsia="Times New Roman" w:hAnsi="IBM Plex Sans"/>
          <w:i/>
          <w:iCs/>
          <w:color w:val="283030"/>
          <w:sz w:val="20"/>
          <w:szCs w:val="20"/>
        </w:rPr>
        <w:t xml:space="preserve">Fiscal 2021 Compared With Fiscal 2020: </w:t>
      </w:r>
      <w:r>
        <w:rPr>
          <w:rFonts w:ascii="IBM Plex Sans" w:eastAsia="Times New Roman" w:hAnsi="IBM Plex Sans"/>
          <w:color w:val="283030"/>
          <w:sz w:val="20"/>
          <w:szCs w:val="20"/>
        </w:rPr>
        <w:t> Our effective tax rate was 19% in fiscal 202</w:t>
      </w:r>
      <w:r>
        <w:rPr>
          <w:rFonts w:ascii="IBM Plex Sans" w:eastAsia="Times New Roman" w:hAnsi="IBM Plex Sans"/>
          <w:color w:val="283030"/>
          <w:sz w:val="20"/>
          <w:szCs w:val="20"/>
        </w:rPr>
        <w:t>1 compared with 18% in fiscal 2020. The increase in 2021 was primarily attributable to the unfavorable impact of divestitures and a reduction in the benefit of R&amp;D credits, partially offset by the benefit of reduced goodwill impairments in fiscal 2021 when</w:t>
      </w:r>
      <w:r>
        <w:rPr>
          <w:rFonts w:ascii="IBM Plex Sans" w:eastAsia="Times New Roman" w:hAnsi="IBM Plex Sans"/>
          <w:color w:val="283030"/>
          <w:sz w:val="20"/>
          <w:szCs w:val="20"/>
        </w:rPr>
        <w:t xml:space="preserve"> compared to fiscal 2020. </w:t>
      </w:r>
    </w:p>
    <w:p w:rsidR="00000000" w:rsidRDefault="00F5481A">
      <w:pPr>
        <w:ind w:firstLine="360"/>
        <w:divId w:val="1648315434"/>
        <w:rPr>
          <w:rFonts w:eastAsia="Times New Roman"/>
        </w:rPr>
      </w:pPr>
      <w:r>
        <w:rPr>
          <w:rFonts w:ascii="IBM Plex Sans" w:eastAsia="Times New Roman" w:hAnsi="IBM Plex Sans"/>
          <w:color w:val="283030"/>
          <w:sz w:val="20"/>
          <w:szCs w:val="20"/>
        </w:rPr>
        <w:t xml:space="preserve">See </w:t>
      </w:r>
      <w:r>
        <w:rPr>
          <w:rFonts w:ascii="IBM Plex Sans" w:eastAsia="Times New Roman" w:hAnsi="IBM Plex Sans"/>
          <w:i/>
          <w:iCs/>
          <w:color w:val="283030"/>
          <w:sz w:val="20"/>
          <w:szCs w:val="20"/>
        </w:rPr>
        <w:t>Note 22: Income Taxes</w:t>
      </w:r>
      <w:r>
        <w:rPr>
          <w:rFonts w:ascii="IBM Plex Sans" w:eastAsia="Times New Roman" w:hAnsi="IBM Plex Sans"/>
          <w:color w:val="283030"/>
          <w:sz w:val="20"/>
          <w:szCs w:val="20"/>
        </w:rPr>
        <w:t xml:space="preserve"> in the Notes for further information.</w:t>
      </w:r>
    </w:p>
    <w:p w:rsidR="00000000" w:rsidRDefault="00F5481A">
      <w:pPr>
        <w:ind w:firstLine="360"/>
        <w:divId w:val="107940733"/>
        <w:rPr>
          <w:rFonts w:eastAsia="Times New Roman"/>
        </w:rPr>
      </w:pPr>
      <w:r>
        <w:rPr>
          <w:rFonts w:ascii="IBM Plex Sans" w:eastAsia="Times New Roman" w:hAnsi="IBM Plex Sans"/>
          <w:color w:val="283030"/>
          <w:sz w:val="20"/>
          <w:szCs w:val="20"/>
        </w:rPr>
        <w:t>On August 16, 2022, President Biden signed into law the Inflation Reduction Act of 2022 (“IRA”) which includes implementation of a new 15% corporate alternative mini</w:t>
      </w:r>
      <w:r>
        <w:rPr>
          <w:rFonts w:ascii="IBM Plex Sans" w:eastAsia="Times New Roman" w:hAnsi="IBM Plex Sans"/>
          <w:color w:val="283030"/>
          <w:sz w:val="20"/>
          <w:szCs w:val="20"/>
        </w:rPr>
        <w:t>mum tax (“CAMT”), a 1% excise tax on stock buybacks and tax incentives for energy and climate initiatives. These provisions are effective beginning January 1, 2023 and we expect them to be immaterial to our financial results, financial position and cash fl</w:t>
      </w:r>
      <w:r>
        <w:rPr>
          <w:rFonts w:ascii="IBM Plex Sans" w:eastAsia="Times New Roman" w:hAnsi="IBM Plex Sans"/>
          <w:color w:val="283030"/>
          <w:sz w:val="20"/>
          <w:szCs w:val="20"/>
        </w:rPr>
        <w:t>ows.</w:t>
      </w:r>
    </w:p>
    <w:p w:rsidR="00000000" w:rsidRDefault="00F5481A">
      <w:pPr>
        <w:divId w:val="881668352"/>
        <w:rPr>
          <w:rFonts w:eastAsia="Times New Roman"/>
        </w:rPr>
      </w:pPr>
      <w:r>
        <w:rPr>
          <w:rFonts w:ascii="IBM Plex Sans SemiBold" w:eastAsia="Times New Roman" w:hAnsi="IBM Plex Sans SemiBold"/>
          <w:b/>
          <w:bCs/>
          <w:i/>
          <w:iCs/>
          <w:color w:val="016676"/>
          <w:sz w:val="20"/>
          <w:szCs w:val="20"/>
        </w:rPr>
        <w:t>Income From Continuing Operations Per Diluted Common Share Attributable to L3Harris Common Shareholders</w:t>
      </w:r>
    </w:p>
    <w:p w:rsidR="00000000" w:rsidRDefault="00F5481A">
      <w:pPr>
        <w:ind w:firstLine="360"/>
        <w:divId w:val="1582132026"/>
        <w:rPr>
          <w:rFonts w:eastAsia="Times New Roman"/>
        </w:rPr>
      </w:pPr>
      <w:r>
        <w:rPr>
          <w:rFonts w:ascii="IBM Plex Sans" w:eastAsia="Times New Roman" w:hAnsi="IBM Plex Sans"/>
          <w:i/>
          <w:iCs/>
          <w:color w:val="283030"/>
          <w:sz w:val="20"/>
          <w:szCs w:val="20"/>
        </w:rPr>
        <w:t>Fiscal 2022 Compared With Fiscal 2021:  </w:t>
      </w:r>
      <w:r>
        <w:rPr>
          <w:rFonts w:ascii="IBM Plex Sans" w:eastAsia="Times New Roman" w:hAnsi="IBM Plex Sans"/>
          <w:color w:val="283030"/>
          <w:sz w:val="20"/>
          <w:szCs w:val="20"/>
        </w:rPr>
        <w:t xml:space="preserve">The decrease in income from continuing operations per diluted common share attributable to L3Harris common </w:t>
      </w:r>
      <w:r>
        <w:rPr>
          <w:rFonts w:ascii="IBM Plex Sans" w:eastAsia="Times New Roman" w:hAnsi="IBM Plex Sans"/>
          <w:color w:val="283030"/>
          <w:sz w:val="20"/>
          <w:szCs w:val="20"/>
        </w:rPr>
        <w:t>shareholders in fiscal 2022 compared with fiscal 2021 was primarily due to lower income from continuing operations in fiscal 2022 resulting from the incremental goodwill impairments in fiscal 2022, as further described in the “Impairment of Goodwill and Ot</w:t>
      </w:r>
      <w:r>
        <w:rPr>
          <w:rFonts w:ascii="IBM Plex Sans" w:eastAsia="Times New Roman" w:hAnsi="IBM Plex Sans"/>
          <w:color w:val="283030"/>
          <w:sz w:val="20"/>
          <w:szCs w:val="20"/>
        </w:rPr>
        <w:t xml:space="preserve">her Assets” discussion above. </w:t>
      </w:r>
    </w:p>
    <w:p w:rsidR="00000000" w:rsidRDefault="00F5481A">
      <w:pPr>
        <w:ind w:firstLine="360"/>
        <w:jc w:val="center"/>
        <w:divId w:val="963658610"/>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36</w:t>
      </w:r>
    </w:p>
    <w:p w:rsidR="00000000" w:rsidRDefault="00F5481A">
      <w:pPr>
        <w:rPr>
          <w:rFonts w:eastAsia="Times New Roman"/>
        </w:rPr>
      </w:pPr>
      <w:r>
        <w:rPr>
          <w:rFonts w:eastAsia="Times New Roman"/>
        </w:rPr>
        <w:pict>
          <v:rect id="_x0000_i1067" style="width:0;height:1.5pt" o:hralign="center" o:hrstd="t" o:hr="t" fillcolor="#a0a0a0" stroked="f"/>
        </w:pict>
      </w:r>
    </w:p>
    <w:p w:rsidR="00000000" w:rsidRDefault="00F5481A">
      <w:pPr>
        <w:ind w:firstLine="360"/>
        <w:divId w:val="431900477"/>
        <w:rPr>
          <w:rFonts w:eastAsia="Times New Roman"/>
        </w:rPr>
      </w:pPr>
    </w:p>
    <w:p w:rsidR="00000000" w:rsidRDefault="00F5481A">
      <w:pPr>
        <w:ind w:firstLine="360"/>
        <w:divId w:val="1081104416"/>
        <w:rPr>
          <w:rFonts w:eastAsia="Times New Roman"/>
        </w:rPr>
      </w:pPr>
      <w:r>
        <w:rPr>
          <w:rFonts w:ascii="IBM Plex Sans" w:eastAsia="Times New Roman" w:hAnsi="IBM Plex Sans"/>
          <w:i/>
          <w:iCs/>
          <w:color w:val="283030"/>
          <w:sz w:val="20"/>
          <w:szCs w:val="20"/>
        </w:rPr>
        <w:t>Fiscal 2021 Compared With Fiscal 2020:  </w:t>
      </w:r>
      <w:r>
        <w:rPr>
          <w:rFonts w:ascii="IBM Plex Sans" w:eastAsia="Times New Roman" w:hAnsi="IBM Plex Sans"/>
          <w:color w:val="283030"/>
          <w:sz w:val="20"/>
          <w:szCs w:val="20"/>
        </w:rPr>
        <w:t>The increase in income from continuing operations per diluted common share attributable to L3Harris common shareholders in fiscal 2021 compared with fiscal 2020 was primarily due</w:t>
      </w:r>
      <w:r>
        <w:rPr>
          <w:rFonts w:ascii="IBM Plex Sans" w:eastAsia="Times New Roman" w:hAnsi="IBM Plex Sans"/>
          <w:color w:val="283030"/>
          <w:sz w:val="20"/>
          <w:szCs w:val="20"/>
        </w:rPr>
        <w:t xml:space="preserve"> to higher income from continuing operations and fewer diluted weighted average common shares outstanding, reflecting the repurchases of shares of our common stock under our repurchase program in fiscal 2021. </w:t>
      </w:r>
    </w:p>
    <w:p w:rsidR="00000000" w:rsidRDefault="00F5481A">
      <w:pPr>
        <w:ind w:firstLine="360"/>
        <w:divId w:val="1514344570"/>
        <w:rPr>
          <w:rFonts w:eastAsia="Times New Roman"/>
        </w:rPr>
      </w:pPr>
      <w:r>
        <w:rPr>
          <w:rFonts w:ascii="IBM Plex Sans" w:eastAsia="Times New Roman" w:hAnsi="IBM Plex Sans"/>
          <w:color w:val="283030"/>
          <w:sz w:val="20"/>
          <w:szCs w:val="20"/>
        </w:rPr>
        <w:t xml:space="preserve">See the “Common Stock Repurchases” discussion </w:t>
      </w:r>
      <w:r>
        <w:rPr>
          <w:rFonts w:ascii="IBM Plex Sans" w:eastAsia="Times New Roman" w:hAnsi="IBM Plex Sans"/>
          <w:color w:val="283030"/>
          <w:sz w:val="20"/>
          <w:szCs w:val="20"/>
        </w:rPr>
        <w:t>below in this MD&amp;A for further information.</w:t>
      </w:r>
    </w:p>
    <w:p w:rsidR="00000000" w:rsidRDefault="00F5481A">
      <w:pPr>
        <w:divId w:val="890339045"/>
        <w:rPr>
          <w:rFonts w:eastAsia="Times New Roman"/>
        </w:rPr>
      </w:pPr>
      <w:r>
        <w:rPr>
          <w:rFonts w:ascii="IBM Plex Sans SemiBold" w:eastAsia="Times New Roman" w:hAnsi="IBM Plex Sans SemiBold"/>
          <w:b/>
          <w:bCs/>
          <w:i/>
          <w:iCs/>
          <w:color w:val="016676"/>
          <w:sz w:val="20"/>
          <w:szCs w:val="20"/>
        </w:rPr>
        <w:t>Discussion of Business Segment Results of Operations</w:t>
      </w:r>
    </w:p>
    <w:p w:rsidR="00000000" w:rsidRDefault="00F5481A">
      <w:pPr>
        <w:ind w:firstLine="360"/>
        <w:divId w:val="1413048423"/>
        <w:rPr>
          <w:rFonts w:eastAsia="Times New Roman"/>
        </w:rPr>
      </w:pPr>
      <w:r>
        <w:rPr>
          <w:rFonts w:ascii="IBM Plex Sans" w:eastAsia="Times New Roman" w:hAnsi="IBM Plex Sans"/>
          <w:color w:val="283030"/>
          <w:sz w:val="20"/>
          <w:szCs w:val="20"/>
        </w:rPr>
        <w:t>Effective January 1, 2022, we streamlined our business segments from four business segments to three business segments. As a result of the segment reorganizati</w:t>
      </w:r>
      <w:r>
        <w:rPr>
          <w:rFonts w:ascii="IBM Plex Sans" w:eastAsia="Times New Roman" w:hAnsi="IBM Plex Sans"/>
          <w:color w:val="283030"/>
          <w:sz w:val="20"/>
          <w:szCs w:val="20"/>
        </w:rPr>
        <w:t>on, the Aviation Systems segment was eliminated as a business segment and the ongoing operations that had been part of the Aviation Systems segment were integrated into the remaining segments. Defense aviation, commercial aviation products and commercial p</w:t>
      </w:r>
      <w:r>
        <w:rPr>
          <w:rFonts w:ascii="IBM Plex Sans" w:eastAsia="Times New Roman" w:hAnsi="IBM Plex Sans"/>
          <w:color w:val="283030"/>
          <w:sz w:val="20"/>
          <w:szCs w:val="20"/>
        </w:rPr>
        <w:t xml:space="preserve">ilot training operations were moved into the IMS segment; and mission networks for air traffic management operations were moved into the SAS segment. </w:t>
      </w:r>
    </w:p>
    <w:p w:rsidR="00000000" w:rsidRDefault="00F5481A">
      <w:pPr>
        <w:ind w:firstLine="360"/>
        <w:divId w:val="1696805015"/>
        <w:rPr>
          <w:rFonts w:eastAsia="Times New Roman"/>
        </w:rPr>
      </w:pPr>
      <w:r>
        <w:rPr>
          <w:rFonts w:ascii="IBM Plex Sans" w:eastAsia="Times New Roman" w:hAnsi="IBM Plex Sans"/>
          <w:color w:val="283030"/>
          <w:sz w:val="20"/>
          <w:szCs w:val="20"/>
        </w:rPr>
        <w:t>The historical results, discussion and presentation of our business segments as set forth in this MD&amp;A re</w:t>
      </w:r>
      <w:r>
        <w:rPr>
          <w:rFonts w:ascii="IBM Plex Sans" w:eastAsia="Times New Roman" w:hAnsi="IBM Plex Sans"/>
          <w:color w:val="283030"/>
          <w:sz w:val="20"/>
          <w:szCs w:val="20"/>
        </w:rPr>
        <w:t>flect the impact of these changes for all periods presented in order to present segment information on a comparable basis. There is no impact on our previously reported consolidated statements of operations, balance sheets, statements of cash flows or stat</w:t>
      </w:r>
      <w:r>
        <w:rPr>
          <w:rFonts w:ascii="IBM Plex Sans" w:eastAsia="Times New Roman" w:hAnsi="IBM Plex Sans"/>
          <w:color w:val="283030"/>
          <w:sz w:val="20"/>
          <w:szCs w:val="20"/>
        </w:rPr>
        <w:t xml:space="preserve">ements of equity resulting from these changes. </w:t>
      </w:r>
    </w:p>
    <w:p w:rsidR="00000000" w:rsidRDefault="00F5481A">
      <w:pPr>
        <w:divId w:val="739519264"/>
        <w:rPr>
          <w:rFonts w:eastAsia="Times New Roman"/>
        </w:rPr>
      </w:pPr>
      <w:r>
        <w:rPr>
          <w:rFonts w:ascii="IBM Plex Sans SemiBold" w:eastAsia="Times New Roman" w:hAnsi="IBM Plex Sans SemiBold"/>
          <w:b/>
          <w:bCs/>
          <w:color w:val="016676"/>
          <w:sz w:val="20"/>
          <w:szCs w:val="20"/>
        </w:rPr>
        <w:t>Integrated Mission Systems Segment</w:t>
      </w:r>
    </w:p>
    <w:p w:rsidR="00000000" w:rsidRDefault="00F5481A">
      <w:pPr>
        <w:ind w:firstLine="360"/>
        <w:divId w:val="164634803"/>
        <w:rPr>
          <w:rFonts w:eastAsia="Times New Roman"/>
        </w:rPr>
      </w:pPr>
      <w:r>
        <w:rPr>
          <w:rFonts w:ascii="IBM Plex Sans" w:eastAsia="Times New Roman" w:hAnsi="IBM Plex Sans"/>
          <w:color w:val="283030"/>
          <w:sz w:val="20"/>
          <w:szCs w:val="20"/>
        </w:rPr>
        <w:t>Our IMS segment includes multi-mission ISR systems; integrated electrical and electronic systems for maritime platforms; advanced EO/IR solutions; fuzing and ordnance system</w:t>
      </w:r>
      <w:r>
        <w:rPr>
          <w:rFonts w:ascii="IBM Plex Sans" w:eastAsia="Times New Roman" w:hAnsi="IBM Plex Sans"/>
          <w:color w:val="283030"/>
          <w:sz w:val="20"/>
          <w:szCs w:val="20"/>
        </w:rPr>
        <w:t>s; commercial aviation products; and commercial pilot training operations. See “Item 1: Business” of this Report for a description of the sectors in IMS.</w:t>
      </w:r>
    </w:p>
    <w:tbl>
      <w:tblPr>
        <w:tblW w:w="5000" w:type="pct"/>
        <w:tblCellMar>
          <w:top w:w="15" w:type="dxa"/>
          <w:left w:w="15" w:type="dxa"/>
          <w:bottom w:w="15" w:type="dxa"/>
          <w:right w:w="15" w:type="dxa"/>
        </w:tblCellMar>
        <w:tblLook w:val="04A0" w:firstRow="1" w:lastRow="0" w:firstColumn="1" w:lastColumn="0" w:noHBand="0" w:noVBand="1"/>
      </w:tblPr>
      <w:tblGrid>
        <w:gridCol w:w="40"/>
        <w:gridCol w:w="2397"/>
        <w:gridCol w:w="39"/>
        <w:gridCol w:w="132"/>
        <w:gridCol w:w="1131"/>
        <w:gridCol w:w="198"/>
        <w:gridCol w:w="36"/>
        <w:gridCol w:w="36"/>
        <w:gridCol w:w="36"/>
        <w:gridCol w:w="132"/>
        <w:gridCol w:w="796"/>
        <w:gridCol w:w="198"/>
        <w:gridCol w:w="36"/>
        <w:gridCol w:w="36"/>
        <w:gridCol w:w="36"/>
        <w:gridCol w:w="95"/>
        <w:gridCol w:w="612"/>
        <w:gridCol w:w="265"/>
        <w:gridCol w:w="36"/>
        <w:gridCol w:w="36"/>
        <w:gridCol w:w="36"/>
        <w:gridCol w:w="132"/>
        <w:gridCol w:w="604"/>
        <w:gridCol w:w="198"/>
        <w:gridCol w:w="36"/>
        <w:gridCol w:w="36"/>
        <w:gridCol w:w="36"/>
        <w:gridCol w:w="94"/>
        <w:gridCol w:w="613"/>
        <w:gridCol w:w="198"/>
      </w:tblGrid>
      <w:tr w:rsidR="00000000">
        <w:trPr>
          <w:divId w:val="412817682"/>
        </w:trPr>
        <w:tc>
          <w:tcPr>
            <w:tcW w:w="50" w:type="pct"/>
            <w:vAlign w:val="center"/>
            <w:hideMark/>
          </w:tcPr>
          <w:p w:rsidR="00000000" w:rsidRDefault="00F5481A">
            <w:pPr>
              <w:ind w:firstLine="360"/>
              <w:rPr>
                <w:rFonts w:eastAsia="Times New Roman"/>
              </w:rPr>
            </w:pPr>
          </w:p>
        </w:tc>
        <w:tc>
          <w:tcPr>
            <w:tcW w:w="1654"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9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2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2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32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2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32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412817682"/>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27"/>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Fiscal Year Ended</w:t>
            </w:r>
          </w:p>
        </w:tc>
      </w:tr>
      <w:tr w:rsidR="00000000">
        <w:trPr>
          <w:divId w:val="412817682"/>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(Dollars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 Inc/(Dec)</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January 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 Inc/(Dec)</w:t>
            </w:r>
          </w:p>
        </w:tc>
      </w:tr>
      <w:tr w:rsidR="00000000">
        <w:trPr>
          <w:divId w:val="412817682"/>
          <w:trHeight w:val="6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412817682"/>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Revenue</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6,916 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7,042 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(2 </w:t>
            </w:r>
          </w:p>
        </w:tc>
        <w:tc>
          <w:tcPr>
            <w:tcW w:w="0" w:type="auto"/>
            <w:shd w:val="clear" w:color="auto" w:fill="D7EFF1"/>
            <w:tcMar>
              <w:top w:w="30" w:type="dxa"/>
              <w:left w:w="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6,793 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4 </w:t>
            </w:r>
          </w:p>
        </w:tc>
        <w:tc>
          <w:tcPr>
            <w:tcW w:w="0" w:type="auto"/>
            <w:shd w:val="clear" w:color="auto" w:fill="D7EFF1"/>
            <w:tcMar>
              <w:top w:w="30" w:type="dxa"/>
              <w:left w:w="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r>
      <w:tr w:rsidR="00000000">
        <w:trPr>
          <w:divId w:val="412817682"/>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Operating income</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424 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866 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(51 </w:t>
            </w:r>
          </w:p>
        </w:tc>
        <w:tc>
          <w:tcPr>
            <w:tcW w:w="0" w:type="auto"/>
            <w:shd w:val="clear" w:color="auto" w:fill="FFFFFF"/>
            <w:tcMar>
              <w:top w:w="30" w:type="dxa"/>
              <w:left w:w="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205 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322 </w:t>
            </w:r>
          </w:p>
        </w:tc>
        <w:tc>
          <w:tcPr>
            <w:tcW w:w="0" w:type="auto"/>
            <w:shd w:val="clear" w:color="auto" w:fill="FFFFFF"/>
            <w:tcMar>
              <w:top w:w="30" w:type="dxa"/>
              <w:left w:w="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r>
      <w:tr w:rsidR="00000000">
        <w:trPr>
          <w:divId w:val="412817682"/>
        </w:trPr>
        <w:tc>
          <w:tcPr>
            <w:tcW w:w="0" w:type="auto"/>
            <w:gridSpan w:val="3"/>
            <w:shd w:val="clear" w:color="auto" w:fill="D7EFF1"/>
            <w:tcMar>
              <w:top w:w="30" w:type="dxa"/>
              <w:left w:w="245" w:type="dxa"/>
              <w:bottom w:w="30" w:type="dxa"/>
              <w:right w:w="20" w:type="dxa"/>
            </w:tcMar>
            <w:hideMark/>
          </w:tcPr>
          <w:p w:rsidR="00000000" w:rsidRDefault="00F5481A">
            <w:pPr>
              <w:spacing w:after="100"/>
              <w:rPr>
                <w:rFonts w:eastAsia="Times New Roman"/>
              </w:rPr>
            </w:pPr>
            <w:r>
              <w:rPr>
                <w:rFonts w:ascii="IBM Plex Sans" w:eastAsia="Times New Roman" w:hAnsi="IBM Plex Sans"/>
                <w:i/>
                <w:iCs/>
                <w:color w:val="283030"/>
                <w:sz w:val="20"/>
                <w:szCs w:val="20"/>
              </w:rPr>
              <w:t>Operating income margin</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i/>
                <w:iCs/>
                <w:color w:val="283030"/>
                <w:sz w:val="20"/>
                <w:szCs w:val="20"/>
              </w:rPr>
              <w:t>6 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i/>
                <w:iC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i/>
                <w:iCs/>
                <w:color w:val="283030"/>
                <w:sz w:val="20"/>
                <w:szCs w:val="20"/>
              </w:rPr>
              <w:t>12 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i/>
                <w:iC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i/>
                <w:iCs/>
                <w:color w:val="283030"/>
                <w:sz w:val="20"/>
                <w:szCs w:val="20"/>
              </w:rPr>
              <w:t>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i/>
                <w:iC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bl>
    <w:p w:rsidR="00000000" w:rsidRDefault="00F5481A">
      <w:pPr>
        <w:ind w:firstLine="360"/>
        <w:divId w:val="1545830164"/>
        <w:rPr>
          <w:rFonts w:eastAsia="Times New Roman"/>
        </w:rPr>
      </w:pPr>
      <w:r>
        <w:rPr>
          <w:rFonts w:ascii="IBM Plex Sans" w:eastAsia="Times New Roman" w:hAnsi="IBM Plex Sans"/>
          <w:i/>
          <w:iCs/>
          <w:color w:val="283030"/>
          <w:sz w:val="20"/>
          <w:szCs w:val="20"/>
        </w:rPr>
        <w:t>Fiscal 2022 Compared With Fiscal 2021:</w:t>
      </w:r>
      <w:r>
        <w:rPr>
          <w:rFonts w:ascii="IBM Plex Sans" w:eastAsia="Times New Roman" w:hAnsi="IBM Plex Sans"/>
          <w:color w:val="283030"/>
          <w:sz w:val="20"/>
          <w:szCs w:val="20"/>
        </w:rPr>
        <w:t>  The decrease in segment revenue in fiscal 2022 compared with fiscal 2021 was primarily due to $105 million of lower revenue in Electro Optical from lower volume on fuzing an</w:t>
      </w:r>
      <w:r>
        <w:rPr>
          <w:rFonts w:ascii="IBM Plex Sans" w:eastAsia="Times New Roman" w:hAnsi="IBM Plex Sans"/>
          <w:color w:val="283030"/>
          <w:sz w:val="20"/>
          <w:szCs w:val="20"/>
        </w:rPr>
        <w:t xml:space="preserve">d ordnance systems and other related programs and $53 million in ISR primarily from $262 million of lower revenue on a NATO aircraft missionization program which was mostly offset by newly-awarded program ramps. These decreases were partially offset by an </w:t>
      </w:r>
      <w:r>
        <w:rPr>
          <w:rFonts w:ascii="IBM Plex Sans" w:eastAsia="Times New Roman" w:hAnsi="IBM Plex Sans"/>
          <w:color w:val="283030"/>
          <w:sz w:val="20"/>
          <w:szCs w:val="20"/>
        </w:rPr>
        <w:t>increase of $55 million in Commercial Aviation Solutions, largely due to $33 million of higher revenue related to the sale of end-of-life inventory, as well as an increase in pilot training center volume. The funded backlog for this segment was $6.9 billio</w:t>
      </w:r>
      <w:r>
        <w:rPr>
          <w:rFonts w:ascii="IBM Plex Sans" w:eastAsia="Times New Roman" w:hAnsi="IBM Plex Sans"/>
          <w:color w:val="283030"/>
          <w:sz w:val="20"/>
          <w:szCs w:val="20"/>
        </w:rPr>
        <w:t xml:space="preserve">n at each of December 30, 2022 and December 31, 2021. </w:t>
      </w:r>
    </w:p>
    <w:p w:rsidR="00000000" w:rsidRDefault="00F5481A">
      <w:pPr>
        <w:ind w:firstLine="360"/>
        <w:divId w:val="1433168040"/>
        <w:rPr>
          <w:rFonts w:eastAsia="Times New Roman"/>
        </w:rPr>
      </w:pPr>
      <w:r>
        <w:rPr>
          <w:rFonts w:ascii="IBM Plex Sans" w:eastAsia="Times New Roman" w:hAnsi="IBM Plex Sans"/>
          <w:color w:val="283030"/>
          <w:sz w:val="20"/>
          <w:szCs w:val="20"/>
        </w:rPr>
        <w:t>The decreases in segment operating income and operating income margin in fiscal 2022 compared with fiscal 2021 were primarily due to non-cash charges for goodwill impairment totaling $447 million durin</w:t>
      </w:r>
      <w:r>
        <w:rPr>
          <w:rFonts w:ascii="IBM Plex Sans" w:eastAsia="Times New Roman" w:hAnsi="IBM Plex Sans"/>
          <w:color w:val="283030"/>
          <w:sz w:val="20"/>
          <w:szCs w:val="20"/>
        </w:rPr>
        <w:t xml:space="preserve">g the quarter ended September 30, 2022 compared with $82 million of non-cash charges for impairment of long-term assets related to our CTS business recorded during fiscal 2021. In addition, IMS segment operating income and operating income margin declined </w:t>
      </w:r>
      <w:r>
        <w:rPr>
          <w:rFonts w:ascii="IBM Plex Sans" w:eastAsia="Times New Roman" w:hAnsi="IBM Plex Sans"/>
          <w:color w:val="283030"/>
          <w:sz w:val="20"/>
          <w:szCs w:val="20"/>
        </w:rPr>
        <w:t xml:space="preserve">from lower product volumes and an increase in unfavorable EAC adjustments due to labor inefficiencies and program performance, partially offset by the sale of end-of-life inventory and higher volumes in Commercial Aviation Solutions during fiscal 2022. </w:t>
      </w:r>
    </w:p>
    <w:p w:rsidR="00000000" w:rsidRDefault="00F5481A">
      <w:pPr>
        <w:ind w:firstLine="360"/>
        <w:divId w:val="742722101"/>
        <w:rPr>
          <w:rFonts w:eastAsia="Times New Roman"/>
        </w:rPr>
      </w:pPr>
      <w:r>
        <w:rPr>
          <w:rFonts w:ascii="IBM Plex Sans" w:eastAsia="Times New Roman" w:hAnsi="IBM Plex Sans"/>
          <w:color w:val="283030"/>
          <w:sz w:val="20"/>
          <w:szCs w:val="20"/>
        </w:rPr>
        <w:t>Th</w:t>
      </w:r>
      <w:r>
        <w:rPr>
          <w:rFonts w:ascii="IBM Plex Sans" w:eastAsia="Times New Roman" w:hAnsi="IBM Plex Sans"/>
          <w:color w:val="283030"/>
          <w:sz w:val="20"/>
          <w:szCs w:val="20"/>
        </w:rPr>
        <w:t>e percentage of this segment’s revenue that was derived from sales to U.S. Government customers, including foreign military sales funded through the U.S. Government, whether directly or through prime contractors, was 68% in fiscal 2022.</w:t>
      </w:r>
    </w:p>
    <w:p w:rsidR="00000000" w:rsidRDefault="00F5481A">
      <w:pPr>
        <w:ind w:firstLine="360"/>
        <w:divId w:val="578561879"/>
        <w:rPr>
          <w:rFonts w:eastAsia="Times New Roman"/>
        </w:rPr>
      </w:pPr>
      <w:r>
        <w:rPr>
          <w:rFonts w:ascii="IBM Plex Sans" w:eastAsia="Times New Roman" w:hAnsi="IBM Plex Sans"/>
          <w:i/>
          <w:iCs/>
          <w:color w:val="283030"/>
          <w:sz w:val="20"/>
          <w:szCs w:val="20"/>
        </w:rPr>
        <w:t>Fiscal 2021 Compare</w:t>
      </w:r>
      <w:r>
        <w:rPr>
          <w:rFonts w:ascii="IBM Plex Sans" w:eastAsia="Times New Roman" w:hAnsi="IBM Plex Sans"/>
          <w:i/>
          <w:iCs/>
          <w:color w:val="283030"/>
          <w:sz w:val="20"/>
          <w:szCs w:val="20"/>
        </w:rPr>
        <w:t>d With Fiscal 2020:</w:t>
      </w:r>
      <w:r>
        <w:rPr>
          <w:rFonts w:ascii="IBM Plex Sans" w:eastAsia="Times New Roman" w:hAnsi="IBM Plex Sans"/>
          <w:color w:val="283030"/>
          <w:sz w:val="20"/>
          <w:szCs w:val="20"/>
        </w:rPr>
        <w:t>  The increase in segment revenue in fiscal 2021 compared with the fiscal 2020 was primarily due to $223 million of higher revenue in ISR, driven by aircraft missionization on a NATO program, $53 million of higher revenue in Maritime, re</w:t>
      </w:r>
      <w:r>
        <w:rPr>
          <w:rFonts w:ascii="IBM Plex Sans" w:eastAsia="Times New Roman" w:hAnsi="IBM Plex Sans"/>
          <w:color w:val="283030"/>
          <w:sz w:val="20"/>
          <w:szCs w:val="20"/>
        </w:rPr>
        <w:t>flecting a ramp on key platforms and $29 million higher revenue in Electro Optical reflecting higher product deliveries, partially offset by $16 million of lower revenue from fuzing and ordnance systems and other related programs and $20 million of lower r</w:t>
      </w:r>
      <w:r>
        <w:rPr>
          <w:rFonts w:ascii="IBM Plex Sans" w:eastAsia="Times New Roman" w:hAnsi="IBM Plex Sans"/>
          <w:color w:val="283030"/>
          <w:sz w:val="20"/>
          <w:szCs w:val="20"/>
        </w:rPr>
        <w:t xml:space="preserve">evenue in Commercial Aviation reflecting COVID-related impacts. The funded backlog for this segment was $6.9 billion at December 31, 2021 compared with $7.1 billion at January 1, 2021. </w:t>
      </w:r>
    </w:p>
    <w:p w:rsidR="00000000" w:rsidRDefault="00F5481A">
      <w:pPr>
        <w:ind w:firstLine="360"/>
        <w:jc w:val="center"/>
        <w:divId w:val="1358308688"/>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37</w:t>
      </w:r>
    </w:p>
    <w:p w:rsidR="00000000" w:rsidRDefault="00F5481A">
      <w:pPr>
        <w:rPr>
          <w:rFonts w:eastAsia="Times New Roman"/>
        </w:rPr>
      </w:pPr>
      <w:r>
        <w:rPr>
          <w:rFonts w:eastAsia="Times New Roman"/>
        </w:rPr>
        <w:pict>
          <v:rect id="_x0000_i1068" style="width:0;height:1.5pt" o:hralign="center" o:hrstd="t" o:hr="t" fillcolor="#a0a0a0" stroked="f"/>
        </w:pict>
      </w:r>
    </w:p>
    <w:p w:rsidR="00000000" w:rsidRDefault="00F5481A">
      <w:pPr>
        <w:ind w:firstLine="360"/>
        <w:divId w:val="1608149941"/>
        <w:rPr>
          <w:rFonts w:eastAsia="Times New Roman"/>
        </w:rPr>
      </w:pPr>
    </w:p>
    <w:p w:rsidR="00000000" w:rsidRDefault="00F5481A">
      <w:pPr>
        <w:ind w:firstLine="360"/>
        <w:divId w:val="2128506063"/>
        <w:rPr>
          <w:rFonts w:eastAsia="Times New Roman"/>
        </w:rPr>
      </w:pPr>
      <w:r>
        <w:rPr>
          <w:rFonts w:ascii="IBM Plex Sans" w:eastAsia="Times New Roman" w:hAnsi="IBM Plex Sans"/>
          <w:color w:val="283030"/>
          <w:sz w:val="20"/>
          <w:szCs w:val="20"/>
        </w:rPr>
        <w:t>The increases in segment operating income and operating income margin in fiscal 2021 compared with fiscal 2020 were primarily due to $527 million of lower non-cash charges for impairments of goodwill and other asse</w:t>
      </w:r>
      <w:r>
        <w:rPr>
          <w:rFonts w:ascii="IBM Plex Sans" w:eastAsia="Times New Roman" w:hAnsi="IBM Plex Sans"/>
          <w:color w:val="283030"/>
          <w:sz w:val="20"/>
          <w:szCs w:val="20"/>
        </w:rPr>
        <w:t>ts in fiscal 2021 compared with fiscal 2020 and the absence of $18 million of restructuring charges and other exit costs recorded in fiscal 2020 in our Commercial Aviation Solutions reporting unit due to the downturn in the commercial aviation market, as w</w:t>
      </w:r>
      <w:r>
        <w:rPr>
          <w:rFonts w:ascii="IBM Plex Sans" w:eastAsia="Times New Roman" w:hAnsi="IBM Plex Sans"/>
          <w:color w:val="283030"/>
          <w:sz w:val="20"/>
          <w:szCs w:val="20"/>
        </w:rPr>
        <w:t xml:space="preserve">ell as e3 and program performance, expense management and integration benefits. </w:t>
      </w:r>
    </w:p>
    <w:p w:rsidR="00000000" w:rsidRDefault="00F5481A">
      <w:pPr>
        <w:ind w:firstLine="360"/>
        <w:divId w:val="1968850778"/>
        <w:rPr>
          <w:rFonts w:eastAsia="Times New Roman"/>
        </w:rPr>
      </w:pPr>
      <w:r>
        <w:rPr>
          <w:rFonts w:ascii="IBM Plex Sans" w:eastAsia="Times New Roman" w:hAnsi="IBM Plex Sans"/>
          <w:color w:val="283030"/>
          <w:sz w:val="20"/>
          <w:szCs w:val="20"/>
        </w:rPr>
        <w:t>The percentage of this segment’s revenue that was derived from sales to U.S. Government customers, including foreign military sales funded through the U.S. Government, whether</w:t>
      </w:r>
      <w:r>
        <w:rPr>
          <w:rFonts w:ascii="IBM Plex Sans" w:eastAsia="Times New Roman" w:hAnsi="IBM Plex Sans"/>
          <w:color w:val="283030"/>
          <w:sz w:val="20"/>
          <w:szCs w:val="20"/>
        </w:rPr>
        <w:t xml:space="preserve"> directly or through prime contractors, was 69% in fiscal 2021.</w:t>
      </w:r>
    </w:p>
    <w:p w:rsidR="00000000" w:rsidRDefault="00F5481A">
      <w:pPr>
        <w:divId w:val="1991520357"/>
        <w:rPr>
          <w:rFonts w:eastAsia="Times New Roman"/>
        </w:rPr>
      </w:pPr>
      <w:r>
        <w:rPr>
          <w:rFonts w:ascii="IBM Plex Sans SemiBold" w:eastAsia="Times New Roman" w:hAnsi="IBM Plex Sans SemiBold"/>
          <w:b/>
          <w:bCs/>
          <w:color w:val="016676"/>
          <w:sz w:val="20"/>
          <w:szCs w:val="20"/>
        </w:rPr>
        <w:t>Space &amp; Airborne Systems Segment</w:t>
      </w:r>
    </w:p>
    <w:p w:rsidR="00000000" w:rsidRDefault="00F5481A">
      <w:pPr>
        <w:ind w:firstLine="360"/>
        <w:divId w:val="745155062"/>
        <w:rPr>
          <w:rFonts w:eastAsia="Times New Roman"/>
        </w:rPr>
      </w:pPr>
      <w:r>
        <w:rPr>
          <w:rFonts w:ascii="IBM Plex Sans" w:eastAsia="Times New Roman" w:hAnsi="IBM Plex Sans"/>
          <w:color w:val="283030"/>
          <w:sz w:val="20"/>
          <w:szCs w:val="20"/>
        </w:rPr>
        <w:t>Our SAS segment includes space payloads, sensors and full-mission solutions; classified intelligence and cyber; avionics; electronic warfare; and mission networks for air traffic management operations. See “Item 1: Business” of this Report for a descriptio</w:t>
      </w:r>
      <w:r>
        <w:rPr>
          <w:rFonts w:ascii="IBM Plex Sans" w:eastAsia="Times New Roman" w:hAnsi="IBM Plex Sans"/>
          <w:color w:val="283030"/>
          <w:sz w:val="20"/>
          <w:szCs w:val="20"/>
        </w:rPr>
        <w:t>n of the sectors in SAS.</w:t>
      </w:r>
    </w:p>
    <w:tbl>
      <w:tblPr>
        <w:tblW w:w="5000" w:type="pct"/>
        <w:tblCellMar>
          <w:top w:w="15" w:type="dxa"/>
          <w:left w:w="15" w:type="dxa"/>
          <w:bottom w:w="15" w:type="dxa"/>
          <w:right w:w="15" w:type="dxa"/>
        </w:tblCellMar>
        <w:tblLook w:val="04A0" w:firstRow="1" w:lastRow="0" w:firstColumn="1" w:lastColumn="0" w:noHBand="0" w:noVBand="1"/>
      </w:tblPr>
      <w:tblGrid>
        <w:gridCol w:w="40"/>
        <w:gridCol w:w="2530"/>
        <w:gridCol w:w="39"/>
        <w:gridCol w:w="132"/>
        <w:gridCol w:w="968"/>
        <w:gridCol w:w="198"/>
        <w:gridCol w:w="36"/>
        <w:gridCol w:w="36"/>
        <w:gridCol w:w="36"/>
        <w:gridCol w:w="132"/>
        <w:gridCol w:w="799"/>
        <w:gridCol w:w="198"/>
        <w:gridCol w:w="36"/>
        <w:gridCol w:w="36"/>
        <w:gridCol w:w="36"/>
        <w:gridCol w:w="95"/>
        <w:gridCol w:w="612"/>
        <w:gridCol w:w="265"/>
        <w:gridCol w:w="36"/>
        <w:gridCol w:w="36"/>
        <w:gridCol w:w="36"/>
        <w:gridCol w:w="132"/>
        <w:gridCol w:w="631"/>
        <w:gridCol w:w="198"/>
        <w:gridCol w:w="36"/>
        <w:gridCol w:w="36"/>
        <w:gridCol w:w="36"/>
        <w:gridCol w:w="94"/>
        <w:gridCol w:w="613"/>
        <w:gridCol w:w="198"/>
      </w:tblGrid>
      <w:tr w:rsidR="00000000">
        <w:trPr>
          <w:divId w:val="89859283"/>
        </w:trPr>
        <w:tc>
          <w:tcPr>
            <w:tcW w:w="50" w:type="pct"/>
            <w:vAlign w:val="center"/>
            <w:hideMark/>
          </w:tcPr>
          <w:p w:rsidR="00000000" w:rsidRDefault="00F5481A">
            <w:pPr>
              <w:ind w:firstLine="360"/>
              <w:rPr>
                <w:rFonts w:eastAsia="Times New Roman"/>
              </w:rPr>
            </w:pPr>
          </w:p>
        </w:tc>
        <w:tc>
          <w:tcPr>
            <w:tcW w:w="173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2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2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32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2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2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32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89859283"/>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000000"/>
                <w:sz w:val="16"/>
                <w:szCs w:val="16"/>
              </w:rPr>
              <w:t> </w:t>
            </w:r>
          </w:p>
        </w:tc>
        <w:tc>
          <w:tcPr>
            <w:tcW w:w="0" w:type="auto"/>
            <w:gridSpan w:val="27"/>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000000"/>
                <w:sz w:val="16"/>
                <w:szCs w:val="16"/>
              </w:rPr>
              <w:t>Fiscal Year Ended</w:t>
            </w:r>
          </w:p>
        </w:tc>
      </w:tr>
      <w:tr w:rsidR="00000000">
        <w:trPr>
          <w:divId w:val="89859283"/>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(Dollars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 Inc/(Dec)</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January 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 Inc/(Dec)</w:t>
            </w:r>
          </w:p>
        </w:tc>
      </w:tr>
      <w:tr w:rsidR="00000000">
        <w:trPr>
          <w:divId w:val="89859283"/>
          <w:trHeight w:val="6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89859283"/>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000000"/>
                <w:sz w:val="20"/>
                <w:szCs w:val="20"/>
              </w:rPr>
              <w:t>Revenue</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00000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6,060 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00000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5,965 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2 </w:t>
            </w:r>
          </w:p>
        </w:tc>
        <w:tc>
          <w:tcPr>
            <w:tcW w:w="0" w:type="auto"/>
            <w:shd w:val="clear" w:color="auto" w:fill="D7EFF1"/>
            <w:tcMar>
              <w:top w:w="30" w:type="dxa"/>
              <w:left w:w="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00000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5,823 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2 </w:t>
            </w:r>
          </w:p>
        </w:tc>
        <w:tc>
          <w:tcPr>
            <w:tcW w:w="0" w:type="auto"/>
            <w:shd w:val="clear" w:color="auto" w:fill="D7EFF1"/>
            <w:tcMar>
              <w:top w:w="30" w:type="dxa"/>
              <w:left w:w="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r>
      <w:tr w:rsidR="00000000">
        <w:trPr>
          <w:divId w:val="89859283"/>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000000"/>
                <w:sz w:val="20"/>
                <w:szCs w:val="20"/>
              </w:rPr>
              <w:t>Operating income</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735 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761 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(3 </w:t>
            </w:r>
          </w:p>
        </w:tc>
        <w:tc>
          <w:tcPr>
            <w:tcW w:w="0" w:type="auto"/>
            <w:shd w:val="clear" w:color="auto" w:fill="FFFFFF"/>
            <w:tcMar>
              <w:top w:w="30" w:type="dxa"/>
              <w:left w:w="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762 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r>
      <w:tr w:rsidR="00000000">
        <w:trPr>
          <w:divId w:val="89859283"/>
        </w:trPr>
        <w:tc>
          <w:tcPr>
            <w:tcW w:w="0" w:type="auto"/>
            <w:gridSpan w:val="3"/>
            <w:shd w:val="clear" w:color="auto" w:fill="D7EFF1"/>
            <w:tcMar>
              <w:top w:w="30" w:type="dxa"/>
              <w:left w:w="245" w:type="dxa"/>
              <w:bottom w:w="30" w:type="dxa"/>
              <w:right w:w="20" w:type="dxa"/>
            </w:tcMar>
            <w:hideMark/>
          </w:tcPr>
          <w:p w:rsidR="00000000" w:rsidRDefault="00F5481A">
            <w:pPr>
              <w:spacing w:after="100"/>
              <w:rPr>
                <w:rFonts w:eastAsia="Times New Roman"/>
              </w:rPr>
            </w:pPr>
            <w:r>
              <w:rPr>
                <w:rFonts w:ascii="IBM Plex Sans" w:eastAsia="Times New Roman" w:hAnsi="IBM Plex Sans"/>
                <w:i/>
                <w:iCs/>
                <w:color w:val="000000"/>
                <w:sz w:val="20"/>
                <w:szCs w:val="20"/>
              </w:rPr>
              <w:t>Operating income margin</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i/>
                <w:iCs/>
                <w:color w:val="000000"/>
                <w:sz w:val="20"/>
                <w:szCs w:val="20"/>
              </w:rPr>
              <w:t>12 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i/>
                <w:iCs/>
                <w:color w:val="00000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i/>
                <w:iCs/>
                <w:color w:val="000000"/>
                <w:sz w:val="20"/>
                <w:szCs w:val="20"/>
              </w:rPr>
              <w:t>13 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i/>
                <w:iCs/>
                <w:color w:val="00000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i/>
                <w:iCs/>
                <w:color w:val="000000"/>
                <w:sz w:val="20"/>
                <w:szCs w:val="20"/>
              </w:rPr>
              <w:t>13 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i/>
                <w:iCs/>
                <w:color w:val="00000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bl>
    <w:p w:rsidR="00000000" w:rsidRDefault="00F5481A">
      <w:pPr>
        <w:ind w:firstLine="360"/>
        <w:divId w:val="1103191156"/>
        <w:rPr>
          <w:rFonts w:eastAsia="Times New Roman"/>
        </w:rPr>
      </w:pPr>
      <w:r>
        <w:rPr>
          <w:rFonts w:ascii="IBM Plex Sans" w:eastAsia="Times New Roman" w:hAnsi="IBM Plex Sans"/>
          <w:i/>
          <w:iCs/>
          <w:color w:val="283030"/>
          <w:sz w:val="20"/>
          <w:szCs w:val="20"/>
        </w:rPr>
        <w:t>Fiscal 2022 Compared With Fiscal 2021:</w:t>
      </w:r>
      <w:r>
        <w:rPr>
          <w:rFonts w:ascii="IBM Plex Sans" w:eastAsia="Times New Roman" w:hAnsi="IBM Plex Sans"/>
          <w:color w:val="283030"/>
          <w:sz w:val="20"/>
          <w:szCs w:val="20"/>
        </w:rPr>
        <w:t xml:space="preserve">  </w:t>
      </w:r>
      <w:r>
        <w:rPr>
          <w:rFonts w:ascii="IBM Plex Sans" w:eastAsia="Times New Roman" w:hAnsi="IBM Plex Sans"/>
          <w:color w:val="283030"/>
          <w:sz w:val="20"/>
          <w:szCs w:val="20"/>
        </w:rPr>
        <w:t>The increase in segment revenue in fiscal 2022 compared with fiscal 2021 was primarily due to an increase of $261 million in Space, reflecting growth in responsive satellite programs and a ramp on SDA tracking, partially offset by a $139 million decline in</w:t>
      </w:r>
      <w:r>
        <w:rPr>
          <w:rFonts w:ascii="IBM Plex Sans" w:eastAsia="Times New Roman" w:hAnsi="IBM Plex Sans"/>
          <w:color w:val="283030"/>
          <w:sz w:val="20"/>
          <w:szCs w:val="20"/>
        </w:rPr>
        <w:t xml:space="preserve"> our airborne businesses, reflecting transition from development to production on the F-35 and F-18 programs and a $17 million decline in Intel &amp; Cyber primarily due to award timing. The funded backlog for this segment was $4.9 billion at December 30, 2022</w:t>
      </w:r>
      <w:r>
        <w:rPr>
          <w:rFonts w:ascii="IBM Plex Sans" w:eastAsia="Times New Roman" w:hAnsi="IBM Plex Sans"/>
          <w:color w:val="283030"/>
          <w:sz w:val="20"/>
          <w:szCs w:val="20"/>
        </w:rPr>
        <w:t xml:space="preserve"> compared with $4.7 billion at December 31, 2021. </w:t>
      </w:r>
    </w:p>
    <w:p w:rsidR="00000000" w:rsidRDefault="00F5481A">
      <w:pPr>
        <w:ind w:firstLine="360"/>
        <w:divId w:val="1861315937"/>
        <w:rPr>
          <w:rFonts w:eastAsia="Times New Roman"/>
        </w:rPr>
      </w:pPr>
      <w:r>
        <w:rPr>
          <w:rFonts w:ascii="IBM Plex Sans" w:eastAsia="Times New Roman" w:hAnsi="IBM Plex Sans"/>
          <w:color w:val="283030"/>
          <w:sz w:val="20"/>
          <w:szCs w:val="20"/>
        </w:rPr>
        <w:t>The decreases in segment operating income and operating income margin in fiscal 2022 compared with fiscal 2021 were primarily due to a $67 million decrease in net favorable EAC adjustments due to higher in</w:t>
      </w:r>
      <w:r>
        <w:rPr>
          <w:rFonts w:ascii="IBM Plex Sans" w:eastAsia="Times New Roman" w:hAnsi="IBM Plex Sans"/>
          <w:color w:val="283030"/>
          <w:sz w:val="20"/>
          <w:szCs w:val="20"/>
        </w:rPr>
        <w:t>put costs and program performance, mainly in Electronic Warfare and Space businesses, and new program ramps, partially offset by a decrease in R&amp;D expenses.</w:t>
      </w:r>
    </w:p>
    <w:p w:rsidR="00000000" w:rsidRDefault="00F5481A">
      <w:pPr>
        <w:ind w:firstLine="360"/>
        <w:divId w:val="1107651111"/>
        <w:rPr>
          <w:rFonts w:eastAsia="Times New Roman"/>
        </w:rPr>
      </w:pPr>
      <w:r>
        <w:rPr>
          <w:rFonts w:ascii="IBM Plex Sans" w:eastAsia="Times New Roman" w:hAnsi="IBM Plex Sans"/>
          <w:color w:val="283030"/>
          <w:sz w:val="20"/>
          <w:szCs w:val="20"/>
        </w:rPr>
        <w:t xml:space="preserve">The percentage of this segment’s revenue that was derived from sales to U.S. Government customers, </w:t>
      </w:r>
      <w:r>
        <w:rPr>
          <w:rFonts w:ascii="IBM Plex Sans" w:eastAsia="Times New Roman" w:hAnsi="IBM Plex Sans"/>
          <w:color w:val="283030"/>
          <w:sz w:val="20"/>
          <w:szCs w:val="20"/>
        </w:rPr>
        <w:t>including foreign military sales funded through the U.S. Government, whether directly or through prime contractors, was 87% in fiscal 2022.</w:t>
      </w:r>
    </w:p>
    <w:p w:rsidR="00000000" w:rsidRDefault="00F5481A">
      <w:pPr>
        <w:ind w:firstLine="360"/>
        <w:divId w:val="1950550755"/>
        <w:rPr>
          <w:rFonts w:eastAsia="Times New Roman"/>
        </w:rPr>
      </w:pPr>
      <w:r>
        <w:rPr>
          <w:rFonts w:ascii="IBM Plex Sans" w:eastAsia="Times New Roman" w:hAnsi="IBM Plex Sans"/>
          <w:i/>
          <w:iCs/>
          <w:color w:val="283030"/>
          <w:sz w:val="20"/>
          <w:szCs w:val="20"/>
        </w:rPr>
        <w:t xml:space="preserve">Fiscal 2021 Compared With Fiscal 2020: </w:t>
      </w:r>
      <w:r>
        <w:rPr>
          <w:rFonts w:ascii="IBM Plex Sans" w:eastAsia="Times New Roman" w:hAnsi="IBM Plex Sans"/>
          <w:color w:val="283030"/>
          <w:sz w:val="20"/>
          <w:szCs w:val="20"/>
        </w:rPr>
        <w:t xml:space="preserve">The increase in segment revenue in fiscal 2021 compared with fiscal 2020 was </w:t>
      </w:r>
      <w:r>
        <w:rPr>
          <w:rFonts w:ascii="IBM Plex Sans" w:eastAsia="Times New Roman" w:hAnsi="IBM Plex Sans"/>
          <w:color w:val="283030"/>
          <w:sz w:val="20"/>
          <w:szCs w:val="20"/>
        </w:rPr>
        <w:t>primarily due to $176 million of higher revenue in Space, reflecting a ramp in missile defense and other responsive programs and $8 million of higher revenue in Intel and Cyber from classified programs, partially offset by $93 million of lower revenue from</w:t>
      </w:r>
      <w:r>
        <w:rPr>
          <w:rFonts w:ascii="IBM Plex Sans" w:eastAsia="Times New Roman" w:hAnsi="IBM Plex Sans"/>
          <w:color w:val="283030"/>
          <w:sz w:val="20"/>
          <w:szCs w:val="20"/>
        </w:rPr>
        <w:t xml:space="preserve"> airborne businesses, reflecting the transition towards modernization programs. The funded backlog for this segment was $4.7 billion at December 31, 2021 compared with $4.6 billion at January 1, 2021. </w:t>
      </w:r>
    </w:p>
    <w:p w:rsidR="00000000" w:rsidRDefault="00F5481A">
      <w:pPr>
        <w:ind w:firstLine="360"/>
        <w:divId w:val="558595468"/>
        <w:rPr>
          <w:rFonts w:eastAsia="Times New Roman"/>
        </w:rPr>
      </w:pPr>
      <w:r>
        <w:rPr>
          <w:rFonts w:ascii="IBM Plex Sans" w:eastAsia="Times New Roman" w:hAnsi="IBM Plex Sans"/>
          <w:color w:val="283030"/>
          <w:sz w:val="20"/>
          <w:szCs w:val="20"/>
        </w:rPr>
        <w:t>Segment operating income and operating income margin i</w:t>
      </w:r>
      <w:r>
        <w:rPr>
          <w:rFonts w:ascii="IBM Plex Sans" w:eastAsia="Times New Roman" w:hAnsi="IBM Plex Sans"/>
          <w:color w:val="283030"/>
          <w:sz w:val="20"/>
          <w:szCs w:val="20"/>
        </w:rPr>
        <w:t>n fiscal 2021 were comparable with fiscal 2020.</w:t>
      </w:r>
    </w:p>
    <w:p w:rsidR="00000000" w:rsidRDefault="00F5481A">
      <w:pPr>
        <w:ind w:firstLine="360"/>
        <w:divId w:val="488400994"/>
        <w:rPr>
          <w:rFonts w:eastAsia="Times New Roman"/>
        </w:rPr>
      </w:pPr>
      <w:r>
        <w:rPr>
          <w:rFonts w:ascii="IBM Plex Sans" w:eastAsia="Times New Roman" w:hAnsi="IBM Plex Sans"/>
          <w:color w:val="283030"/>
          <w:sz w:val="20"/>
          <w:szCs w:val="20"/>
        </w:rPr>
        <w:t>The percentage of this segment’s revenue that was derived from sales to U.S. Government customers, including foreign military sales funded through the U.S. Government, whether directly or through prime contra</w:t>
      </w:r>
      <w:r>
        <w:rPr>
          <w:rFonts w:ascii="IBM Plex Sans" w:eastAsia="Times New Roman" w:hAnsi="IBM Plex Sans"/>
          <w:color w:val="283030"/>
          <w:sz w:val="20"/>
          <w:szCs w:val="20"/>
        </w:rPr>
        <w:t>ctors, was 87% in fiscal 2021.</w:t>
      </w:r>
    </w:p>
    <w:p w:rsidR="00000000" w:rsidRDefault="00F5481A">
      <w:pPr>
        <w:ind w:firstLine="360"/>
        <w:jc w:val="center"/>
        <w:divId w:val="394205870"/>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38</w:t>
      </w:r>
    </w:p>
    <w:p w:rsidR="00000000" w:rsidRDefault="00F5481A">
      <w:pPr>
        <w:rPr>
          <w:rFonts w:eastAsia="Times New Roman"/>
        </w:rPr>
      </w:pPr>
      <w:r>
        <w:rPr>
          <w:rFonts w:eastAsia="Times New Roman"/>
        </w:rPr>
        <w:pict>
          <v:rect id="_x0000_i1069" style="width:0;height:1.5pt" o:hralign="center" o:hrstd="t" o:hr="t" fillcolor="#a0a0a0" stroked="f"/>
        </w:pict>
      </w:r>
    </w:p>
    <w:p w:rsidR="00000000" w:rsidRDefault="00F5481A">
      <w:pPr>
        <w:ind w:firstLine="360"/>
        <w:divId w:val="741830489"/>
        <w:rPr>
          <w:rFonts w:eastAsia="Times New Roman"/>
        </w:rPr>
      </w:pPr>
    </w:p>
    <w:p w:rsidR="00000000" w:rsidRDefault="00F5481A">
      <w:pPr>
        <w:divId w:val="1332099959"/>
        <w:rPr>
          <w:rFonts w:eastAsia="Times New Roman"/>
        </w:rPr>
      </w:pPr>
      <w:r>
        <w:rPr>
          <w:rFonts w:ascii="IBM Plex Sans SemiBold" w:eastAsia="Times New Roman" w:hAnsi="IBM Plex Sans SemiBold"/>
          <w:b/>
          <w:bCs/>
          <w:color w:val="016676"/>
          <w:sz w:val="20"/>
          <w:szCs w:val="20"/>
        </w:rPr>
        <w:t>Communication Systems Segment</w:t>
      </w:r>
    </w:p>
    <w:p w:rsidR="00000000" w:rsidRDefault="00F5481A">
      <w:pPr>
        <w:ind w:firstLine="360"/>
        <w:divId w:val="1424566027"/>
        <w:rPr>
          <w:rFonts w:eastAsia="Times New Roman"/>
        </w:rPr>
      </w:pPr>
      <w:r>
        <w:rPr>
          <w:rFonts w:ascii="IBM Plex Sans" w:eastAsia="Times New Roman" w:hAnsi="IBM Plex Sans"/>
          <w:color w:val="283030"/>
          <w:sz w:val="20"/>
          <w:szCs w:val="20"/>
        </w:rPr>
        <w:t>Our CS segment includes tactical communications with global communications solutions; broadband communications; integrated vision solutions; and public safety radios, system applications and equipment. See “Item 1: Business” of this Report for a descriptio</w:t>
      </w:r>
      <w:r>
        <w:rPr>
          <w:rFonts w:ascii="IBM Plex Sans" w:eastAsia="Times New Roman" w:hAnsi="IBM Plex Sans"/>
          <w:color w:val="283030"/>
          <w:sz w:val="20"/>
          <w:szCs w:val="20"/>
        </w:rPr>
        <w:t>n of the sectors in CS.</w:t>
      </w:r>
    </w:p>
    <w:tbl>
      <w:tblPr>
        <w:tblW w:w="5000" w:type="pct"/>
        <w:tblCellMar>
          <w:top w:w="15" w:type="dxa"/>
          <w:left w:w="15" w:type="dxa"/>
          <w:bottom w:w="15" w:type="dxa"/>
          <w:right w:w="15" w:type="dxa"/>
        </w:tblCellMar>
        <w:tblLook w:val="04A0" w:firstRow="1" w:lastRow="0" w:firstColumn="1" w:lastColumn="0" w:noHBand="0" w:noVBand="1"/>
      </w:tblPr>
      <w:tblGrid>
        <w:gridCol w:w="40"/>
        <w:gridCol w:w="2801"/>
        <w:gridCol w:w="39"/>
        <w:gridCol w:w="132"/>
        <w:gridCol w:w="840"/>
        <w:gridCol w:w="198"/>
        <w:gridCol w:w="36"/>
        <w:gridCol w:w="36"/>
        <w:gridCol w:w="36"/>
        <w:gridCol w:w="132"/>
        <w:gridCol w:w="663"/>
        <w:gridCol w:w="198"/>
        <w:gridCol w:w="36"/>
        <w:gridCol w:w="36"/>
        <w:gridCol w:w="36"/>
        <w:gridCol w:w="95"/>
        <w:gridCol w:w="612"/>
        <w:gridCol w:w="265"/>
        <w:gridCol w:w="36"/>
        <w:gridCol w:w="36"/>
        <w:gridCol w:w="36"/>
        <w:gridCol w:w="132"/>
        <w:gridCol w:w="557"/>
        <w:gridCol w:w="198"/>
        <w:gridCol w:w="36"/>
        <w:gridCol w:w="36"/>
        <w:gridCol w:w="36"/>
        <w:gridCol w:w="94"/>
        <w:gridCol w:w="613"/>
        <w:gridCol w:w="265"/>
      </w:tblGrid>
      <w:tr w:rsidR="00000000">
        <w:trPr>
          <w:divId w:val="414935890"/>
        </w:trPr>
        <w:tc>
          <w:tcPr>
            <w:tcW w:w="50" w:type="pct"/>
            <w:vAlign w:val="center"/>
            <w:hideMark/>
          </w:tcPr>
          <w:p w:rsidR="00000000" w:rsidRDefault="00F5481A">
            <w:pPr>
              <w:ind w:firstLine="360"/>
              <w:rPr>
                <w:rFonts w:eastAsia="Times New Roman"/>
              </w:rPr>
            </w:pPr>
          </w:p>
        </w:tc>
        <w:tc>
          <w:tcPr>
            <w:tcW w:w="197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2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2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32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2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6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2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32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414935890"/>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27"/>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Fiscal Year Ended</w:t>
            </w:r>
          </w:p>
        </w:tc>
      </w:tr>
      <w:tr w:rsidR="00000000">
        <w:trPr>
          <w:divId w:val="414935890"/>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(Dollars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 Inc/(Dec)</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January 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 Inc/(Dec)</w:t>
            </w:r>
          </w:p>
        </w:tc>
      </w:tr>
      <w:tr w:rsidR="00000000">
        <w:trPr>
          <w:divId w:val="414935890"/>
          <w:trHeight w:val="6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414935890"/>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Revenue</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4,217 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4,287 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(2 </w:t>
            </w:r>
          </w:p>
        </w:tc>
        <w:tc>
          <w:tcPr>
            <w:tcW w:w="0" w:type="auto"/>
            <w:shd w:val="clear" w:color="auto" w:fill="D7EFF1"/>
            <w:tcMar>
              <w:top w:w="30" w:type="dxa"/>
              <w:left w:w="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4,402 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(3 </w:t>
            </w:r>
          </w:p>
        </w:tc>
        <w:tc>
          <w:tcPr>
            <w:tcW w:w="0" w:type="auto"/>
            <w:shd w:val="clear" w:color="auto" w:fill="D7EFF1"/>
            <w:tcMar>
              <w:top w:w="30" w:type="dxa"/>
              <w:left w:w="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r>
      <w:tr w:rsidR="00000000">
        <w:trPr>
          <w:divId w:val="414935890"/>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Operating income</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667 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1,043 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(36 </w:t>
            </w:r>
          </w:p>
        </w:tc>
        <w:tc>
          <w:tcPr>
            <w:tcW w:w="0" w:type="auto"/>
            <w:shd w:val="clear" w:color="auto" w:fill="FFFFFF"/>
            <w:tcMar>
              <w:top w:w="30" w:type="dxa"/>
              <w:left w:w="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1,035 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1 </w:t>
            </w:r>
          </w:p>
        </w:tc>
        <w:tc>
          <w:tcPr>
            <w:tcW w:w="0" w:type="auto"/>
            <w:shd w:val="clear" w:color="auto" w:fill="FFFFFF"/>
            <w:tcMar>
              <w:top w:w="30" w:type="dxa"/>
              <w:left w:w="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r>
      <w:tr w:rsidR="00000000">
        <w:trPr>
          <w:divId w:val="414935890"/>
        </w:trPr>
        <w:tc>
          <w:tcPr>
            <w:tcW w:w="0" w:type="auto"/>
            <w:gridSpan w:val="3"/>
            <w:shd w:val="clear" w:color="auto" w:fill="D7EFF1"/>
            <w:tcMar>
              <w:top w:w="30" w:type="dxa"/>
              <w:left w:w="245" w:type="dxa"/>
              <w:bottom w:w="30" w:type="dxa"/>
              <w:right w:w="20" w:type="dxa"/>
            </w:tcMar>
            <w:hideMark/>
          </w:tcPr>
          <w:p w:rsidR="00000000" w:rsidRDefault="00F5481A">
            <w:pPr>
              <w:spacing w:after="100"/>
              <w:rPr>
                <w:rFonts w:eastAsia="Times New Roman"/>
              </w:rPr>
            </w:pPr>
            <w:r>
              <w:rPr>
                <w:rFonts w:ascii="IBM Plex Sans" w:eastAsia="Times New Roman" w:hAnsi="IBM Plex Sans"/>
                <w:i/>
                <w:iCs/>
                <w:color w:val="283030"/>
                <w:sz w:val="20"/>
                <w:szCs w:val="20"/>
              </w:rPr>
              <w:t>Operating income margin</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i/>
                <w:iCs/>
                <w:color w:val="283030"/>
                <w:sz w:val="20"/>
                <w:szCs w:val="20"/>
              </w:rPr>
              <w:t>16 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i/>
                <w:iC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i/>
                <w:iCs/>
                <w:color w:val="283030"/>
                <w:sz w:val="20"/>
                <w:szCs w:val="20"/>
              </w:rPr>
              <w:t>24 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i/>
                <w:iC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i/>
                <w:iCs/>
                <w:color w:val="283030"/>
                <w:sz w:val="20"/>
                <w:szCs w:val="20"/>
              </w:rPr>
              <w:t>24 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i/>
                <w:iC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bl>
    <w:p w:rsidR="00000000" w:rsidRDefault="00F5481A">
      <w:pPr>
        <w:ind w:firstLine="360"/>
        <w:divId w:val="1209099844"/>
        <w:rPr>
          <w:rFonts w:eastAsia="Times New Roman"/>
        </w:rPr>
      </w:pPr>
      <w:r>
        <w:rPr>
          <w:rFonts w:ascii="IBM Plex Sans" w:eastAsia="Times New Roman" w:hAnsi="IBM Plex Sans"/>
          <w:i/>
          <w:iCs/>
          <w:color w:val="283030"/>
          <w:sz w:val="20"/>
          <w:szCs w:val="20"/>
        </w:rPr>
        <w:t>Fiscal 2022 Compared With Fiscal 2021: </w:t>
      </w:r>
      <w:r>
        <w:rPr>
          <w:rFonts w:ascii="IBM Plex Sans" w:eastAsia="Times New Roman" w:hAnsi="IBM Plex Sans"/>
          <w:color w:val="283030"/>
          <w:sz w:val="20"/>
          <w:szCs w:val="20"/>
        </w:rPr>
        <w:t xml:space="preserve"> The decrease in segment revenue in fiscal 2022 compared with fiscal 2021 was primarily due to a $176 million decrease in Broadband Communications due to lower volume on lega</w:t>
      </w:r>
      <w:r>
        <w:rPr>
          <w:rFonts w:ascii="IBM Plex Sans" w:eastAsia="Times New Roman" w:hAnsi="IBM Plex Sans"/>
          <w:color w:val="283030"/>
          <w:sz w:val="20"/>
          <w:szCs w:val="20"/>
        </w:rPr>
        <w:t>cy platforms and a $62 million decrease in Integrated Vision Solutions primarily from program timing and lower sales volumes. Such decreases were partially offset by a $139 million increase in Tactical Communications due to higher demand more than offsetti</w:t>
      </w:r>
      <w:r>
        <w:rPr>
          <w:rFonts w:ascii="IBM Plex Sans" w:eastAsia="Times New Roman" w:hAnsi="IBM Plex Sans"/>
          <w:color w:val="283030"/>
          <w:sz w:val="20"/>
          <w:szCs w:val="20"/>
        </w:rPr>
        <w:t>ng supply chain disruptions experienced during the first half of 2022 and a $34 million increase in Public Safety resulting from a continued market recovery. The funded backlog for this segment was $4.5 billion at December 30, 2022 compared with $3.7 billi</w:t>
      </w:r>
      <w:r>
        <w:rPr>
          <w:rFonts w:ascii="IBM Plex Sans" w:eastAsia="Times New Roman" w:hAnsi="IBM Plex Sans"/>
          <w:color w:val="283030"/>
          <w:sz w:val="20"/>
          <w:szCs w:val="20"/>
        </w:rPr>
        <w:t xml:space="preserve">on at December 31, 2021. </w:t>
      </w:r>
    </w:p>
    <w:p w:rsidR="00000000" w:rsidRDefault="00F5481A">
      <w:pPr>
        <w:ind w:firstLine="360"/>
        <w:divId w:val="1940135182"/>
        <w:rPr>
          <w:rFonts w:eastAsia="Times New Roman"/>
        </w:rPr>
      </w:pPr>
      <w:r>
        <w:rPr>
          <w:rFonts w:ascii="IBM Plex Sans" w:eastAsia="Times New Roman" w:hAnsi="IBM Plex Sans"/>
          <w:color w:val="283030"/>
          <w:sz w:val="20"/>
          <w:szCs w:val="20"/>
        </w:rPr>
        <w:t xml:space="preserve">The decreases in segment operating income and operating income margin in fiscal 2022 compared with fiscal 2021 were primarily due to a non-cash charge for impairment of goodwill of $355 million recorded in our Broadband reporting </w:t>
      </w:r>
      <w:r>
        <w:rPr>
          <w:rFonts w:ascii="IBM Plex Sans" w:eastAsia="Times New Roman" w:hAnsi="IBM Plex Sans"/>
          <w:color w:val="283030"/>
          <w:sz w:val="20"/>
          <w:szCs w:val="20"/>
        </w:rPr>
        <w:t xml:space="preserve">unit during fiscal 2022. </w:t>
      </w:r>
    </w:p>
    <w:p w:rsidR="00000000" w:rsidRDefault="00F5481A">
      <w:pPr>
        <w:ind w:firstLine="360"/>
        <w:divId w:val="892542293"/>
        <w:rPr>
          <w:rFonts w:eastAsia="Times New Roman"/>
        </w:rPr>
      </w:pPr>
      <w:r>
        <w:rPr>
          <w:rFonts w:ascii="IBM Plex Sans" w:eastAsia="Times New Roman" w:hAnsi="IBM Plex Sans"/>
          <w:color w:val="283030"/>
          <w:sz w:val="20"/>
          <w:szCs w:val="20"/>
        </w:rPr>
        <w:t>The percentage of this segment’s revenue that was derived from sales to U.S. Government customers, including foreign military sales funded through the U.S. Government, whether directly or through prime contractors, was 63% in fisc</w:t>
      </w:r>
      <w:r>
        <w:rPr>
          <w:rFonts w:ascii="IBM Plex Sans" w:eastAsia="Times New Roman" w:hAnsi="IBM Plex Sans"/>
          <w:color w:val="283030"/>
          <w:sz w:val="20"/>
          <w:szCs w:val="20"/>
        </w:rPr>
        <w:t>al 2022.</w:t>
      </w:r>
    </w:p>
    <w:p w:rsidR="00000000" w:rsidRDefault="00F5481A">
      <w:pPr>
        <w:ind w:firstLine="360"/>
        <w:divId w:val="1170369274"/>
        <w:rPr>
          <w:rFonts w:eastAsia="Times New Roman"/>
        </w:rPr>
      </w:pPr>
      <w:r>
        <w:rPr>
          <w:rFonts w:ascii="IBM Plex Sans" w:eastAsia="Times New Roman" w:hAnsi="IBM Plex Sans"/>
          <w:i/>
          <w:iCs/>
          <w:color w:val="283030"/>
          <w:sz w:val="20"/>
          <w:szCs w:val="20"/>
        </w:rPr>
        <w:t xml:space="preserve">Fiscal 2021 Compared With Fiscal 2020: </w:t>
      </w:r>
      <w:r>
        <w:rPr>
          <w:rFonts w:ascii="IBM Plex Sans" w:eastAsia="Times New Roman" w:hAnsi="IBM Plex Sans"/>
          <w:color w:val="283030"/>
          <w:sz w:val="20"/>
          <w:szCs w:val="20"/>
        </w:rPr>
        <w:t> The decrease in segment revenue in fiscal 2021 compared with fiscal 2020 was primarily due to $29 million of lower revenue in Tactical Communications, reflecting product delivery delays from supply chain dis</w:t>
      </w:r>
      <w:r>
        <w:rPr>
          <w:rFonts w:ascii="IBM Plex Sans" w:eastAsia="Times New Roman" w:hAnsi="IBM Plex Sans"/>
          <w:color w:val="283030"/>
          <w:sz w:val="20"/>
          <w:szCs w:val="20"/>
        </w:rPr>
        <w:t>ruptions which were partially offset by the DoD modernization program, $82 million of lower revenue in Broadband Communications, reflecting lower sales on legacy unmanned platforms and modestly lower revenue in Public Safety, partially offset by modestly h</w:t>
      </w:r>
      <w:r>
        <w:rPr>
          <w:rFonts w:ascii="IBM Plex Sans" w:eastAsia="Times New Roman" w:hAnsi="IBM Plex Sans"/>
          <w:color w:val="283030"/>
          <w:sz w:val="20"/>
          <w:szCs w:val="20"/>
        </w:rPr>
        <w:t xml:space="preserve">igher revenue in Integrated Vision Solutions. The funded backlog for this segment was $3.7 billion at December 31, 2021 compared with $3.3 billion at January 1, 2021. </w:t>
      </w:r>
    </w:p>
    <w:p w:rsidR="00000000" w:rsidRDefault="00F5481A">
      <w:pPr>
        <w:ind w:firstLine="360"/>
        <w:divId w:val="421219140"/>
        <w:rPr>
          <w:rFonts w:eastAsia="Times New Roman"/>
        </w:rPr>
      </w:pPr>
      <w:r>
        <w:rPr>
          <w:rFonts w:ascii="IBM Plex Sans" w:eastAsia="Times New Roman" w:hAnsi="IBM Plex Sans"/>
          <w:color w:val="283030"/>
          <w:sz w:val="20"/>
          <w:szCs w:val="20"/>
        </w:rPr>
        <w:t xml:space="preserve">The increase in segment operating income in fiscal 2021 compared with fiscal 2020 was primarily due to e3 performance and integration benefits, partially offset by supply chain disruptions and higher R&amp;D investments. Operating income margin in fiscal 2021 </w:t>
      </w:r>
      <w:r>
        <w:rPr>
          <w:rFonts w:ascii="IBM Plex Sans" w:eastAsia="Times New Roman" w:hAnsi="IBM Plex Sans"/>
          <w:color w:val="283030"/>
          <w:sz w:val="20"/>
          <w:szCs w:val="20"/>
        </w:rPr>
        <w:t>was comparable with fiscal 2020.</w:t>
      </w:r>
    </w:p>
    <w:p w:rsidR="00000000" w:rsidRDefault="00F5481A">
      <w:pPr>
        <w:ind w:firstLine="360"/>
        <w:divId w:val="396824128"/>
        <w:rPr>
          <w:rFonts w:eastAsia="Times New Roman"/>
        </w:rPr>
      </w:pPr>
      <w:r>
        <w:rPr>
          <w:rFonts w:ascii="IBM Plex Sans" w:eastAsia="Times New Roman" w:hAnsi="IBM Plex Sans"/>
          <w:color w:val="283030"/>
          <w:sz w:val="20"/>
          <w:szCs w:val="20"/>
        </w:rPr>
        <w:t xml:space="preserve">The percentage of this segment’s revenue that was derived from sales to U.S. Government customers, including foreign military sales funded through the U.S. Government, whether directly or through prime contractors, was 68% </w:t>
      </w:r>
      <w:r>
        <w:rPr>
          <w:rFonts w:ascii="IBM Plex Sans" w:eastAsia="Times New Roman" w:hAnsi="IBM Plex Sans"/>
          <w:color w:val="283030"/>
          <w:sz w:val="20"/>
          <w:szCs w:val="20"/>
        </w:rPr>
        <w:t>in fiscal 2021.</w:t>
      </w:r>
    </w:p>
    <w:p w:rsidR="00000000" w:rsidRDefault="00F5481A">
      <w:pPr>
        <w:ind w:firstLine="360"/>
        <w:jc w:val="center"/>
        <w:divId w:val="1188907587"/>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39</w:t>
      </w:r>
    </w:p>
    <w:p w:rsidR="00000000" w:rsidRDefault="00F5481A">
      <w:pPr>
        <w:rPr>
          <w:rFonts w:eastAsia="Times New Roman"/>
        </w:rPr>
      </w:pPr>
      <w:r>
        <w:rPr>
          <w:rFonts w:eastAsia="Times New Roman"/>
        </w:rPr>
        <w:pict>
          <v:rect id="_x0000_i1070" style="width:0;height:1.5pt" o:hralign="center" o:hrstd="t" o:hr="t" fillcolor="#a0a0a0" stroked="f"/>
        </w:pict>
      </w:r>
    </w:p>
    <w:p w:rsidR="00000000" w:rsidRDefault="00F5481A">
      <w:pPr>
        <w:ind w:firstLine="360"/>
        <w:divId w:val="1437747365"/>
        <w:rPr>
          <w:rFonts w:eastAsia="Times New Roman"/>
        </w:rPr>
      </w:pPr>
    </w:p>
    <w:p w:rsidR="00000000" w:rsidRDefault="00F5481A">
      <w:pPr>
        <w:divId w:val="194081929"/>
        <w:rPr>
          <w:rFonts w:eastAsia="Times New Roman"/>
        </w:rPr>
      </w:pPr>
      <w:r>
        <w:rPr>
          <w:rFonts w:ascii="IBM Plex Sans" w:eastAsia="Times New Roman" w:hAnsi="IBM Plex Sans"/>
          <w:b/>
          <w:bCs/>
          <w:color w:val="016676"/>
          <w:sz w:val="20"/>
          <w:szCs w:val="20"/>
        </w:rPr>
        <w:t>Unallocated Corporate Expenses</w:t>
      </w:r>
    </w:p>
    <w:tbl>
      <w:tblPr>
        <w:tblW w:w="5000" w:type="pct"/>
        <w:tblCellMar>
          <w:top w:w="15" w:type="dxa"/>
          <w:left w:w="15" w:type="dxa"/>
          <w:bottom w:w="15" w:type="dxa"/>
          <w:right w:w="15" w:type="dxa"/>
        </w:tblCellMar>
        <w:tblLook w:val="04A0" w:firstRow="1" w:lastRow="0" w:firstColumn="1" w:lastColumn="0" w:noHBand="0" w:noVBand="1"/>
      </w:tblPr>
      <w:tblGrid>
        <w:gridCol w:w="41"/>
        <w:gridCol w:w="2639"/>
        <w:gridCol w:w="40"/>
        <w:gridCol w:w="53"/>
        <w:gridCol w:w="920"/>
        <w:gridCol w:w="36"/>
        <w:gridCol w:w="36"/>
        <w:gridCol w:w="36"/>
        <w:gridCol w:w="36"/>
        <w:gridCol w:w="53"/>
        <w:gridCol w:w="921"/>
        <w:gridCol w:w="36"/>
        <w:gridCol w:w="36"/>
        <w:gridCol w:w="36"/>
        <w:gridCol w:w="36"/>
        <w:gridCol w:w="95"/>
        <w:gridCol w:w="612"/>
        <w:gridCol w:w="265"/>
        <w:gridCol w:w="36"/>
        <w:gridCol w:w="36"/>
        <w:gridCol w:w="36"/>
        <w:gridCol w:w="43"/>
        <w:gridCol w:w="932"/>
        <w:gridCol w:w="36"/>
        <w:gridCol w:w="36"/>
        <w:gridCol w:w="36"/>
        <w:gridCol w:w="36"/>
        <w:gridCol w:w="94"/>
        <w:gridCol w:w="613"/>
        <w:gridCol w:w="265"/>
        <w:gridCol w:w="36"/>
        <w:gridCol w:w="36"/>
        <w:gridCol w:w="36"/>
        <w:gridCol w:w="36"/>
        <w:gridCol w:w="36"/>
      </w:tblGrid>
      <w:tr w:rsidR="00000000">
        <w:trPr>
          <w:divId w:val="262341774"/>
        </w:trPr>
        <w:tc>
          <w:tcPr>
            <w:tcW w:w="50" w:type="pct"/>
            <w:vAlign w:val="center"/>
            <w:hideMark/>
          </w:tcPr>
          <w:p w:rsidR="00000000" w:rsidRDefault="00F5481A">
            <w:pPr>
              <w:rPr>
                <w:rFonts w:eastAsia="Times New Roman"/>
              </w:rPr>
            </w:pPr>
          </w:p>
        </w:tc>
        <w:tc>
          <w:tcPr>
            <w:tcW w:w="1762"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32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32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262341774"/>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Fiscal Year Ended</w:t>
            </w:r>
          </w:p>
        </w:tc>
        <w:tc>
          <w:tcPr>
            <w:tcW w:w="0" w:type="auto"/>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262341774"/>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(Dollars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 Inc/(Dec)</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January 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 Inc/(Dec)</w:t>
            </w:r>
          </w:p>
        </w:tc>
        <w:tc>
          <w:tcPr>
            <w:tcW w:w="0" w:type="auto"/>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262341774"/>
          <w:trHeight w:val="60"/>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262341774"/>
        </w:trPr>
        <w:tc>
          <w:tcPr>
            <w:tcW w:w="0" w:type="auto"/>
            <w:gridSpan w:val="3"/>
            <w:shd w:val="clear" w:color="auto" w:fill="D7EFF1"/>
            <w:tcMar>
              <w:top w:w="30" w:type="dxa"/>
              <w:left w:w="20" w:type="dxa"/>
              <w:bottom w:w="30" w:type="dxa"/>
              <w:right w:w="20" w:type="dxa"/>
            </w:tcMar>
            <w:hideMark/>
          </w:tcPr>
          <w:p w:rsidR="00000000" w:rsidRDefault="00F5481A">
            <w:pPr>
              <w:spacing w:after="100"/>
              <w:ind w:hanging="180"/>
              <w:divId w:val="1709914732"/>
              <w:rPr>
                <w:rFonts w:eastAsia="Times New Roman"/>
              </w:rPr>
            </w:pPr>
            <w:r>
              <w:rPr>
                <w:rFonts w:ascii="IBM Plex Sans" w:eastAsia="Times New Roman" w:hAnsi="IBM Plex Sans"/>
                <w:color w:val="283030"/>
                <w:sz w:val="20"/>
                <w:szCs w:val="20"/>
              </w:rPr>
              <w:t>Unallocated corporate department expense, ne</w:t>
            </w:r>
            <w:r>
              <w:rPr>
                <w:rFonts w:ascii="IBM Plex Sans" w:eastAsia="Times New Roman" w:hAnsi="IBM Plex Sans"/>
                <w:color w:val="283030"/>
                <w:sz w:val="20"/>
                <w:szCs w:val="20"/>
              </w:rPr>
              <w:t>t</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25 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(51)</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(69)</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(26 </w:t>
            </w:r>
          </w:p>
        </w:tc>
        <w:tc>
          <w:tcPr>
            <w:tcW w:w="0" w:type="auto"/>
            <w:shd w:val="clear" w:color="auto" w:fill="D7EFF1"/>
            <w:tcMar>
              <w:top w:w="30" w:type="dxa"/>
              <w:left w:w="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vAlign w:val="center"/>
            <w:hideMark/>
          </w:tcPr>
          <w:p w:rsidR="00000000" w:rsidRDefault="00F5481A">
            <w:pPr>
              <w:spacing w:after="100"/>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262341774"/>
        </w:trPr>
        <w:tc>
          <w:tcPr>
            <w:tcW w:w="0" w:type="auto"/>
            <w:gridSpan w:val="3"/>
            <w:shd w:val="clear" w:color="auto" w:fill="FFFFFF"/>
            <w:tcMar>
              <w:top w:w="30" w:type="dxa"/>
              <w:left w:w="20" w:type="dxa"/>
              <w:bottom w:w="30" w:type="dxa"/>
              <w:right w:w="20" w:type="dxa"/>
            </w:tcMar>
            <w:hideMark/>
          </w:tcPr>
          <w:p w:rsidR="00000000" w:rsidRDefault="00F5481A">
            <w:pPr>
              <w:spacing w:after="100"/>
              <w:ind w:hanging="180"/>
              <w:divId w:val="1622415095"/>
              <w:rPr>
                <w:rFonts w:eastAsia="Times New Roman"/>
              </w:rPr>
            </w:pPr>
            <w:r>
              <w:rPr>
                <w:rFonts w:ascii="IBM Plex Sans" w:eastAsia="Times New Roman" w:hAnsi="IBM Plex Sans"/>
                <w:color w:val="283030"/>
                <w:sz w:val="20"/>
                <w:szCs w:val="20"/>
              </w:rPr>
              <w:t>Amortization of acquisition-related intangible</w:t>
            </w:r>
            <w:r>
              <w:rPr>
                <w:rFonts w:ascii="IBM Plex Sans" w:eastAsia="Times New Roman" w:hAnsi="IBM Plex Sans"/>
                <w:color w:val="283030"/>
                <w:sz w:val="20"/>
                <w:szCs w:val="20"/>
              </w:rPr>
              <w:t>s</w:t>
            </w:r>
            <w:r>
              <w:rPr>
                <w:rFonts w:ascii="IBM Plex Sans" w:eastAsia="Times New Roman" w:hAnsi="IBM Plex Sans"/>
                <w:color w:val="283030"/>
                <w:sz w:val="13"/>
                <w:szCs w:val="13"/>
              </w:rPr>
              <w:t>(2</w:t>
            </w:r>
            <w:r>
              <w:rPr>
                <w:rFonts w:ascii="IBM Plex Sans" w:eastAsia="Times New Roman" w:hAnsi="IBM Plex Sans"/>
                <w:color w:val="28303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(605)</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(627)</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(4 </w:t>
            </w:r>
          </w:p>
        </w:tc>
        <w:tc>
          <w:tcPr>
            <w:tcW w:w="0" w:type="auto"/>
            <w:shd w:val="clear" w:color="auto" w:fill="FFFFFF"/>
            <w:tcMar>
              <w:top w:w="30" w:type="dxa"/>
              <w:left w:w="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(709)</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(12 </w:t>
            </w:r>
          </w:p>
        </w:tc>
        <w:tc>
          <w:tcPr>
            <w:tcW w:w="0" w:type="auto"/>
            <w:shd w:val="clear" w:color="auto" w:fill="FFFFFF"/>
            <w:tcMar>
              <w:top w:w="30" w:type="dxa"/>
              <w:left w:w="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vAlign w:val="center"/>
            <w:hideMark/>
          </w:tcPr>
          <w:p w:rsidR="00000000" w:rsidRDefault="00F5481A">
            <w:pPr>
              <w:spacing w:after="100"/>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262341774"/>
        </w:trPr>
        <w:tc>
          <w:tcPr>
            <w:tcW w:w="0" w:type="auto"/>
            <w:gridSpan w:val="3"/>
            <w:shd w:val="clear" w:color="auto" w:fill="D7EFF1"/>
            <w:tcMar>
              <w:top w:w="30" w:type="dxa"/>
              <w:left w:w="200" w:type="dxa"/>
              <w:bottom w:w="30" w:type="dxa"/>
              <w:right w:w="20" w:type="dxa"/>
            </w:tcMar>
            <w:hideMark/>
          </w:tcPr>
          <w:p w:rsidR="00000000" w:rsidRDefault="00F5481A">
            <w:pPr>
              <w:spacing w:after="100"/>
              <w:ind w:hanging="180"/>
              <w:rPr>
                <w:rFonts w:eastAsia="Times New Roman"/>
              </w:rPr>
            </w:pPr>
            <w:r>
              <w:rPr>
                <w:rFonts w:ascii="IBM Plex Sans" w:eastAsia="Times New Roman" w:hAnsi="IBM Plex Sans"/>
                <w:color w:val="283030"/>
                <w:sz w:val="20"/>
                <w:szCs w:val="20"/>
              </w:rPr>
              <w:t>L3Harris Merger-related integration expenses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(90)</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(134)</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(33 </w:t>
            </w:r>
          </w:p>
        </w:tc>
        <w:tc>
          <w:tcPr>
            <w:tcW w:w="0" w:type="auto"/>
            <w:shd w:val="clear" w:color="auto" w:fill="D7EFF1"/>
            <w:tcMar>
              <w:top w:w="30" w:type="dxa"/>
              <w:left w:w="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(140)</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(4 </w:t>
            </w:r>
          </w:p>
        </w:tc>
        <w:tc>
          <w:tcPr>
            <w:tcW w:w="0" w:type="auto"/>
            <w:shd w:val="clear" w:color="auto" w:fill="D7EFF1"/>
            <w:tcMar>
              <w:top w:w="30" w:type="dxa"/>
              <w:left w:w="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vAlign w:val="center"/>
            <w:hideMark/>
          </w:tcPr>
          <w:p w:rsidR="00000000" w:rsidRDefault="00F5481A">
            <w:pPr>
              <w:spacing w:after="100"/>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262341774"/>
        </w:trPr>
        <w:tc>
          <w:tcPr>
            <w:tcW w:w="0" w:type="auto"/>
            <w:gridSpan w:val="3"/>
            <w:shd w:val="clear" w:color="auto" w:fill="FFFFFF"/>
            <w:tcMar>
              <w:top w:w="30" w:type="dxa"/>
              <w:left w:w="200" w:type="dxa"/>
              <w:bottom w:w="30" w:type="dxa"/>
              <w:right w:w="20" w:type="dxa"/>
            </w:tcMar>
            <w:hideMark/>
          </w:tcPr>
          <w:p w:rsidR="00000000" w:rsidRDefault="00F5481A">
            <w:pPr>
              <w:spacing w:after="100"/>
              <w:ind w:hanging="180"/>
              <w:rPr>
                <w:rFonts w:eastAsia="Times New Roman"/>
              </w:rPr>
            </w:pPr>
            <w:r>
              <w:rPr>
                <w:rFonts w:ascii="IBM Plex Sans" w:eastAsia="Times New Roman" w:hAnsi="IBM Plex Sans"/>
                <w:color w:val="283030"/>
                <w:sz w:val="20"/>
                <w:szCs w:val="20"/>
              </w:rPr>
              <w:t>Acquisition-related transaction and integration expenses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rsidR="00000000" w:rsidRDefault="00F5481A">
            <w:pPr>
              <w:spacing w:after="100"/>
              <w:jc w:val="right"/>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262341774"/>
        </w:trPr>
        <w:tc>
          <w:tcPr>
            <w:tcW w:w="0" w:type="auto"/>
            <w:gridSpan w:val="3"/>
            <w:shd w:val="clear" w:color="auto" w:fill="D7EFF1"/>
            <w:tcMar>
              <w:top w:w="30" w:type="dxa"/>
              <w:left w:w="200" w:type="dxa"/>
              <w:bottom w:w="30" w:type="dxa"/>
              <w:right w:w="20" w:type="dxa"/>
            </w:tcMar>
            <w:hideMark/>
          </w:tcPr>
          <w:p w:rsidR="00000000" w:rsidRDefault="00F5481A">
            <w:pPr>
              <w:spacing w:after="100"/>
              <w:ind w:hanging="180"/>
              <w:rPr>
                <w:rFonts w:eastAsia="Times New Roman"/>
              </w:rPr>
            </w:pPr>
            <w:r>
              <w:rPr>
                <w:rFonts w:ascii="IBM Plex Sans" w:eastAsia="Times New Roman" w:hAnsi="IBM Plex Sans"/>
                <w:color w:val="283030"/>
                <w:sz w:val="20"/>
                <w:szCs w:val="20"/>
              </w:rPr>
              <w:t>Pre-acquisition and other divestiture-related expenses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(63)</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(71)</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(11 </w:t>
            </w:r>
          </w:p>
        </w:tc>
        <w:tc>
          <w:tcPr>
            <w:tcW w:w="0" w:type="auto"/>
            <w:shd w:val="clear" w:color="auto" w:fill="D7EFF1"/>
            <w:tcMar>
              <w:top w:w="30" w:type="dxa"/>
              <w:left w:w="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rsidR="00000000" w:rsidRDefault="00F5481A">
            <w:pPr>
              <w:spacing w:after="100"/>
              <w:jc w:val="right"/>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262341774"/>
        </w:trPr>
        <w:tc>
          <w:tcPr>
            <w:tcW w:w="0" w:type="auto"/>
            <w:gridSpan w:val="3"/>
            <w:shd w:val="clear" w:color="auto" w:fill="FFFFFF"/>
            <w:tcMar>
              <w:top w:w="30" w:type="dxa"/>
              <w:left w:w="200" w:type="dxa"/>
              <w:bottom w:w="30" w:type="dxa"/>
              <w:right w:w="20" w:type="dxa"/>
            </w:tcMar>
            <w:hideMark/>
          </w:tcPr>
          <w:p w:rsidR="00000000" w:rsidRDefault="00F5481A">
            <w:pPr>
              <w:spacing w:after="100"/>
              <w:ind w:hanging="180"/>
              <w:rPr>
                <w:rFonts w:eastAsia="Times New Roman"/>
              </w:rPr>
            </w:pPr>
            <w:r>
              <w:rPr>
                <w:rFonts w:ascii="IBM Plex Sans" w:eastAsia="Times New Roman" w:hAnsi="IBM Plex Sans"/>
                <w:color w:val="283030"/>
                <w:sz w:val="20"/>
                <w:szCs w:val="20"/>
              </w:rPr>
              <w:t>Additional cost of sales related to fair value step-up in inventory sold</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(31)</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rsidR="00000000" w:rsidRDefault="00F5481A">
            <w:pPr>
              <w:spacing w:after="100"/>
              <w:jc w:val="right"/>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262341774"/>
        </w:trPr>
        <w:tc>
          <w:tcPr>
            <w:tcW w:w="0" w:type="auto"/>
            <w:gridSpan w:val="3"/>
            <w:shd w:val="clear" w:color="auto" w:fill="D7EFF1"/>
            <w:tcMar>
              <w:top w:w="30" w:type="dxa"/>
              <w:left w:w="140" w:type="dxa"/>
              <w:bottom w:w="30" w:type="dxa"/>
              <w:right w:w="20" w:type="dxa"/>
            </w:tcMar>
            <w:hideMark/>
          </w:tcPr>
          <w:p w:rsidR="00000000" w:rsidRDefault="00F5481A">
            <w:pPr>
              <w:spacing w:after="100"/>
              <w:ind w:hanging="180"/>
              <w:rPr>
                <w:rFonts w:eastAsia="Times New Roman"/>
              </w:rPr>
            </w:pPr>
            <w:r>
              <w:rPr>
                <w:rFonts w:ascii="IBM Plex Sans" w:eastAsia="Times New Roman" w:hAnsi="IBM Plex Sans"/>
                <w:color w:val="283030"/>
                <w:sz w:val="20"/>
                <w:szCs w:val="20"/>
              </w:rPr>
              <w:t>Business divestiture-related gains (losses), net</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220 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(51)</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rsidR="00000000" w:rsidRDefault="00F5481A">
            <w:pPr>
              <w:spacing w:after="100"/>
              <w:jc w:val="right"/>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262341774"/>
        </w:trPr>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000000"/>
                <w:sz w:val="20"/>
                <w:szCs w:val="20"/>
              </w:rPr>
              <w:t>Gain on sale of asset group</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rsidR="00000000" w:rsidRDefault="00F5481A">
            <w:pPr>
              <w:spacing w:after="100"/>
              <w:jc w:val="right"/>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262341774"/>
        </w:trPr>
        <w:tc>
          <w:tcPr>
            <w:tcW w:w="0" w:type="auto"/>
            <w:gridSpan w:val="3"/>
            <w:shd w:val="clear" w:color="auto" w:fill="D7EFF1"/>
            <w:tcMar>
              <w:top w:w="30" w:type="dxa"/>
              <w:left w:w="20" w:type="dxa"/>
              <w:bottom w:w="30" w:type="dxa"/>
              <w:right w:w="20" w:type="dxa"/>
            </w:tcMar>
            <w:hideMark/>
          </w:tcPr>
          <w:p w:rsidR="00000000" w:rsidRDefault="00F5481A">
            <w:pPr>
              <w:spacing w:after="100"/>
              <w:ind w:hanging="180"/>
              <w:divId w:val="536889677"/>
              <w:rPr>
                <w:rFonts w:eastAsia="Times New Roman"/>
              </w:rPr>
            </w:pPr>
            <w:r>
              <w:rPr>
                <w:rFonts w:ascii="IBM Plex Sans" w:eastAsia="Times New Roman" w:hAnsi="IBM Plex Sans"/>
                <w:color w:val="283030"/>
                <w:sz w:val="20"/>
                <w:szCs w:val="20"/>
              </w:rPr>
              <w:t>Impairment of goodwill and other asset</w:t>
            </w:r>
            <w:r>
              <w:rPr>
                <w:rFonts w:ascii="IBM Plex Sans" w:eastAsia="Times New Roman" w:hAnsi="IBM Plex Sans"/>
                <w:color w:val="283030"/>
                <w:sz w:val="20"/>
                <w:szCs w:val="20"/>
              </w:rPr>
              <w:t>s</w:t>
            </w:r>
            <w:r>
              <w:rPr>
                <w:rFonts w:ascii="IBM Plex Sans" w:eastAsia="Times New Roman" w:hAnsi="IBM Plex Sans"/>
                <w:color w:val="283030"/>
                <w:sz w:val="13"/>
                <w:szCs w:val="13"/>
              </w:rPr>
              <w:t>(3</w:t>
            </w:r>
            <w:r>
              <w:rPr>
                <w:rFonts w:ascii="IBM Plex Sans" w:eastAsia="Times New Roman" w:hAnsi="IBM Plex Sans"/>
                <w:color w:val="283030"/>
                <w:sz w:val="13"/>
                <w:szCs w:val="13"/>
              </w:rPr>
              <w:t>)</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(125)</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(132)</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(5 </w:t>
            </w:r>
          </w:p>
        </w:tc>
        <w:tc>
          <w:tcPr>
            <w:tcW w:w="0" w:type="auto"/>
            <w:shd w:val="clear" w:color="auto" w:fill="D7EFF1"/>
            <w:tcMar>
              <w:top w:w="30" w:type="dxa"/>
              <w:left w:w="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vAlign w:val="center"/>
            <w:hideMark/>
          </w:tcPr>
          <w:p w:rsidR="00000000" w:rsidRDefault="00F5481A">
            <w:pPr>
              <w:spacing w:after="100"/>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262341774"/>
        </w:trPr>
        <w:tc>
          <w:tcPr>
            <w:tcW w:w="0" w:type="auto"/>
            <w:gridSpan w:val="3"/>
            <w:shd w:val="clear" w:color="auto" w:fill="FFFFFF"/>
            <w:tcMar>
              <w:top w:w="30" w:type="dxa"/>
              <w:left w:w="200" w:type="dxa"/>
              <w:bottom w:w="30" w:type="dxa"/>
              <w:right w:w="20" w:type="dxa"/>
            </w:tcMar>
            <w:hideMark/>
          </w:tcPr>
          <w:p w:rsidR="00000000" w:rsidRDefault="00F5481A">
            <w:pPr>
              <w:spacing w:after="100"/>
              <w:ind w:hanging="180"/>
              <w:rPr>
                <w:rFonts w:eastAsia="Times New Roman"/>
              </w:rPr>
            </w:pPr>
            <w:r>
              <w:rPr>
                <w:rFonts w:ascii="IBM Plex Sans" w:eastAsia="Times New Roman" w:hAnsi="IBM Plex Sans"/>
                <w:color w:val="283030"/>
                <w:sz w:val="20"/>
                <w:szCs w:val="20"/>
              </w:rPr>
              <w:t>Charges for severance and other termination costs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(29)</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rsidR="00000000" w:rsidRDefault="00F5481A">
            <w:pPr>
              <w:spacing w:after="100"/>
              <w:jc w:val="right"/>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262341774"/>
        </w:trPr>
        <w:tc>
          <w:tcPr>
            <w:tcW w:w="0" w:type="auto"/>
            <w:gridSpan w:val="3"/>
            <w:shd w:val="clear" w:color="auto" w:fill="D7EFF1"/>
            <w:tcMar>
              <w:top w:w="30" w:type="dxa"/>
              <w:left w:w="200" w:type="dxa"/>
              <w:bottom w:w="30" w:type="dxa"/>
              <w:right w:w="20" w:type="dxa"/>
            </w:tcMar>
            <w:hideMark/>
          </w:tcPr>
          <w:p w:rsidR="00000000" w:rsidRDefault="00F5481A">
            <w:pPr>
              <w:spacing w:after="100"/>
              <w:ind w:hanging="180"/>
              <w:rPr>
                <w:rFonts w:eastAsia="Times New Roman"/>
              </w:rPr>
            </w:pPr>
            <w:r>
              <w:rPr>
                <w:rFonts w:ascii="IBM Plex Sans" w:eastAsia="Times New Roman" w:hAnsi="IBM Plex Sans"/>
                <w:color w:val="283030"/>
                <w:sz w:val="20"/>
                <w:szCs w:val="20"/>
              </w:rPr>
              <w:t>Charges related to an additional pre-merger legal contingency</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(31)</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vAlign w:val="center"/>
            <w:hideMark/>
          </w:tcPr>
          <w:p w:rsidR="00000000" w:rsidRDefault="00F5481A">
            <w:pPr>
              <w:spacing w:after="100"/>
              <w:jc w:val="right"/>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262341774"/>
        </w:trPr>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divId w:val="464739527"/>
              <w:rPr>
                <w:rFonts w:eastAsia="Times New Roman"/>
              </w:rPr>
            </w:pPr>
            <w:r>
              <w:rPr>
                <w:rFonts w:ascii="IBM Plex Sans" w:eastAsia="Times New Roman" w:hAnsi="IBM Plex Sans"/>
                <w:color w:val="000000"/>
                <w:sz w:val="20"/>
                <w:szCs w:val="20"/>
              </w:rPr>
              <w:t>FAS/CAS operating adjustmen</w:t>
            </w:r>
            <w:r>
              <w:rPr>
                <w:rFonts w:ascii="IBM Plex Sans" w:eastAsia="Times New Roman" w:hAnsi="IBM Plex Sans"/>
                <w:color w:val="000000"/>
                <w:sz w:val="20"/>
                <w:szCs w:val="20"/>
              </w:rPr>
              <w:t>t</w:t>
            </w:r>
            <w:r>
              <w:rPr>
                <w:rFonts w:ascii="IBM Plex Sans" w:eastAsia="Times New Roman" w:hAnsi="IBM Plex Sans"/>
                <w:color w:val="000000"/>
                <w:sz w:val="13"/>
                <w:szCs w:val="13"/>
              </w:rPr>
              <w:t>(4</w:t>
            </w:r>
            <w:r>
              <w:rPr>
                <w:rFonts w:ascii="IBM Plex Sans" w:eastAsia="Times New Roman" w:hAnsi="IBM Plex Sans"/>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123 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(23 </w:t>
            </w:r>
          </w:p>
        </w:tc>
        <w:tc>
          <w:tcPr>
            <w:tcW w:w="0" w:type="auto"/>
            <w:shd w:val="clear" w:color="auto" w:fill="FFFFFF"/>
            <w:tcMar>
              <w:top w:w="30" w:type="dxa"/>
              <w:left w:w="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(9 </w:t>
            </w:r>
          </w:p>
        </w:tc>
        <w:tc>
          <w:tcPr>
            <w:tcW w:w="0" w:type="auto"/>
            <w:shd w:val="clear" w:color="auto" w:fill="FFFFFF"/>
            <w:tcMar>
              <w:top w:w="30" w:type="dxa"/>
              <w:left w:w="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vAlign w:val="center"/>
            <w:hideMark/>
          </w:tcPr>
          <w:p w:rsidR="00000000" w:rsidRDefault="00F5481A">
            <w:pPr>
              <w:spacing w:after="100"/>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bl>
    <w:p w:rsidR="00000000" w:rsidRDefault="00F5481A">
      <w:pPr>
        <w:divId w:val="1373386264"/>
        <w:rPr>
          <w:rFonts w:eastAsia="Times New Roman"/>
        </w:rPr>
      </w:pPr>
      <w:r>
        <w:rPr>
          <w:rFonts w:ascii="IBM Plex Sans" w:eastAsia="Times New Roman" w:hAnsi="IBM Plex Sans"/>
          <w:color w:val="283030"/>
          <w:sz w:val="16"/>
          <w:szCs w:val="16"/>
        </w:rPr>
        <w:t>______________</w:t>
      </w:r>
    </w:p>
    <w:p w:rsidR="00000000" w:rsidRDefault="00F5481A">
      <w:pPr>
        <w:ind w:hanging="360"/>
        <w:divId w:val="1175654631"/>
        <w:rPr>
          <w:rFonts w:eastAsia="Times New Roman"/>
        </w:rPr>
      </w:pPr>
      <w:r>
        <w:rPr>
          <w:rFonts w:ascii="IBM Plex Sans" w:eastAsia="Times New Roman" w:hAnsi="IBM Plex Sans"/>
          <w:color w:val="283030"/>
          <w:sz w:val="16"/>
          <w:szCs w:val="16"/>
        </w:rPr>
        <w:t>*Not meaningful</w:t>
      </w:r>
    </w:p>
    <w:p w:rsidR="00000000" w:rsidRDefault="00F5481A">
      <w:pPr>
        <w:ind w:hanging="360"/>
        <w:divId w:val="1979721773"/>
        <w:rPr>
          <w:rFonts w:eastAsia="Times New Roman"/>
        </w:rPr>
      </w:pPr>
      <w:r>
        <w:rPr>
          <w:rFonts w:ascii="IBM Plex Sans" w:eastAsia="Times New Roman" w:hAnsi="IBM Plex Sans"/>
          <w:color w:val="283030"/>
          <w:sz w:val="16"/>
          <w:szCs w:val="16"/>
        </w:rPr>
        <w:t>(1)Includes certain corporate-leve</w:t>
      </w:r>
      <w:r>
        <w:rPr>
          <w:rFonts w:ascii="IBM Plex Sans" w:eastAsia="Times New Roman" w:hAnsi="IBM Plex Sans"/>
          <w:color w:val="283030"/>
          <w:sz w:val="16"/>
          <w:szCs w:val="16"/>
        </w:rPr>
        <w:t>l expenses that are not included in management’s evaluation of segment operating performance. For fiscal 2022, also includes $29 million of income from our deferred compensation plans and $13 million of income from GHG emission reduction projects.</w:t>
      </w:r>
    </w:p>
    <w:p w:rsidR="00000000" w:rsidRDefault="00F5481A">
      <w:pPr>
        <w:ind w:hanging="360"/>
        <w:divId w:val="1666784475"/>
        <w:rPr>
          <w:rFonts w:eastAsia="Times New Roman"/>
        </w:rPr>
      </w:pPr>
      <w:r>
        <w:rPr>
          <w:rFonts w:ascii="IBM Plex Sans" w:eastAsia="Times New Roman" w:hAnsi="IBM Plex Sans"/>
          <w:color w:val="283030"/>
          <w:sz w:val="16"/>
          <w:szCs w:val="16"/>
        </w:rPr>
        <w:t>(2)Inclu</w:t>
      </w:r>
      <w:r>
        <w:rPr>
          <w:rFonts w:ascii="IBM Plex Sans" w:eastAsia="Times New Roman" w:hAnsi="IBM Plex Sans"/>
          <w:color w:val="283030"/>
          <w:sz w:val="16"/>
          <w:szCs w:val="16"/>
        </w:rPr>
        <w:t xml:space="preserve">des amortization of identifiable intangible assets acquired in connection with business combinations. Because our acquisitions benefit the entire Company as opposed to any individual segment, the amortization of identifiable intangible assets acquired was </w:t>
      </w:r>
      <w:r>
        <w:rPr>
          <w:rFonts w:ascii="IBM Plex Sans" w:eastAsia="Times New Roman" w:hAnsi="IBM Plex Sans"/>
          <w:color w:val="283030"/>
          <w:sz w:val="16"/>
          <w:szCs w:val="16"/>
        </w:rPr>
        <w:t>not allocated to any segment.</w:t>
      </w:r>
    </w:p>
    <w:p w:rsidR="00000000" w:rsidRDefault="00F5481A">
      <w:pPr>
        <w:ind w:hanging="360"/>
        <w:divId w:val="239406638"/>
        <w:rPr>
          <w:rFonts w:eastAsia="Times New Roman"/>
        </w:rPr>
      </w:pPr>
      <w:r>
        <w:rPr>
          <w:rFonts w:ascii="IBM Plex Sans" w:eastAsia="Times New Roman" w:hAnsi="IBM Plex Sans"/>
          <w:color w:val="283030"/>
          <w:sz w:val="16"/>
          <w:szCs w:val="16"/>
        </w:rPr>
        <w:t>(3)For fiscal 2021, includes: (i) a $62 million non-cash goodwill impairment charge related to our CPS business and (ii) a $63 million non-cash intangible asset impairment charge related to our CTS reporting unit. For fiscal 2</w:t>
      </w:r>
      <w:r>
        <w:rPr>
          <w:rFonts w:ascii="IBM Plex Sans" w:eastAsia="Times New Roman" w:hAnsi="IBM Plex Sans"/>
          <w:color w:val="283030"/>
          <w:sz w:val="16"/>
          <w:szCs w:val="16"/>
        </w:rPr>
        <w:t>020, includes: (i) a $113 million non-cash intangible asset impairment charge related to our Commercial Aviation Solutions reporting unit and (ii) a $14 million non-cash goodwill impairment charge related to the then-potential divestiture of VSE disposal g</w:t>
      </w:r>
      <w:r>
        <w:rPr>
          <w:rFonts w:ascii="IBM Plex Sans" w:eastAsia="Times New Roman" w:hAnsi="IBM Plex Sans"/>
          <w:color w:val="283030"/>
          <w:sz w:val="16"/>
          <w:szCs w:val="16"/>
        </w:rPr>
        <w:t xml:space="preserve">roup, as well as a $5 million non-cash goodwill impairment charge related to the divestiture of the Applied Kilovolts business. See </w:t>
      </w:r>
      <w:r>
        <w:rPr>
          <w:rFonts w:ascii="IBM Plex Sans" w:eastAsia="Times New Roman" w:hAnsi="IBM Plex Sans"/>
          <w:i/>
          <w:iCs/>
          <w:color w:val="283030"/>
          <w:sz w:val="16"/>
          <w:szCs w:val="16"/>
        </w:rPr>
        <w:t>Note 9: Goodwill</w:t>
      </w:r>
      <w:r>
        <w:rPr>
          <w:rFonts w:ascii="IBM Plex Sans" w:eastAsia="Times New Roman" w:hAnsi="IBM Plex Sans"/>
          <w:color w:val="283030"/>
          <w:sz w:val="16"/>
          <w:szCs w:val="16"/>
        </w:rPr>
        <w:t xml:space="preserve"> and </w:t>
      </w:r>
      <w:r>
        <w:rPr>
          <w:rFonts w:ascii="IBM Plex Sans" w:eastAsia="Times New Roman" w:hAnsi="IBM Plex Sans"/>
          <w:i/>
          <w:iCs/>
          <w:color w:val="283030"/>
          <w:sz w:val="16"/>
          <w:szCs w:val="16"/>
        </w:rPr>
        <w:t>Note 10: Intangible Assets</w:t>
      </w:r>
      <w:r>
        <w:rPr>
          <w:rFonts w:ascii="IBM Plex Sans" w:eastAsia="Times New Roman" w:hAnsi="IBM Plex Sans"/>
          <w:color w:val="283030"/>
          <w:sz w:val="16"/>
          <w:szCs w:val="16"/>
        </w:rPr>
        <w:t xml:space="preserve"> </w:t>
      </w:r>
      <w:r>
        <w:rPr>
          <w:rFonts w:ascii="IBM Plex Sans" w:eastAsia="Times New Roman" w:hAnsi="IBM Plex Sans"/>
          <w:color w:val="283030"/>
          <w:sz w:val="16"/>
          <w:szCs w:val="16"/>
        </w:rPr>
        <w:t>in the Notes to the Consolidated Financial Statements for additional information.</w:t>
      </w:r>
    </w:p>
    <w:p w:rsidR="00000000" w:rsidRDefault="00F5481A">
      <w:pPr>
        <w:ind w:hanging="360"/>
        <w:divId w:val="75327490"/>
        <w:rPr>
          <w:rFonts w:eastAsia="Times New Roman"/>
        </w:rPr>
      </w:pPr>
      <w:r>
        <w:rPr>
          <w:rFonts w:ascii="IBM Plex Sans" w:eastAsia="Times New Roman" w:hAnsi="IBM Plex Sans"/>
          <w:color w:val="283030"/>
          <w:sz w:val="16"/>
          <w:szCs w:val="16"/>
        </w:rPr>
        <w:t>(4)Represents the difference between the service cost component of FAS pension and other postretirement benefits (“OPEB”) income and total CAS pension and OPEB cost and repla</w:t>
      </w:r>
      <w:r>
        <w:rPr>
          <w:rFonts w:ascii="IBM Plex Sans" w:eastAsia="Times New Roman" w:hAnsi="IBM Plex Sans"/>
          <w:color w:val="283030"/>
          <w:sz w:val="16"/>
          <w:szCs w:val="16"/>
        </w:rPr>
        <w:t xml:space="preserve">ces the “Pension adjustment” line item previously presented, which included the non-service components of FAS pension and OPEB income. See FAS/CAS operating adjustment table in </w:t>
      </w:r>
      <w:r>
        <w:rPr>
          <w:rFonts w:ascii="IBM Plex Sans" w:eastAsia="Times New Roman" w:hAnsi="IBM Plex Sans"/>
          <w:i/>
          <w:iCs/>
          <w:color w:val="283030"/>
          <w:sz w:val="16"/>
          <w:szCs w:val="16"/>
        </w:rPr>
        <w:t>Note 24: Business Segments</w:t>
      </w:r>
      <w:r>
        <w:rPr>
          <w:rFonts w:ascii="IBM Plex Sans" w:eastAsia="Times New Roman" w:hAnsi="IBM Plex Sans"/>
          <w:color w:val="283030"/>
          <w:sz w:val="16"/>
          <w:szCs w:val="16"/>
        </w:rPr>
        <w:t xml:space="preserve"> in the Notes for additional information regarding FA</w:t>
      </w:r>
      <w:r>
        <w:rPr>
          <w:rFonts w:ascii="IBM Plex Sans" w:eastAsia="Times New Roman" w:hAnsi="IBM Plex Sans"/>
          <w:color w:val="283030"/>
          <w:sz w:val="16"/>
          <w:szCs w:val="16"/>
        </w:rPr>
        <w:t>S/CAS pension adjustments.</w:t>
      </w:r>
    </w:p>
    <w:p w:rsidR="00000000" w:rsidRDefault="00F5481A">
      <w:pPr>
        <w:ind w:firstLine="360"/>
        <w:jc w:val="center"/>
        <w:divId w:val="727387488"/>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40</w:t>
      </w:r>
    </w:p>
    <w:p w:rsidR="00000000" w:rsidRDefault="00F5481A">
      <w:pPr>
        <w:rPr>
          <w:rFonts w:eastAsia="Times New Roman"/>
        </w:rPr>
      </w:pPr>
      <w:r>
        <w:rPr>
          <w:rFonts w:eastAsia="Times New Roman"/>
        </w:rPr>
        <w:pict>
          <v:rect id="_x0000_i1071" style="width:0;height:1.5pt" o:hralign="center" o:hrstd="t" o:hr="t" fillcolor="#a0a0a0" stroked="f"/>
        </w:pict>
      </w:r>
    </w:p>
    <w:p w:rsidR="00000000" w:rsidRDefault="00F5481A">
      <w:pPr>
        <w:ind w:firstLine="360"/>
        <w:divId w:val="1444154789"/>
        <w:rPr>
          <w:rFonts w:eastAsia="Times New Roman"/>
        </w:rPr>
      </w:pPr>
    </w:p>
    <w:p w:rsidR="00000000" w:rsidRDefault="00F5481A">
      <w:pPr>
        <w:divId w:val="1031494415"/>
        <w:rPr>
          <w:rFonts w:eastAsia="Times New Roman"/>
        </w:rPr>
      </w:pPr>
      <w:r>
        <w:rPr>
          <w:rFonts w:ascii="IBM Plex Sans SemiBold" w:eastAsia="Times New Roman" w:hAnsi="IBM Plex Sans SemiBold"/>
          <w:b/>
          <w:bCs/>
          <w:color w:val="016676"/>
          <w:sz w:val="20"/>
          <w:szCs w:val="20"/>
        </w:rPr>
        <w:t>LIQUIDITY, CAPITAL RESOURCES AND FINANCIAL STRATEGIES</w:t>
      </w:r>
    </w:p>
    <w:p w:rsidR="00000000" w:rsidRDefault="00F5481A">
      <w:pPr>
        <w:divId w:val="1429302659"/>
        <w:rPr>
          <w:rFonts w:eastAsia="Times New Roman"/>
        </w:rPr>
      </w:pPr>
      <w:r>
        <w:rPr>
          <w:rFonts w:ascii="IBM Plex Sans SemiBold" w:eastAsia="Times New Roman" w:hAnsi="IBM Plex Sans SemiBold"/>
          <w:b/>
          <w:bCs/>
          <w:color w:val="016676"/>
          <w:sz w:val="20"/>
          <w:szCs w:val="20"/>
        </w:rPr>
        <w:t>Cash Flows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4179"/>
        <w:gridCol w:w="38"/>
        <w:gridCol w:w="133"/>
        <w:gridCol w:w="1109"/>
        <w:gridCol w:w="36"/>
        <w:gridCol w:w="36"/>
        <w:gridCol w:w="36"/>
        <w:gridCol w:w="36"/>
        <w:gridCol w:w="133"/>
        <w:gridCol w:w="1109"/>
        <w:gridCol w:w="36"/>
        <w:gridCol w:w="36"/>
        <w:gridCol w:w="36"/>
        <w:gridCol w:w="36"/>
        <w:gridCol w:w="132"/>
        <w:gridCol w:w="1109"/>
        <w:gridCol w:w="36"/>
      </w:tblGrid>
      <w:tr w:rsidR="00000000">
        <w:trPr>
          <w:divId w:val="1429302659"/>
        </w:trPr>
        <w:tc>
          <w:tcPr>
            <w:tcW w:w="50" w:type="pct"/>
            <w:vAlign w:val="center"/>
            <w:hideMark/>
          </w:tcPr>
          <w:p w:rsidR="00000000" w:rsidRDefault="00F5481A">
            <w:pPr>
              <w:rPr>
                <w:rFonts w:eastAsia="Times New Roman"/>
              </w:rPr>
            </w:pPr>
          </w:p>
        </w:tc>
        <w:tc>
          <w:tcPr>
            <w:tcW w:w="2581"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1429302659"/>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15"/>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Fiscal Year Ended</w:t>
            </w:r>
          </w:p>
        </w:tc>
      </w:tr>
      <w:tr w:rsidR="00000000">
        <w:trPr>
          <w:divId w:val="1429302659"/>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January 1, 2021</w:t>
            </w:r>
          </w:p>
        </w:tc>
      </w:tr>
      <w:tr w:rsidR="00000000">
        <w:trPr>
          <w:divId w:val="1429302659"/>
          <w:trHeight w:val="6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429302659"/>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Cash and cash equivalents, beginning of period</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941 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1,276 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824 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429302659"/>
        </w:trPr>
        <w:tc>
          <w:tcPr>
            <w:tcW w:w="0" w:type="auto"/>
            <w:gridSpan w:val="3"/>
            <w:shd w:val="clear" w:color="auto" w:fill="FFFFFF"/>
            <w:tcMar>
              <w:top w:w="30" w:type="dxa"/>
              <w:left w:w="26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Operating activities:</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429302659"/>
        </w:trPr>
        <w:tc>
          <w:tcPr>
            <w:tcW w:w="0" w:type="auto"/>
            <w:gridSpan w:val="3"/>
            <w:shd w:val="clear" w:color="auto" w:fill="D7EFF1"/>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Net income</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1,061 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1,842 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1,086 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429302659"/>
        </w:trPr>
        <w:tc>
          <w:tcPr>
            <w:tcW w:w="0" w:type="auto"/>
            <w:gridSpan w:val="3"/>
            <w:shd w:val="clear" w:color="auto" w:fill="FFFFFF"/>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Non-cash adjustments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1,067 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843 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1,594 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429302659"/>
        </w:trPr>
        <w:tc>
          <w:tcPr>
            <w:tcW w:w="0" w:type="auto"/>
            <w:gridSpan w:val="3"/>
            <w:shd w:val="clear" w:color="auto" w:fill="D7EFF1"/>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Changes in working capital</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(196)</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(63)</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(119)</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429302659"/>
        </w:trPr>
        <w:tc>
          <w:tcPr>
            <w:tcW w:w="0" w:type="auto"/>
            <w:gridSpan w:val="3"/>
            <w:shd w:val="clear" w:color="auto" w:fill="FFFFFF"/>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Other, net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226 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229 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429302659"/>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Net cash provided by operating activities</w:t>
            </w:r>
          </w:p>
        </w:tc>
        <w:tc>
          <w:tcPr>
            <w:tcW w:w="0" w:type="auto"/>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2,158 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2,687 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2,790 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429302659"/>
        </w:trPr>
        <w:tc>
          <w:tcPr>
            <w:tcW w:w="0" w:type="auto"/>
            <w:gridSpan w:val="3"/>
            <w:shd w:val="clear" w:color="auto" w:fill="FFFFFF"/>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Net cash (used in) provided by investing activities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(250)</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1,394 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751 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429302659"/>
        </w:trPr>
        <w:tc>
          <w:tcPr>
            <w:tcW w:w="0" w:type="auto"/>
            <w:gridSpan w:val="3"/>
            <w:shd w:val="clear" w:color="auto" w:fill="D7EFF1"/>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Net cash used in financing activities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(1,951)</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(4,413)</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(3,112)</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429302659"/>
        </w:trPr>
        <w:tc>
          <w:tcPr>
            <w:tcW w:w="0" w:type="auto"/>
            <w:gridSpan w:val="3"/>
            <w:shd w:val="clear" w:color="auto" w:fill="FFFFFF"/>
            <w:tcMar>
              <w:top w:w="30" w:type="dxa"/>
              <w:left w:w="320" w:type="dxa"/>
              <w:bottom w:w="30" w:type="dxa"/>
              <w:right w:w="20" w:type="dxa"/>
            </w:tcMar>
            <w:hideMark/>
          </w:tcPr>
          <w:p w:rsidR="00000000" w:rsidRDefault="00F5481A">
            <w:pPr>
              <w:spacing w:after="100"/>
              <w:ind w:hanging="180"/>
              <w:rPr>
                <w:rFonts w:eastAsia="Times New Roman"/>
              </w:rPr>
            </w:pPr>
            <w:r>
              <w:rPr>
                <w:rFonts w:ascii="IBM Plex Sans" w:eastAsia="Times New Roman" w:hAnsi="IBM Plex Sans"/>
                <w:color w:val="283030"/>
                <w:sz w:val="20"/>
                <w:szCs w:val="20"/>
              </w:rPr>
              <w:t>Effect of exchange rate changes on cash and cash equivalents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23 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429302659"/>
        </w:trPr>
        <w:tc>
          <w:tcPr>
            <w:tcW w:w="0" w:type="auto"/>
            <w:gridSpan w:val="3"/>
            <w:shd w:val="clear" w:color="auto" w:fill="D7EFF1"/>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Net (decrease) increase in cash and cash equivalents</w:t>
            </w:r>
          </w:p>
        </w:tc>
        <w:tc>
          <w:tcPr>
            <w:tcW w:w="0" w:type="auto"/>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(61)</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(335)</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452 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429302659"/>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Cash and cash equivalents, end of period</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1,276 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bl>
    <w:p w:rsidR="00000000" w:rsidRDefault="00F5481A">
      <w:pPr>
        <w:ind w:firstLine="360"/>
        <w:divId w:val="1616477987"/>
        <w:rPr>
          <w:rFonts w:eastAsia="Times New Roman"/>
        </w:rPr>
      </w:pPr>
      <w:r>
        <w:rPr>
          <w:rFonts w:ascii="IBM Plex Sans" w:eastAsia="Times New Roman" w:hAnsi="IBM Plex Sans"/>
          <w:b/>
          <w:bCs/>
          <w:i/>
          <w:iCs/>
          <w:color w:val="016676"/>
          <w:sz w:val="20"/>
          <w:szCs w:val="20"/>
        </w:rPr>
        <w:t>Net cash provided by operating activities: </w:t>
      </w:r>
      <w:r>
        <w:rPr>
          <w:rFonts w:ascii="IBM Plex Sans" w:eastAsia="Times New Roman" w:hAnsi="IBM Plex Sans"/>
          <w:color w:val="283030"/>
          <w:sz w:val="20"/>
          <w:szCs w:val="20"/>
        </w:rPr>
        <w:t>The $529 million decrease in net cash provided by operating activities in fiscal 2022 compared with fiscal 2021 was primarily due to a decreas</w:t>
      </w:r>
      <w:r>
        <w:rPr>
          <w:rFonts w:ascii="IBM Plex Sans" w:eastAsia="Times New Roman" w:hAnsi="IBM Plex Sans"/>
          <w:color w:val="283030"/>
          <w:sz w:val="20"/>
          <w:szCs w:val="20"/>
        </w:rPr>
        <w:t xml:space="preserve">e in net income, excluding the impact of non-cash items, a $133 million increase in cash used to fund working capital, which primarily related to the change in accounts receivable, contract assets and liabilities, inventories and accounts payable from the </w:t>
      </w:r>
      <w:r>
        <w:rPr>
          <w:rFonts w:ascii="IBM Plex Sans" w:eastAsia="Times New Roman" w:hAnsi="IBM Plex Sans"/>
          <w:color w:val="283030"/>
          <w:sz w:val="20"/>
          <w:szCs w:val="20"/>
        </w:rPr>
        <w:t>timing of contractual billing milestones and delivery of products and a $123 million increase in cash payments for sundry taxes including sales and use, property and payroll related tax obligations.</w:t>
      </w:r>
    </w:p>
    <w:p w:rsidR="00000000" w:rsidRDefault="00F5481A">
      <w:pPr>
        <w:ind w:firstLine="360"/>
        <w:divId w:val="493684110"/>
        <w:rPr>
          <w:rFonts w:eastAsia="Times New Roman"/>
        </w:rPr>
      </w:pPr>
      <w:r>
        <w:rPr>
          <w:rFonts w:ascii="IBM Plex Sans" w:eastAsia="Times New Roman" w:hAnsi="IBM Plex Sans"/>
          <w:color w:val="283030"/>
          <w:sz w:val="20"/>
          <w:szCs w:val="20"/>
        </w:rPr>
        <w:t>Cash flow from operations was positive in all of our busi</w:t>
      </w:r>
      <w:r>
        <w:rPr>
          <w:rFonts w:ascii="IBM Plex Sans" w:eastAsia="Times New Roman" w:hAnsi="IBM Plex Sans"/>
          <w:color w:val="283030"/>
          <w:sz w:val="20"/>
          <w:szCs w:val="20"/>
        </w:rPr>
        <w:t>ness segments in fiscal 2022.</w:t>
      </w:r>
    </w:p>
    <w:p w:rsidR="00000000" w:rsidRDefault="00F5481A">
      <w:pPr>
        <w:ind w:firstLine="360"/>
        <w:divId w:val="483661768"/>
        <w:rPr>
          <w:rFonts w:eastAsia="Times New Roman"/>
        </w:rPr>
      </w:pPr>
      <w:r>
        <w:rPr>
          <w:rFonts w:ascii="IBM Plex Sans" w:eastAsia="Times New Roman" w:hAnsi="IBM Plex Sans"/>
          <w:b/>
          <w:bCs/>
          <w:i/>
          <w:iCs/>
          <w:color w:val="016676"/>
          <w:sz w:val="20"/>
          <w:szCs w:val="20"/>
        </w:rPr>
        <w:t>Net cash (used in) provided by investing activities: </w:t>
      </w:r>
      <w:r>
        <w:rPr>
          <w:rFonts w:ascii="IBM Plex Sans" w:eastAsia="Times New Roman" w:hAnsi="IBM Plex Sans"/>
          <w:color w:val="283030"/>
          <w:sz w:val="20"/>
          <w:szCs w:val="20"/>
        </w:rPr>
        <w:t xml:space="preserve">The $1,644 million increase in net cash used in investing activities in fiscal 2022 compared with fiscal 2021 was primarily due to a $1,724 million decrease in net proceeds </w:t>
      </w:r>
      <w:r>
        <w:rPr>
          <w:rFonts w:ascii="IBM Plex Sans" w:eastAsia="Times New Roman" w:hAnsi="IBM Plex Sans"/>
          <w:color w:val="283030"/>
          <w:sz w:val="20"/>
          <w:szCs w:val="20"/>
        </w:rPr>
        <w:t>from the sales of businesses and a $33 million increase in cash used for equity investments, partially offset by a $90 million decrease in net cash used for additions of property, plant and equipment in fiscal 2022.</w:t>
      </w:r>
    </w:p>
    <w:p w:rsidR="00000000" w:rsidRDefault="00F5481A">
      <w:pPr>
        <w:ind w:firstLine="360"/>
        <w:divId w:val="1405252557"/>
        <w:rPr>
          <w:rFonts w:eastAsia="Times New Roman"/>
        </w:rPr>
      </w:pPr>
      <w:r>
        <w:rPr>
          <w:rFonts w:ascii="IBM Plex Sans" w:eastAsia="Times New Roman" w:hAnsi="IBM Plex Sans"/>
          <w:b/>
          <w:bCs/>
          <w:i/>
          <w:iCs/>
          <w:color w:val="016676"/>
          <w:sz w:val="20"/>
          <w:szCs w:val="20"/>
        </w:rPr>
        <w:t>Net cash used in financing activities: </w:t>
      </w:r>
      <w:r>
        <w:rPr>
          <w:rFonts w:ascii="IBM Plex Sans" w:eastAsia="Times New Roman" w:hAnsi="IBM Plex Sans"/>
          <w:color w:val="283030"/>
          <w:sz w:val="20"/>
          <w:szCs w:val="20"/>
        </w:rPr>
        <w:t>T</w:t>
      </w:r>
      <w:r>
        <w:rPr>
          <w:rFonts w:ascii="IBM Plex Sans" w:eastAsia="Times New Roman" w:hAnsi="IBM Plex Sans"/>
          <w:color w:val="283030"/>
          <w:sz w:val="20"/>
          <w:szCs w:val="20"/>
        </w:rPr>
        <w:t>he $2,462 million decrease in net cash used in financing activities in fiscal 2022 compared with fiscal 2021 was primarily due to a $2,592 million decrease in cash used to repurchase our common stock, partially offset by a $47 million increase in cash used</w:t>
      </w:r>
      <w:r>
        <w:rPr>
          <w:rFonts w:ascii="IBM Plex Sans" w:eastAsia="Times New Roman" w:hAnsi="IBM Plex Sans"/>
          <w:color w:val="283030"/>
          <w:sz w:val="20"/>
          <w:szCs w:val="20"/>
        </w:rPr>
        <w:t xml:space="preserve"> to pay dividends, a $40 million increase in cash used to pay tax withholding associated with vested share-based awards and a $40 million decrease in proceeds from exercises of employee stock options. </w:t>
      </w:r>
    </w:p>
    <w:p w:rsidR="00000000" w:rsidRDefault="00F5481A">
      <w:pPr>
        <w:divId w:val="909926152"/>
        <w:rPr>
          <w:rFonts w:eastAsia="Times New Roman"/>
        </w:rPr>
      </w:pPr>
      <w:r>
        <w:rPr>
          <w:rFonts w:ascii="IBM Plex Sans SemiBold" w:eastAsia="Times New Roman" w:hAnsi="IBM Plex Sans SemiBold"/>
          <w:b/>
          <w:bCs/>
          <w:color w:val="016676"/>
          <w:sz w:val="20"/>
          <w:szCs w:val="20"/>
        </w:rPr>
        <w:t xml:space="preserve">Cash and cash equivalents </w:t>
      </w:r>
    </w:p>
    <w:p w:rsidR="00000000" w:rsidRDefault="00F5481A">
      <w:pPr>
        <w:ind w:firstLine="360"/>
        <w:divId w:val="1499616798"/>
        <w:rPr>
          <w:rFonts w:eastAsia="Times New Roman"/>
        </w:rPr>
      </w:pPr>
      <w:r>
        <w:rPr>
          <w:rFonts w:ascii="IBM Plex Sans" w:eastAsia="Times New Roman" w:hAnsi="IBM Plex Sans"/>
          <w:color w:val="283030"/>
          <w:sz w:val="20"/>
          <w:szCs w:val="20"/>
        </w:rPr>
        <w:t>We ended fiscal 2022 with c</w:t>
      </w:r>
      <w:r>
        <w:rPr>
          <w:rFonts w:ascii="IBM Plex Sans" w:eastAsia="Times New Roman" w:hAnsi="IBM Plex Sans"/>
          <w:color w:val="283030"/>
          <w:sz w:val="20"/>
          <w:szCs w:val="20"/>
        </w:rPr>
        <w:t>ash and cash equivalents of $880 million and have a senior unsecured $2.0 billion revolving credit facility that expires in July 2027 (all of which was available to us as of December 30, 2022). As of December 30, 2022, $309 million of cash and cash equival</w:t>
      </w:r>
      <w:r>
        <w:rPr>
          <w:rFonts w:ascii="IBM Plex Sans" w:eastAsia="Times New Roman" w:hAnsi="IBM Plex Sans"/>
          <w:color w:val="283030"/>
          <w:sz w:val="20"/>
          <w:szCs w:val="20"/>
        </w:rPr>
        <w:t>ents were held by our foreign subsidiaries, a significant portion of which we believe can be repatriated to the U.S. with minimal tax cost.</w:t>
      </w:r>
    </w:p>
    <w:p w:rsidR="00000000" w:rsidRDefault="00F5481A">
      <w:pPr>
        <w:divId w:val="1678540581"/>
        <w:rPr>
          <w:rFonts w:eastAsia="Times New Roman"/>
        </w:rPr>
      </w:pPr>
      <w:r>
        <w:rPr>
          <w:rFonts w:ascii="IBM Plex Sans SemiBold" w:eastAsia="Times New Roman" w:hAnsi="IBM Plex Sans SemiBold"/>
          <w:b/>
          <w:bCs/>
          <w:color w:val="016676"/>
          <w:sz w:val="20"/>
          <w:szCs w:val="20"/>
        </w:rPr>
        <w:t>Capital Structure and Resources</w:t>
      </w:r>
    </w:p>
    <w:p w:rsidR="00000000" w:rsidRDefault="00F5481A">
      <w:pPr>
        <w:ind w:firstLine="360"/>
        <w:divId w:val="1254164416"/>
        <w:rPr>
          <w:rFonts w:eastAsia="Times New Roman"/>
        </w:rPr>
      </w:pPr>
      <w:r>
        <w:rPr>
          <w:rFonts w:ascii="IBM Plex Sans" w:eastAsia="Times New Roman" w:hAnsi="IBM Plex Sans"/>
          <w:color w:val="283030"/>
          <w:sz w:val="20"/>
          <w:szCs w:val="20"/>
        </w:rPr>
        <w:t>We had $7.0 billion of long-term debt, net, including the current portion of long-te</w:t>
      </w:r>
      <w:r>
        <w:rPr>
          <w:rFonts w:ascii="IBM Plex Sans" w:eastAsia="Times New Roman" w:hAnsi="IBM Plex Sans"/>
          <w:color w:val="283030"/>
          <w:sz w:val="20"/>
          <w:szCs w:val="20"/>
        </w:rPr>
        <w:t xml:space="preserve">rm debt, net and financing lease obligations, outstanding at December 30, 2022, the majority of which we incurred in connection with merger and acquisition activity. For further information regarding our long-term debt, see </w:t>
      </w:r>
      <w:r>
        <w:rPr>
          <w:rFonts w:ascii="IBM Plex Sans" w:eastAsia="Times New Roman" w:hAnsi="IBM Plex Sans"/>
          <w:i/>
          <w:iCs/>
          <w:color w:val="283030"/>
          <w:sz w:val="20"/>
          <w:szCs w:val="20"/>
        </w:rPr>
        <w:t xml:space="preserve">Note 13: Debt </w:t>
      </w:r>
      <w:r>
        <w:rPr>
          <w:rFonts w:ascii="IBM Plex Sans" w:eastAsia="Times New Roman" w:hAnsi="IBM Plex Sans"/>
          <w:color w:val="283030"/>
          <w:sz w:val="20"/>
          <w:szCs w:val="20"/>
        </w:rPr>
        <w:t xml:space="preserve">in the Notes. </w:t>
      </w:r>
    </w:p>
    <w:p w:rsidR="00000000" w:rsidRDefault="00F5481A">
      <w:pPr>
        <w:ind w:firstLine="360"/>
        <w:divId w:val="1400513495"/>
        <w:rPr>
          <w:rFonts w:eastAsia="Times New Roman"/>
        </w:rPr>
      </w:pPr>
      <w:r>
        <w:rPr>
          <w:rFonts w:ascii="IBM Plex Sans" w:eastAsia="Times New Roman" w:hAnsi="IBM Plex Sans"/>
          <w:b/>
          <w:bCs/>
          <w:i/>
          <w:iCs/>
          <w:color w:val="016676"/>
          <w:sz w:val="20"/>
          <w:szCs w:val="20"/>
        </w:rPr>
        <w:t>2022 Credit Agreement.</w:t>
      </w:r>
      <w:r>
        <w:rPr>
          <w:rFonts w:ascii="IBM Plex Sans" w:eastAsia="Times New Roman" w:hAnsi="IBM Plex Sans"/>
          <w:color w:val="283030"/>
          <w:sz w:val="20"/>
          <w:szCs w:val="20"/>
        </w:rPr>
        <w:t xml:space="preserve"> We have a $2.0 billion, 5-year senior unsecured revolving credit facility (the “2022 Credit Facility”) under a Revolving Credit Agreement (the “2022 Credit Agreement”) entered into on July 29, 2022 with a syndicate of lenders, which </w:t>
      </w:r>
      <w:r>
        <w:rPr>
          <w:rFonts w:ascii="IBM Plex Sans" w:eastAsia="Times New Roman" w:hAnsi="IBM Plex Sans"/>
          <w:color w:val="283030"/>
          <w:sz w:val="20"/>
          <w:szCs w:val="20"/>
        </w:rPr>
        <w:t xml:space="preserve">the lenders may agree to increase by up to $1.0 billion upon our request. The description of the 2022 Credit Facility and the 2022 Credit Agreement set forth in </w:t>
      </w:r>
      <w:r>
        <w:rPr>
          <w:rFonts w:ascii="IBM Plex Sans" w:eastAsia="Times New Roman" w:hAnsi="IBM Plex Sans"/>
          <w:i/>
          <w:iCs/>
          <w:color w:val="283030"/>
          <w:sz w:val="20"/>
          <w:szCs w:val="20"/>
        </w:rPr>
        <w:t>Note 12: Credit Arrangements</w:t>
      </w:r>
      <w:r>
        <w:rPr>
          <w:rFonts w:ascii="IBM Plex Sans" w:eastAsia="Times New Roman" w:hAnsi="IBM Plex Sans"/>
          <w:color w:val="283030"/>
          <w:sz w:val="20"/>
          <w:szCs w:val="20"/>
        </w:rPr>
        <w:t xml:space="preserve"> in the Notes is incorporated herein by reference.</w:t>
      </w:r>
    </w:p>
    <w:p w:rsidR="00000000" w:rsidRDefault="00F5481A">
      <w:pPr>
        <w:ind w:firstLine="360"/>
        <w:jc w:val="center"/>
        <w:divId w:val="1909073359"/>
        <w:rPr>
          <w:rFonts w:eastAsia="Times New Roman"/>
        </w:rPr>
      </w:pPr>
      <w:r>
        <w:rPr>
          <w:rFonts w:ascii="Arial" w:eastAsia="Times New Roman" w:hAnsi="Arial" w:cs="Arial"/>
          <w:b/>
          <w:bCs/>
          <w:color w:val="016676"/>
        </w:rPr>
        <w:t>________________</w:t>
      </w:r>
      <w:r>
        <w:rPr>
          <w:rFonts w:ascii="Arial" w:eastAsia="Times New Roman" w:hAnsi="Arial" w:cs="Arial"/>
          <w:b/>
          <w:bCs/>
          <w:color w:val="016676"/>
        </w:rPr>
        <w:t>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41</w:t>
      </w:r>
    </w:p>
    <w:p w:rsidR="00000000" w:rsidRDefault="00F5481A">
      <w:pPr>
        <w:rPr>
          <w:rFonts w:eastAsia="Times New Roman"/>
        </w:rPr>
      </w:pPr>
      <w:r>
        <w:rPr>
          <w:rFonts w:eastAsia="Times New Roman"/>
        </w:rPr>
        <w:pict>
          <v:rect id="_x0000_i1072" style="width:0;height:1.5pt" o:hralign="center" o:hrstd="t" o:hr="t" fillcolor="#a0a0a0" stroked="f"/>
        </w:pict>
      </w:r>
    </w:p>
    <w:p w:rsidR="00000000" w:rsidRDefault="00F5481A">
      <w:pPr>
        <w:ind w:firstLine="360"/>
        <w:divId w:val="1216622094"/>
        <w:rPr>
          <w:rFonts w:eastAsia="Times New Roman"/>
        </w:rPr>
      </w:pPr>
    </w:p>
    <w:p w:rsidR="00000000" w:rsidRDefault="00F5481A">
      <w:pPr>
        <w:ind w:firstLine="360"/>
        <w:divId w:val="1921864739"/>
        <w:rPr>
          <w:rFonts w:eastAsia="Times New Roman"/>
        </w:rPr>
      </w:pPr>
      <w:r>
        <w:rPr>
          <w:rFonts w:ascii="IBM Plex Sans" w:eastAsia="Times New Roman" w:hAnsi="IBM Plex Sans"/>
          <w:color w:val="283030"/>
          <w:sz w:val="20"/>
          <w:szCs w:val="20"/>
        </w:rPr>
        <w:t>We were in compliance with the covenants in the 2022 Credit Agreement at December 30, 2022, including the covenant requiring that we not permit our ratio of con</w:t>
      </w:r>
      <w:r>
        <w:rPr>
          <w:rFonts w:ascii="IBM Plex Sans" w:eastAsia="Times New Roman" w:hAnsi="IBM Plex Sans"/>
          <w:color w:val="283030"/>
          <w:sz w:val="20"/>
          <w:szCs w:val="20"/>
        </w:rPr>
        <w:t>solidated total indebtedness to total capital to be greater than 0.65 to 1.00, as defined in the 2022 Credit Agreement. At December 30, 2022, we had no borrowings outstanding under the 2022 Credit Agreement.</w:t>
      </w:r>
    </w:p>
    <w:p w:rsidR="00000000" w:rsidRDefault="00F5481A">
      <w:pPr>
        <w:ind w:firstLine="360"/>
        <w:divId w:val="1366757952"/>
        <w:rPr>
          <w:rFonts w:eastAsia="Times New Roman"/>
        </w:rPr>
      </w:pPr>
      <w:r>
        <w:rPr>
          <w:rFonts w:ascii="IBM Plex Sans" w:eastAsia="Times New Roman" w:hAnsi="IBM Plex Sans"/>
          <w:b/>
          <w:bCs/>
          <w:i/>
          <w:iCs/>
          <w:color w:val="016676"/>
          <w:sz w:val="20"/>
          <w:szCs w:val="20"/>
        </w:rPr>
        <w:t>AJRD Acquisition</w:t>
      </w:r>
      <w:r>
        <w:rPr>
          <w:rFonts w:ascii="IBM Plex Sans" w:eastAsia="Times New Roman" w:hAnsi="IBM Plex Sans"/>
          <w:color w:val="283030"/>
          <w:sz w:val="20"/>
          <w:szCs w:val="20"/>
        </w:rPr>
        <w:t>. As disclosed in “Item 1. Busin</w:t>
      </w:r>
      <w:r>
        <w:rPr>
          <w:rFonts w:ascii="IBM Plex Sans" w:eastAsia="Times New Roman" w:hAnsi="IBM Plex Sans"/>
          <w:color w:val="283030"/>
          <w:sz w:val="20"/>
          <w:szCs w:val="20"/>
        </w:rPr>
        <w:t>ess - General,” on December 17, 2022, we entered into a definitive agreement to acquire AJRD, as described in “Pending Acquisition of AJRD” above. If the transaction is completed, we expect to fund the approximately $4.7 billion purchase price primarily th</w:t>
      </w:r>
      <w:r>
        <w:rPr>
          <w:rFonts w:ascii="IBM Plex Sans" w:eastAsia="Times New Roman" w:hAnsi="IBM Plex Sans"/>
          <w:color w:val="283030"/>
          <w:sz w:val="20"/>
          <w:szCs w:val="20"/>
        </w:rPr>
        <w:t>rough debt financing.</w:t>
      </w:r>
    </w:p>
    <w:p w:rsidR="00000000" w:rsidRDefault="00F5481A">
      <w:pPr>
        <w:ind w:firstLine="360"/>
        <w:divId w:val="618490845"/>
        <w:rPr>
          <w:rFonts w:eastAsia="Times New Roman"/>
        </w:rPr>
      </w:pPr>
      <w:r>
        <w:rPr>
          <w:rFonts w:ascii="IBM Plex Sans" w:eastAsia="Times New Roman" w:hAnsi="IBM Plex Sans"/>
          <w:b/>
          <w:bCs/>
          <w:i/>
          <w:iCs/>
          <w:color w:val="016676"/>
          <w:sz w:val="20"/>
          <w:szCs w:val="20"/>
        </w:rPr>
        <w:t>Short-Term Debt</w:t>
      </w:r>
      <w:r>
        <w:rPr>
          <w:rFonts w:ascii="IBM Plex Sans" w:eastAsia="Times New Roman" w:hAnsi="IBM Plex Sans"/>
          <w:b/>
          <w:bCs/>
          <w:i/>
          <w:iCs/>
          <w:color w:val="283030"/>
          <w:sz w:val="20"/>
          <w:szCs w:val="20"/>
        </w:rPr>
        <w:t>.</w:t>
      </w:r>
      <w:r>
        <w:rPr>
          <w:rFonts w:ascii="IBM Plex Sans" w:eastAsia="Times New Roman" w:hAnsi="IBM Plex Sans"/>
          <w:color w:val="283030"/>
          <w:sz w:val="20"/>
          <w:szCs w:val="20"/>
        </w:rPr>
        <w:t> Our short-term debt was $2 million at December 30, 2022, consisting of local borrowing by international subsidiaries for working capital needs. Our commercial paper program was supported by the 2022 Credit Facility an</w:t>
      </w:r>
      <w:r>
        <w:rPr>
          <w:rFonts w:ascii="IBM Plex Sans" w:eastAsia="Times New Roman" w:hAnsi="IBM Plex Sans"/>
          <w:color w:val="283030"/>
          <w:sz w:val="20"/>
          <w:szCs w:val="20"/>
        </w:rPr>
        <w:t>d our prior $2.0 billion, 5-year senior unsecured revolving credit facility established in June 2019 (the “2019 Credit Facility”) during fiscal 2022. See Note 12: Credit Arrangements in the Notes for additional information regarding credit arrangements.</w:t>
      </w:r>
    </w:p>
    <w:p w:rsidR="00000000" w:rsidRDefault="00F5481A">
      <w:pPr>
        <w:ind w:firstLine="360"/>
        <w:divId w:val="383407011"/>
        <w:rPr>
          <w:rFonts w:eastAsia="Times New Roman"/>
        </w:rPr>
      </w:pPr>
      <w:r>
        <w:rPr>
          <w:rFonts w:ascii="IBM Plex Sans" w:eastAsia="Times New Roman" w:hAnsi="IBM Plex Sans"/>
          <w:b/>
          <w:bCs/>
          <w:i/>
          <w:iCs/>
          <w:color w:val="016676"/>
          <w:sz w:val="20"/>
          <w:szCs w:val="20"/>
        </w:rPr>
        <w:t>Lo</w:t>
      </w:r>
      <w:r>
        <w:rPr>
          <w:rFonts w:ascii="IBM Plex Sans" w:eastAsia="Times New Roman" w:hAnsi="IBM Plex Sans"/>
          <w:b/>
          <w:bCs/>
          <w:i/>
          <w:iCs/>
          <w:color w:val="016676"/>
          <w:sz w:val="20"/>
          <w:szCs w:val="20"/>
        </w:rPr>
        <w:t>ng-Term Variable-Rate Debt.</w:t>
      </w:r>
      <w:r>
        <w:rPr>
          <w:rFonts w:ascii="IBM Plex Sans" w:eastAsia="Times New Roman" w:hAnsi="IBM Plex Sans"/>
          <w:color w:val="283030"/>
          <w:sz w:val="20"/>
          <w:szCs w:val="20"/>
        </w:rPr>
        <w:t xml:space="preserve"> The description of our long-term variable-rate debt set forth in </w:t>
      </w:r>
      <w:r>
        <w:rPr>
          <w:rFonts w:ascii="IBM Plex Sans" w:eastAsia="Times New Roman" w:hAnsi="IBM Plex Sans"/>
          <w:i/>
          <w:iCs/>
          <w:color w:val="283030"/>
          <w:sz w:val="20"/>
          <w:szCs w:val="20"/>
        </w:rPr>
        <w:t>Note 13: Debt</w:t>
      </w:r>
      <w:r>
        <w:rPr>
          <w:rFonts w:ascii="IBM Plex Sans" w:eastAsia="Times New Roman" w:hAnsi="IBM Plex Sans"/>
          <w:color w:val="283030"/>
          <w:sz w:val="20"/>
          <w:szCs w:val="20"/>
        </w:rPr>
        <w:t xml:space="preserve"> in the Notes is incorporated herein by reference. On November 22, 2022, we established a new $2.25 billion, three-year senior unsecured term loan fac</w:t>
      </w:r>
      <w:r>
        <w:rPr>
          <w:rFonts w:ascii="IBM Plex Sans" w:eastAsia="Times New Roman" w:hAnsi="IBM Plex Sans"/>
          <w:color w:val="283030"/>
          <w:sz w:val="20"/>
          <w:szCs w:val="20"/>
        </w:rPr>
        <w:t xml:space="preserve">ility by entering into a Loan Agreement with a syndicate of lenders. The purpose of the loan is to finance the $1.96 billion acquisition of the TDL product line and the repayment of the $250 million Floating Rate Notes due March 2023 (“Floating Rate Notes </w:t>
      </w:r>
      <w:r>
        <w:rPr>
          <w:rFonts w:ascii="IBM Plex Sans" w:eastAsia="Times New Roman" w:hAnsi="IBM Plex Sans"/>
          <w:color w:val="283030"/>
          <w:sz w:val="20"/>
          <w:szCs w:val="20"/>
        </w:rPr>
        <w:t>2023”). During the first quarter of 2023, the Floating Rate Notes due March 2023 will be repaid and refinanced as long-term debt through the Term Loan 2025; therefore, the Floating Rate Notes due March 2023 have been classified as long-term debt in our Con</w:t>
      </w:r>
      <w:r>
        <w:rPr>
          <w:rFonts w:ascii="IBM Plex Sans" w:eastAsia="Times New Roman" w:hAnsi="IBM Plex Sans"/>
          <w:color w:val="283030"/>
          <w:sz w:val="20"/>
          <w:szCs w:val="20"/>
        </w:rPr>
        <w:t>solidated Balance Sheet as of December 30, 2022.</w:t>
      </w:r>
    </w:p>
    <w:p w:rsidR="00000000" w:rsidRDefault="00F5481A">
      <w:pPr>
        <w:ind w:firstLine="360"/>
        <w:divId w:val="985353445"/>
        <w:rPr>
          <w:rFonts w:eastAsia="Times New Roman"/>
        </w:rPr>
      </w:pPr>
      <w:r>
        <w:rPr>
          <w:rFonts w:ascii="IBM Plex Sans" w:eastAsia="Times New Roman" w:hAnsi="IBM Plex Sans"/>
          <w:b/>
          <w:bCs/>
          <w:i/>
          <w:iCs/>
          <w:color w:val="016676"/>
          <w:sz w:val="20"/>
          <w:szCs w:val="20"/>
        </w:rPr>
        <w:t>Long-Term Fixed-Rate Debt.</w:t>
      </w:r>
      <w:r>
        <w:rPr>
          <w:rFonts w:ascii="IBM Plex Sans" w:eastAsia="Times New Roman" w:hAnsi="IBM Plex Sans"/>
          <w:b/>
          <w:bCs/>
          <w:color w:val="283030"/>
          <w:sz w:val="20"/>
          <w:szCs w:val="20"/>
        </w:rPr>
        <w:t> </w:t>
      </w:r>
      <w:r>
        <w:rPr>
          <w:rFonts w:ascii="IBM Plex Sans" w:eastAsia="Times New Roman" w:hAnsi="IBM Plex Sans"/>
          <w:color w:val="283030"/>
          <w:sz w:val="20"/>
          <w:szCs w:val="20"/>
        </w:rPr>
        <w:t xml:space="preserve">The description of our long-term fixed-rate debt set forth in </w:t>
      </w:r>
      <w:r>
        <w:rPr>
          <w:rFonts w:ascii="IBM Plex Sans" w:eastAsia="Times New Roman" w:hAnsi="IBM Plex Sans"/>
          <w:i/>
          <w:iCs/>
          <w:color w:val="283030"/>
          <w:sz w:val="20"/>
          <w:szCs w:val="20"/>
        </w:rPr>
        <w:t>Note 13: Debt</w:t>
      </w:r>
      <w:r>
        <w:rPr>
          <w:rFonts w:ascii="IBM Plex Sans" w:eastAsia="Times New Roman" w:hAnsi="IBM Plex Sans"/>
          <w:color w:val="283030"/>
          <w:sz w:val="20"/>
          <w:szCs w:val="20"/>
        </w:rPr>
        <w:t xml:space="preserve"> in the Notes is incorporated herein by reference. We anticipate either repaying using cash from operatin</w:t>
      </w:r>
      <w:r>
        <w:rPr>
          <w:rFonts w:ascii="IBM Plex Sans" w:eastAsia="Times New Roman" w:hAnsi="IBM Plex Sans"/>
          <w:color w:val="283030"/>
          <w:sz w:val="20"/>
          <w:szCs w:val="20"/>
        </w:rPr>
        <w:t>g activities or refinancing our $800 million, 3.85% fixed-rate debt note, which will mature on June 15, 2023.</w:t>
      </w:r>
    </w:p>
    <w:p w:rsidR="00000000" w:rsidRDefault="00F5481A">
      <w:pPr>
        <w:ind w:firstLine="360"/>
        <w:divId w:val="315838850"/>
        <w:rPr>
          <w:rFonts w:eastAsia="Times New Roman"/>
        </w:rPr>
      </w:pPr>
      <w:r>
        <w:rPr>
          <w:rFonts w:ascii="IBM Plex Sans" w:eastAsia="Times New Roman" w:hAnsi="IBM Plex Sans"/>
          <w:b/>
          <w:bCs/>
          <w:i/>
          <w:iCs/>
          <w:color w:val="016676"/>
          <w:sz w:val="20"/>
          <w:szCs w:val="20"/>
        </w:rPr>
        <w:t>Receivable Sales Agreements.</w:t>
      </w:r>
      <w:r>
        <w:rPr>
          <w:rFonts w:ascii="IBM Plex Sans" w:eastAsia="Times New Roman" w:hAnsi="IBM Plex Sans"/>
          <w:b/>
          <w:bCs/>
          <w:i/>
          <w:iCs/>
          <w:color w:val="283030"/>
          <w:sz w:val="20"/>
          <w:szCs w:val="20"/>
        </w:rPr>
        <w:t xml:space="preserve"> </w:t>
      </w:r>
      <w:r>
        <w:rPr>
          <w:rFonts w:ascii="IBM Plex Sans" w:eastAsia="Times New Roman" w:hAnsi="IBM Plex Sans"/>
          <w:color w:val="283030"/>
          <w:sz w:val="20"/>
          <w:szCs w:val="20"/>
        </w:rPr>
        <w:t xml:space="preserve">We have two receivable sales agreements (“RSAs”) with two separate third-party financial institutions that permit us </w:t>
      </w:r>
      <w:r>
        <w:rPr>
          <w:rFonts w:ascii="IBM Plex Sans" w:eastAsia="Times New Roman" w:hAnsi="IBM Plex Sans"/>
          <w:color w:val="283030"/>
          <w:sz w:val="20"/>
          <w:szCs w:val="20"/>
        </w:rPr>
        <w:t>to sell, on a non-recourse basis, up to an aggregate of $100 million of outstanding receivables at any given time. From time to time, we have sold certain customer receivables under the RSAs, which we continue to service and collect on behalf of the third-</w:t>
      </w:r>
      <w:r>
        <w:rPr>
          <w:rFonts w:ascii="IBM Plex Sans" w:eastAsia="Times New Roman" w:hAnsi="IBM Plex Sans"/>
          <w:color w:val="283030"/>
          <w:sz w:val="20"/>
          <w:szCs w:val="20"/>
        </w:rPr>
        <w:t xml:space="preserve">party financial institution and we account for as sales of receivables with sale proceeds included in net cash from operating activities. We did not have outstanding receivables sold pursuant to RSAs at December 30, 2022. </w:t>
      </w:r>
    </w:p>
    <w:p w:rsidR="00000000" w:rsidRDefault="00F5481A">
      <w:pPr>
        <w:ind w:firstLine="360"/>
        <w:divId w:val="1974284661"/>
        <w:rPr>
          <w:rFonts w:eastAsia="Times New Roman"/>
        </w:rPr>
      </w:pPr>
      <w:r>
        <w:rPr>
          <w:rFonts w:ascii="IBM Plex Sans" w:eastAsia="Times New Roman" w:hAnsi="IBM Plex Sans"/>
          <w:color w:val="283030"/>
          <w:sz w:val="20"/>
          <w:szCs w:val="20"/>
        </w:rPr>
        <w:t xml:space="preserve">Given our current cash position, </w:t>
      </w:r>
      <w:r>
        <w:rPr>
          <w:rFonts w:ascii="IBM Plex Sans" w:eastAsia="Times New Roman" w:hAnsi="IBM Plex Sans"/>
          <w:color w:val="283030"/>
          <w:sz w:val="20"/>
          <w:szCs w:val="20"/>
        </w:rPr>
        <w:t>outlook for funds generated from operations, credit ratings, available credit facilities, cash needs and debt structure, we have not experienced to date, and do not expect to experience, any material issues for the next 12 months and in the longer term wit</w:t>
      </w:r>
      <w:r>
        <w:rPr>
          <w:rFonts w:ascii="IBM Plex Sans" w:eastAsia="Times New Roman" w:hAnsi="IBM Plex Sans"/>
          <w:color w:val="283030"/>
          <w:sz w:val="20"/>
          <w:szCs w:val="20"/>
        </w:rPr>
        <w:t>h liquidity, although we can give no assurances concerning our future liquidity, particularly in light of our overall level of debt, U.S. Government budget uncertainties and the state of global commerce and general political and financial uncertainty. Addi</w:t>
      </w:r>
      <w:r>
        <w:rPr>
          <w:rFonts w:ascii="IBM Plex Sans" w:eastAsia="Times New Roman" w:hAnsi="IBM Plex Sans"/>
          <w:color w:val="283030"/>
          <w:sz w:val="20"/>
          <w:szCs w:val="20"/>
        </w:rPr>
        <w:t>tionally, provisions in the TCJA require that, beginning in 2022, research and experimental expenditures be capitalized and amortized over five years. In the future, Congress may consider legislation that would defer the amortization requirement to later y</w:t>
      </w:r>
      <w:r>
        <w:rPr>
          <w:rFonts w:ascii="IBM Plex Sans" w:eastAsia="Times New Roman" w:hAnsi="IBM Plex Sans"/>
          <w:color w:val="283030"/>
          <w:sz w:val="20"/>
          <w:szCs w:val="20"/>
        </w:rPr>
        <w:t>ears, possibly with retroactive effect. In the meantime, we will continue to make additional Federal tax payments based on the current tax law. The impact of this tax law on our cash from operations depends on the amount of research and experimental expend</w:t>
      </w:r>
      <w:r>
        <w:rPr>
          <w:rFonts w:ascii="IBM Plex Sans" w:eastAsia="Times New Roman" w:hAnsi="IBM Plex Sans"/>
          <w:color w:val="283030"/>
          <w:sz w:val="20"/>
          <w:szCs w:val="20"/>
        </w:rPr>
        <w:t xml:space="preserve">itures incurred and whether the Internal Revenue Service (“IRS”) issues guidance on the provision which differs from our current interpretation, among other things. </w:t>
      </w:r>
    </w:p>
    <w:p w:rsidR="00000000" w:rsidRDefault="00F5481A">
      <w:pPr>
        <w:ind w:firstLine="360"/>
        <w:divId w:val="1778134960"/>
        <w:rPr>
          <w:rFonts w:eastAsia="Times New Roman"/>
        </w:rPr>
      </w:pPr>
      <w:r>
        <w:rPr>
          <w:rFonts w:ascii="IBM Plex Sans" w:eastAsia="Times New Roman" w:hAnsi="IBM Plex Sans"/>
          <w:color w:val="283030"/>
          <w:sz w:val="20"/>
          <w:szCs w:val="20"/>
        </w:rPr>
        <w:t>Based on our current business plan and revenue prospects, we believe that our existing cas</w:t>
      </w:r>
      <w:r>
        <w:rPr>
          <w:rFonts w:ascii="IBM Plex Sans" w:eastAsia="Times New Roman" w:hAnsi="IBM Plex Sans"/>
          <w:color w:val="283030"/>
          <w:sz w:val="20"/>
          <w:szCs w:val="20"/>
        </w:rPr>
        <w:t>h, funds generated from operations, our senior unsecured credit facility, our senior unsecured term loan and access to the public and private debt and equity markets will be sufficient to provide for our anticipated working capital requirements, capital ex</w:t>
      </w:r>
      <w:r>
        <w:rPr>
          <w:rFonts w:ascii="IBM Plex Sans" w:eastAsia="Times New Roman" w:hAnsi="IBM Plex Sans"/>
          <w:color w:val="283030"/>
          <w:sz w:val="20"/>
          <w:szCs w:val="20"/>
        </w:rPr>
        <w:t>penditures, dividend payments, repurchases under our share repurchase program, the purchase of the TDL product line, pending acquisition of AJRD and repayments of our debt securities at maturity for the next twelve months and the reasonably foreseeable fut</w:t>
      </w:r>
      <w:r>
        <w:rPr>
          <w:rFonts w:ascii="IBM Plex Sans" w:eastAsia="Times New Roman" w:hAnsi="IBM Plex Sans"/>
          <w:color w:val="283030"/>
          <w:sz w:val="20"/>
          <w:szCs w:val="20"/>
        </w:rPr>
        <w:t>ure thereafter. Our total capital expenditures for fiscal 2023 are expected to be approximately $275 million. We anticipate tax payments for fiscal 2023 to be approximately equal to or marginally less than our tax expense for the same period, excluding the</w:t>
      </w:r>
      <w:r>
        <w:rPr>
          <w:rFonts w:ascii="IBM Plex Sans" w:eastAsia="Times New Roman" w:hAnsi="IBM Plex Sans"/>
          <w:color w:val="283030"/>
          <w:sz w:val="20"/>
          <w:szCs w:val="20"/>
        </w:rPr>
        <w:t xml:space="preserve"> impact of R&amp;D capitalization and subject to adjustment for timing differences. For additional information regarding our income taxes, see </w:t>
      </w:r>
      <w:r>
        <w:rPr>
          <w:rFonts w:ascii="IBM Plex Sans" w:eastAsia="Times New Roman" w:hAnsi="IBM Plex Sans"/>
          <w:i/>
          <w:iCs/>
          <w:color w:val="283030"/>
          <w:sz w:val="20"/>
          <w:szCs w:val="20"/>
        </w:rPr>
        <w:t>Note 22: Income Taxes</w:t>
      </w:r>
      <w:r>
        <w:rPr>
          <w:rFonts w:ascii="IBM Plex Sans" w:eastAsia="Times New Roman" w:hAnsi="IBM Plex Sans"/>
          <w:color w:val="283030"/>
          <w:sz w:val="20"/>
          <w:szCs w:val="20"/>
        </w:rPr>
        <w:t xml:space="preserve"> in the Notes. Other than operating expenses, cash requirements for fiscal 2023 are expected to </w:t>
      </w:r>
      <w:r>
        <w:rPr>
          <w:rFonts w:ascii="IBM Plex Sans" w:eastAsia="Times New Roman" w:hAnsi="IBM Plex Sans"/>
          <w:color w:val="283030"/>
          <w:sz w:val="20"/>
          <w:szCs w:val="20"/>
        </w:rPr>
        <w:t xml:space="preserve">consist primarily of capital expenditures, R&amp;D payments, dividend payments, repurchases under our share repurchase program and expenditures for the purchase of the TDL product line and the pending acquisition of AJRD. </w:t>
      </w:r>
    </w:p>
    <w:p w:rsidR="00000000" w:rsidRDefault="00F5481A">
      <w:pPr>
        <w:ind w:firstLine="360"/>
        <w:jc w:val="center"/>
        <w:divId w:val="2062514378"/>
        <w:rPr>
          <w:rFonts w:eastAsia="Times New Roman"/>
        </w:rPr>
      </w:pPr>
      <w:r>
        <w:rPr>
          <w:rFonts w:ascii="Arial" w:eastAsia="Times New Roman" w:hAnsi="Arial" w:cs="Arial"/>
          <w:b/>
          <w:bCs/>
          <w:color w:val="016676"/>
        </w:rPr>
        <w:t>_____________________________________</w:t>
      </w:r>
      <w:r>
        <w:rPr>
          <w:rFonts w:ascii="Arial" w:eastAsia="Times New Roman" w:hAnsi="Arial" w:cs="Arial"/>
          <w:b/>
          <w:bCs/>
          <w:color w:val="016676"/>
        </w:rPr>
        <w:t>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42</w:t>
      </w:r>
    </w:p>
    <w:p w:rsidR="00000000" w:rsidRDefault="00F5481A">
      <w:pPr>
        <w:rPr>
          <w:rFonts w:eastAsia="Times New Roman"/>
        </w:rPr>
      </w:pPr>
      <w:r>
        <w:rPr>
          <w:rFonts w:eastAsia="Times New Roman"/>
        </w:rPr>
        <w:pict>
          <v:rect id="_x0000_i1073" style="width:0;height:1.5pt" o:hralign="center" o:hrstd="t" o:hr="t" fillcolor="#a0a0a0" stroked="f"/>
        </w:pict>
      </w:r>
    </w:p>
    <w:p w:rsidR="00000000" w:rsidRDefault="00F5481A">
      <w:pPr>
        <w:ind w:firstLine="360"/>
        <w:divId w:val="861671478"/>
        <w:rPr>
          <w:rFonts w:eastAsia="Times New Roman"/>
        </w:rPr>
      </w:pPr>
    </w:p>
    <w:p w:rsidR="00000000" w:rsidRDefault="00F5481A">
      <w:pPr>
        <w:ind w:firstLine="360"/>
        <w:divId w:val="1167137464"/>
        <w:rPr>
          <w:rFonts w:eastAsia="Times New Roman"/>
        </w:rPr>
      </w:pPr>
      <w:r>
        <w:rPr>
          <w:rFonts w:ascii="IBM Plex Sans" w:eastAsia="Times New Roman" w:hAnsi="IBM Plex Sans"/>
          <w:color w:val="283030"/>
          <w:sz w:val="20"/>
          <w:szCs w:val="20"/>
        </w:rPr>
        <w:t>Current and long-term material cash requirements at December 30, 2022 are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080"/>
        <w:gridCol w:w="39"/>
        <w:gridCol w:w="132"/>
        <w:gridCol w:w="1027"/>
        <w:gridCol w:w="36"/>
        <w:gridCol w:w="36"/>
        <w:gridCol w:w="36"/>
        <w:gridCol w:w="36"/>
        <w:gridCol w:w="132"/>
        <w:gridCol w:w="1028"/>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divId w:val="1502820444"/>
        </w:trPr>
        <w:tc>
          <w:tcPr>
            <w:tcW w:w="50" w:type="pct"/>
            <w:vAlign w:val="center"/>
            <w:hideMark/>
          </w:tcPr>
          <w:p w:rsidR="00000000" w:rsidRDefault="00F5481A">
            <w:pPr>
              <w:ind w:firstLine="360"/>
              <w:rPr>
                <w:rFonts w:eastAsia="Times New Roman"/>
              </w:rPr>
            </w:pPr>
          </w:p>
        </w:tc>
        <w:tc>
          <w:tcPr>
            <w:tcW w:w="337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502820444"/>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Payment Due</w:t>
            </w: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1502820444"/>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Total</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Within 1 Year</w:t>
            </w:r>
          </w:p>
        </w:tc>
        <w:tc>
          <w:tcPr>
            <w:tcW w:w="0" w:type="auto"/>
            <w:gridSpan w:val="3"/>
            <w:vAlign w:val="center"/>
            <w:hideMark/>
          </w:tcPr>
          <w:p w:rsidR="00000000" w:rsidRDefault="00F5481A">
            <w:pPr>
              <w:spacing w:after="100"/>
              <w:jc w:val="center"/>
              <w:rPr>
                <w:rFonts w:eastAsia="Times New Roman"/>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502820444"/>
          <w:trHeight w:val="60"/>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502820444"/>
        </w:trPr>
        <w:tc>
          <w:tcPr>
            <w:tcW w:w="0" w:type="auto"/>
            <w:gridSpan w:val="3"/>
            <w:shd w:val="clear" w:color="auto" w:fill="D7EFF1"/>
            <w:tcMar>
              <w:top w:w="30" w:type="dxa"/>
              <w:left w:w="20" w:type="dxa"/>
              <w:bottom w:w="30" w:type="dxa"/>
              <w:right w:w="20" w:type="dxa"/>
            </w:tcMar>
            <w:hideMark/>
          </w:tcPr>
          <w:p w:rsidR="00000000" w:rsidRDefault="00F5481A">
            <w:pPr>
              <w:spacing w:after="100"/>
              <w:divId w:val="169833557"/>
              <w:rPr>
                <w:rFonts w:eastAsia="Times New Roman"/>
              </w:rPr>
            </w:pPr>
            <w:r>
              <w:rPr>
                <w:rFonts w:ascii="IBM Plex Sans" w:eastAsia="Times New Roman" w:hAnsi="IBM Plex Sans"/>
                <w:color w:val="283030"/>
                <w:sz w:val="20"/>
                <w:szCs w:val="20"/>
              </w:rPr>
              <w:t>Long-term deb</w:t>
            </w:r>
            <w:r>
              <w:rPr>
                <w:rFonts w:ascii="IBM Plex Sans" w:eastAsia="Times New Roman" w:hAnsi="IBM Plex Sans"/>
                <w:color w:val="283030"/>
                <w:sz w:val="20"/>
                <w:szCs w:val="20"/>
              </w:rPr>
              <w:t>t</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6,998 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814 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502820444"/>
        </w:trPr>
        <w:tc>
          <w:tcPr>
            <w:tcW w:w="0" w:type="auto"/>
            <w:gridSpan w:val="3"/>
            <w:shd w:val="clear" w:color="auto" w:fill="FFFFFF"/>
            <w:tcMar>
              <w:top w:w="30" w:type="dxa"/>
              <w:left w:w="20" w:type="dxa"/>
              <w:bottom w:w="30" w:type="dxa"/>
              <w:right w:w="20" w:type="dxa"/>
            </w:tcMar>
            <w:hideMark/>
          </w:tcPr>
          <w:p w:rsidR="00000000" w:rsidRDefault="00F5481A">
            <w:pPr>
              <w:spacing w:after="100"/>
              <w:divId w:val="253513210"/>
              <w:rPr>
                <w:rFonts w:eastAsia="Times New Roman"/>
              </w:rPr>
            </w:pPr>
            <w:r>
              <w:rPr>
                <w:rFonts w:ascii="IBM Plex Sans" w:eastAsia="Times New Roman" w:hAnsi="IBM Plex Sans"/>
                <w:color w:val="283030"/>
                <w:sz w:val="20"/>
                <w:szCs w:val="20"/>
              </w:rPr>
              <w:t>Interest on long-term deb</w:t>
            </w:r>
            <w:r>
              <w:rPr>
                <w:rFonts w:ascii="IBM Plex Sans" w:eastAsia="Times New Roman" w:hAnsi="IBM Plex Sans"/>
                <w:color w:val="283030"/>
                <w:sz w:val="20"/>
                <w:szCs w:val="20"/>
              </w:rPr>
              <w:t>t</w:t>
            </w:r>
            <w:r>
              <w:rPr>
                <w:rFonts w:ascii="IBM Plex Sans" w:eastAsia="Times New Roman" w:hAnsi="IBM Plex Sans"/>
                <w:color w:val="283030"/>
                <w:sz w:val="13"/>
                <w:szCs w:val="13"/>
              </w:rPr>
              <w:t>(2</w:t>
            </w:r>
            <w:r>
              <w:rPr>
                <w:rFonts w:ascii="IBM Plex Sans" w:eastAsia="Times New Roman" w:hAnsi="IBM Plex Sans"/>
                <w:color w:val="28303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2,000 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261 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502820444"/>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divId w:val="251472935"/>
              <w:rPr>
                <w:rFonts w:eastAsia="Times New Roman"/>
              </w:rPr>
            </w:pPr>
            <w:r>
              <w:rPr>
                <w:rFonts w:ascii="IBM Plex Sans" w:eastAsia="Times New Roman" w:hAnsi="IBM Plex Sans"/>
                <w:color w:val="283030"/>
                <w:sz w:val="20"/>
                <w:szCs w:val="20"/>
              </w:rPr>
              <w:t>Purchase obligation</w:t>
            </w:r>
            <w:r>
              <w:rPr>
                <w:rFonts w:ascii="IBM Plex Sans" w:eastAsia="Times New Roman" w:hAnsi="IBM Plex Sans"/>
                <w:color w:val="283030"/>
                <w:sz w:val="20"/>
                <w:szCs w:val="20"/>
              </w:rPr>
              <w:t>s</w:t>
            </w:r>
            <w:r>
              <w:rPr>
                <w:rFonts w:ascii="IBM Plex Sans" w:eastAsia="Times New Roman" w:hAnsi="IBM Plex Sans"/>
                <w:color w:val="283030"/>
                <w:sz w:val="13"/>
                <w:szCs w:val="13"/>
              </w:rPr>
              <w:t>(3</w:t>
            </w:r>
            <w:r>
              <w:rPr>
                <w:rFonts w:ascii="IBM Plex Sans" w:eastAsia="Times New Roman" w:hAnsi="IBM Plex Sans"/>
                <w:color w:val="283030"/>
                <w:sz w:val="13"/>
                <w:szCs w:val="13"/>
              </w:rPr>
              <w:t>)</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5,402 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4,327 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502820444"/>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Operating and finance lease commitments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1,238 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156 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502820444"/>
        </w:trPr>
        <w:tc>
          <w:tcPr>
            <w:tcW w:w="0" w:type="auto"/>
            <w:gridSpan w:val="3"/>
            <w:shd w:val="clear" w:color="auto" w:fill="D7EFF1"/>
            <w:tcMar>
              <w:top w:w="30" w:type="dxa"/>
              <w:left w:w="20" w:type="dxa"/>
              <w:bottom w:w="30" w:type="dxa"/>
              <w:right w:w="20" w:type="dxa"/>
            </w:tcMar>
            <w:hideMark/>
          </w:tcPr>
          <w:p w:rsidR="00000000" w:rsidRDefault="00F5481A">
            <w:pPr>
              <w:spacing w:after="100"/>
              <w:divId w:val="1554003131"/>
              <w:rPr>
                <w:rFonts w:eastAsia="Times New Roman"/>
              </w:rPr>
            </w:pPr>
            <w:r>
              <w:rPr>
                <w:rFonts w:ascii="IBM Plex Sans" w:eastAsia="Times New Roman" w:hAnsi="IBM Plex Sans"/>
                <w:color w:val="283030"/>
                <w:sz w:val="20"/>
                <w:szCs w:val="20"/>
              </w:rPr>
              <w:t>Minimum pension contribution</w:t>
            </w:r>
            <w:r>
              <w:rPr>
                <w:rFonts w:ascii="IBM Plex Sans" w:eastAsia="Times New Roman" w:hAnsi="IBM Plex Sans"/>
                <w:color w:val="283030"/>
                <w:sz w:val="20"/>
                <w:szCs w:val="20"/>
              </w:rPr>
              <w:t>s</w:t>
            </w:r>
            <w:r>
              <w:rPr>
                <w:rFonts w:ascii="IBM Plex Sans" w:eastAsia="Times New Roman" w:hAnsi="IBM Plex Sans"/>
                <w:color w:val="283030"/>
                <w:sz w:val="13"/>
                <w:szCs w:val="13"/>
              </w:rPr>
              <w:t>(4</w:t>
            </w:r>
            <w:r>
              <w:rPr>
                <w:rFonts w:ascii="IBM Plex Sans" w:eastAsia="Times New Roman" w:hAnsi="IBM Plex Sans"/>
                <w:color w:val="283030"/>
                <w:sz w:val="13"/>
                <w:szCs w:val="13"/>
              </w:rPr>
              <w:t>)</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502820444"/>
        </w:trPr>
        <w:tc>
          <w:tcPr>
            <w:tcW w:w="0" w:type="auto"/>
            <w:gridSpan w:val="3"/>
            <w:shd w:val="clear" w:color="auto" w:fill="FFFFFF"/>
            <w:tcMar>
              <w:top w:w="30" w:type="dxa"/>
              <w:left w:w="20" w:type="dxa"/>
              <w:bottom w:w="30" w:type="dxa"/>
              <w:right w:w="20" w:type="dxa"/>
            </w:tcMar>
            <w:hideMark/>
          </w:tcPr>
          <w:p w:rsidR="00000000" w:rsidRDefault="00F5481A">
            <w:pPr>
              <w:spacing w:after="100"/>
              <w:divId w:val="2009746473"/>
              <w:rPr>
                <w:rFonts w:eastAsia="Times New Roman"/>
              </w:rPr>
            </w:pPr>
            <w:r>
              <w:rPr>
                <w:rFonts w:ascii="IBM Plex Sans" w:eastAsia="Times New Roman" w:hAnsi="IBM Plex Sans"/>
                <w:color w:val="283030"/>
                <w:sz w:val="20"/>
                <w:szCs w:val="20"/>
              </w:rPr>
              <w:t>Tota</w:t>
            </w:r>
            <w:r>
              <w:rPr>
                <w:rFonts w:ascii="IBM Plex Sans" w:eastAsia="Times New Roman" w:hAnsi="IBM Plex Sans"/>
                <w:color w:val="283030"/>
                <w:sz w:val="20"/>
                <w:szCs w:val="20"/>
              </w:rPr>
              <w:t>l</w:t>
            </w:r>
            <w:r>
              <w:rPr>
                <w:rFonts w:ascii="IBM Plex Sans" w:eastAsia="Times New Roman" w:hAnsi="IBM Plex Sans"/>
                <w:color w:val="283030"/>
                <w:sz w:val="13"/>
                <w:szCs w:val="13"/>
              </w:rPr>
              <w:t>(5</w:t>
            </w:r>
            <w:r>
              <w:rPr>
                <w:rFonts w:ascii="IBM Plex Sans" w:eastAsia="Times New Roman" w:hAnsi="IBM Plex Sans"/>
                <w:color w:val="283030"/>
                <w:sz w:val="13"/>
                <w:szCs w:val="13"/>
              </w:rPr>
              <w: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15,661 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5,581 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bl>
    <w:p w:rsidR="00000000" w:rsidRDefault="00F5481A">
      <w:pPr>
        <w:ind w:hanging="360"/>
        <w:divId w:val="1045258351"/>
        <w:rPr>
          <w:rFonts w:eastAsia="Times New Roman"/>
        </w:rPr>
      </w:pPr>
      <w:r>
        <w:rPr>
          <w:rFonts w:ascii="IBM Plex Sans" w:eastAsia="Times New Roman" w:hAnsi="IBM Plex Sans"/>
          <w:color w:val="283030"/>
          <w:sz w:val="16"/>
          <w:szCs w:val="16"/>
        </w:rPr>
        <w:t>_______________</w:t>
      </w:r>
    </w:p>
    <w:p w:rsidR="00000000" w:rsidRDefault="00F5481A">
      <w:pPr>
        <w:ind w:hanging="360"/>
        <w:divId w:val="537279605"/>
        <w:rPr>
          <w:rFonts w:eastAsia="Times New Roman"/>
        </w:rPr>
      </w:pPr>
      <w:r>
        <w:rPr>
          <w:rFonts w:ascii="IBM Plex Sans" w:eastAsia="Times New Roman" w:hAnsi="IBM Plex Sans"/>
          <w:color w:val="283030"/>
          <w:sz w:val="16"/>
          <w:szCs w:val="16"/>
        </w:rPr>
        <w:t>(1)</w:t>
      </w:r>
      <w:r>
        <w:rPr>
          <w:rFonts w:ascii="IBM Plex Sans" w:eastAsia="Times New Roman" w:hAnsi="IBM Plex Sans"/>
          <w:color w:val="283030"/>
          <w:sz w:val="16"/>
          <w:szCs w:val="16"/>
        </w:rPr>
        <w:t>During the first quarter of 2023, the Floating Rate Notes due March 2023 will be repaid and refinanced as long-term debt through the Term Loan 2025; therefore, the Floating Rate Notes due March 2023 have been classified as long-term debt in our Consolidate</w:t>
      </w:r>
      <w:r>
        <w:rPr>
          <w:rFonts w:ascii="IBM Plex Sans" w:eastAsia="Times New Roman" w:hAnsi="IBM Plex Sans"/>
          <w:color w:val="283030"/>
          <w:sz w:val="16"/>
          <w:szCs w:val="16"/>
        </w:rPr>
        <w:t>d Balance Sheet as of December 30, 2022 and accordingly are not included in the Payment Due Within 1 Year.</w:t>
      </w:r>
    </w:p>
    <w:p w:rsidR="00000000" w:rsidRDefault="00F5481A">
      <w:pPr>
        <w:ind w:hanging="360"/>
        <w:divId w:val="1574244740"/>
        <w:rPr>
          <w:rFonts w:eastAsia="Times New Roman"/>
        </w:rPr>
      </w:pPr>
      <w:r>
        <w:rPr>
          <w:rFonts w:ascii="IBM Plex Sans" w:eastAsia="Times New Roman" w:hAnsi="IBM Plex Sans"/>
          <w:color w:val="283030"/>
          <w:sz w:val="16"/>
          <w:szCs w:val="16"/>
        </w:rPr>
        <w:t>(2)Does not include interest on Term Loan 2025.</w:t>
      </w:r>
    </w:p>
    <w:p w:rsidR="00000000" w:rsidRDefault="00F5481A">
      <w:pPr>
        <w:ind w:hanging="360"/>
        <w:divId w:val="14575014"/>
        <w:rPr>
          <w:rFonts w:eastAsia="Times New Roman"/>
        </w:rPr>
      </w:pPr>
      <w:r>
        <w:rPr>
          <w:rFonts w:ascii="IBM Plex Sans" w:eastAsia="Times New Roman" w:hAnsi="IBM Plex Sans"/>
          <w:color w:val="283030"/>
          <w:sz w:val="16"/>
          <w:szCs w:val="16"/>
        </w:rPr>
        <w:t xml:space="preserve">(3)The purchase obligations of $5.4 billion included $629 million of purchase obligations related to </w:t>
      </w:r>
      <w:r>
        <w:rPr>
          <w:rFonts w:ascii="IBM Plex Sans" w:eastAsia="Times New Roman" w:hAnsi="IBM Plex Sans"/>
          <w:color w:val="283030"/>
          <w:sz w:val="16"/>
          <w:szCs w:val="16"/>
        </w:rPr>
        <w:t>cost-plus type contracts where our costs are fully reimbursable.</w:t>
      </w:r>
    </w:p>
    <w:p w:rsidR="00000000" w:rsidRDefault="00F5481A">
      <w:pPr>
        <w:ind w:hanging="360"/>
        <w:divId w:val="1035040296"/>
        <w:rPr>
          <w:rFonts w:eastAsia="Times New Roman"/>
        </w:rPr>
      </w:pPr>
      <w:r>
        <w:rPr>
          <w:rFonts w:ascii="IBM Plex Sans" w:eastAsia="Times New Roman" w:hAnsi="IBM Plex Sans"/>
          <w:color w:val="283030"/>
          <w:sz w:val="16"/>
          <w:szCs w:val="16"/>
        </w:rPr>
        <w:t>(4)Amount includes fiscal 2022 minimum contributions to non-U.S. pension plans. Contributions beyond fiscal 2022 have not been determined. As a result of voluntary contributions made to our U</w:t>
      </w:r>
      <w:r>
        <w:rPr>
          <w:rFonts w:ascii="IBM Plex Sans" w:eastAsia="Times New Roman" w:hAnsi="IBM Plex Sans"/>
          <w:color w:val="283030"/>
          <w:sz w:val="16"/>
          <w:szCs w:val="16"/>
        </w:rPr>
        <w:t>.S. qualified defined benefit pension plans during the two quarters ended January 3, 2020, fiscal 2018 and 2017, we made no material contributions to our U.S. qualified defined benefit pension plans in fiscal 2022, 2021 or 2020 and are not required to make</w:t>
      </w:r>
      <w:r>
        <w:rPr>
          <w:rFonts w:ascii="IBM Plex Sans" w:eastAsia="Times New Roman" w:hAnsi="IBM Plex Sans"/>
          <w:color w:val="283030"/>
          <w:sz w:val="16"/>
          <w:szCs w:val="16"/>
        </w:rPr>
        <w:t xml:space="preserve"> any contributions to these plans during fiscal 2023.</w:t>
      </w:r>
    </w:p>
    <w:p w:rsidR="00000000" w:rsidRDefault="00F5481A">
      <w:pPr>
        <w:ind w:hanging="360"/>
        <w:divId w:val="80565311"/>
        <w:rPr>
          <w:rFonts w:eastAsia="Times New Roman"/>
        </w:rPr>
      </w:pPr>
      <w:r>
        <w:rPr>
          <w:rFonts w:ascii="IBM Plex Sans" w:eastAsia="Times New Roman" w:hAnsi="IBM Plex Sans"/>
          <w:color w:val="283030"/>
          <w:sz w:val="16"/>
          <w:szCs w:val="16"/>
        </w:rPr>
        <w:t>(5)The above table does not include unrecognized tax benefits of $613 million.</w:t>
      </w:r>
    </w:p>
    <w:p w:rsidR="00000000" w:rsidRDefault="00F5481A">
      <w:pPr>
        <w:ind w:firstLine="360"/>
        <w:divId w:val="281957312"/>
        <w:rPr>
          <w:rFonts w:eastAsia="Times New Roman"/>
        </w:rPr>
      </w:pPr>
      <w:r>
        <w:rPr>
          <w:rFonts w:ascii="IBM Plex Sans" w:eastAsia="Times New Roman" w:hAnsi="IBM Plex Sans"/>
          <w:color w:val="283030"/>
          <w:sz w:val="20"/>
          <w:szCs w:val="20"/>
        </w:rPr>
        <w:t>There can be no assurance that our business will continue to generate cash flows at current levels or that the cost or avai</w:t>
      </w:r>
      <w:r>
        <w:rPr>
          <w:rFonts w:ascii="IBM Plex Sans" w:eastAsia="Times New Roman" w:hAnsi="IBM Plex Sans"/>
          <w:color w:val="283030"/>
          <w:sz w:val="20"/>
          <w:szCs w:val="20"/>
        </w:rPr>
        <w:t>lability of future borrowings, if any, under our commercial paper program, or our credit facility or term loan or in the debt markets will not be impacted by any potential future credit or capital markets disruptions. If we are unable to maintain cash bala</w:t>
      </w:r>
      <w:r>
        <w:rPr>
          <w:rFonts w:ascii="IBM Plex Sans" w:eastAsia="Times New Roman" w:hAnsi="IBM Plex Sans"/>
          <w:color w:val="283030"/>
          <w:sz w:val="20"/>
          <w:szCs w:val="20"/>
        </w:rPr>
        <w:t>nces, generate cash flow from operations or borrow under our commercial paper program, our credit facility or term loan sufficient to service our obligations, we may be required to reduce capital expenditures, reduce or eliminate strategic acquisitions, re</w:t>
      </w:r>
      <w:r>
        <w:rPr>
          <w:rFonts w:ascii="IBM Plex Sans" w:eastAsia="Times New Roman" w:hAnsi="IBM Plex Sans"/>
          <w:color w:val="283030"/>
          <w:sz w:val="20"/>
          <w:szCs w:val="20"/>
        </w:rPr>
        <w:t>duce or terminate our share repurchases, reduce or eliminate dividends, refinance all or a portion of our existing debt, obtain additional financing or sell assets. Our ability to make principal payments or pay interest on or refinance our indebtedness dep</w:t>
      </w:r>
      <w:r>
        <w:rPr>
          <w:rFonts w:ascii="IBM Plex Sans" w:eastAsia="Times New Roman" w:hAnsi="IBM Plex Sans"/>
          <w:color w:val="283030"/>
          <w:sz w:val="20"/>
          <w:szCs w:val="20"/>
        </w:rPr>
        <w:t>ends on our future performance and financial results, which, to a certain extent, are subject to general conditions affecting the defense, government and other markets we serve and to general economic, political, financial, competitive, legislative and reg</w:t>
      </w:r>
      <w:r>
        <w:rPr>
          <w:rFonts w:ascii="IBM Plex Sans" w:eastAsia="Times New Roman" w:hAnsi="IBM Plex Sans"/>
          <w:color w:val="283030"/>
          <w:sz w:val="20"/>
          <w:szCs w:val="20"/>
        </w:rPr>
        <w:t>ulatory factors beyond our control.</w:t>
      </w:r>
    </w:p>
    <w:p w:rsidR="00000000" w:rsidRDefault="00F5481A">
      <w:pPr>
        <w:divId w:val="49234044"/>
        <w:rPr>
          <w:rFonts w:eastAsia="Times New Roman"/>
        </w:rPr>
      </w:pPr>
      <w:r>
        <w:rPr>
          <w:rFonts w:ascii="IBM Plex Sans SemiBold" w:eastAsia="Times New Roman" w:hAnsi="IBM Plex Sans SemiBold"/>
          <w:b/>
          <w:bCs/>
          <w:color w:val="016676"/>
          <w:sz w:val="20"/>
          <w:szCs w:val="20"/>
        </w:rPr>
        <w:t>Funding of Pension Plans</w:t>
      </w:r>
    </w:p>
    <w:p w:rsidR="00000000" w:rsidRDefault="00F5481A">
      <w:pPr>
        <w:ind w:firstLine="360"/>
        <w:divId w:val="1643078446"/>
        <w:rPr>
          <w:rFonts w:eastAsia="Times New Roman"/>
        </w:rPr>
      </w:pPr>
      <w:r>
        <w:rPr>
          <w:rFonts w:ascii="IBM Plex Sans" w:eastAsia="Times New Roman" w:hAnsi="IBM Plex Sans"/>
          <w:color w:val="283030"/>
          <w:sz w:val="20"/>
          <w:szCs w:val="20"/>
        </w:rPr>
        <w:t>Funding requirements under applicable laws and regulations are a major consideration in making contributions to our U.S. pension plans. Although we have significant discretion in making voluntary</w:t>
      </w:r>
      <w:r>
        <w:rPr>
          <w:rFonts w:ascii="IBM Plex Sans" w:eastAsia="Times New Roman" w:hAnsi="IBM Plex Sans"/>
          <w:color w:val="283030"/>
          <w:sz w:val="20"/>
          <w:szCs w:val="20"/>
        </w:rPr>
        <w:t xml:space="preserve"> contributions, the Employee Retirement Income Security Act of 1974, as amended by the Pension Protection Act of 2006 and further amended by the Worker, Retiree and Employer Recovery Act of 2008, the Moving Ahead for Progress in the 21st Century Act (“MAP-</w:t>
      </w:r>
      <w:r>
        <w:rPr>
          <w:rFonts w:ascii="IBM Plex Sans" w:eastAsia="Times New Roman" w:hAnsi="IBM Plex Sans"/>
          <w:color w:val="283030"/>
          <w:sz w:val="20"/>
          <w:szCs w:val="20"/>
        </w:rPr>
        <w:t>21”), and applicable Internal Revenue Code regulations, mandate minimum funding thresholds. The Highway and Transportation Funding Act of 2014, the Bipartisan Budget Act of 2015, the American Rescue Plan Act of 2021 and the Infrastructure Investment and Jo</w:t>
      </w:r>
      <w:r>
        <w:rPr>
          <w:rFonts w:ascii="IBM Plex Sans" w:eastAsia="Times New Roman" w:hAnsi="IBM Plex Sans"/>
          <w:color w:val="283030"/>
          <w:sz w:val="20"/>
          <w:szCs w:val="20"/>
        </w:rPr>
        <w:t>bs Act further extended the interest rate stabilization provision of MAP-21. Failure to satisfy the minimum funding thresholds could result in restrictions on our ability to amend the plans or make benefit payments. With respect to our U.S. qualified defin</w:t>
      </w:r>
      <w:r>
        <w:rPr>
          <w:rFonts w:ascii="IBM Plex Sans" w:eastAsia="Times New Roman" w:hAnsi="IBM Plex Sans"/>
          <w:color w:val="283030"/>
          <w:sz w:val="20"/>
          <w:szCs w:val="20"/>
        </w:rPr>
        <w:t>ed benefit pension plans, we intend to contribute annually no less than the required minimum funding thresholds. As a result of prior voluntary contributions and plan performance, we were not required to make any contributions to our U.S. qualified defined</w:t>
      </w:r>
      <w:r>
        <w:rPr>
          <w:rFonts w:ascii="IBM Plex Sans" w:eastAsia="Times New Roman" w:hAnsi="IBM Plex Sans"/>
          <w:color w:val="283030"/>
          <w:sz w:val="20"/>
          <w:szCs w:val="20"/>
        </w:rPr>
        <w:t xml:space="preserve"> benefit pension plans in fiscal 2022 and are not required to make any contributions in fiscal 2023 or for several years thereafter.</w:t>
      </w:r>
    </w:p>
    <w:p w:rsidR="00000000" w:rsidRDefault="00F5481A">
      <w:pPr>
        <w:ind w:firstLine="360"/>
        <w:divId w:val="1936789910"/>
        <w:rPr>
          <w:rFonts w:eastAsia="Times New Roman"/>
        </w:rPr>
      </w:pPr>
      <w:r>
        <w:rPr>
          <w:rFonts w:ascii="IBM Plex Sans" w:eastAsia="Times New Roman" w:hAnsi="IBM Plex Sans"/>
          <w:color w:val="283030"/>
          <w:sz w:val="20"/>
          <w:szCs w:val="20"/>
        </w:rPr>
        <w:t>Future required contributions primarily will depend on the actual annual return on assets and the discount rate used to mea</w:t>
      </w:r>
      <w:r>
        <w:rPr>
          <w:rFonts w:ascii="IBM Plex Sans" w:eastAsia="Times New Roman" w:hAnsi="IBM Plex Sans"/>
          <w:color w:val="283030"/>
          <w:sz w:val="20"/>
          <w:szCs w:val="20"/>
        </w:rPr>
        <w:t xml:space="preserve">sure the benefit obligation at the end of each year. Depending on these factors, and the resulting funded status of our pension plans, the level of future statutory required minimum contributions could be material. We had net unfunded defined benefit plan </w:t>
      </w:r>
      <w:r>
        <w:rPr>
          <w:rFonts w:ascii="IBM Plex Sans" w:eastAsia="Times New Roman" w:hAnsi="IBM Plex Sans"/>
          <w:color w:val="283030"/>
          <w:sz w:val="20"/>
          <w:szCs w:val="20"/>
        </w:rPr>
        <w:t>obligations of $69 million as of December 30, 2022 compared with $431 million as of December 31, 2021. The decrease in the unfunded status as of December 30, 2022 is primarily due to decreased pension obligations from higher discount rates, partially offse</w:t>
      </w:r>
      <w:r>
        <w:rPr>
          <w:rFonts w:ascii="IBM Plex Sans" w:eastAsia="Times New Roman" w:hAnsi="IBM Plex Sans"/>
          <w:color w:val="283030"/>
          <w:sz w:val="20"/>
          <w:szCs w:val="20"/>
        </w:rPr>
        <w:t xml:space="preserve">t by decreased plan assets from lower market returns. See </w:t>
      </w:r>
      <w:r>
        <w:rPr>
          <w:rFonts w:ascii="IBM Plex Sans" w:eastAsia="Times New Roman" w:hAnsi="IBM Plex Sans"/>
          <w:i/>
          <w:iCs/>
          <w:color w:val="283030"/>
          <w:sz w:val="20"/>
          <w:szCs w:val="20"/>
        </w:rPr>
        <w:t>Note 14: Pension and Other Postretirement Benefits</w:t>
      </w:r>
      <w:r>
        <w:rPr>
          <w:rFonts w:ascii="IBM Plex Sans" w:eastAsia="Times New Roman" w:hAnsi="IBM Plex Sans"/>
          <w:color w:val="283030"/>
          <w:sz w:val="20"/>
          <w:szCs w:val="20"/>
        </w:rPr>
        <w:t xml:space="preserve"> in the Notes for further information regarding our pension plans.</w:t>
      </w:r>
    </w:p>
    <w:p w:rsidR="00000000" w:rsidRDefault="00F5481A">
      <w:pPr>
        <w:divId w:val="1153520740"/>
        <w:rPr>
          <w:rFonts w:eastAsia="Times New Roman"/>
        </w:rPr>
      </w:pPr>
      <w:r>
        <w:rPr>
          <w:rFonts w:ascii="IBM Plex Sans SemiBold" w:eastAsia="Times New Roman" w:hAnsi="IBM Plex Sans SemiBold"/>
          <w:b/>
          <w:bCs/>
          <w:color w:val="016676"/>
          <w:sz w:val="20"/>
          <w:szCs w:val="20"/>
        </w:rPr>
        <w:t>Common Stock Repurchases</w:t>
      </w:r>
    </w:p>
    <w:p w:rsidR="00000000" w:rsidRDefault="00F5481A">
      <w:pPr>
        <w:ind w:firstLine="360"/>
        <w:divId w:val="822622491"/>
        <w:rPr>
          <w:rFonts w:eastAsia="Times New Roman"/>
        </w:rPr>
      </w:pPr>
      <w:r>
        <w:rPr>
          <w:rFonts w:ascii="IBM Plex Sans" w:eastAsia="Times New Roman" w:hAnsi="IBM Plex Sans"/>
          <w:color w:val="283030"/>
          <w:sz w:val="20"/>
          <w:szCs w:val="20"/>
        </w:rPr>
        <w:t>During fiscal 2022, we used $1.1 billion to repurchase 4</w:t>
      </w:r>
      <w:r>
        <w:rPr>
          <w:rFonts w:ascii="IBM Plex Sans" w:eastAsia="Times New Roman" w:hAnsi="IBM Plex Sans"/>
          <w:color w:val="283030"/>
          <w:sz w:val="20"/>
          <w:szCs w:val="20"/>
        </w:rPr>
        <w:t xml:space="preserve">.7 million shares of our common stock under our share repurchase program at an average price per share of $231.46, including commissions of $0.02 per share. During </w:t>
      </w:r>
    </w:p>
    <w:p w:rsidR="00000000" w:rsidRDefault="00F5481A">
      <w:pPr>
        <w:ind w:firstLine="360"/>
        <w:jc w:val="center"/>
        <w:divId w:val="1421679360"/>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43</w:t>
      </w:r>
    </w:p>
    <w:p w:rsidR="00000000" w:rsidRDefault="00F5481A">
      <w:pPr>
        <w:rPr>
          <w:rFonts w:eastAsia="Times New Roman"/>
        </w:rPr>
      </w:pPr>
      <w:r>
        <w:rPr>
          <w:rFonts w:eastAsia="Times New Roman"/>
        </w:rPr>
        <w:pict>
          <v:rect id="_x0000_i1074" style="width:0;height:1.5pt" o:hralign="center" o:hrstd="t" o:hr="t" fillcolor="#a0a0a0" stroked="f"/>
        </w:pict>
      </w:r>
    </w:p>
    <w:p w:rsidR="00000000" w:rsidRDefault="00F5481A">
      <w:pPr>
        <w:ind w:firstLine="360"/>
        <w:divId w:val="1620336881"/>
        <w:rPr>
          <w:rFonts w:eastAsia="Times New Roman"/>
        </w:rPr>
      </w:pPr>
    </w:p>
    <w:p w:rsidR="00000000" w:rsidRDefault="00F5481A">
      <w:pPr>
        <w:divId w:val="1087268895"/>
        <w:rPr>
          <w:rFonts w:eastAsia="Times New Roman"/>
        </w:rPr>
      </w:pPr>
      <w:r>
        <w:rPr>
          <w:rFonts w:ascii="IBM Plex Sans" w:eastAsia="Times New Roman" w:hAnsi="IBM Plex Sans"/>
          <w:color w:val="283030"/>
          <w:sz w:val="20"/>
          <w:szCs w:val="20"/>
        </w:rPr>
        <w:t>fiscal 2021, we repurchased 17.1 million shares of our common stock under our share repurchase program for $3.7 billion at an average price per share of $215.30, including commissions of $0.02 per share. During fiscal 2022 and 2021, $45 million and $5 mill</w:t>
      </w:r>
      <w:r>
        <w:rPr>
          <w:rFonts w:ascii="IBM Plex Sans" w:eastAsia="Times New Roman" w:hAnsi="IBM Plex Sans"/>
          <w:color w:val="283030"/>
          <w:sz w:val="20"/>
          <w:szCs w:val="20"/>
        </w:rPr>
        <w:t xml:space="preserve">ion, respectively, in shares of our common stock were delivered to us or withheld by us to satisfy withholding taxes on employee share-based awards. Shares repurchased by us are cancelled and retired. </w:t>
      </w:r>
    </w:p>
    <w:p w:rsidR="00000000" w:rsidRDefault="00F5481A">
      <w:pPr>
        <w:ind w:firstLine="360"/>
        <w:divId w:val="25452092"/>
        <w:rPr>
          <w:rFonts w:eastAsia="Times New Roman"/>
        </w:rPr>
      </w:pPr>
      <w:r>
        <w:rPr>
          <w:rFonts w:ascii="IBM Plex Sans" w:eastAsia="Times New Roman" w:hAnsi="IBM Plex Sans"/>
          <w:color w:val="283030"/>
          <w:sz w:val="20"/>
          <w:szCs w:val="20"/>
        </w:rPr>
        <w:t>On January 28, 2021, we announced that our Board of Di</w:t>
      </w:r>
      <w:r>
        <w:rPr>
          <w:rFonts w:ascii="IBM Plex Sans" w:eastAsia="Times New Roman" w:hAnsi="IBM Plex Sans"/>
          <w:color w:val="283030"/>
          <w:sz w:val="20"/>
          <w:szCs w:val="20"/>
        </w:rPr>
        <w:t>rectors approved a new $6.0 billion share repurchase authorization under our repurchase program that was in addition to the remaining unused authorization of $210 million at January 1, 2021, under our prior share repurchase programs, for a total unused aut</w:t>
      </w:r>
      <w:r>
        <w:rPr>
          <w:rFonts w:ascii="IBM Plex Sans" w:eastAsia="Times New Roman" w:hAnsi="IBM Plex Sans"/>
          <w:color w:val="283030"/>
          <w:sz w:val="20"/>
          <w:szCs w:val="20"/>
        </w:rPr>
        <w:t>horization of $6.2 billion. On October 21, 2022, we announced that our Board of Directors approved an additional $3.0 billion share repurchase authorization. Our repurchase program does not have a stated expiration date and authorizes us to repurchase shar</w:t>
      </w:r>
      <w:r>
        <w:rPr>
          <w:rFonts w:ascii="IBM Plex Sans" w:eastAsia="Times New Roman" w:hAnsi="IBM Plex Sans"/>
          <w:color w:val="283030"/>
          <w:sz w:val="20"/>
          <w:szCs w:val="20"/>
        </w:rPr>
        <w:t>es of our common stock through open market purchases, private transactions, transactions structured through investment banking institutions or any combination thereof. At December 30, 2022, we had a remaining unused authorization under our repurchase progr</w:t>
      </w:r>
      <w:r>
        <w:rPr>
          <w:rFonts w:ascii="IBM Plex Sans" w:eastAsia="Times New Roman" w:hAnsi="IBM Plex Sans"/>
          <w:color w:val="283030"/>
          <w:sz w:val="20"/>
          <w:szCs w:val="20"/>
        </w:rPr>
        <w:t>am of $4.5 billion. We have announced that share repurchases will be moderated in the near-term, but the level and timing of our repurchases depends on a number of factors, including our financial condition, capital requirements, cash flows, results of ope</w:t>
      </w:r>
      <w:r>
        <w:rPr>
          <w:rFonts w:ascii="IBM Plex Sans" w:eastAsia="Times New Roman" w:hAnsi="IBM Plex Sans"/>
          <w:color w:val="283030"/>
          <w:sz w:val="20"/>
          <w:szCs w:val="20"/>
        </w:rPr>
        <w:t>rations, future business prospects and other factors our Board of Directors or management may deem relevant. The level and timing of our repurchases depends on a number of factors, including our financial condition, capital requirements, cash flows, result</w:t>
      </w:r>
      <w:r>
        <w:rPr>
          <w:rFonts w:ascii="IBM Plex Sans" w:eastAsia="Times New Roman" w:hAnsi="IBM Plex Sans"/>
          <w:color w:val="283030"/>
          <w:sz w:val="20"/>
          <w:szCs w:val="20"/>
        </w:rPr>
        <w:t>s of operations, future business prospects and other factors our Board and management may deem relevant. The timing, volume and nature of repurchases are subject to market conditions, applicable securities laws and other factors and are at our discretion a</w:t>
      </w:r>
      <w:r>
        <w:rPr>
          <w:rFonts w:ascii="IBM Plex Sans" w:eastAsia="Times New Roman" w:hAnsi="IBM Plex Sans"/>
          <w:color w:val="283030"/>
          <w:sz w:val="20"/>
          <w:szCs w:val="20"/>
        </w:rPr>
        <w:t>nd may be suspended or discontinued at any time. Additional information regarding our repurchase program is set forth above under “Item 5. Market for Registrant’s Common Equity, Related Stockholder Matters and Issuer Purchases of Equity Securities” of this</w:t>
      </w:r>
      <w:r>
        <w:rPr>
          <w:rFonts w:ascii="IBM Plex Sans" w:eastAsia="Times New Roman" w:hAnsi="IBM Plex Sans"/>
          <w:color w:val="283030"/>
          <w:sz w:val="20"/>
          <w:szCs w:val="20"/>
        </w:rPr>
        <w:t xml:space="preserve"> Report.</w:t>
      </w:r>
    </w:p>
    <w:p w:rsidR="00000000" w:rsidRDefault="00F5481A">
      <w:pPr>
        <w:divId w:val="964042900"/>
        <w:rPr>
          <w:rFonts w:eastAsia="Times New Roman"/>
        </w:rPr>
      </w:pPr>
      <w:r>
        <w:rPr>
          <w:rFonts w:ascii="IBM Plex Sans SemiBold" w:eastAsia="Times New Roman" w:hAnsi="IBM Plex Sans SemiBold"/>
          <w:b/>
          <w:bCs/>
          <w:color w:val="016676"/>
          <w:sz w:val="20"/>
          <w:szCs w:val="20"/>
        </w:rPr>
        <w:t>Dividends</w:t>
      </w:r>
    </w:p>
    <w:p w:rsidR="00000000" w:rsidRDefault="00F5481A">
      <w:pPr>
        <w:ind w:firstLine="360"/>
        <w:divId w:val="1382554426"/>
        <w:rPr>
          <w:rFonts w:eastAsia="Times New Roman"/>
        </w:rPr>
      </w:pPr>
      <w:r>
        <w:rPr>
          <w:rFonts w:ascii="IBM Plex Sans" w:eastAsia="Times New Roman" w:hAnsi="IBM Plex Sans"/>
          <w:color w:val="283030"/>
          <w:sz w:val="20"/>
          <w:szCs w:val="20"/>
        </w:rPr>
        <w:t>On February 24, 2023, we announced that our Board of Directors increased the quarterly per share cash dividend rate on our common stock from $1.12 to $1.14, commencing with the dividend declared by our Board of Directors for the first qu</w:t>
      </w:r>
      <w:r>
        <w:rPr>
          <w:rFonts w:ascii="IBM Plex Sans" w:eastAsia="Times New Roman" w:hAnsi="IBM Plex Sans"/>
          <w:color w:val="283030"/>
          <w:sz w:val="20"/>
          <w:szCs w:val="20"/>
        </w:rPr>
        <w:t>arter of fiscal 2023, for an annualized per share cash dividend rate of $4.56, which was our twenty-second consecutive annual increase in our quarterly cash dividend rate. Our annualized per share cash dividend rate was $4.48 in fiscal 2022, $4.08 in fisca</w:t>
      </w:r>
      <w:r>
        <w:rPr>
          <w:rFonts w:ascii="IBM Plex Sans" w:eastAsia="Times New Roman" w:hAnsi="IBM Plex Sans"/>
          <w:color w:val="283030"/>
          <w:sz w:val="20"/>
          <w:szCs w:val="20"/>
        </w:rPr>
        <w:t>l 2021 and $3.40 in fiscal 2020. Quarterly cash dividends are typically paid in March, June, September and December. Additional information concerning our dividends is set forth above under “Item 5. Market for Registrant’s Common Equity, Related Stockholde</w:t>
      </w:r>
      <w:r>
        <w:rPr>
          <w:rFonts w:ascii="IBM Plex Sans" w:eastAsia="Times New Roman" w:hAnsi="IBM Plex Sans"/>
          <w:color w:val="283030"/>
          <w:sz w:val="20"/>
          <w:szCs w:val="20"/>
        </w:rPr>
        <w:t>r Matters and Issuer Purchases of Equity Securities” of this Report.</w:t>
      </w:r>
    </w:p>
    <w:p w:rsidR="00000000" w:rsidRDefault="00F5481A">
      <w:pPr>
        <w:divId w:val="94985509"/>
        <w:rPr>
          <w:rFonts w:eastAsia="Times New Roman"/>
        </w:rPr>
      </w:pPr>
      <w:r>
        <w:rPr>
          <w:rFonts w:ascii="IBM Plex Sans SemiBold" w:eastAsia="Times New Roman" w:hAnsi="IBM Plex Sans SemiBold"/>
          <w:b/>
          <w:bCs/>
          <w:color w:val="016676"/>
          <w:sz w:val="20"/>
          <w:szCs w:val="20"/>
        </w:rPr>
        <w:t>Commercial Commitments</w:t>
      </w:r>
    </w:p>
    <w:p w:rsidR="00000000" w:rsidRDefault="00F5481A">
      <w:pPr>
        <w:ind w:firstLine="360"/>
        <w:divId w:val="47730985"/>
        <w:rPr>
          <w:rFonts w:eastAsia="Times New Roman"/>
        </w:rPr>
      </w:pPr>
      <w:r>
        <w:rPr>
          <w:rFonts w:ascii="IBM Plex Sans" w:eastAsia="Times New Roman" w:hAnsi="IBM Plex Sans"/>
          <w:color w:val="283030"/>
          <w:sz w:val="20"/>
          <w:szCs w:val="20"/>
        </w:rPr>
        <w:t>We have entered into commercial commitments in the normal course of business including surety bonds, standby letter of credit agreements and other arrangements with</w:t>
      </w:r>
      <w:r>
        <w:rPr>
          <w:rFonts w:ascii="IBM Plex Sans" w:eastAsia="Times New Roman" w:hAnsi="IBM Plex Sans"/>
          <w:color w:val="283030"/>
          <w:sz w:val="20"/>
          <w:szCs w:val="20"/>
        </w:rPr>
        <w:t xml:space="preserve"> financial institutions and customers primarily relating to the guarantee of future performance on certain contracts to provide products and services to customers or to obtain insurance policies with our insurance carriers. At December 30, 2022, we had com</w:t>
      </w:r>
      <w:r>
        <w:rPr>
          <w:rFonts w:ascii="IBM Plex Sans" w:eastAsia="Times New Roman" w:hAnsi="IBM Plex Sans"/>
          <w:color w:val="283030"/>
          <w:sz w:val="20"/>
          <w:szCs w:val="20"/>
        </w:rPr>
        <w:t>mercial commitments on outstanding surety bonds, standby letters of credit and other arrangements,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5385"/>
        <w:gridCol w:w="37"/>
        <w:gridCol w:w="133"/>
        <w:gridCol w:w="1092"/>
        <w:gridCol w:w="36"/>
        <w:gridCol w:w="36"/>
        <w:gridCol w:w="36"/>
        <w:gridCol w:w="36"/>
        <w:gridCol w:w="133"/>
        <w:gridCol w:w="1092"/>
        <w:gridCol w:w="36"/>
        <w:gridCol w:w="36"/>
        <w:gridCol w:w="36"/>
        <w:gridCol w:w="36"/>
        <w:gridCol w:w="36"/>
        <w:gridCol w:w="36"/>
        <w:gridCol w:w="36"/>
      </w:tblGrid>
      <w:tr w:rsidR="00000000">
        <w:trPr>
          <w:divId w:val="47730985"/>
        </w:trPr>
        <w:tc>
          <w:tcPr>
            <w:tcW w:w="50" w:type="pct"/>
            <w:vAlign w:val="center"/>
            <w:hideMark/>
          </w:tcPr>
          <w:p w:rsidR="00000000" w:rsidRDefault="00F5481A">
            <w:pPr>
              <w:ind w:firstLine="360"/>
              <w:rPr>
                <w:rFonts w:eastAsia="Times New Roman"/>
              </w:rPr>
            </w:pPr>
          </w:p>
        </w:tc>
        <w:tc>
          <w:tcPr>
            <w:tcW w:w="337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47730985"/>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Commercial Commitment Total</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Commitments expiring within</w:t>
            </w:r>
            <w:r>
              <w:rPr>
                <w:rFonts w:ascii="IBM Plex Sans" w:eastAsia="Times New Roman" w:hAnsi="IBM Plex Sans"/>
                <w:b/>
                <w:bCs/>
                <w:color w:val="283030"/>
                <w:sz w:val="16"/>
                <w:szCs w:val="16"/>
              </w:rPr>
              <w:br/>
              <w:t>1 Year</w:t>
            </w:r>
          </w:p>
        </w:tc>
        <w:tc>
          <w:tcPr>
            <w:tcW w:w="0" w:type="auto"/>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47730985"/>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47730985"/>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Surety bonds used for:</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47730985"/>
        </w:trPr>
        <w:tc>
          <w:tcPr>
            <w:tcW w:w="0" w:type="auto"/>
            <w:gridSpan w:val="3"/>
            <w:shd w:val="clear" w:color="auto" w:fill="FFFFFF"/>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Bids</w:t>
            </w: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47730985"/>
        </w:trPr>
        <w:tc>
          <w:tcPr>
            <w:tcW w:w="0" w:type="auto"/>
            <w:gridSpan w:val="3"/>
            <w:shd w:val="clear" w:color="auto" w:fill="D7EFF1"/>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Performance</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520 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387 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47730985"/>
        </w:trPr>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47730985"/>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Standby letters of credit used for:</w:t>
            </w:r>
          </w:p>
        </w:tc>
        <w:tc>
          <w:tcPr>
            <w:tcW w:w="0" w:type="auto"/>
            <w:gridSpan w:val="3"/>
            <w:tcBorders>
              <w:top w:val="single" w:sz="8" w:space="0" w:color="000000"/>
            </w:tcBorders>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47730985"/>
        </w:trPr>
        <w:tc>
          <w:tcPr>
            <w:tcW w:w="0" w:type="auto"/>
            <w:gridSpan w:val="3"/>
            <w:shd w:val="clear" w:color="auto" w:fill="FFFFFF"/>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Down payments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317 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201 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47730985"/>
        </w:trPr>
        <w:tc>
          <w:tcPr>
            <w:tcW w:w="0" w:type="auto"/>
            <w:gridSpan w:val="3"/>
            <w:shd w:val="clear" w:color="auto" w:fill="D7EFF1"/>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Performance</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320 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174 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47730985"/>
        </w:trPr>
        <w:tc>
          <w:tcPr>
            <w:tcW w:w="0" w:type="auto"/>
            <w:gridSpan w:val="3"/>
            <w:shd w:val="clear" w:color="auto" w:fill="FFFFFF"/>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Warranty</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47730985"/>
        </w:trPr>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707 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427 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47730985"/>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Total commitments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839 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bl>
    <w:p w:rsidR="00000000" w:rsidRDefault="00F5481A">
      <w:pPr>
        <w:ind w:firstLine="360"/>
        <w:divId w:val="772357125"/>
        <w:rPr>
          <w:rFonts w:eastAsia="Times New Roman"/>
        </w:rPr>
      </w:pPr>
      <w:r>
        <w:rPr>
          <w:rFonts w:ascii="IBM Plex Sans" w:eastAsia="Times New Roman" w:hAnsi="IBM Plex Sans"/>
          <w:color w:val="283030"/>
          <w:sz w:val="20"/>
          <w:szCs w:val="20"/>
        </w:rPr>
        <w:t>The surety bonds and standby letters of credit used for performance are primarily related to our Public Safety business sector. As is customary in bidding for and completing network infrastructure projects for public safety systems, contractors are require</w:t>
      </w:r>
      <w:r>
        <w:rPr>
          <w:rFonts w:ascii="IBM Plex Sans" w:eastAsia="Times New Roman" w:hAnsi="IBM Plex Sans"/>
          <w:color w:val="283030"/>
          <w:sz w:val="20"/>
          <w:szCs w:val="20"/>
        </w:rPr>
        <w:t xml:space="preserve">d to procure surety bonds and/or standby letters of credit for bids, performance, warranty and other purposes (collectively, “Performance Bonds”). Such Performance Bonds normally have </w:t>
      </w:r>
    </w:p>
    <w:p w:rsidR="00000000" w:rsidRDefault="00F5481A">
      <w:pPr>
        <w:ind w:firstLine="360"/>
        <w:jc w:val="center"/>
        <w:divId w:val="477499798"/>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44</w:t>
      </w:r>
    </w:p>
    <w:p w:rsidR="00000000" w:rsidRDefault="00F5481A">
      <w:pPr>
        <w:rPr>
          <w:rFonts w:eastAsia="Times New Roman"/>
        </w:rPr>
      </w:pPr>
      <w:r>
        <w:rPr>
          <w:rFonts w:eastAsia="Times New Roman"/>
        </w:rPr>
        <w:pict>
          <v:rect id="_x0000_i1075" style="width:0;height:1.5pt" o:hralign="center" o:hrstd="t" o:hr="t" fillcolor="#a0a0a0" stroked="f"/>
        </w:pict>
      </w:r>
    </w:p>
    <w:p w:rsidR="00000000" w:rsidRDefault="00F5481A">
      <w:pPr>
        <w:ind w:firstLine="360"/>
        <w:divId w:val="759909611"/>
        <w:rPr>
          <w:rFonts w:eastAsia="Times New Roman"/>
        </w:rPr>
      </w:pPr>
    </w:p>
    <w:p w:rsidR="00000000" w:rsidRDefault="00F5481A">
      <w:pPr>
        <w:divId w:val="52969091"/>
        <w:rPr>
          <w:rFonts w:eastAsia="Times New Roman"/>
        </w:rPr>
      </w:pPr>
      <w:r>
        <w:rPr>
          <w:rFonts w:ascii="IBM Plex Sans" w:eastAsia="Times New Roman" w:hAnsi="IBM Plex Sans"/>
          <w:color w:val="283030"/>
          <w:sz w:val="20"/>
          <w:szCs w:val="20"/>
        </w:rPr>
        <w:t xml:space="preserve">maturities of up to three years and are standard in the industry as a way to provide customers a mechanism to seek redress if a contractor does </w:t>
      </w:r>
      <w:r>
        <w:rPr>
          <w:rFonts w:ascii="IBM Plex Sans" w:eastAsia="Times New Roman" w:hAnsi="IBM Plex Sans"/>
          <w:color w:val="283030"/>
          <w:sz w:val="20"/>
          <w:szCs w:val="20"/>
        </w:rPr>
        <w:t>not satisfy performance requirements under a contract. Typically, a customer is permitted to draw on a Performance Bond if we do not fulfill all terms of a project contract. In such an event, we would be obligated to reimburse the financial institution tha</w:t>
      </w:r>
      <w:r>
        <w:rPr>
          <w:rFonts w:ascii="IBM Plex Sans" w:eastAsia="Times New Roman" w:hAnsi="IBM Plex Sans"/>
          <w:color w:val="283030"/>
          <w:sz w:val="20"/>
          <w:szCs w:val="20"/>
        </w:rPr>
        <w:t>t issued the Performance Bond for the amounts paid. It has been rare for our Public Safety business sector to have a Performance Bond drawn upon. In addition, pursuant to the terms under which we procure Performance Bonds, if our credit ratings are lowered</w:t>
      </w:r>
      <w:r>
        <w:rPr>
          <w:rFonts w:ascii="IBM Plex Sans" w:eastAsia="Times New Roman" w:hAnsi="IBM Plex Sans"/>
          <w:color w:val="283030"/>
          <w:sz w:val="20"/>
          <w:szCs w:val="20"/>
        </w:rPr>
        <w:t xml:space="preserve"> to below “investment grade,” we may be required to provide collateral to support a portion of the outstanding amount of Performance Bonds. Such a downgrade could increase the cost of the issuance of Performance Bonds and could make it more difficult to pr</w:t>
      </w:r>
      <w:r>
        <w:rPr>
          <w:rFonts w:ascii="IBM Plex Sans" w:eastAsia="Times New Roman" w:hAnsi="IBM Plex Sans"/>
          <w:color w:val="283030"/>
          <w:sz w:val="20"/>
          <w:szCs w:val="20"/>
        </w:rPr>
        <w:t>ocure Performance Bonds, which would adversely impact our ability to compete for contract awards. Such collateral requirements could also result in less liquidity for other operational needs or corporate purposes. In addition, any future disruptions, uncer</w:t>
      </w:r>
      <w:r>
        <w:rPr>
          <w:rFonts w:ascii="IBM Plex Sans" w:eastAsia="Times New Roman" w:hAnsi="IBM Plex Sans"/>
          <w:color w:val="283030"/>
          <w:sz w:val="20"/>
          <w:szCs w:val="20"/>
        </w:rPr>
        <w:t>tainty or volatility in financial and insurance markets could also adversely affect our ability to obtain Performance Bonds and may result in higher funding costs.</w:t>
      </w:r>
    </w:p>
    <w:p w:rsidR="00000000" w:rsidRDefault="00F5481A">
      <w:pPr>
        <w:divId w:val="1020199758"/>
        <w:rPr>
          <w:rFonts w:eastAsia="Times New Roman"/>
        </w:rPr>
      </w:pPr>
      <w:r>
        <w:rPr>
          <w:rFonts w:ascii="IBM Plex Sans SemiBold" w:eastAsia="Times New Roman" w:hAnsi="IBM Plex Sans SemiBold"/>
          <w:b/>
          <w:bCs/>
          <w:color w:val="016676"/>
          <w:sz w:val="20"/>
          <w:szCs w:val="20"/>
        </w:rPr>
        <w:t>Financial Risk Management</w:t>
      </w:r>
    </w:p>
    <w:p w:rsidR="00000000" w:rsidRDefault="00F5481A">
      <w:pPr>
        <w:ind w:firstLine="360"/>
        <w:divId w:val="1217202368"/>
        <w:rPr>
          <w:rFonts w:eastAsia="Times New Roman"/>
        </w:rPr>
      </w:pPr>
      <w:r>
        <w:rPr>
          <w:rFonts w:ascii="IBM Plex Sans" w:eastAsia="Times New Roman" w:hAnsi="IBM Plex Sans"/>
          <w:color w:val="283030"/>
          <w:sz w:val="20"/>
          <w:szCs w:val="20"/>
        </w:rPr>
        <w:t>In the normal course of business, we are exposed to risks associat</w:t>
      </w:r>
      <w:r>
        <w:rPr>
          <w:rFonts w:ascii="IBM Plex Sans" w:eastAsia="Times New Roman" w:hAnsi="IBM Plex Sans"/>
          <w:color w:val="283030"/>
          <w:sz w:val="20"/>
          <w:szCs w:val="20"/>
        </w:rPr>
        <w:t>ed with foreign currency exchange rates and changes in interest rates. We employ established policies and procedures governing the use of financial instruments to manage our exposure to such risks.</w:t>
      </w:r>
    </w:p>
    <w:p w:rsidR="00000000" w:rsidRDefault="00F5481A">
      <w:pPr>
        <w:ind w:firstLine="360"/>
        <w:divId w:val="790057200"/>
        <w:rPr>
          <w:rFonts w:eastAsia="Times New Roman"/>
        </w:rPr>
      </w:pPr>
      <w:r>
        <w:rPr>
          <w:rFonts w:ascii="IBM Plex Sans" w:eastAsia="Times New Roman" w:hAnsi="IBM Plex Sans"/>
          <w:b/>
          <w:bCs/>
          <w:i/>
          <w:iCs/>
          <w:color w:val="016676"/>
          <w:sz w:val="20"/>
          <w:szCs w:val="20"/>
        </w:rPr>
        <w:t>Foreign Exchange and Currency.</w:t>
      </w:r>
      <w:r>
        <w:rPr>
          <w:rFonts w:ascii="IBM Plex Sans" w:eastAsia="Times New Roman" w:hAnsi="IBM Plex Sans"/>
          <w:color w:val="283030"/>
          <w:sz w:val="20"/>
          <w:szCs w:val="20"/>
        </w:rPr>
        <w:t> Our U.S. and foreign busine</w:t>
      </w:r>
      <w:r>
        <w:rPr>
          <w:rFonts w:ascii="IBM Plex Sans" w:eastAsia="Times New Roman" w:hAnsi="IBM Plex Sans"/>
          <w:color w:val="283030"/>
          <w:sz w:val="20"/>
          <w:szCs w:val="20"/>
        </w:rPr>
        <w:t>sses enter into contracts with customers, subcontractors or vendors that are denominated in currencies other than the functional currencies of such businesses. We use foreign currency forward contracts and options to hedge both balance sheet and off-balanc</w:t>
      </w:r>
      <w:r>
        <w:rPr>
          <w:rFonts w:ascii="IBM Plex Sans" w:eastAsia="Times New Roman" w:hAnsi="IBM Plex Sans"/>
          <w:color w:val="283030"/>
          <w:sz w:val="20"/>
          <w:szCs w:val="20"/>
        </w:rPr>
        <w:t xml:space="preserve">e sheet future foreign currency commitments. Factors that could impact the effectiveness of our hedging programs for foreign currency include accuracy of sales estimates, volatility of currency markets and the cost and availability of hedging instruments. </w:t>
      </w:r>
      <w:r>
        <w:rPr>
          <w:rFonts w:ascii="IBM Plex Sans" w:eastAsia="Times New Roman" w:hAnsi="IBM Plex Sans"/>
          <w:color w:val="283030"/>
          <w:sz w:val="20"/>
          <w:szCs w:val="20"/>
        </w:rPr>
        <w:t>A 10% change in currency exchange rates for our foreign currency derivatives held at December 30, 2022 would not have had a material impact on the fair value of such instruments or our results of operations or cash flows. This quantification of exposure to</w:t>
      </w:r>
      <w:r>
        <w:rPr>
          <w:rFonts w:ascii="IBM Plex Sans" w:eastAsia="Times New Roman" w:hAnsi="IBM Plex Sans"/>
          <w:color w:val="283030"/>
          <w:sz w:val="20"/>
          <w:szCs w:val="20"/>
        </w:rPr>
        <w:t xml:space="preserve"> the market risk associated with foreign currency financial instruments does not take into account the offsetting impact of changes in the fair value of our foreign denominated assets, liabilities and firm commitments. See </w:t>
      </w:r>
      <w:r>
        <w:rPr>
          <w:rFonts w:ascii="IBM Plex Sans" w:eastAsia="Times New Roman" w:hAnsi="IBM Plex Sans"/>
          <w:i/>
          <w:iCs/>
          <w:color w:val="283030"/>
          <w:sz w:val="20"/>
          <w:szCs w:val="20"/>
        </w:rPr>
        <w:t>Note 19: Derivative Instruments a</w:t>
      </w:r>
      <w:r>
        <w:rPr>
          <w:rFonts w:ascii="IBM Plex Sans" w:eastAsia="Times New Roman" w:hAnsi="IBM Plex Sans"/>
          <w:i/>
          <w:iCs/>
          <w:color w:val="283030"/>
          <w:sz w:val="20"/>
          <w:szCs w:val="20"/>
        </w:rPr>
        <w:t xml:space="preserve">nd Hedging Activities </w:t>
      </w:r>
      <w:r>
        <w:rPr>
          <w:rFonts w:ascii="IBM Plex Sans" w:eastAsia="Times New Roman" w:hAnsi="IBM Plex Sans"/>
          <w:color w:val="283030"/>
          <w:sz w:val="20"/>
          <w:szCs w:val="20"/>
        </w:rPr>
        <w:t>in the Notes for additional information.</w:t>
      </w:r>
    </w:p>
    <w:p w:rsidR="00000000" w:rsidRDefault="00F5481A">
      <w:pPr>
        <w:ind w:firstLine="360"/>
        <w:divId w:val="529759272"/>
        <w:rPr>
          <w:rFonts w:eastAsia="Times New Roman"/>
        </w:rPr>
      </w:pPr>
      <w:r>
        <w:rPr>
          <w:rFonts w:ascii="IBM Plex Sans" w:eastAsia="Times New Roman" w:hAnsi="IBM Plex Sans"/>
          <w:b/>
          <w:bCs/>
          <w:i/>
          <w:iCs/>
          <w:color w:val="016676"/>
          <w:sz w:val="20"/>
          <w:szCs w:val="20"/>
        </w:rPr>
        <w:t>Interest Rates.</w:t>
      </w:r>
      <w:r>
        <w:rPr>
          <w:rFonts w:ascii="IBM Plex Sans" w:eastAsia="Times New Roman" w:hAnsi="IBM Plex Sans"/>
          <w:color w:val="283030"/>
          <w:sz w:val="20"/>
          <w:szCs w:val="20"/>
        </w:rPr>
        <w:t> As of December </w:t>
      </w:r>
      <w:r>
        <w:rPr>
          <w:rFonts w:ascii="IBM Plex Sans" w:eastAsia="Times New Roman" w:hAnsi="IBM Plex Sans"/>
          <w:color w:val="283030"/>
          <w:sz w:val="20"/>
          <w:szCs w:val="20"/>
        </w:rPr>
        <w:t xml:space="preserve">30, 2022, we had long-term variable-rate and fixed-rate debt obligations. The fair value of these obligations is impacted by changes in interest rates; however, a 10% change in interest rates for our long-term variable-rate and fixed-rate debt obligations </w:t>
      </w:r>
      <w:r>
        <w:rPr>
          <w:rFonts w:ascii="IBM Plex Sans" w:eastAsia="Times New Roman" w:hAnsi="IBM Plex Sans"/>
          <w:color w:val="283030"/>
          <w:sz w:val="20"/>
          <w:szCs w:val="20"/>
        </w:rPr>
        <w:t>at December 30, 2022 would not have had a material impact on the fair value of these obligations. There is no interest-rate risk associated with long-term fixed-rate debt obligations on our results of operations and cash flows unless existing obligations a</w:t>
      </w:r>
      <w:r>
        <w:rPr>
          <w:rFonts w:ascii="IBM Plex Sans" w:eastAsia="Times New Roman" w:hAnsi="IBM Plex Sans"/>
          <w:color w:val="283030"/>
          <w:sz w:val="20"/>
          <w:szCs w:val="20"/>
        </w:rPr>
        <w:t>re refinanced upon maturity at then-current interest rates, because the interest rates are fixed until maturity, and because our long-term fixed-rate debt is not puttable to us (i.e., not required to be redeemed by us prior to maturity). We anticipate miti</w:t>
      </w:r>
      <w:r>
        <w:rPr>
          <w:rFonts w:ascii="IBM Plex Sans" w:eastAsia="Times New Roman" w:hAnsi="IBM Plex Sans"/>
          <w:color w:val="283030"/>
          <w:sz w:val="20"/>
          <w:szCs w:val="20"/>
        </w:rPr>
        <w:t xml:space="preserve">gating interest rate risk associated with variable-rate debt under the Term Loan 2025 through hedging activities (see </w:t>
      </w:r>
      <w:r>
        <w:rPr>
          <w:rFonts w:ascii="IBM Plex Sans" w:eastAsia="Times New Roman" w:hAnsi="IBM Plex Sans"/>
          <w:i/>
          <w:iCs/>
          <w:color w:val="283030"/>
          <w:sz w:val="20"/>
          <w:szCs w:val="20"/>
        </w:rPr>
        <w:t>Note 19: Derivative Instruments and Hedging Activities</w:t>
      </w:r>
      <w:r>
        <w:rPr>
          <w:rFonts w:ascii="IBM Plex Sans" w:eastAsia="Times New Roman" w:hAnsi="IBM Plex Sans"/>
          <w:color w:val="283030"/>
          <w:sz w:val="20"/>
          <w:szCs w:val="20"/>
        </w:rPr>
        <w:t xml:space="preserve"> in the Notes for additional information). We can give no assurances, however, that </w:t>
      </w:r>
      <w:r>
        <w:rPr>
          <w:rFonts w:ascii="IBM Plex Sans" w:eastAsia="Times New Roman" w:hAnsi="IBM Plex Sans"/>
          <w:color w:val="283030"/>
          <w:sz w:val="20"/>
          <w:szCs w:val="20"/>
        </w:rPr>
        <w:t xml:space="preserve">interest rates will not change significantly or have a material effect on the fair value of our long-term variable-rate and fixed-rate debt obligations over the next twelve months. See </w:t>
      </w:r>
      <w:r>
        <w:rPr>
          <w:rFonts w:ascii="IBM Plex Sans" w:eastAsia="Times New Roman" w:hAnsi="IBM Plex Sans"/>
          <w:i/>
          <w:iCs/>
          <w:color w:val="283030"/>
          <w:sz w:val="20"/>
          <w:szCs w:val="20"/>
        </w:rPr>
        <w:t>Note 13: Debt</w:t>
      </w:r>
      <w:r>
        <w:rPr>
          <w:rFonts w:ascii="IBM Plex Sans" w:eastAsia="Times New Roman" w:hAnsi="IBM Plex Sans"/>
          <w:color w:val="283030"/>
          <w:sz w:val="20"/>
          <w:szCs w:val="20"/>
        </w:rPr>
        <w:t xml:space="preserve"> in the Notes for information regarding the maturities of </w:t>
      </w:r>
      <w:r>
        <w:rPr>
          <w:rFonts w:ascii="IBM Plex Sans" w:eastAsia="Times New Roman" w:hAnsi="IBM Plex Sans"/>
          <w:color w:val="283030"/>
          <w:sz w:val="20"/>
          <w:szCs w:val="20"/>
        </w:rPr>
        <w:t xml:space="preserve">our long-term variable-rate and fixed-rate debt obligations. </w:t>
      </w:r>
    </w:p>
    <w:p w:rsidR="00000000" w:rsidRDefault="00F5481A">
      <w:pPr>
        <w:ind w:firstLine="360"/>
        <w:divId w:val="933125627"/>
        <w:rPr>
          <w:rFonts w:eastAsia="Times New Roman"/>
        </w:rPr>
      </w:pPr>
      <w:r>
        <w:rPr>
          <w:rFonts w:ascii="IBM Plex Sans" w:eastAsia="Times New Roman" w:hAnsi="IBM Plex Sans"/>
          <w:color w:val="283030"/>
          <w:sz w:val="20"/>
          <w:szCs w:val="20"/>
        </w:rPr>
        <w:t>We use derivative instruments from time to time to manage our exposure to interest rate risk. If the derivative instrument is designated as a cash flow hedge, gains and losses from changes in th</w:t>
      </w:r>
      <w:r>
        <w:rPr>
          <w:rFonts w:ascii="IBM Plex Sans" w:eastAsia="Times New Roman" w:hAnsi="IBM Plex Sans"/>
          <w:color w:val="283030"/>
          <w:sz w:val="20"/>
          <w:szCs w:val="20"/>
        </w:rPr>
        <w:t xml:space="preserve">e fair value of such instrument are deferred and included as a component of accumulated other comprehensive loss (“AOCI”) and reclassified to interest expense in the period in which the hedged transaction affects earnings. See </w:t>
      </w:r>
      <w:r>
        <w:rPr>
          <w:rFonts w:ascii="IBM Plex Sans" w:eastAsia="Times New Roman" w:hAnsi="IBM Plex Sans"/>
          <w:i/>
          <w:iCs/>
          <w:color w:val="283030"/>
          <w:sz w:val="20"/>
          <w:szCs w:val="20"/>
        </w:rPr>
        <w:t>Note 19: Derivative Instrumen</w:t>
      </w:r>
      <w:r>
        <w:rPr>
          <w:rFonts w:ascii="IBM Plex Sans" w:eastAsia="Times New Roman" w:hAnsi="IBM Plex Sans"/>
          <w:i/>
          <w:iCs/>
          <w:color w:val="283030"/>
          <w:sz w:val="20"/>
          <w:szCs w:val="20"/>
        </w:rPr>
        <w:t>ts and Hedging Activities</w:t>
      </w:r>
      <w:r>
        <w:rPr>
          <w:rFonts w:ascii="IBM Plex Sans" w:eastAsia="Times New Roman" w:hAnsi="IBM Plex Sans"/>
          <w:color w:val="283030"/>
          <w:sz w:val="20"/>
          <w:szCs w:val="20"/>
        </w:rPr>
        <w:t xml:space="preserve"> in the Notes for additional information.</w:t>
      </w:r>
    </w:p>
    <w:p w:rsidR="00000000" w:rsidRDefault="00F5481A">
      <w:pPr>
        <w:ind w:firstLine="360"/>
        <w:divId w:val="20133293"/>
        <w:rPr>
          <w:rFonts w:eastAsia="Times New Roman"/>
        </w:rPr>
      </w:pPr>
      <w:r>
        <w:rPr>
          <w:rFonts w:ascii="IBM Plex Sans" w:eastAsia="Times New Roman" w:hAnsi="IBM Plex Sans"/>
          <w:color w:val="283030"/>
          <w:sz w:val="20"/>
          <w:szCs w:val="20"/>
        </w:rPr>
        <w:t>At December 30, 2022, we had no outstanding treasury lock agreements (“treasury locks”). In connection with the L3Harris Merger, we assumed two treasury locks that had been initiated in Jan</w:t>
      </w:r>
      <w:r>
        <w:rPr>
          <w:rFonts w:ascii="IBM Plex Sans" w:eastAsia="Times New Roman" w:hAnsi="IBM Plex Sans"/>
          <w:color w:val="283030"/>
          <w:sz w:val="20"/>
          <w:szCs w:val="20"/>
        </w:rPr>
        <w:t>uary 2019 to hedge against fluctuations in interest payments due to changes in the benchmark interest rate (10-year U.S. Treasury rate) associated with the anticipated issuance of debt to redeem or repay $650 million aggregate principal amount of our 4.95%</w:t>
      </w:r>
      <w:r>
        <w:rPr>
          <w:rFonts w:ascii="IBM Plex Sans" w:eastAsia="Times New Roman" w:hAnsi="IBM Plex Sans"/>
          <w:color w:val="283030"/>
          <w:sz w:val="20"/>
          <w:szCs w:val="20"/>
        </w:rPr>
        <w:t xml:space="preserve"> notes due February 15, 2021 (“4.95% 2021 Notes”). These treasury locks were terminated as planned in connection with the issuance of $650 million in aggregate principal amount of 1.80% notes due January 15, 2031 (the “1.80% 2031 Notes”) during the fourth </w:t>
      </w:r>
      <w:r>
        <w:rPr>
          <w:rFonts w:ascii="IBM Plex Sans" w:eastAsia="Times New Roman" w:hAnsi="IBM Plex Sans"/>
          <w:color w:val="283030"/>
          <w:sz w:val="20"/>
          <w:szCs w:val="20"/>
        </w:rPr>
        <w:t xml:space="preserve">quarter of 2020, and because interest rates decreased during the period of the treasury locks, we made a $113 million cash payment to our counterparty and recorded an after-tax loss of $58 million in the “Accumulated other comprehensive loss” line item of </w:t>
      </w:r>
      <w:r>
        <w:rPr>
          <w:rFonts w:ascii="IBM Plex Sans" w:eastAsia="Times New Roman" w:hAnsi="IBM Plex Sans"/>
          <w:color w:val="283030"/>
          <w:sz w:val="20"/>
          <w:szCs w:val="20"/>
        </w:rPr>
        <w:t>our Consolidated Balance Sheet. The AOCI balance will be amortized to interest expense over the life of the 1.80% 2031 Notes. We classified the cash outflow from the termination of these treasury locks as cash used in financing activities in our Consolidat</w:t>
      </w:r>
      <w:r>
        <w:rPr>
          <w:rFonts w:ascii="IBM Plex Sans" w:eastAsia="Times New Roman" w:hAnsi="IBM Plex Sans"/>
          <w:color w:val="283030"/>
          <w:sz w:val="20"/>
          <w:szCs w:val="20"/>
        </w:rPr>
        <w:t xml:space="preserve">ed </w:t>
      </w:r>
    </w:p>
    <w:p w:rsidR="00000000" w:rsidRDefault="00F5481A">
      <w:pPr>
        <w:ind w:firstLine="360"/>
        <w:jc w:val="center"/>
        <w:divId w:val="993031035"/>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45</w:t>
      </w:r>
    </w:p>
    <w:p w:rsidR="00000000" w:rsidRDefault="00F5481A">
      <w:pPr>
        <w:rPr>
          <w:rFonts w:eastAsia="Times New Roman"/>
        </w:rPr>
      </w:pPr>
      <w:r>
        <w:rPr>
          <w:rFonts w:eastAsia="Times New Roman"/>
        </w:rPr>
        <w:pict>
          <v:rect id="_x0000_i1076" style="width:0;height:1.5pt" o:hralign="center" o:hrstd="t" o:hr="t" fillcolor="#a0a0a0" stroked="f"/>
        </w:pict>
      </w:r>
    </w:p>
    <w:p w:rsidR="00000000" w:rsidRDefault="00F5481A">
      <w:pPr>
        <w:ind w:firstLine="360"/>
        <w:divId w:val="91048895"/>
        <w:rPr>
          <w:rFonts w:eastAsia="Times New Roman"/>
        </w:rPr>
      </w:pPr>
    </w:p>
    <w:p w:rsidR="00000000" w:rsidRDefault="00F5481A">
      <w:pPr>
        <w:divId w:val="1762026483"/>
        <w:rPr>
          <w:rFonts w:eastAsia="Times New Roman"/>
        </w:rPr>
      </w:pPr>
      <w:r>
        <w:rPr>
          <w:rFonts w:ascii="IBM Plex Sans" w:eastAsia="Times New Roman" w:hAnsi="IBM Plex Sans"/>
          <w:color w:val="283030"/>
          <w:sz w:val="20"/>
          <w:szCs w:val="20"/>
        </w:rPr>
        <w:t xml:space="preserve">Statement of Cash Flows. See </w:t>
      </w:r>
      <w:r>
        <w:rPr>
          <w:rFonts w:ascii="IBM Plex Sans" w:eastAsia="Times New Roman" w:hAnsi="IBM Plex Sans"/>
          <w:i/>
          <w:iCs/>
          <w:color w:val="283030"/>
          <w:sz w:val="20"/>
          <w:szCs w:val="20"/>
        </w:rPr>
        <w:t>Note 19: Derivative Instruments and Hedging Activities</w:t>
      </w:r>
      <w:r>
        <w:rPr>
          <w:rFonts w:ascii="IBM Plex Sans" w:eastAsia="Times New Roman" w:hAnsi="IBM Plex Sans"/>
          <w:color w:val="283030"/>
          <w:sz w:val="20"/>
          <w:szCs w:val="20"/>
        </w:rPr>
        <w:t xml:space="preserve"> in the Notes for additional information.</w:t>
      </w:r>
    </w:p>
    <w:p w:rsidR="00000000" w:rsidRDefault="00F5481A">
      <w:pPr>
        <w:ind w:firstLine="360"/>
        <w:divId w:val="291794227"/>
        <w:rPr>
          <w:rFonts w:eastAsia="Times New Roman"/>
        </w:rPr>
      </w:pPr>
      <w:r>
        <w:rPr>
          <w:rFonts w:ascii="IBM Plex Sans" w:eastAsia="Times New Roman" w:hAnsi="IBM Plex Sans"/>
          <w:color w:val="283030"/>
          <w:sz w:val="20"/>
          <w:szCs w:val="20"/>
        </w:rPr>
        <w:t>At December 30,</w:t>
      </w:r>
      <w:r>
        <w:rPr>
          <w:rFonts w:ascii="IBM Plex Sans" w:eastAsia="Times New Roman" w:hAnsi="IBM Plex Sans"/>
          <w:color w:val="283030"/>
          <w:sz w:val="20"/>
          <w:szCs w:val="20"/>
        </w:rPr>
        <w:t xml:space="preserve"> 2022, we had long-term variable-rate debt obligations of $250 million due March 10, 2023, which we intend to refinance under the Term Loan 2025, which was established during 2022. These debt obligations bear interest that is variable based on certain shor</w:t>
      </w:r>
      <w:r>
        <w:rPr>
          <w:rFonts w:ascii="IBM Plex Sans" w:eastAsia="Times New Roman" w:hAnsi="IBM Plex Sans"/>
          <w:color w:val="283030"/>
          <w:sz w:val="20"/>
          <w:szCs w:val="20"/>
        </w:rPr>
        <w:t xml:space="preserve">t-term indices, thus exposing us to interest-rate risk; however, a 10% change in interest rates for these debt obligations at December 30, 2022 would not have had a material impact on our results of operations or cash flows. See </w:t>
      </w:r>
      <w:r>
        <w:rPr>
          <w:rFonts w:ascii="IBM Plex Sans" w:eastAsia="Times New Roman" w:hAnsi="IBM Plex Sans"/>
          <w:i/>
          <w:iCs/>
          <w:color w:val="283030"/>
          <w:sz w:val="20"/>
          <w:szCs w:val="20"/>
        </w:rPr>
        <w:t xml:space="preserve">Note 13: Debt </w:t>
      </w:r>
      <w:r>
        <w:rPr>
          <w:rFonts w:ascii="IBM Plex Sans" w:eastAsia="Times New Roman" w:hAnsi="IBM Plex Sans"/>
          <w:color w:val="283030"/>
          <w:sz w:val="20"/>
          <w:szCs w:val="20"/>
        </w:rPr>
        <w:t>in the Notes</w:t>
      </w:r>
      <w:r>
        <w:rPr>
          <w:rFonts w:ascii="IBM Plex Sans" w:eastAsia="Times New Roman" w:hAnsi="IBM Plex Sans"/>
          <w:i/>
          <w:iCs/>
          <w:color w:val="283030"/>
          <w:sz w:val="20"/>
          <w:szCs w:val="20"/>
        </w:rPr>
        <w:t xml:space="preserve"> </w:t>
      </w:r>
      <w:r>
        <w:rPr>
          <w:rFonts w:ascii="IBM Plex Sans" w:eastAsia="Times New Roman" w:hAnsi="IBM Plex Sans"/>
          <w:color w:val="283030"/>
          <w:sz w:val="20"/>
          <w:szCs w:val="20"/>
        </w:rPr>
        <w:t>for further information.</w:t>
      </w:r>
    </w:p>
    <w:p w:rsidR="00000000" w:rsidRDefault="00F5481A">
      <w:pPr>
        <w:ind w:firstLine="360"/>
        <w:divId w:val="1781796859"/>
        <w:rPr>
          <w:rFonts w:eastAsia="Times New Roman"/>
        </w:rPr>
      </w:pPr>
      <w:r>
        <w:rPr>
          <w:rFonts w:ascii="IBM Plex Sans" w:eastAsia="Times New Roman" w:hAnsi="IBM Plex Sans"/>
          <w:color w:val="283030"/>
          <w:sz w:val="20"/>
          <w:szCs w:val="20"/>
        </w:rPr>
        <w:t>We have also used short-term variable-rate debt borrowings, primarily under our commercial paper program, which are subject to interest rate risk. We utilize our commercial paper program to satisfy short-term cash requirements, inc</w:t>
      </w:r>
      <w:r>
        <w:rPr>
          <w:rFonts w:ascii="IBM Plex Sans" w:eastAsia="Times New Roman" w:hAnsi="IBM Plex Sans"/>
          <w:color w:val="283030"/>
          <w:sz w:val="20"/>
          <w:szCs w:val="20"/>
        </w:rPr>
        <w:t>luding bridge financing for strategic acquisitions until longer-term financing arrangements are put in place, temporarily funding repurchases under our share repurchase programs and temporarily funding redemption of long-term debt. The interest rate risk a</w:t>
      </w:r>
      <w:r>
        <w:rPr>
          <w:rFonts w:ascii="IBM Plex Sans" w:eastAsia="Times New Roman" w:hAnsi="IBM Plex Sans"/>
          <w:color w:val="283030"/>
          <w:sz w:val="20"/>
          <w:szCs w:val="20"/>
        </w:rPr>
        <w:t>ssociated with such debt on our results of operations and cash flows is not material due to its temporary nature.</w:t>
      </w:r>
    </w:p>
    <w:p w:rsidR="00000000" w:rsidRDefault="00F5481A">
      <w:pPr>
        <w:divId w:val="803154537"/>
        <w:rPr>
          <w:rFonts w:eastAsia="Times New Roman"/>
        </w:rPr>
      </w:pPr>
      <w:r>
        <w:rPr>
          <w:rFonts w:ascii="IBM Plex Sans SemiBold" w:eastAsia="Times New Roman" w:hAnsi="IBM Plex Sans SemiBold"/>
          <w:b/>
          <w:bCs/>
          <w:color w:val="016676"/>
          <w:sz w:val="20"/>
          <w:szCs w:val="20"/>
        </w:rPr>
        <w:t>Impact of Foreign Exchange</w:t>
      </w:r>
    </w:p>
    <w:p w:rsidR="00000000" w:rsidRDefault="00F5481A">
      <w:pPr>
        <w:ind w:firstLine="360"/>
        <w:divId w:val="552036146"/>
        <w:rPr>
          <w:rFonts w:eastAsia="Times New Roman"/>
        </w:rPr>
      </w:pPr>
      <w:r>
        <w:rPr>
          <w:rFonts w:ascii="IBM Plex Sans" w:eastAsia="Times New Roman" w:hAnsi="IBM Plex Sans"/>
          <w:color w:val="283030"/>
          <w:sz w:val="20"/>
          <w:szCs w:val="20"/>
        </w:rPr>
        <w:t>In fiscal 2022, 43% of our international business was transacted in local currency environments compared with 40% i</w:t>
      </w:r>
      <w:r>
        <w:rPr>
          <w:rFonts w:ascii="IBM Plex Sans" w:eastAsia="Times New Roman" w:hAnsi="IBM Plex Sans"/>
          <w:color w:val="283030"/>
          <w:sz w:val="20"/>
          <w:szCs w:val="20"/>
        </w:rPr>
        <w:t>n fiscal 2021 and 32% in fiscal 2020. The impact of translating the assets and liabilities of these operations to U.S. Dollars is included as a component of shareholders’ equity. As of December 30, 2022, the cumulative foreign currency translation adjustme</w:t>
      </w:r>
      <w:r>
        <w:rPr>
          <w:rFonts w:ascii="IBM Plex Sans" w:eastAsia="Times New Roman" w:hAnsi="IBM Plex Sans"/>
          <w:color w:val="283030"/>
          <w:sz w:val="20"/>
          <w:szCs w:val="20"/>
        </w:rPr>
        <w:t>nt included in shareholders’ equity was a $237 million loss compared with a $118 million loss at December 31, 2021. We utilize foreign currency hedging instruments to minimize the currency risk of international transactions. Gains and losses resulting from</w:t>
      </w:r>
      <w:r>
        <w:rPr>
          <w:rFonts w:ascii="IBM Plex Sans" w:eastAsia="Times New Roman" w:hAnsi="IBM Plex Sans"/>
          <w:color w:val="283030"/>
          <w:sz w:val="20"/>
          <w:szCs w:val="20"/>
        </w:rPr>
        <w:t xml:space="preserve"> currency rate fluctuations did not have a material effect on our results in fiscal 2022, 2021 or 2020.</w:t>
      </w:r>
    </w:p>
    <w:p w:rsidR="00000000" w:rsidRDefault="00F5481A">
      <w:pPr>
        <w:divId w:val="366104819"/>
        <w:rPr>
          <w:rFonts w:eastAsia="Times New Roman"/>
        </w:rPr>
      </w:pPr>
      <w:r>
        <w:rPr>
          <w:rFonts w:ascii="IBM Plex Sans SemiBold" w:eastAsia="Times New Roman" w:hAnsi="IBM Plex Sans SemiBold"/>
          <w:b/>
          <w:bCs/>
          <w:color w:val="016676"/>
          <w:sz w:val="20"/>
          <w:szCs w:val="20"/>
        </w:rPr>
        <w:t>Impact of Inflation</w:t>
      </w:r>
    </w:p>
    <w:p w:rsidR="00000000" w:rsidRDefault="00F5481A">
      <w:pPr>
        <w:ind w:firstLine="360"/>
        <w:divId w:val="286931823"/>
        <w:rPr>
          <w:rFonts w:eastAsia="Times New Roman"/>
        </w:rPr>
      </w:pPr>
      <w:r>
        <w:rPr>
          <w:rFonts w:ascii="IBM Plex Sans" w:eastAsia="Times New Roman" w:hAnsi="IBM Plex Sans"/>
          <w:color w:val="283030"/>
          <w:sz w:val="20"/>
          <w:szCs w:val="20"/>
        </w:rPr>
        <w:t>The macroeconomic environment continues to experience challenges, including historically high rates of inflation. These macroeconomi</w:t>
      </w:r>
      <w:r>
        <w:rPr>
          <w:rFonts w:ascii="IBM Plex Sans" w:eastAsia="Times New Roman" w:hAnsi="IBM Plex Sans"/>
          <w:color w:val="283030"/>
          <w:sz w:val="20"/>
          <w:szCs w:val="20"/>
        </w:rPr>
        <w:t>c factors have contributed, and we expect will continue to contribute, to increased material and labor input costs, among other impacts. To the extent feasible, we have consistently followed the practice of adjusting our prices to reflect the impact of inf</w:t>
      </w:r>
      <w:r>
        <w:rPr>
          <w:rFonts w:ascii="IBM Plex Sans" w:eastAsia="Times New Roman" w:hAnsi="IBM Plex Sans"/>
          <w:color w:val="283030"/>
          <w:sz w:val="20"/>
          <w:szCs w:val="20"/>
        </w:rPr>
        <w:t>lation on salaries and fringe benefits for employees and the cost of purchased materials and services. However, our fixed-price contracts could subject us to losses in the event of persistent elevated levels of inflation. See “Item 1A. Risk Factors” of thi</w:t>
      </w:r>
      <w:r>
        <w:rPr>
          <w:rFonts w:ascii="IBM Plex Sans" w:eastAsia="Times New Roman" w:hAnsi="IBM Plex Sans"/>
          <w:color w:val="283030"/>
          <w:sz w:val="20"/>
          <w:szCs w:val="20"/>
        </w:rPr>
        <w:t>s Report for more information regarding the risk of inflation to our business. We believe current inflation levels will be persistent in 2023.</w:t>
      </w:r>
    </w:p>
    <w:p w:rsidR="00000000" w:rsidRDefault="00F5481A">
      <w:pPr>
        <w:divId w:val="672224224"/>
        <w:rPr>
          <w:rFonts w:eastAsia="Times New Roman"/>
        </w:rPr>
      </w:pPr>
      <w:r>
        <w:rPr>
          <w:rFonts w:ascii="IBM Plex Sans SemiBold" w:eastAsia="Times New Roman" w:hAnsi="IBM Plex Sans SemiBold"/>
          <w:b/>
          <w:bCs/>
          <w:color w:val="016676"/>
          <w:sz w:val="20"/>
          <w:szCs w:val="20"/>
        </w:rPr>
        <w:t>CRITICAL ACCOUNTING ESTIMATES</w:t>
      </w:r>
    </w:p>
    <w:p w:rsidR="00000000" w:rsidRDefault="00F5481A">
      <w:pPr>
        <w:ind w:firstLine="360"/>
        <w:divId w:val="1310743519"/>
        <w:rPr>
          <w:rFonts w:eastAsia="Times New Roman"/>
        </w:rPr>
      </w:pPr>
      <w:r>
        <w:rPr>
          <w:rFonts w:ascii="IBM Plex Sans" w:eastAsia="Times New Roman" w:hAnsi="IBM Plex Sans"/>
          <w:color w:val="283030"/>
          <w:sz w:val="20"/>
          <w:szCs w:val="20"/>
        </w:rPr>
        <w:t>Preparation of this Report in accordance with GAAP requires us to make estimates an</w:t>
      </w:r>
      <w:r>
        <w:rPr>
          <w:rFonts w:ascii="IBM Plex Sans" w:eastAsia="Times New Roman" w:hAnsi="IBM Plex Sans"/>
          <w:color w:val="283030"/>
          <w:sz w:val="20"/>
          <w:szCs w:val="20"/>
        </w:rPr>
        <w:t>d assumptions that affect the reported amount of assets, liabilities, revenue, expenses and backlog as well as disclosure of contingent assets and liabilities. While the following is not intended to be a comprehensive list of our accounting estimates, we c</w:t>
      </w:r>
      <w:r>
        <w:rPr>
          <w:rFonts w:ascii="IBM Plex Sans" w:eastAsia="Times New Roman" w:hAnsi="IBM Plex Sans"/>
          <w:color w:val="283030"/>
          <w:sz w:val="20"/>
          <w:szCs w:val="20"/>
        </w:rPr>
        <w:t>onsider the estimates discussed below as critical to an understanding of our financial statements because their application places the most significant demands on our judgment, with financial reporting results dependent on estimates about the effect of mat</w:t>
      </w:r>
      <w:r>
        <w:rPr>
          <w:rFonts w:ascii="IBM Plex Sans" w:eastAsia="Times New Roman" w:hAnsi="IBM Plex Sans"/>
          <w:color w:val="283030"/>
          <w:sz w:val="20"/>
          <w:szCs w:val="20"/>
        </w:rPr>
        <w:t>ters that are inherently uncertain and may change in subsequent periods. Specific risks for these critical accounting estimates are described in the following paragraphs. The impact and any associated risks related to these estimates on our business operat</w:t>
      </w:r>
      <w:r>
        <w:rPr>
          <w:rFonts w:ascii="IBM Plex Sans" w:eastAsia="Times New Roman" w:hAnsi="IBM Plex Sans"/>
          <w:color w:val="283030"/>
          <w:sz w:val="20"/>
          <w:szCs w:val="20"/>
        </w:rPr>
        <w:t>ions are discussed throughout this MD&amp;A where such estimates affect our reported and expected financial results. Senior management has discussed the development and selection of the critical accounting estimates and the related disclosure included herein w</w:t>
      </w:r>
      <w:r>
        <w:rPr>
          <w:rFonts w:ascii="IBM Plex Sans" w:eastAsia="Times New Roman" w:hAnsi="IBM Plex Sans"/>
          <w:color w:val="283030"/>
          <w:sz w:val="20"/>
          <w:szCs w:val="20"/>
        </w:rPr>
        <w:t>ith the Audit Committee of our Board of Directors. Actual results may differ from those estimates.</w:t>
      </w:r>
    </w:p>
    <w:p w:rsidR="00000000" w:rsidRDefault="00F5481A">
      <w:pPr>
        <w:ind w:firstLine="360"/>
        <w:divId w:val="520701272"/>
        <w:rPr>
          <w:rFonts w:eastAsia="Times New Roman"/>
        </w:rPr>
      </w:pPr>
      <w:r>
        <w:rPr>
          <w:rFonts w:ascii="IBM Plex Sans" w:eastAsia="Times New Roman" w:hAnsi="IBM Plex Sans"/>
          <w:color w:val="283030"/>
          <w:sz w:val="20"/>
          <w:szCs w:val="20"/>
        </w:rPr>
        <w:t>Besides estimates that meet the “critical” accounting estimate criteria, we make many other accounting estimates in preparing our financial statements and re</w:t>
      </w:r>
      <w:r>
        <w:rPr>
          <w:rFonts w:ascii="IBM Plex Sans" w:eastAsia="Times New Roman" w:hAnsi="IBM Plex Sans"/>
          <w:color w:val="283030"/>
          <w:sz w:val="20"/>
          <w:szCs w:val="20"/>
        </w:rPr>
        <w:t>lated disclosures. All estimates, whether or not deemed “critical,” affect reported amounts of assets, liabilities, revenue and expenses, as well as disclosures of contingent assets and liabilities. Estimates are based on experience and other information a</w:t>
      </w:r>
      <w:r>
        <w:rPr>
          <w:rFonts w:ascii="IBM Plex Sans" w:eastAsia="Times New Roman" w:hAnsi="IBM Plex Sans"/>
          <w:color w:val="283030"/>
          <w:sz w:val="20"/>
          <w:szCs w:val="20"/>
        </w:rPr>
        <w:t>vailable prior to the issuance of the financial statements. Materially different results can occur as circumstances change and additional information becomes known, including for estimates that we do not deem “critical.”</w:t>
      </w:r>
    </w:p>
    <w:p w:rsidR="00000000" w:rsidRDefault="00F5481A">
      <w:pPr>
        <w:divId w:val="1634477528"/>
        <w:rPr>
          <w:rFonts w:eastAsia="Times New Roman"/>
        </w:rPr>
      </w:pPr>
      <w:r>
        <w:rPr>
          <w:rFonts w:ascii="IBM Plex Sans SemiBold" w:eastAsia="Times New Roman" w:hAnsi="IBM Plex Sans SemiBold"/>
          <w:b/>
          <w:bCs/>
          <w:color w:val="016676"/>
          <w:sz w:val="20"/>
          <w:szCs w:val="20"/>
        </w:rPr>
        <w:t>Revenue Recognition</w:t>
      </w:r>
    </w:p>
    <w:p w:rsidR="00000000" w:rsidRDefault="00F5481A">
      <w:pPr>
        <w:ind w:firstLine="360"/>
        <w:divId w:val="1504858813"/>
        <w:rPr>
          <w:rFonts w:eastAsia="Times New Roman"/>
        </w:rPr>
      </w:pPr>
      <w:r>
        <w:rPr>
          <w:rFonts w:ascii="IBM Plex Sans" w:eastAsia="Times New Roman" w:hAnsi="IBM Plex Sans"/>
          <w:color w:val="283030"/>
          <w:sz w:val="20"/>
          <w:szCs w:val="20"/>
        </w:rPr>
        <w:t>A significant p</w:t>
      </w:r>
      <w:r>
        <w:rPr>
          <w:rFonts w:ascii="IBM Plex Sans" w:eastAsia="Times New Roman" w:hAnsi="IBM Plex Sans"/>
          <w:color w:val="283030"/>
          <w:sz w:val="20"/>
          <w:szCs w:val="20"/>
        </w:rPr>
        <w:t xml:space="preserve">ortion of our business is derived from development and production contracts. Revenue and profit related to development and production contracts are generally recognized over time, typically using the percentage of completion (“POC”) cost-to-cost method of </w:t>
      </w:r>
      <w:r>
        <w:rPr>
          <w:rFonts w:ascii="IBM Plex Sans" w:eastAsia="Times New Roman" w:hAnsi="IBM Plex Sans"/>
          <w:color w:val="283030"/>
          <w:sz w:val="20"/>
          <w:szCs w:val="20"/>
        </w:rPr>
        <w:t>revenue recognition, whereby we measure our progress towards completion of the performance obligation based on the ratio of costs incurred to date to estimated costs at completion under the contract. Because costs incurred represent work performed, we beli</w:t>
      </w:r>
      <w:r>
        <w:rPr>
          <w:rFonts w:ascii="IBM Plex Sans" w:eastAsia="Times New Roman" w:hAnsi="IBM Plex Sans"/>
          <w:color w:val="283030"/>
          <w:sz w:val="20"/>
          <w:szCs w:val="20"/>
        </w:rPr>
        <w:t xml:space="preserve">eve this method best depicts the transfer of control of the asset to the customer. Under the POC cost-to-cost method of revenue </w:t>
      </w:r>
    </w:p>
    <w:p w:rsidR="00000000" w:rsidRDefault="00F5481A">
      <w:pPr>
        <w:ind w:firstLine="360"/>
        <w:jc w:val="center"/>
        <w:divId w:val="1043482551"/>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46</w:t>
      </w:r>
    </w:p>
    <w:p w:rsidR="00000000" w:rsidRDefault="00F5481A">
      <w:pPr>
        <w:rPr>
          <w:rFonts w:eastAsia="Times New Roman"/>
        </w:rPr>
      </w:pPr>
      <w:r>
        <w:rPr>
          <w:rFonts w:eastAsia="Times New Roman"/>
        </w:rPr>
        <w:pict>
          <v:rect id="_x0000_i1077" style="width:0;height:1.5pt" o:hralign="center" o:hrstd="t" o:hr="t" fillcolor="#a0a0a0" stroked="f"/>
        </w:pict>
      </w:r>
    </w:p>
    <w:p w:rsidR="00000000" w:rsidRDefault="00F5481A">
      <w:pPr>
        <w:ind w:firstLine="360"/>
        <w:divId w:val="1988970076"/>
        <w:rPr>
          <w:rFonts w:eastAsia="Times New Roman"/>
        </w:rPr>
      </w:pPr>
    </w:p>
    <w:p w:rsidR="00000000" w:rsidRDefault="00F5481A">
      <w:pPr>
        <w:divId w:val="45182522"/>
        <w:rPr>
          <w:rFonts w:eastAsia="Times New Roman"/>
        </w:rPr>
      </w:pPr>
      <w:r>
        <w:rPr>
          <w:rFonts w:ascii="IBM Plex Sans" w:eastAsia="Times New Roman" w:hAnsi="IBM Plex Sans"/>
          <w:color w:val="283030"/>
          <w:sz w:val="20"/>
          <w:szCs w:val="20"/>
        </w:rPr>
        <w:t>recognition, a single estimated profit margin is used to recognize profit for each performance obligation over its period of performance. Recognition of profit on a contract requires estimates of the total cost at completion and transaction price and the m</w:t>
      </w:r>
      <w:r>
        <w:rPr>
          <w:rFonts w:ascii="IBM Plex Sans" w:eastAsia="Times New Roman" w:hAnsi="IBM Plex Sans"/>
          <w:color w:val="283030"/>
          <w:sz w:val="20"/>
          <w:szCs w:val="20"/>
        </w:rPr>
        <w:t>easurement of progress towards completion. Due to the long-term nature of many of our contracts, developing the estimated total cost at completion and total transaction price often requires judgment. Factors that must be considered in estimating the cost o</w:t>
      </w:r>
      <w:r>
        <w:rPr>
          <w:rFonts w:ascii="IBM Plex Sans" w:eastAsia="Times New Roman" w:hAnsi="IBM Plex Sans"/>
          <w:color w:val="283030"/>
          <w:sz w:val="20"/>
          <w:szCs w:val="20"/>
        </w:rPr>
        <w:t>f the work to be completed include: the nature and complexity of the work to be performed, subcontractor performance, the cost and availability of purchased materials and services, labor cost and availability and the risk and impact of delayed performance.</w:t>
      </w:r>
      <w:r>
        <w:rPr>
          <w:rFonts w:ascii="IBM Plex Sans" w:eastAsia="Times New Roman" w:hAnsi="IBM Plex Sans"/>
          <w:color w:val="283030"/>
          <w:sz w:val="20"/>
          <w:szCs w:val="20"/>
        </w:rPr>
        <w:t xml:space="preserve"> Factors that must be considered in estimating the total transaction price include contractual cost or performance incentives (such as incentive fees, award fees and penalties) and other forms of variable consideration as well as our historical experience </w:t>
      </w:r>
      <w:r>
        <w:rPr>
          <w:rFonts w:ascii="IBM Plex Sans" w:eastAsia="Times New Roman" w:hAnsi="IBM Plex Sans"/>
          <w:color w:val="283030"/>
          <w:sz w:val="20"/>
          <w:szCs w:val="20"/>
        </w:rPr>
        <w:t>and our expectation for performance on the contract. These variable amounts generally are awarded upon achievement of certain negotiated performance metrics, program milestones or cost targets and can be based upon customer discretion. We include such esti</w:t>
      </w:r>
      <w:r>
        <w:rPr>
          <w:rFonts w:ascii="IBM Plex Sans" w:eastAsia="Times New Roman" w:hAnsi="IBM Plex Sans"/>
          <w:color w:val="283030"/>
          <w:sz w:val="20"/>
          <w:szCs w:val="20"/>
        </w:rPr>
        <w:t>mated amounts in the transaction price to the extent it is probable that a significant reversal of cumulative revenue recognized will not occur when the uncertainty associated with the variable consideration is resolved.</w:t>
      </w:r>
    </w:p>
    <w:p w:rsidR="00000000" w:rsidRDefault="00F5481A">
      <w:pPr>
        <w:ind w:firstLine="360"/>
        <w:divId w:val="1645159947"/>
        <w:rPr>
          <w:rFonts w:eastAsia="Times New Roman"/>
        </w:rPr>
      </w:pPr>
      <w:r>
        <w:rPr>
          <w:rFonts w:ascii="IBM Plex Sans" w:eastAsia="Times New Roman" w:hAnsi="IBM Plex Sans"/>
          <w:color w:val="283030"/>
          <w:sz w:val="20"/>
          <w:szCs w:val="20"/>
        </w:rPr>
        <w:t xml:space="preserve">At the outset of each contract, we </w:t>
      </w:r>
      <w:r>
        <w:rPr>
          <w:rFonts w:ascii="IBM Plex Sans" w:eastAsia="Times New Roman" w:hAnsi="IBM Plex Sans"/>
          <w:color w:val="283030"/>
          <w:sz w:val="20"/>
          <w:szCs w:val="20"/>
        </w:rPr>
        <w:t>gauge its complexity and perceived risks and establish an estimated total cost at completion in line with these expectations. After establishing the estimated total cost at completion, we follow a standard EAC process in which we review the progress and pe</w:t>
      </w:r>
      <w:r>
        <w:rPr>
          <w:rFonts w:ascii="IBM Plex Sans" w:eastAsia="Times New Roman" w:hAnsi="IBM Plex Sans"/>
          <w:color w:val="283030"/>
          <w:sz w:val="20"/>
          <w:szCs w:val="20"/>
        </w:rPr>
        <w:t>rformance on our ongoing contracts at least quarterly and, in many cases, more frequently. If we successfully retire risks associated with the technical, schedule and cost aspects of a contract, we may lower our estimated total cost at completion commensur</w:t>
      </w:r>
      <w:r>
        <w:rPr>
          <w:rFonts w:ascii="IBM Plex Sans" w:eastAsia="Times New Roman" w:hAnsi="IBM Plex Sans"/>
          <w:color w:val="283030"/>
          <w:sz w:val="20"/>
          <w:szCs w:val="20"/>
        </w:rPr>
        <w:t>ate with the retirement of these risks. Conversely, if we are not successful in retiring these risks, we may increase our estimated total cost at completion. Additionally, as the contract progresses, our estimates of total transaction price may increase or</w:t>
      </w:r>
      <w:r>
        <w:rPr>
          <w:rFonts w:ascii="IBM Plex Sans" w:eastAsia="Times New Roman" w:hAnsi="IBM Plex Sans"/>
          <w:color w:val="283030"/>
          <w:sz w:val="20"/>
          <w:szCs w:val="20"/>
        </w:rPr>
        <w:t xml:space="preserve"> decrease if, for example, we receive award fees that are higher or lower than expected. When adjustments in estimated total costs at completion or in estimated total transaction price are determined, the related impact on operating income is recognized us</w:t>
      </w:r>
      <w:r>
        <w:rPr>
          <w:rFonts w:ascii="IBM Plex Sans" w:eastAsia="Times New Roman" w:hAnsi="IBM Plex Sans"/>
          <w:color w:val="283030"/>
          <w:sz w:val="20"/>
          <w:szCs w:val="20"/>
        </w:rPr>
        <w:t>ing the cumulative catch-up method, which recognizes in the current period the cumulative effect of such adjustments for all prior periods. Any anticipated losses on these contracts are fully recognized in the period in which the losses become evident.</w:t>
      </w:r>
    </w:p>
    <w:p w:rsidR="00000000" w:rsidRDefault="00F5481A">
      <w:pPr>
        <w:ind w:firstLine="360"/>
        <w:divId w:val="243490718"/>
        <w:rPr>
          <w:rFonts w:eastAsia="Times New Roman"/>
        </w:rPr>
      </w:pPr>
      <w:r>
        <w:rPr>
          <w:rFonts w:ascii="IBM Plex Sans" w:eastAsia="Times New Roman" w:hAnsi="IBM Plex Sans"/>
          <w:color w:val="283030"/>
          <w:sz w:val="20"/>
          <w:szCs w:val="20"/>
        </w:rPr>
        <w:t>EAC</w:t>
      </w:r>
      <w:r>
        <w:rPr>
          <w:rFonts w:ascii="IBM Plex Sans" w:eastAsia="Times New Roman" w:hAnsi="IBM Plex Sans"/>
          <w:color w:val="283030"/>
          <w:sz w:val="20"/>
          <w:szCs w:val="20"/>
        </w:rPr>
        <w:t xml:space="preserve"> adjustments had the following impacts to operating income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8"/>
        <w:gridCol w:w="4182"/>
        <w:gridCol w:w="36"/>
        <w:gridCol w:w="133"/>
        <w:gridCol w:w="1109"/>
        <w:gridCol w:w="36"/>
        <w:gridCol w:w="36"/>
        <w:gridCol w:w="36"/>
        <w:gridCol w:w="36"/>
        <w:gridCol w:w="133"/>
        <w:gridCol w:w="1109"/>
        <w:gridCol w:w="36"/>
        <w:gridCol w:w="36"/>
        <w:gridCol w:w="36"/>
        <w:gridCol w:w="36"/>
        <w:gridCol w:w="133"/>
        <w:gridCol w:w="1109"/>
        <w:gridCol w:w="36"/>
      </w:tblGrid>
      <w:tr w:rsidR="00000000">
        <w:trPr>
          <w:divId w:val="1034503843"/>
        </w:trPr>
        <w:tc>
          <w:tcPr>
            <w:tcW w:w="50" w:type="pct"/>
            <w:vAlign w:val="center"/>
            <w:hideMark/>
          </w:tcPr>
          <w:p w:rsidR="00000000" w:rsidRDefault="00F5481A">
            <w:pPr>
              <w:ind w:firstLine="360"/>
              <w:rPr>
                <w:rFonts w:eastAsia="Times New Roman"/>
              </w:rPr>
            </w:pPr>
          </w:p>
        </w:tc>
        <w:tc>
          <w:tcPr>
            <w:tcW w:w="2581"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1034503843"/>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Fiscal Year Ended</w:t>
            </w:r>
          </w:p>
        </w:tc>
      </w:tr>
      <w:tr w:rsidR="00000000">
        <w:trPr>
          <w:divId w:val="1034503843"/>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January 1, 2021</w:t>
            </w:r>
          </w:p>
        </w:tc>
      </w:tr>
      <w:tr w:rsidR="00000000">
        <w:trPr>
          <w:divId w:val="1034503843"/>
          <w:trHeight w:val="6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034503843"/>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Favorable adjustments</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454 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620 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714 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034503843"/>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Unfavorable adjustments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(418)</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(316)</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(314)</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034503843"/>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Net operating income adjustments</w:t>
            </w: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36 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304 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400 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bl>
    <w:p w:rsidR="00000000" w:rsidRDefault="00F5481A">
      <w:pPr>
        <w:ind w:firstLine="360"/>
        <w:divId w:val="1947535762"/>
        <w:rPr>
          <w:rFonts w:eastAsia="Times New Roman"/>
        </w:rPr>
      </w:pPr>
      <w:r>
        <w:rPr>
          <w:rFonts w:ascii="IBM Plex Sans" w:eastAsia="Times New Roman" w:hAnsi="IBM Plex Sans"/>
          <w:color w:val="283030"/>
          <w:sz w:val="20"/>
          <w:szCs w:val="20"/>
        </w:rPr>
        <w:t>There were no individual impacts to operating income due to EAC adjustments in fiscal 2022, 2021 or 2020 that were material to our results of operations on a consolidated or segment basis for such periods.</w:t>
      </w:r>
    </w:p>
    <w:p w:rsidR="00000000" w:rsidRDefault="00F5481A">
      <w:pPr>
        <w:ind w:firstLine="360"/>
        <w:divId w:val="712003395"/>
        <w:rPr>
          <w:rFonts w:eastAsia="Times New Roman"/>
        </w:rPr>
      </w:pPr>
      <w:r>
        <w:rPr>
          <w:rFonts w:ascii="IBM Plex Sans" w:eastAsia="Times New Roman" w:hAnsi="IBM Plex Sans"/>
          <w:color w:val="283030"/>
          <w:sz w:val="20"/>
          <w:szCs w:val="20"/>
        </w:rPr>
        <w:t xml:space="preserve">We recognize revenue from numerous contracts with </w:t>
      </w:r>
      <w:r>
        <w:rPr>
          <w:rFonts w:ascii="IBM Plex Sans" w:eastAsia="Times New Roman" w:hAnsi="IBM Plex Sans"/>
          <w:color w:val="283030"/>
          <w:sz w:val="20"/>
          <w:szCs w:val="20"/>
        </w:rPr>
        <w:t>multiple performance obligations. For these contracts, we allocate the transaction price to each performance obligation based on the relative standalone selling price of the good or service underlying each performance obligation. The standalone selling pri</w:t>
      </w:r>
      <w:r>
        <w:rPr>
          <w:rFonts w:ascii="IBM Plex Sans" w:eastAsia="Times New Roman" w:hAnsi="IBM Plex Sans"/>
          <w:color w:val="283030"/>
          <w:sz w:val="20"/>
          <w:szCs w:val="20"/>
        </w:rPr>
        <w:t xml:space="preserve">ce represents the amount for which we would sell the good or service to a customer on a standalone basis (i.e., not sold as a bundled sale with any other products or services). The allocation of transaction price among separate performance obligations may </w:t>
      </w:r>
      <w:r>
        <w:rPr>
          <w:rFonts w:ascii="IBM Plex Sans" w:eastAsia="Times New Roman" w:hAnsi="IBM Plex Sans"/>
          <w:color w:val="283030"/>
          <w:sz w:val="20"/>
          <w:szCs w:val="20"/>
        </w:rPr>
        <w:t xml:space="preserve">impact the timing of revenue recognition but will not change the total revenue recognized on the contract. </w:t>
      </w:r>
    </w:p>
    <w:p w:rsidR="00000000" w:rsidRDefault="00F5481A">
      <w:pPr>
        <w:ind w:firstLine="360"/>
        <w:divId w:val="1509635813"/>
        <w:rPr>
          <w:rFonts w:eastAsia="Times New Roman"/>
        </w:rPr>
      </w:pPr>
      <w:r>
        <w:rPr>
          <w:rFonts w:ascii="IBM Plex Sans" w:eastAsia="Times New Roman" w:hAnsi="IBM Plex Sans"/>
          <w:color w:val="283030"/>
          <w:sz w:val="20"/>
          <w:szCs w:val="20"/>
        </w:rPr>
        <w:t>A substantial majority of our revenue is derived from contracts with the U.S. Government, including foreign military sales contracts. These contract</w:t>
      </w:r>
      <w:r>
        <w:rPr>
          <w:rFonts w:ascii="IBM Plex Sans" w:eastAsia="Times New Roman" w:hAnsi="IBM Plex Sans"/>
          <w:color w:val="283030"/>
          <w:sz w:val="20"/>
          <w:szCs w:val="20"/>
        </w:rPr>
        <w:t>s are subject to the FAR and the prices of our contract deliverables are typically based on our estimated or actual costs plus a reasonable profit margin. As a result, the standalone selling prices of the goods and services in these contracts are typically</w:t>
      </w:r>
      <w:r>
        <w:rPr>
          <w:rFonts w:ascii="IBM Plex Sans" w:eastAsia="Times New Roman" w:hAnsi="IBM Plex Sans"/>
          <w:color w:val="283030"/>
          <w:sz w:val="20"/>
          <w:szCs w:val="20"/>
        </w:rPr>
        <w:t xml:space="preserve"> equal to the selling prices stated in the contract, thereby eliminating the need to allocate (or reallocate) the transaction price to the multiple performance obligations. In our non-U.S. Government contracts, when standalone selling prices are not direct</w:t>
      </w:r>
      <w:r>
        <w:rPr>
          <w:rFonts w:ascii="IBM Plex Sans" w:eastAsia="Times New Roman" w:hAnsi="IBM Plex Sans"/>
          <w:color w:val="283030"/>
          <w:sz w:val="20"/>
          <w:szCs w:val="20"/>
        </w:rPr>
        <w:t>ly observable, we also generally use the expected cost plus margin approach to determine standalone selling price. In determining the appropriate margin under the cost plus margin approach, we consider historical margins on similar products sold to similar</w:t>
      </w:r>
      <w:r>
        <w:rPr>
          <w:rFonts w:ascii="IBM Plex Sans" w:eastAsia="Times New Roman" w:hAnsi="IBM Plex Sans"/>
          <w:color w:val="283030"/>
          <w:sz w:val="20"/>
          <w:szCs w:val="20"/>
        </w:rPr>
        <w:t xml:space="preserve"> customers or within similar geographies where objective evidence is available. We may also consider our cost structure and profit objectives, the nature of the proposal, the effects of customization of pricing, our practices used to establish pricing of b</w:t>
      </w:r>
      <w:r>
        <w:rPr>
          <w:rFonts w:ascii="IBM Plex Sans" w:eastAsia="Times New Roman" w:hAnsi="IBM Plex Sans"/>
          <w:color w:val="283030"/>
          <w:sz w:val="20"/>
          <w:szCs w:val="20"/>
        </w:rPr>
        <w:t xml:space="preserve">undled products, the expected technological life of the product, margins earned on similar contracts with different customers and other factors to determine the appropriate margin. </w:t>
      </w:r>
    </w:p>
    <w:p w:rsidR="00000000" w:rsidRDefault="00F5481A">
      <w:pPr>
        <w:ind w:firstLine="360"/>
        <w:jc w:val="center"/>
        <w:divId w:val="338124689"/>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47</w:t>
      </w:r>
    </w:p>
    <w:p w:rsidR="00000000" w:rsidRDefault="00F5481A">
      <w:pPr>
        <w:rPr>
          <w:rFonts w:eastAsia="Times New Roman"/>
        </w:rPr>
      </w:pPr>
      <w:r>
        <w:rPr>
          <w:rFonts w:eastAsia="Times New Roman"/>
        </w:rPr>
        <w:pict>
          <v:rect id="_x0000_i1078" style="width:0;height:1.5pt" o:hralign="center" o:hrstd="t" o:hr="t" fillcolor="#a0a0a0" stroked="f"/>
        </w:pict>
      </w:r>
    </w:p>
    <w:p w:rsidR="00000000" w:rsidRDefault="00F5481A">
      <w:pPr>
        <w:ind w:firstLine="360"/>
        <w:divId w:val="1078013529"/>
        <w:rPr>
          <w:rFonts w:eastAsia="Times New Roman"/>
        </w:rPr>
      </w:pPr>
    </w:p>
    <w:p w:rsidR="00000000" w:rsidRDefault="00F5481A">
      <w:pPr>
        <w:divId w:val="283195177"/>
        <w:rPr>
          <w:rFonts w:eastAsia="Times New Roman"/>
        </w:rPr>
      </w:pPr>
      <w:r>
        <w:rPr>
          <w:rFonts w:ascii="IBM Plex Sans SemiBold" w:eastAsia="Times New Roman" w:hAnsi="IBM Plex Sans SemiBold"/>
          <w:b/>
          <w:bCs/>
          <w:color w:val="016676"/>
          <w:sz w:val="20"/>
          <w:szCs w:val="20"/>
        </w:rPr>
        <w:t>Pension and Other Postretirement Benefit Plans</w:t>
      </w:r>
    </w:p>
    <w:p w:rsidR="00000000" w:rsidRDefault="00F5481A">
      <w:pPr>
        <w:ind w:firstLine="360"/>
        <w:divId w:val="901672512"/>
        <w:rPr>
          <w:rFonts w:eastAsia="Times New Roman"/>
        </w:rPr>
      </w:pPr>
      <w:r>
        <w:rPr>
          <w:rFonts w:ascii="IBM Plex Sans" w:eastAsia="Times New Roman" w:hAnsi="IBM Plex Sans"/>
          <w:color w:val="283030"/>
          <w:sz w:val="20"/>
          <w:szCs w:val="20"/>
        </w:rPr>
        <w:t>Certain of our current and former employees participate in defined benefit plans in the United States, Canada, United Kingdom and Germany, which are sponsored by L3Harris.</w:t>
      </w:r>
      <w:r>
        <w:rPr>
          <w:rFonts w:ascii="IBM Plex Sans" w:eastAsia="Times New Roman" w:hAnsi="IBM Plex Sans"/>
          <w:color w:val="283030"/>
          <w:sz w:val="20"/>
          <w:szCs w:val="20"/>
        </w:rPr>
        <w:t xml:space="preserve"> The determination of projected benefit obligations (“PBO”) and the recognition of expenses related to defined benefit plans are dependent on various assumptions. These major assumptions primarily relate to discount rates, long-term expected rates of retur</w:t>
      </w:r>
      <w:r>
        <w:rPr>
          <w:rFonts w:ascii="IBM Plex Sans" w:eastAsia="Times New Roman" w:hAnsi="IBM Plex Sans"/>
          <w:color w:val="283030"/>
          <w:sz w:val="20"/>
          <w:szCs w:val="20"/>
        </w:rPr>
        <w:t xml:space="preserve">n on plan assets, rate of future compensation increases, mortality, termination and other factors (some of which are disclosed in </w:t>
      </w:r>
      <w:r>
        <w:rPr>
          <w:rFonts w:ascii="IBM Plex Sans" w:eastAsia="Times New Roman" w:hAnsi="IBM Plex Sans"/>
          <w:i/>
          <w:iCs/>
          <w:color w:val="283030"/>
          <w:sz w:val="20"/>
          <w:szCs w:val="20"/>
        </w:rPr>
        <w:t>Note 14: Pension and Other Postretirement Benefits</w:t>
      </w:r>
      <w:r>
        <w:rPr>
          <w:rFonts w:ascii="IBM Plex Sans" w:eastAsia="Times New Roman" w:hAnsi="IBM Plex Sans"/>
          <w:color w:val="283030"/>
          <w:sz w:val="20"/>
          <w:szCs w:val="20"/>
        </w:rPr>
        <w:t xml:space="preserve"> in the Notes). Actual results that differ from our assumptions are accumula</w:t>
      </w:r>
      <w:r>
        <w:rPr>
          <w:rFonts w:ascii="IBM Plex Sans" w:eastAsia="Times New Roman" w:hAnsi="IBM Plex Sans"/>
          <w:color w:val="283030"/>
          <w:sz w:val="20"/>
          <w:szCs w:val="20"/>
        </w:rPr>
        <w:t xml:space="preserve">ted and generally amortized for each plan to the extent required over the estimated future life expectancy or, if applicable, the future working lifetime of the plan’s active participants. </w:t>
      </w:r>
    </w:p>
    <w:p w:rsidR="00000000" w:rsidRDefault="00F5481A">
      <w:pPr>
        <w:ind w:firstLine="360"/>
        <w:divId w:val="1001666117"/>
        <w:rPr>
          <w:rFonts w:eastAsia="Times New Roman"/>
        </w:rPr>
      </w:pPr>
      <w:r>
        <w:rPr>
          <w:rFonts w:ascii="IBM Plex Sans" w:eastAsia="Times New Roman" w:hAnsi="IBM Plex Sans"/>
          <w:b/>
          <w:bCs/>
          <w:i/>
          <w:iCs/>
          <w:color w:val="016676"/>
          <w:sz w:val="20"/>
          <w:szCs w:val="20"/>
        </w:rPr>
        <w:t xml:space="preserve">Significant Assumptions. </w:t>
      </w:r>
      <w:r>
        <w:rPr>
          <w:rFonts w:ascii="IBM Plex Sans" w:eastAsia="Times New Roman" w:hAnsi="IBM Plex Sans"/>
          <w:color w:val="283030"/>
          <w:sz w:val="20"/>
          <w:szCs w:val="20"/>
        </w:rPr>
        <w:t>We develop assumptions using relevant exp</w:t>
      </w:r>
      <w:r>
        <w:rPr>
          <w:rFonts w:ascii="IBM Plex Sans" w:eastAsia="Times New Roman" w:hAnsi="IBM Plex Sans"/>
          <w:color w:val="283030"/>
          <w:sz w:val="20"/>
          <w:szCs w:val="20"/>
        </w:rPr>
        <w:t>erience, in conjunction with market-related data for each plan. Assumptions are reviewed annually with third party consultants and adjusted as appropriate. The table included below provides the weighted average assumptions used to estimate the PBOs and net</w:t>
      </w:r>
      <w:r>
        <w:rPr>
          <w:rFonts w:ascii="IBM Plex Sans" w:eastAsia="Times New Roman" w:hAnsi="IBM Plex Sans"/>
          <w:color w:val="283030"/>
          <w:sz w:val="20"/>
          <w:szCs w:val="20"/>
        </w:rPr>
        <w:t xml:space="preserve"> periodic benefit cost as they pertain to our defined benefit pension plans.</w:t>
      </w:r>
    </w:p>
    <w:tbl>
      <w:tblPr>
        <w:tblW w:w="5000" w:type="pct"/>
        <w:tblCellMar>
          <w:top w:w="15" w:type="dxa"/>
          <w:left w:w="15" w:type="dxa"/>
          <w:bottom w:w="15" w:type="dxa"/>
          <w:right w:w="15" w:type="dxa"/>
        </w:tblCellMar>
        <w:tblLook w:val="04A0" w:firstRow="1" w:lastRow="0" w:firstColumn="1" w:lastColumn="0" w:noHBand="0" w:noVBand="1"/>
      </w:tblPr>
      <w:tblGrid>
        <w:gridCol w:w="58"/>
        <w:gridCol w:w="5542"/>
        <w:gridCol w:w="37"/>
        <w:gridCol w:w="58"/>
        <w:gridCol w:w="1150"/>
        <w:gridCol w:w="36"/>
        <w:gridCol w:w="36"/>
        <w:gridCol w:w="36"/>
        <w:gridCol w:w="36"/>
        <w:gridCol w:w="59"/>
        <w:gridCol w:w="1150"/>
        <w:gridCol w:w="36"/>
        <w:gridCol w:w="36"/>
        <w:gridCol w:w="36"/>
      </w:tblGrid>
      <w:tr w:rsidR="00000000">
        <w:trPr>
          <w:divId w:val="163395776"/>
        </w:trPr>
        <w:tc>
          <w:tcPr>
            <w:tcW w:w="50" w:type="pct"/>
            <w:vAlign w:val="center"/>
            <w:hideMark/>
          </w:tcPr>
          <w:p w:rsidR="00000000" w:rsidRDefault="00F5481A">
            <w:pPr>
              <w:ind w:firstLine="360"/>
              <w:rPr>
                <w:rFonts w:eastAsia="Times New Roman"/>
              </w:rPr>
            </w:pPr>
          </w:p>
        </w:tc>
        <w:tc>
          <w:tcPr>
            <w:tcW w:w="337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163395776"/>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Obligation assumptions as of:</w:t>
            </w: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r>
      <w:tr w:rsidR="00000000">
        <w:trPr>
          <w:divId w:val="163395776"/>
        </w:trPr>
        <w:tc>
          <w:tcPr>
            <w:tcW w:w="0" w:type="auto"/>
            <w:gridSpan w:val="3"/>
            <w:shd w:val="clear" w:color="auto" w:fill="D7EFF1"/>
            <w:tcMar>
              <w:top w:w="30" w:type="dxa"/>
              <w:left w:w="155"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Discount rate</w:t>
            </w:r>
          </w:p>
        </w:tc>
        <w:tc>
          <w:tcPr>
            <w:tcW w:w="0" w:type="auto"/>
            <w:gridSpan w:val="3"/>
            <w:tcBorders>
              <w:top w:val="single" w:sz="8" w:space="0" w:color="000000"/>
            </w:tcBorders>
            <w:shd w:val="clear" w:color="auto" w:fill="D7EFF1"/>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5.18%</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shd w:val="clear" w:color="auto" w:fill="D7EFF1"/>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2.75%</w:t>
            </w:r>
          </w:p>
        </w:tc>
        <w:tc>
          <w:tcPr>
            <w:tcW w:w="0" w:type="auto"/>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r>
      <w:tr w:rsidR="00000000">
        <w:trPr>
          <w:divId w:val="163395776"/>
        </w:trPr>
        <w:tc>
          <w:tcPr>
            <w:tcW w:w="0" w:type="auto"/>
            <w:gridSpan w:val="3"/>
            <w:shd w:val="clear" w:color="auto" w:fill="FFFFFF"/>
            <w:tcMar>
              <w:top w:w="30" w:type="dxa"/>
              <w:left w:w="155"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Rate of future compensation increase</w:t>
            </w: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3.01%</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3.01%</w:t>
            </w:r>
          </w:p>
        </w:tc>
        <w:tc>
          <w:tcPr>
            <w:tcW w:w="0" w:type="auto"/>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r>
      <w:tr w:rsidR="00000000">
        <w:trPr>
          <w:divId w:val="163395776"/>
        </w:trPr>
        <w:tc>
          <w:tcPr>
            <w:tcW w:w="0" w:type="auto"/>
            <w:gridSpan w:val="3"/>
            <w:shd w:val="clear" w:color="auto" w:fill="D7EFF1"/>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Cash balance interest crediting rate</w:t>
            </w: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4.00%</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3.50%</w:t>
            </w:r>
          </w:p>
        </w:tc>
        <w:tc>
          <w:tcPr>
            <w:tcW w:w="0" w:type="auto"/>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r>
      <w:tr w:rsidR="00000000">
        <w:trPr>
          <w:divId w:val="163395776"/>
          <w:trHeight w:val="300"/>
        </w:trPr>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163395776"/>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Cost assumptions for fiscal periods ended:</w:t>
            </w: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r>
      <w:tr w:rsidR="00000000">
        <w:trPr>
          <w:divId w:val="163395776"/>
        </w:trPr>
        <w:tc>
          <w:tcPr>
            <w:tcW w:w="0" w:type="auto"/>
            <w:gridSpan w:val="3"/>
            <w:shd w:val="clear" w:color="auto" w:fill="FFFFFF"/>
            <w:tcMar>
              <w:top w:w="30" w:type="dxa"/>
              <w:left w:w="155"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 xml:space="preserve">Discount rate to determine service cost </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2.69%</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2.26%</w:t>
            </w:r>
          </w:p>
        </w:tc>
        <w:tc>
          <w:tcPr>
            <w:tcW w:w="0" w:type="auto"/>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r>
      <w:tr w:rsidR="00000000">
        <w:trPr>
          <w:divId w:val="163395776"/>
        </w:trPr>
        <w:tc>
          <w:tcPr>
            <w:tcW w:w="0" w:type="auto"/>
            <w:gridSpan w:val="3"/>
            <w:shd w:val="clear" w:color="auto" w:fill="D7EFF1"/>
            <w:tcMar>
              <w:top w:w="30" w:type="dxa"/>
              <w:left w:w="155"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Discount rate to determine interest cost</w:t>
            </w: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2.27%</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1.80%</w:t>
            </w:r>
          </w:p>
        </w:tc>
        <w:tc>
          <w:tcPr>
            <w:tcW w:w="0" w:type="auto"/>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r>
      <w:tr w:rsidR="00000000">
        <w:trPr>
          <w:divId w:val="163395776"/>
        </w:trPr>
        <w:tc>
          <w:tcPr>
            <w:tcW w:w="0" w:type="auto"/>
            <w:gridSpan w:val="3"/>
            <w:shd w:val="clear" w:color="auto" w:fill="FFFFFF"/>
            <w:tcMar>
              <w:top w:w="30" w:type="dxa"/>
              <w:left w:w="155"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Expected return on plan assets</w:t>
            </w: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7.44%</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7.43%</w:t>
            </w:r>
          </w:p>
        </w:tc>
        <w:tc>
          <w:tcPr>
            <w:tcW w:w="0" w:type="auto"/>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r>
      <w:tr w:rsidR="00000000">
        <w:trPr>
          <w:divId w:val="163395776"/>
        </w:trPr>
        <w:tc>
          <w:tcPr>
            <w:tcW w:w="0" w:type="auto"/>
            <w:gridSpan w:val="3"/>
            <w:shd w:val="clear" w:color="auto" w:fill="D7EFF1"/>
            <w:tcMar>
              <w:top w:w="30" w:type="dxa"/>
              <w:left w:w="155"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Rate of future compensation increase</w:t>
            </w: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3.01%</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3.01%</w:t>
            </w:r>
          </w:p>
        </w:tc>
        <w:tc>
          <w:tcPr>
            <w:tcW w:w="0" w:type="auto"/>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r>
      <w:tr w:rsidR="00000000">
        <w:trPr>
          <w:divId w:val="163395776"/>
        </w:trPr>
        <w:tc>
          <w:tcPr>
            <w:tcW w:w="0" w:type="auto"/>
            <w:gridSpan w:val="3"/>
            <w:shd w:val="clear" w:color="auto" w:fill="FFFFFF"/>
            <w:tcMar>
              <w:top w:w="30" w:type="dxa"/>
              <w:left w:w="155"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Cash balance interest crediting rate</w:t>
            </w: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3.50%</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3.50%</w:t>
            </w:r>
          </w:p>
        </w:tc>
        <w:tc>
          <w:tcPr>
            <w:tcW w:w="0" w:type="auto"/>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r>
    </w:tbl>
    <w:p w:rsidR="00000000" w:rsidRDefault="00F5481A">
      <w:pPr>
        <w:ind w:firstLine="360"/>
        <w:divId w:val="869151659"/>
        <w:rPr>
          <w:rFonts w:eastAsia="Times New Roman"/>
        </w:rPr>
      </w:pPr>
      <w:r>
        <w:rPr>
          <w:rFonts w:ascii="IBM Plex Sans" w:eastAsia="Times New Roman" w:hAnsi="IBM Plex Sans"/>
          <w:color w:val="283030"/>
          <w:sz w:val="20"/>
          <w:szCs w:val="20"/>
        </w:rPr>
        <w:t>Key assumptions for the Aviation Products Pension Plan (our largest defined benefit plan, with 87% of the total PBO as of December 30, 2022) included a discount rate for obligation assumptions of 5.19%, a cash balance interest crediting rate of 4.00% and e</w:t>
      </w:r>
      <w:r>
        <w:rPr>
          <w:rFonts w:ascii="IBM Plex Sans" w:eastAsia="Times New Roman" w:hAnsi="IBM Plex Sans"/>
          <w:color w:val="283030"/>
          <w:sz w:val="20"/>
          <w:szCs w:val="20"/>
        </w:rPr>
        <w:t>xpected return on plan assets of 7.50% for fiscal 2022, which is being maintained at 7.50% for fiscal 2023. There is also a frozen pension equity benefit that assumes a 3.75% interest crediting rate.</w:t>
      </w:r>
    </w:p>
    <w:p w:rsidR="00000000" w:rsidRDefault="00F5481A">
      <w:pPr>
        <w:ind w:firstLine="360"/>
        <w:divId w:val="1030489842"/>
        <w:rPr>
          <w:rFonts w:eastAsia="Times New Roman"/>
        </w:rPr>
      </w:pPr>
      <w:r>
        <w:rPr>
          <w:rFonts w:ascii="IBM Plex Sans" w:eastAsia="Times New Roman" w:hAnsi="IBM Plex Sans"/>
          <w:b/>
          <w:bCs/>
          <w:i/>
          <w:iCs/>
          <w:color w:val="016676"/>
          <w:sz w:val="20"/>
          <w:szCs w:val="20"/>
        </w:rPr>
        <w:t>Expected Return on Plan Assets.</w:t>
      </w:r>
      <w:r>
        <w:rPr>
          <w:rFonts w:ascii="IBM Plex Sans" w:eastAsia="Times New Roman" w:hAnsi="IBM Plex Sans"/>
          <w:i/>
          <w:iCs/>
          <w:color w:val="016676"/>
          <w:sz w:val="20"/>
          <w:szCs w:val="20"/>
        </w:rPr>
        <w:t xml:space="preserve"> </w:t>
      </w:r>
      <w:r>
        <w:rPr>
          <w:rFonts w:ascii="IBM Plex Sans" w:eastAsia="Times New Roman" w:hAnsi="IBM Plex Sans"/>
          <w:color w:val="283030"/>
          <w:sz w:val="20"/>
          <w:szCs w:val="20"/>
        </w:rPr>
        <w:t>Substantially all of our plan assets are managed on a commingled basis in a master investment trust. We determine our expected return on plan assets by evaluating both historical returns and estimates of future returns. Specifically, we consider the plan’s</w:t>
      </w:r>
      <w:r>
        <w:rPr>
          <w:rFonts w:ascii="IBM Plex Sans" w:eastAsia="Times New Roman" w:hAnsi="IBM Plex Sans"/>
          <w:color w:val="283030"/>
          <w:sz w:val="20"/>
          <w:szCs w:val="20"/>
        </w:rPr>
        <w:t xml:space="preserve"> actual historical annual return on assets over the past 15, 20 and 25 years and historical broad market returns over long-term time frames based on our strategic allocation, which is detailed in </w:t>
      </w:r>
      <w:r>
        <w:rPr>
          <w:rFonts w:ascii="IBM Plex Sans" w:eastAsia="Times New Roman" w:hAnsi="IBM Plex Sans"/>
          <w:i/>
          <w:iCs/>
          <w:color w:val="283030"/>
          <w:sz w:val="20"/>
          <w:szCs w:val="20"/>
        </w:rPr>
        <w:t>Note 14: Pension and Other Postretirement Benefits</w:t>
      </w:r>
      <w:r>
        <w:rPr>
          <w:rFonts w:ascii="IBM Plex Sans" w:eastAsia="Times New Roman" w:hAnsi="IBM Plex Sans"/>
          <w:color w:val="283030"/>
          <w:sz w:val="20"/>
          <w:szCs w:val="20"/>
        </w:rPr>
        <w:t xml:space="preserve"> in the No</w:t>
      </w:r>
      <w:r>
        <w:rPr>
          <w:rFonts w:ascii="IBM Plex Sans" w:eastAsia="Times New Roman" w:hAnsi="IBM Plex Sans"/>
          <w:color w:val="283030"/>
          <w:sz w:val="20"/>
          <w:szCs w:val="20"/>
        </w:rPr>
        <w:t>tes. Future returns are based on independent estimates of long-term asset class returns. Based on this approach, the weighted average long-term annual rate of return on assets was estimated to be 7.44% for both fiscal 2022 and 2023.</w:t>
      </w:r>
    </w:p>
    <w:p w:rsidR="00000000" w:rsidRDefault="00F5481A">
      <w:pPr>
        <w:ind w:firstLine="360"/>
        <w:divId w:val="1907181067"/>
        <w:rPr>
          <w:rFonts w:eastAsia="Times New Roman"/>
        </w:rPr>
      </w:pPr>
      <w:r>
        <w:rPr>
          <w:rFonts w:ascii="IBM Plex Sans" w:eastAsia="Times New Roman" w:hAnsi="IBM Plex Sans"/>
          <w:b/>
          <w:bCs/>
          <w:i/>
          <w:iCs/>
          <w:color w:val="016676"/>
          <w:sz w:val="20"/>
          <w:szCs w:val="20"/>
        </w:rPr>
        <w:t>Discount Rate.</w:t>
      </w:r>
      <w:r>
        <w:rPr>
          <w:rFonts w:ascii="IBM Plex Sans" w:eastAsia="Times New Roman" w:hAnsi="IBM Plex Sans"/>
          <w:i/>
          <w:iCs/>
          <w:color w:val="283030"/>
          <w:sz w:val="20"/>
          <w:szCs w:val="20"/>
        </w:rPr>
        <w:t xml:space="preserve"> </w:t>
      </w:r>
      <w:r>
        <w:rPr>
          <w:rFonts w:ascii="IBM Plex Sans" w:eastAsia="Times New Roman" w:hAnsi="IBM Plex Sans"/>
          <w:color w:val="283030"/>
          <w:sz w:val="20"/>
          <w:szCs w:val="20"/>
        </w:rPr>
        <w:t>The disc</w:t>
      </w:r>
      <w:r>
        <w:rPr>
          <w:rFonts w:ascii="IBM Plex Sans" w:eastAsia="Times New Roman" w:hAnsi="IBM Plex Sans"/>
          <w:color w:val="283030"/>
          <w:sz w:val="20"/>
          <w:szCs w:val="20"/>
        </w:rPr>
        <w:t>ount rate is used to calculate the present value of expected future benefit payments at the measurement date. An increase in the discount rate decreases the present value of benefit obligations and generally increases pension expense. A decrease in the dis</w:t>
      </w:r>
      <w:r>
        <w:rPr>
          <w:rFonts w:ascii="IBM Plex Sans" w:eastAsia="Times New Roman" w:hAnsi="IBM Plex Sans"/>
          <w:color w:val="283030"/>
          <w:sz w:val="20"/>
          <w:szCs w:val="20"/>
        </w:rPr>
        <w:t>count rate increases the present value of the PBO and generally decreases pension expense. The discount rate assumption is based on current investment yields of high-quality fixed income investments during the retirement benefits maturity period. The pensi</w:t>
      </w:r>
      <w:r>
        <w:rPr>
          <w:rFonts w:ascii="IBM Plex Sans" w:eastAsia="Times New Roman" w:hAnsi="IBM Plex Sans"/>
          <w:color w:val="283030"/>
          <w:sz w:val="20"/>
          <w:szCs w:val="20"/>
        </w:rPr>
        <w:t>on discount rate is determined by considering an interest rate yield curve comprising AAA/AA bonds, with maturities between zero and thirty years, developed by the plan’s actuaries. Annual benefit payments are then discounted to present value using this yi</w:t>
      </w:r>
      <w:r>
        <w:rPr>
          <w:rFonts w:ascii="IBM Plex Sans" w:eastAsia="Times New Roman" w:hAnsi="IBM Plex Sans"/>
          <w:color w:val="283030"/>
          <w:sz w:val="20"/>
          <w:szCs w:val="20"/>
        </w:rPr>
        <w:t xml:space="preserve">eld curve to develop a single discount rate matching the plan’s characteristics. </w:t>
      </w:r>
    </w:p>
    <w:p w:rsidR="00000000" w:rsidRDefault="00F5481A">
      <w:pPr>
        <w:ind w:firstLine="360"/>
        <w:divId w:val="599527819"/>
        <w:rPr>
          <w:rFonts w:eastAsia="Times New Roman"/>
        </w:rPr>
      </w:pPr>
      <w:r>
        <w:rPr>
          <w:rFonts w:ascii="IBM Plex Sans" w:eastAsia="Times New Roman" w:hAnsi="IBM Plex Sans"/>
          <w:b/>
          <w:bCs/>
          <w:i/>
          <w:iCs/>
          <w:color w:val="016676"/>
          <w:sz w:val="20"/>
          <w:szCs w:val="20"/>
        </w:rPr>
        <w:t>Sensitivity Analysis</w:t>
      </w:r>
    </w:p>
    <w:p w:rsidR="00000000" w:rsidRDefault="00F5481A">
      <w:pPr>
        <w:ind w:firstLine="360"/>
        <w:divId w:val="2131967536"/>
        <w:rPr>
          <w:rFonts w:eastAsia="Times New Roman"/>
        </w:rPr>
      </w:pPr>
      <w:r>
        <w:rPr>
          <w:rFonts w:ascii="IBM Plex Sans" w:eastAsia="Times New Roman" w:hAnsi="IBM Plex Sans"/>
          <w:i/>
          <w:iCs/>
          <w:color w:val="283030"/>
          <w:sz w:val="20"/>
          <w:szCs w:val="20"/>
        </w:rPr>
        <w:t xml:space="preserve">Pension Expense. </w:t>
      </w:r>
      <w:r>
        <w:rPr>
          <w:rFonts w:ascii="IBM Plex Sans" w:eastAsia="Times New Roman" w:hAnsi="IBM Plex Sans"/>
          <w:color w:val="283030"/>
          <w:sz w:val="20"/>
          <w:szCs w:val="20"/>
        </w:rPr>
        <w:t>A 25 basis point change in the long-term expected rate of return on plan assets and discount rate would have the following effect on the</w:t>
      </w:r>
      <w:r>
        <w:rPr>
          <w:rFonts w:ascii="IBM Plex Sans" w:eastAsia="Times New Roman" w:hAnsi="IBM Plex Sans"/>
          <w:color w:val="283030"/>
          <w:sz w:val="20"/>
          <w:szCs w:val="20"/>
        </w:rPr>
        <w:t xml:space="preserve"> combined U.S. defined benefit pension plans’ pension expense for the next twelve months:</w:t>
      </w:r>
    </w:p>
    <w:p w:rsidR="00000000" w:rsidRDefault="00F5481A">
      <w:pPr>
        <w:ind w:firstLine="360"/>
        <w:jc w:val="center"/>
        <w:divId w:val="1533349267"/>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48</w:t>
      </w:r>
    </w:p>
    <w:p w:rsidR="00000000" w:rsidRDefault="00F5481A">
      <w:pPr>
        <w:rPr>
          <w:rFonts w:eastAsia="Times New Roman"/>
        </w:rPr>
      </w:pPr>
      <w:r>
        <w:rPr>
          <w:rFonts w:eastAsia="Times New Roman"/>
        </w:rPr>
        <w:pict>
          <v:rect id="_x0000_i1079" style="width:0;height:1.5pt" o:hralign="center" o:hrstd="t" o:hr="t" fillcolor="#a0a0a0" stroked="f"/>
        </w:pict>
      </w:r>
    </w:p>
    <w:p w:rsidR="00000000" w:rsidRDefault="00F5481A">
      <w:pPr>
        <w:ind w:firstLine="360"/>
        <w:divId w:val="193143075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5536"/>
        <w:gridCol w:w="36"/>
        <w:gridCol w:w="134"/>
        <w:gridCol w:w="1122"/>
        <w:gridCol w:w="37"/>
        <w:gridCol w:w="37"/>
        <w:gridCol w:w="37"/>
        <w:gridCol w:w="37"/>
        <w:gridCol w:w="134"/>
        <w:gridCol w:w="1122"/>
        <w:gridCol w:w="36"/>
      </w:tblGrid>
      <w:tr w:rsidR="00000000">
        <w:trPr>
          <w:divId w:val="125465201"/>
        </w:trPr>
        <w:tc>
          <w:tcPr>
            <w:tcW w:w="50" w:type="pct"/>
            <w:vAlign w:val="center"/>
            <w:hideMark/>
          </w:tcPr>
          <w:p w:rsidR="00000000" w:rsidRDefault="00F5481A">
            <w:pPr>
              <w:ind w:firstLine="360"/>
              <w:rPr>
                <w:rFonts w:eastAsia="Times New Roman"/>
              </w:rPr>
            </w:pPr>
          </w:p>
        </w:tc>
        <w:tc>
          <w:tcPr>
            <w:tcW w:w="337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125465201"/>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9"/>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Increase/(Decrease)</w:t>
            </w:r>
            <w:r>
              <w:rPr>
                <w:rFonts w:ascii="IBM Plex Sans" w:eastAsia="Times New Roman" w:hAnsi="IBM Plex Sans"/>
                <w:b/>
                <w:bCs/>
                <w:color w:val="283030"/>
                <w:sz w:val="16"/>
                <w:szCs w:val="16"/>
              </w:rPr>
              <w:br/>
              <w:t>in Pension Expense</w:t>
            </w:r>
          </w:p>
        </w:tc>
      </w:tr>
      <w:tr w:rsidR="00000000">
        <w:trPr>
          <w:divId w:val="125465201"/>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25 Basis</w:t>
            </w:r>
            <w:r>
              <w:rPr>
                <w:rFonts w:ascii="IBM Plex Sans" w:eastAsia="Times New Roman" w:hAnsi="IBM Plex Sans"/>
                <w:b/>
                <w:bCs/>
                <w:color w:val="283030"/>
                <w:sz w:val="16"/>
                <w:szCs w:val="16"/>
              </w:rPr>
              <w:br/>
              <w:t>Point Increase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25 Basis</w:t>
            </w:r>
            <w:r>
              <w:rPr>
                <w:rFonts w:ascii="IBM Plex Sans" w:eastAsia="Times New Roman" w:hAnsi="IBM Plex Sans"/>
                <w:b/>
                <w:bCs/>
                <w:color w:val="283030"/>
                <w:sz w:val="16"/>
                <w:szCs w:val="16"/>
              </w:rPr>
              <w:br/>
              <w:t>Point Decrease</w:t>
            </w:r>
          </w:p>
        </w:tc>
      </w:tr>
      <w:tr w:rsidR="00000000">
        <w:trPr>
          <w:divId w:val="125465201"/>
          <w:trHeight w:val="6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25465201"/>
        </w:trPr>
        <w:tc>
          <w:tcPr>
            <w:tcW w:w="0" w:type="auto"/>
            <w:gridSpan w:val="3"/>
            <w:shd w:val="clear" w:color="auto" w:fill="D7EFF1"/>
            <w:tcMar>
              <w:top w:w="30" w:type="dxa"/>
              <w:left w:w="320" w:type="dxa"/>
              <w:bottom w:w="30" w:type="dxa"/>
              <w:right w:w="20" w:type="dxa"/>
            </w:tcMar>
            <w:hideMark/>
          </w:tcPr>
          <w:p w:rsidR="00000000" w:rsidRDefault="00F5481A">
            <w:pPr>
              <w:spacing w:after="100"/>
              <w:ind w:hanging="180"/>
              <w:rPr>
                <w:rFonts w:eastAsia="Times New Roman"/>
              </w:rPr>
            </w:pPr>
            <w:r>
              <w:rPr>
                <w:rFonts w:ascii="IBM Plex Sans" w:eastAsia="Times New Roman" w:hAnsi="IBM Plex Sans"/>
                <w:color w:val="283030"/>
                <w:sz w:val="20"/>
                <w:szCs w:val="20"/>
              </w:rPr>
              <w:t>Long-term rate of return on assets used to determine net periodic benefit cost</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(19)</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25465201"/>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Discount rate used to determine net periodic benefit cost</w:t>
            </w: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bl>
    <w:p w:rsidR="00000000" w:rsidRDefault="00F5481A">
      <w:pPr>
        <w:ind w:firstLine="360"/>
        <w:divId w:val="78989035"/>
        <w:rPr>
          <w:rFonts w:eastAsia="Times New Roman"/>
        </w:rPr>
      </w:pPr>
      <w:r>
        <w:rPr>
          <w:rFonts w:ascii="IBM Plex Sans" w:eastAsia="Times New Roman" w:hAnsi="IBM Plex Sans"/>
          <w:i/>
          <w:iCs/>
          <w:color w:val="283030"/>
          <w:sz w:val="20"/>
          <w:szCs w:val="20"/>
        </w:rPr>
        <w:t xml:space="preserve">PBO. </w:t>
      </w:r>
      <w:r>
        <w:rPr>
          <w:rFonts w:ascii="IBM Plex Sans" w:eastAsia="Times New Roman" w:hAnsi="IBM Plex Sans"/>
          <w:color w:val="283030"/>
          <w:sz w:val="20"/>
          <w:szCs w:val="20"/>
        </w:rPr>
        <w:t>Funded status is derived by subtracting the respective year-end values of the PBO from the fair value of plan assets. The sensitivity of the PBO to changes in the discount rate varies depending on the magnitude and direction of the change in the discount r</w:t>
      </w:r>
      <w:r>
        <w:rPr>
          <w:rFonts w:ascii="IBM Plex Sans" w:eastAsia="Times New Roman" w:hAnsi="IBM Plex Sans"/>
          <w:color w:val="283030"/>
          <w:sz w:val="20"/>
          <w:szCs w:val="20"/>
        </w:rPr>
        <w:t>ate. We estimate that a decrease of 25 basis points in the discount rate of the combined U.S. defined benefit pension plans would increase the PBO by approximately $171 million and an increase of 25 basis points would decrease the PBO by approximately $164</w:t>
      </w:r>
      <w:r>
        <w:rPr>
          <w:rFonts w:ascii="IBM Plex Sans" w:eastAsia="Times New Roman" w:hAnsi="IBM Plex Sans"/>
          <w:color w:val="283030"/>
          <w:sz w:val="20"/>
          <w:szCs w:val="20"/>
        </w:rPr>
        <w:t xml:space="preserve"> million.</w:t>
      </w:r>
    </w:p>
    <w:p w:rsidR="00000000" w:rsidRDefault="00F5481A">
      <w:pPr>
        <w:ind w:firstLine="360"/>
        <w:divId w:val="1207521668"/>
        <w:rPr>
          <w:rFonts w:eastAsia="Times New Roman"/>
        </w:rPr>
      </w:pPr>
      <w:r>
        <w:rPr>
          <w:rFonts w:ascii="IBM Plex Sans" w:eastAsia="Times New Roman" w:hAnsi="IBM Plex Sans"/>
          <w:i/>
          <w:iCs/>
          <w:color w:val="283030"/>
          <w:sz w:val="20"/>
          <w:szCs w:val="20"/>
        </w:rPr>
        <w:t xml:space="preserve">Fair Value of Plan Assets. </w:t>
      </w:r>
      <w:r>
        <w:rPr>
          <w:rFonts w:ascii="IBM Plex Sans" w:eastAsia="Times New Roman" w:hAnsi="IBM Plex Sans"/>
          <w:color w:val="283030"/>
          <w:sz w:val="20"/>
          <w:szCs w:val="20"/>
        </w:rPr>
        <w:t xml:space="preserve">The plan assets of our defined benefit plans comprise a broad range of investments, including domestic and international equity securities, fixed income investments, interests in private equity and hedge funds and cash </w:t>
      </w:r>
      <w:r>
        <w:rPr>
          <w:rFonts w:ascii="IBM Plex Sans" w:eastAsia="Times New Roman" w:hAnsi="IBM Plex Sans"/>
          <w:color w:val="283030"/>
          <w:sz w:val="20"/>
          <w:szCs w:val="20"/>
        </w:rPr>
        <w:t>and cash equivalents.</w:t>
      </w:r>
    </w:p>
    <w:p w:rsidR="00000000" w:rsidRDefault="00F5481A">
      <w:pPr>
        <w:ind w:firstLine="360"/>
        <w:divId w:val="1132290801"/>
        <w:rPr>
          <w:rFonts w:eastAsia="Times New Roman"/>
        </w:rPr>
      </w:pPr>
      <w:r>
        <w:rPr>
          <w:rFonts w:ascii="IBM Plex Sans" w:eastAsia="Times New Roman" w:hAnsi="IBM Plex Sans"/>
          <w:color w:val="283030"/>
          <w:sz w:val="20"/>
          <w:szCs w:val="20"/>
        </w:rPr>
        <w:t>A portion of our defined benefit plans’ asset portfolio is comprised of investments in private equity and hedge funds. The private equity and hedge fund investments are generally measured using the valuation of the underlying investme</w:t>
      </w:r>
      <w:r>
        <w:rPr>
          <w:rFonts w:ascii="IBM Plex Sans" w:eastAsia="Times New Roman" w:hAnsi="IBM Plex Sans"/>
          <w:color w:val="283030"/>
          <w:sz w:val="20"/>
          <w:szCs w:val="20"/>
        </w:rPr>
        <w:t>nts or at net asset value (“NAV”). However, in certain instances, the values reported by the asset managers were not current at the measurement date. Consequently, we have estimated adjustments to the last reported value where necessary to measure the asse</w:t>
      </w:r>
      <w:r>
        <w:rPr>
          <w:rFonts w:ascii="IBM Plex Sans" w:eastAsia="Times New Roman" w:hAnsi="IBM Plex Sans"/>
          <w:color w:val="283030"/>
          <w:sz w:val="20"/>
          <w:szCs w:val="20"/>
        </w:rPr>
        <w:t xml:space="preserve">ts at fair value at the measurement date. These adjustments consider information received from the asset managers, as well as general market information. Asset values for other positions were generally measured using market observable prices. See </w:t>
      </w:r>
      <w:r>
        <w:rPr>
          <w:rFonts w:ascii="IBM Plex Sans" w:eastAsia="Times New Roman" w:hAnsi="IBM Plex Sans"/>
          <w:i/>
          <w:iCs/>
          <w:color w:val="283030"/>
          <w:sz w:val="20"/>
          <w:szCs w:val="20"/>
        </w:rPr>
        <w:t xml:space="preserve">Note 14: </w:t>
      </w:r>
      <w:r>
        <w:rPr>
          <w:rFonts w:ascii="IBM Plex Sans" w:eastAsia="Times New Roman" w:hAnsi="IBM Plex Sans"/>
          <w:i/>
          <w:iCs/>
          <w:color w:val="283030"/>
          <w:sz w:val="20"/>
          <w:szCs w:val="20"/>
        </w:rPr>
        <w:t>Pension and Other Postretirement Benefits</w:t>
      </w:r>
      <w:r>
        <w:rPr>
          <w:rFonts w:ascii="IBM Plex Sans" w:eastAsia="Times New Roman" w:hAnsi="IBM Plex Sans"/>
          <w:color w:val="283030"/>
          <w:sz w:val="20"/>
          <w:szCs w:val="20"/>
        </w:rPr>
        <w:t xml:space="preserve"> in the Notes for further information.</w:t>
      </w:r>
    </w:p>
    <w:p w:rsidR="00000000" w:rsidRDefault="00F5481A">
      <w:pPr>
        <w:divId w:val="1817410336"/>
        <w:rPr>
          <w:rFonts w:eastAsia="Times New Roman"/>
        </w:rPr>
      </w:pPr>
      <w:r>
        <w:rPr>
          <w:rFonts w:ascii="IBM Plex Sans SemiBold" w:eastAsia="Times New Roman" w:hAnsi="IBM Plex Sans SemiBold"/>
          <w:b/>
          <w:bCs/>
          <w:color w:val="016676"/>
          <w:sz w:val="20"/>
          <w:szCs w:val="20"/>
        </w:rPr>
        <w:t>Goodwill</w:t>
      </w:r>
    </w:p>
    <w:p w:rsidR="00000000" w:rsidRDefault="00F5481A">
      <w:pPr>
        <w:ind w:firstLine="495"/>
        <w:divId w:val="828712210"/>
        <w:rPr>
          <w:rFonts w:eastAsia="Times New Roman"/>
        </w:rPr>
      </w:pPr>
      <w:r>
        <w:rPr>
          <w:rFonts w:ascii="IBM Plex Sans" w:eastAsia="Times New Roman" w:hAnsi="IBM Plex Sans"/>
          <w:color w:val="283030"/>
          <w:sz w:val="20"/>
          <w:szCs w:val="20"/>
        </w:rPr>
        <w:t>We test our goodwill for impairment annually as of the first day of our fourth fiscal quarter, which was October 1, 2022 for fiscal 2022, or under certain circumstance</w:t>
      </w:r>
      <w:r>
        <w:rPr>
          <w:rFonts w:ascii="IBM Plex Sans" w:eastAsia="Times New Roman" w:hAnsi="IBM Plex Sans"/>
          <w:color w:val="283030"/>
          <w:sz w:val="20"/>
          <w:szCs w:val="20"/>
        </w:rPr>
        <w:t>s more frequently, such as when events or circumstances indicate there may be impairment or when we reorganize our reporting structure such that the composition of one or more of our reporting units is affected. We test goodwill for impairment at a level w</w:t>
      </w:r>
      <w:r>
        <w:rPr>
          <w:rFonts w:ascii="IBM Plex Sans" w:eastAsia="Times New Roman" w:hAnsi="IBM Plex Sans"/>
          <w:color w:val="283030"/>
          <w:sz w:val="20"/>
          <w:szCs w:val="20"/>
        </w:rPr>
        <w:t>ithin the Company referred to as the reporting unit, which is our business segment level or one level below the business segment. Some of our segments are comprised of several reporting units. Allocation of goodwill to several reporting units could make it</w:t>
      </w:r>
      <w:r>
        <w:rPr>
          <w:rFonts w:ascii="IBM Plex Sans" w:eastAsia="Times New Roman" w:hAnsi="IBM Plex Sans"/>
          <w:color w:val="283030"/>
          <w:sz w:val="20"/>
          <w:szCs w:val="20"/>
        </w:rPr>
        <w:t xml:space="preserve"> more likely that we will have an impairment charge in the future. An impairment charge to any one of our reporting units could have a material impact on our financial condition and results of operations.</w:t>
      </w:r>
    </w:p>
    <w:p w:rsidR="00000000" w:rsidRDefault="00F5481A">
      <w:pPr>
        <w:ind w:firstLine="360"/>
        <w:divId w:val="738552233"/>
        <w:rPr>
          <w:rFonts w:eastAsia="Times New Roman"/>
        </w:rPr>
      </w:pPr>
      <w:r>
        <w:rPr>
          <w:rFonts w:ascii="IBM Plex Sans" w:eastAsia="Times New Roman" w:hAnsi="IBM Plex Sans"/>
          <w:color w:val="283030"/>
          <w:sz w:val="20"/>
          <w:szCs w:val="20"/>
        </w:rPr>
        <w:t>The process of evaluating the potential impairment of goodwill is highly subjective and requires significant judgment. To test goodwill for impairment, we may perform both qualitative and quantitative assessments. If we elect to perform a qualitative asses</w:t>
      </w:r>
      <w:r>
        <w:rPr>
          <w:rFonts w:ascii="IBM Plex Sans" w:eastAsia="Times New Roman" w:hAnsi="IBM Plex Sans"/>
          <w:color w:val="283030"/>
          <w:sz w:val="20"/>
          <w:szCs w:val="20"/>
        </w:rPr>
        <w:t xml:space="preserve">sment for a certain reporting unit, we evaluate events and circumstances impacting the reporting unit to determine the probability that goodwill is impaired. If we determine it is more-likely-than-not that the fair value of the reporting unit is less than </w:t>
      </w:r>
      <w:r>
        <w:rPr>
          <w:rFonts w:ascii="IBM Plex Sans" w:eastAsia="Times New Roman" w:hAnsi="IBM Plex Sans"/>
          <w:color w:val="283030"/>
          <w:sz w:val="20"/>
          <w:szCs w:val="20"/>
        </w:rPr>
        <w:t xml:space="preserve">its carrying amount, we perform a quantitative assessment. </w:t>
      </w:r>
    </w:p>
    <w:p w:rsidR="00000000" w:rsidRDefault="00F5481A">
      <w:pPr>
        <w:ind w:firstLine="360"/>
        <w:divId w:val="341709873"/>
        <w:rPr>
          <w:rFonts w:eastAsia="Times New Roman"/>
        </w:rPr>
      </w:pPr>
      <w:r>
        <w:rPr>
          <w:rFonts w:ascii="IBM Plex Sans" w:eastAsia="Times New Roman" w:hAnsi="IBM Plex Sans"/>
          <w:color w:val="283030"/>
          <w:sz w:val="20"/>
          <w:szCs w:val="20"/>
        </w:rPr>
        <w:t>Our qualitative assessment of the recoverability of goodwill, whether performed annually or based on specific events or circumstances, considers various macroeconomic, industry-specific and compan</w:t>
      </w:r>
      <w:r>
        <w:rPr>
          <w:rFonts w:ascii="IBM Plex Sans" w:eastAsia="Times New Roman" w:hAnsi="IBM Plex Sans"/>
          <w:color w:val="283030"/>
          <w:sz w:val="20"/>
          <w:szCs w:val="20"/>
        </w:rPr>
        <w:t xml:space="preserve">y-specific factors. These factors include: (i) deterioration in the general economy; (ii) deterioration in the environment in which the Company operates; (iii) increase in materials, labor or other costs; (iv) negative or declining cash flows; (v) changes </w:t>
      </w:r>
      <w:r>
        <w:rPr>
          <w:rFonts w:ascii="IBM Plex Sans" w:eastAsia="Times New Roman" w:hAnsi="IBM Plex Sans"/>
          <w:color w:val="283030"/>
          <w:sz w:val="20"/>
          <w:szCs w:val="20"/>
        </w:rPr>
        <w:t xml:space="preserve">in management, changes in strategy or significant litigation; (vi) change in the composition or carrying amount of net assets or an expectation of disposing all or a portion of the reporting unit; or (vii) a sustained decrease in share price. </w:t>
      </w:r>
    </w:p>
    <w:p w:rsidR="00000000" w:rsidRDefault="00F5481A">
      <w:pPr>
        <w:ind w:firstLine="360"/>
        <w:divId w:val="604003252"/>
        <w:rPr>
          <w:rFonts w:eastAsia="Times New Roman"/>
        </w:rPr>
      </w:pPr>
      <w:r>
        <w:rPr>
          <w:rFonts w:ascii="IBM Plex Sans" w:eastAsia="Times New Roman" w:hAnsi="IBM Plex Sans"/>
          <w:color w:val="283030"/>
          <w:sz w:val="20"/>
          <w:szCs w:val="20"/>
        </w:rPr>
        <w:t>If we perfor</w:t>
      </w:r>
      <w:r>
        <w:rPr>
          <w:rFonts w:ascii="IBM Plex Sans" w:eastAsia="Times New Roman" w:hAnsi="IBM Plex Sans"/>
          <w:color w:val="283030"/>
          <w:sz w:val="20"/>
          <w:szCs w:val="20"/>
        </w:rPr>
        <w:t>m a quantitative assessment for a certain reporting unit, we calculate the fair value of that reporting unit and compare the fair value to the reporting unit’s net book value. We estimate fair values of our reporting units based on projected cash flows, an</w:t>
      </w:r>
      <w:r>
        <w:rPr>
          <w:rFonts w:ascii="IBM Plex Sans" w:eastAsia="Times New Roman" w:hAnsi="IBM Plex Sans"/>
          <w:color w:val="283030"/>
          <w:sz w:val="20"/>
          <w:szCs w:val="20"/>
        </w:rPr>
        <w:t>d sales and/or earnings multiples applied to the latest twelve months’ sales and earnings of our reporting units. Projected cash flows are based on our best estimate of future sales, operating costs and balance sheet metrics reflecting our view of the fina</w:t>
      </w:r>
      <w:r>
        <w:rPr>
          <w:rFonts w:ascii="IBM Plex Sans" w:eastAsia="Times New Roman" w:hAnsi="IBM Plex Sans"/>
          <w:color w:val="283030"/>
          <w:sz w:val="20"/>
          <w:szCs w:val="20"/>
        </w:rPr>
        <w:t>ncial and market conditions of the underlying business; and the resulting cash flows are discounted using an appropriate discount rate that reflects the risk in the forecasted cash flows. The sales and earnings multiples applied to the sales and earnings o</w:t>
      </w:r>
      <w:r>
        <w:rPr>
          <w:rFonts w:ascii="IBM Plex Sans" w:eastAsia="Times New Roman" w:hAnsi="IBM Plex Sans"/>
          <w:color w:val="283030"/>
          <w:sz w:val="20"/>
          <w:szCs w:val="20"/>
        </w:rPr>
        <w:t>f our reporting units are based on current multiples of sales and earnings for similar businesses, and based on sales and earnings multiples paid for recent acquisitions of similar businesses made in the marketplace. We then assess whether any implied cont</w:t>
      </w:r>
      <w:r>
        <w:rPr>
          <w:rFonts w:ascii="IBM Plex Sans" w:eastAsia="Times New Roman" w:hAnsi="IBM Plex Sans"/>
          <w:color w:val="283030"/>
          <w:sz w:val="20"/>
          <w:szCs w:val="20"/>
        </w:rPr>
        <w:t xml:space="preserve">rol premium, based on a comparison of fair value based purely on our stock price and outstanding shares with fair value </w:t>
      </w:r>
    </w:p>
    <w:p w:rsidR="00000000" w:rsidRDefault="00F5481A">
      <w:pPr>
        <w:ind w:firstLine="360"/>
        <w:jc w:val="center"/>
        <w:divId w:val="1001471285"/>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49</w:t>
      </w:r>
    </w:p>
    <w:p w:rsidR="00000000" w:rsidRDefault="00F5481A">
      <w:pPr>
        <w:rPr>
          <w:rFonts w:eastAsia="Times New Roman"/>
        </w:rPr>
      </w:pPr>
      <w:r>
        <w:rPr>
          <w:rFonts w:eastAsia="Times New Roman"/>
        </w:rPr>
        <w:pict>
          <v:rect id="_x0000_i1080" style="width:0;height:1.5pt" o:hralign="center" o:hrstd="t" o:hr="t" fillcolor="#a0a0a0" stroked="f"/>
        </w:pict>
      </w:r>
    </w:p>
    <w:p w:rsidR="00000000" w:rsidRDefault="00F5481A">
      <w:pPr>
        <w:ind w:firstLine="360"/>
        <w:divId w:val="1177694824"/>
        <w:rPr>
          <w:rFonts w:eastAsia="Times New Roman"/>
        </w:rPr>
      </w:pPr>
    </w:p>
    <w:p w:rsidR="00000000" w:rsidRDefault="00F5481A">
      <w:pPr>
        <w:divId w:val="1416632161"/>
        <w:rPr>
          <w:rFonts w:eastAsia="Times New Roman"/>
        </w:rPr>
      </w:pPr>
      <w:r>
        <w:rPr>
          <w:rFonts w:ascii="IBM Plex Sans" w:eastAsia="Times New Roman" w:hAnsi="IBM Plex Sans"/>
          <w:color w:val="283030"/>
          <w:sz w:val="20"/>
          <w:szCs w:val="20"/>
        </w:rPr>
        <w:t xml:space="preserve">determined by using all </w:t>
      </w:r>
      <w:r>
        <w:rPr>
          <w:rFonts w:ascii="IBM Plex Sans" w:eastAsia="Times New Roman" w:hAnsi="IBM Plex Sans"/>
          <w:color w:val="283030"/>
          <w:sz w:val="20"/>
          <w:szCs w:val="20"/>
        </w:rPr>
        <w:t>of the above-described models, is reasonable. If the fair value of a reporting unit exceeds its carrying amount, goodwill of the reporting unit is considered not impaired. If the carrying amount of a reporting unit exceeds its fair value, an impairment los</w:t>
      </w:r>
      <w:r>
        <w:rPr>
          <w:rFonts w:ascii="IBM Plex Sans" w:eastAsia="Times New Roman" w:hAnsi="IBM Plex Sans"/>
          <w:color w:val="283030"/>
          <w:sz w:val="20"/>
          <w:szCs w:val="20"/>
        </w:rPr>
        <w:t xml:space="preserve">s is recognized in an amount equal to that excess. </w:t>
      </w:r>
    </w:p>
    <w:p w:rsidR="00000000" w:rsidRDefault="00F5481A">
      <w:pPr>
        <w:ind w:firstLine="360"/>
        <w:divId w:val="2134130123"/>
        <w:rPr>
          <w:rFonts w:eastAsia="Times New Roman"/>
        </w:rPr>
      </w:pPr>
      <w:r>
        <w:rPr>
          <w:rFonts w:ascii="IBM Plex Sans" w:eastAsia="Times New Roman" w:hAnsi="IBM Plex Sans"/>
          <w:b/>
          <w:bCs/>
          <w:i/>
          <w:iCs/>
          <w:color w:val="016676"/>
          <w:sz w:val="20"/>
          <w:szCs w:val="20"/>
        </w:rPr>
        <w:t xml:space="preserve">Fiscal 2022 Impairment Tests. </w:t>
      </w:r>
      <w:r>
        <w:rPr>
          <w:rFonts w:ascii="IBM Plex Sans" w:eastAsia="Times New Roman" w:hAnsi="IBM Plex Sans"/>
          <w:color w:val="283030"/>
          <w:sz w:val="20"/>
          <w:szCs w:val="20"/>
        </w:rPr>
        <w:t>We performed our annual impairment test of all of our reporting units’ goodwill as of October 1, 2022 and concluded that for each of our reporting units no impairment existed</w:t>
      </w:r>
      <w:r>
        <w:rPr>
          <w:rFonts w:ascii="IBM Plex Sans" w:eastAsia="Times New Roman" w:hAnsi="IBM Plex Sans"/>
          <w:color w:val="283030"/>
          <w:sz w:val="20"/>
          <w:szCs w:val="20"/>
        </w:rPr>
        <w:t xml:space="preserve">. </w:t>
      </w:r>
    </w:p>
    <w:p w:rsidR="00000000" w:rsidRDefault="00F5481A">
      <w:pPr>
        <w:ind w:firstLine="360"/>
        <w:divId w:val="693729871"/>
        <w:rPr>
          <w:rFonts w:eastAsia="Times New Roman"/>
        </w:rPr>
      </w:pPr>
      <w:r>
        <w:rPr>
          <w:rFonts w:ascii="IBM Plex Sans" w:eastAsia="Times New Roman" w:hAnsi="IBM Plex Sans"/>
          <w:i/>
          <w:iCs/>
          <w:color w:val="283030"/>
          <w:sz w:val="20"/>
          <w:szCs w:val="20"/>
        </w:rPr>
        <w:t xml:space="preserve">Segment reorganization. </w:t>
      </w:r>
      <w:r>
        <w:rPr>
          <w:rFonts w:ascii="IBM Plex Sans" w:eastAsia="Times New Roman" w:hAnsi="IBM Plex Sans"/>
          <w:color w:val="283030"/>
          <w:sz w:val="20"/>
          <w:szCs w:val="20"/>
        </w:rPr>
        <w:t>We implemented a new organizational structure effective January 1, 2022, resulting in changes to our operating segments, which are also our reportable segments and are referred to as our business segments. As a result of the segment reorganization, we real</w:t>
      </w:r>
      <w:r>
        <w:rPr>
          <w:rFonts w:ascii="IBM Plex Sans" w:eastAsia="Times New Roman" w:hAnsi="IBM Plex Sans"/>
          <w:color w:val="283030"/>
          <w:sz w:val="20"/>
          <w:szCs w:val="20"/>
        </w:rPr>
        <w:t xml:space="preserve">igned our reporting units, and immediately before and after our goodwill assignments, we completed an assessment of any potential goodwill impairment under our former and new reporting unit structure and determined that no impairment existed. </w:t>
      </w:r>
    </w:p>
    <w:p w:rsidR="00000000" w:rsidRDefault="00F5481A">
      <w:pPr>
        <w:ind w:firstLine="360"/>
        <w:divId w:val="1693142379"/>
        <w:rPr>
          <w:rFonts w:eastAsia="Times New Roman"/>
        </w:rPr>
      </w:pPr>
      <w:r>
        <w:rPr>
          <w:rFonts w:ascii="IBM Plex Sans" w:eastAsia="Times New Roman" w:hAnsi="IBM Plex Sans"/>
          <w:i/>
          <w:iCs/>
          <w:color w:val="283030"/>
          <w:sz w:val="20"/>
          <w:szCs w:val="20"/>
        </w:rPr>
        <w:t>Precision en</w:t>
      </w:r>
      <w:r>
        <w:rPr>
          <w:rFonts w:ascii="IBM Plex Sans" w:eastAsia="Times New Roman" w:hAnsi="IBM Plex Sans"/>
          <w:i/>
          <w:iCs/>
          <w:color w:val="283030"/>
          <w:sz w:val="20"/>
          <w:szCs w:val="20"/>
        </w:rPr>
        <w:t>gagement business allocation and impairment.</w:t>
      </w:r>
      <w:r>
        <w:rPr>
          <w:rFonts w:ascii="IBM Plex Sans" w:eastAsia="Times New Roman" w:hAnsi="IBM Plex Sans"/>
          <w:color w:val="283030"/>
          <w:sz w:val="20"/>
          <w:szCs w:val="20"/>
        </w:rPr>
        <w:t xml:space="preserve"> During the quarter ended September 30, 2022, we realigned our precision engagement business from our ADG reporting unit to our Electro Optical reporting unit. In connection with the realignment, we transferred $</w:t>
      </w:r>
      <w:r>
        <w:rPr>
          <w:rFonts w:ascii="IBM Plex Sans" w:eastAsia="Times New Roman" w:hAnsi="IBM Plex Sans"/>
          <w:color w:val="283030"/>
          <w:sz w:val="20"/>
          <w:szCs w:val="20"/>
        </w:rPr>
        <w:t>325 million of goodwill associated with the precision engagement business to our Electro Optical reporting unit on a relative fair value basis. Immediately before and after the reassignment, we tested goodwill assigned to each reporting unit. As a result o</w:t>
      </w:r>
      <w:r>
        <w:rPr>
          <w:rFonts w:ascii="IBM Plex Sans" w:eastAsia="Times New Roman" w:hAnsi="IBM Plex Sans"/>
          <w:color w:val="283030"/>
          <w:sz w:val="20"/>
          <w:szCs w:val="20"/>
        </w:rPr>
        <w:t>f these tests, concurrently with the preparation of our financial statements for the quarter ended September 30, 2022, we concluded that goodwill related to our ADG reporting unit was impaired immediately before the reassignment and recorded a non-cash cha</w:t>
      </w:r>
      <w:r>
        <w:rPr>
          <w:rFonts w:ascii="IBM Plex Sans" w:eastAsia="Times New Roman" w:hAnsi="IBM Plex Sans"/>
          <w:color w:val="283030"/>
          <w:sz w:val="20"/>
          <w:szCs w:val="20"/>
        </w:rPr>
        <w:t>rge of $313 million for the impairment in the “Impairment of goodwill and other assets” line item in our Consolidated Statement of Operations. The impairment of goodwill was due to lower sales volume in our precision engagement business, reflecting U.S. Go</w:t>
      </w:r>
      <w:r>
        <w:rPr>
          <w:rFonts w:ascii="IBM Plex Sans" w:eastAsia="Times New Roman" w:hAnsi="IBM Plex Sans"/>
          <w:color w:val="283030"/>
          <w:sz w:val="20"/>
          <w:szCs w:val="20"/>
        </w:rPr>
        <w:t xml:space="preserve">vernment spending priorities with respect to precision weapons, and higher interest rates. We prepared an estimate of the fair value of our precision engagement business utilizing a combination of market-based valuation techniques, utilizing quoted market </w:t>
      </w:r>
      <w:r>
        <w:rPr>
          <w:rFonts w:ascii="IBM Plex Sans" w:eastAsia="Times New Roman" w:hAnsi="IBM Plex Sans"/>
          <w:color w:val="283030"/>
          <w:sz w:val="20"/>
          <w:szCs w:val="20"/>
        </w:rPr>
        <w:t>prices, comparable publicly reported transactions and projected discounted cash flows.</w:t>
      </w:r>
    </w:p>
    <w:p w:rsidR="00000000" w:rsidRDefault="00F5481A">
      <w:pPr>
        <w:ind w:firstLine="360"/>
        <w:divId w:val="763497537"/>
        <w:rPr>
          <w:rFonts w:eastAsia="Times New Roman"/>
        </w:rPr>
      </w:pPr>
      <w:r>
        <w:rPr>
          <w:rFonts w:ascii="IBM Plex Sans" w:eastAsia="Times New Roman" w:hAnsi="IBM Plex Sans"/>
          <w:i/>
          <w:iCs/>
          <w:color w:val="283030"/>
          <w:sz w:val="20"/>
          <w:szCs w:val="20"/>
        </w:rPr>
        <w:t>Broadband, Electro Optical and ADG interim tests.</w:t>
      </w:r>
      <w:r>
        <w:rPr>
          <w:rFonts w:ascii="IBM Plex Sans" w:eastAsia="Times New Roman" w:hAnsi="IBM Plex Sans"/>
          <w:color w:val="283030"/>
          <w:sz w:val="20"/>
          <w:szCs w:val="20"/>
        </w:rPr>
        <w:t xml:space="preserve"> Indications of potential impairment of goodwill related to our Broadband, Electro Optical and ADG reporting units were </w:t>
      </w:r>
      <w:r>
        <w:rPr>
          <w:rFonts w:ascii="IBM Plex Sans" w:eastAsia="Times New Roman" w:hAnsi="IBM Plex Sans"/>
          <w:color w:val="283030"/>
          <w:sz w:val="20"/>
          <w:szCs w:val="20"/>
        </w:rPr>
        <w:t>present as of September 30, 2022. Consequently, in connection with the preparation of our financial statements for the quarter ended September 30, 2022, we performed interim tests of each of these reporting units utilizing a combination of market-based val</w:t>
      </w:r>
      <w:r>
        <w:rPr>
          <w:rFonts w:ascii="IBM Plex Sans" w:eastAsia="Times New Roman" w:hAnsi="IBM Plex Sans"/>
          <w:color w:val="283030"/>
          <w:sz w:val="20"/>
          <w:szCs w:val="20"/>
        </w:rPr>
        <w:t>uation techniques, including quoted market prices and comparable publicly reported transactions, and projected discounted cash flows. We determined that goodwill related our Broadband and Electro Optical reporting units was impaired and goodwill related to</w:t>
      </w:r>
      <w:r>
        <w:rPr>
          <w:rFonts w:ascii="IBM Plex Sans" w:eastAsia="Times New Roman" w:hAnsi="IBM Plex Sans"/>
          <w:color w:val="283030"/>
          <w:sz w:val="20"/>
          <w:szCs w:val="20"/>
        </w:rPr>
        <w:t xml:space="preserve"> our ADG reporting unit was not impaired. As a result, we recorded $489 million of non-cash charges for the impairment of goodwill ($355 million and $134 million for Broadband and Electro Optical, respectively) in the “Impairment of goodwill and other asse</w:t>
      </w:r>
      <w:r>
        <w:rPr>
          <w:rFonts w:ascii="IBM Plex Sans" w:eastAsia="Times New Roman" w:hAnsi="IBM Plex Sans"/>
          <w:color w:val="283030"/>
          <w:sz w:val="20"/>
          <w:szCs w:val="20"/>
        </w:rPr>
        <w:t>ts” line item in our Consolidated Statement of Operations. The impairment of goodwill related to our Electro Optical reporting unit was due to persistently lower demand and associated decrease in our outlook for the precision engagement business, and an in</w:t>
      </w:r>
      <w:r>
        <w:rPr>
          <w:rFonts w:ascii="IBM Plex Sans" w:eastAsia="Times New Roman" w:hAnsi="IBM Plex Sans"/>
          <w:color w:val="283030"/>
          <w:sz w:val="20"/>
          <w:szCs w:val="20"/>
        </w:rPr>
        <w:t xml:space="preserve">crease in interest rates. The impairment of goodwill related to our Broadband reporting unit was due to lower volume on legacy platforms, which also resulted in a decrease in our outlook for the reporting unit, and an increase in interest rates. </w:t>
      </w:r>
    </w:p>
    <w:p w:rsidR="00000000" w:rsidRDefault="00F5481A">
      <w:pPr>
        <w:ind w:firstLine="360"/>
        <w:divId w:val="792210502"/>
        <w:rPr>
          <w:rFonts w:eastAsia="Times New Roman"/>
        </w:rPr>
      </w:pPr>
      <w:r>
        <w:rPr>
          <w:rFonts w:ascii="IBM Plex Sans" w:eastAsia="Times New Roman" w:hAnsi="IBM Plex Sans"/>
          <w:i/>
          <w:iCs/>
          <w:color w:val="283030"/>
          <w:sz w:val="20"/>
          <w:szCs w:val="20"/>
        </w:rPr>
        <w:t>At-risk g</w:t>
      </w:r>
      <w:r>
        <w:rPr>
          <w:rFonts w:ascii="IBM Plex Sans" w:eastAsia="Times New Roman" w:hAnsi="IBM Plex Sans"/>
          <w:i/>
          <w:iCs/>
          <w:color w:val="283030"/>
          <w:sz w:val="20"/>
          <w:szCs w:val="20"/>
        </w:rPr>
        <w:t xml:space="preserve">oodwill. </w:t>
      </w:r>
      <w:r>
        <w:rPr>
          <w:rFonts w:ascii="IBM Plex Sans" w:eastAsia="Times New Roman" w:hAnsi="IBM Plex Sans"/>
          <w:color w:val="283030"/>
          <w:sz w:val="20"/>
          <w:szCs w:val="20"/>
        </w:rPr>
        <w:t xml:space="preserve">Because the carrying values of our Electro Optical, Broadband and ADG reporting units equaled their fair values immediately after the non-cash impairment charges recorded during the quarter ended September 30, 2022, goodwill associated with these </w:t>
      </w:r>
      <w:r>
        <w:rPr>
          <w:rFonts w:ascii="IBM Plex Sans" w:eastAsia="Times New Roman" w:hAnsi="IBM Plex Sans"/>
          <w:color w:val="283030"/>
          <w:sz w:val="20"/>
          <w:szCs w:val="20"/>
        </w:rPr>
        <w:t>reporting units remains at increased risk of impairment. The carrying value of goodwill associated with our Electro Optical, Broadband and ADG reporting units was $2,192 million, $1,539 million and $327 million, respectively. Additionally, our ISR and Comm</w:t>
      </w:r>
      <w:r>
        <w:rPr>
          <w:rFonts w:ascii="IBM Plex Sans" w:eastAsia="Times New Roman" w:hAnsi="IBM Plex Sans"/>
          <w:color w:val="283030"/>
          <w:sz w:val="20"/>
          <w:szCs w:val="20"/>
        </w:rPr>
        <w:t>ercial Avionics reporting units had clearances of approximately 15% based on the annual impairment testing and had goodwill of $3,186 million and $776 million, respectively. An impairment of goodwill could result from a number of circumstances, including d</w:t>
      </w:r>
      <w:r>
        <w:rPr>
          <w:rFonts w:ascii="IBM Plex Sans" w:eastAsia="Times New Roman" w:hAnsi="IBM Plex Sans"/>
          <w:color w:val="283030"/>
          <w:sz w:val="20"/>
          <w:szCs w:val="20"/>
        </w:rPr>
        <w:t>ifferent assumptions used in determining the fair value of the reporting units; changes to U.S. Government spending priorities or ability to win competitively awarded contracts; the rescission of significant contract awards as a result of competitors prote</w:t>
      </w:r>
      <w:r>
        <w:rPr>
          <w:rFonts w:ascii="IBM Plex Sans" w:eastAsia="Times New Roman" w:hAnsi="IBM Plex Sans"/>
          <w:color w:val="283030"/>
          <w:sz w:val="20"/>
          <w:szCs w:val="20"/>
        </w:rPr>
        <w:t>sting or challenging contracts awarded to us; or an increase in interest rates without a corresponding increase in future revenue.</w:t>
      </w:r>
    </w:p>
    <w:p w:rsidR="00000000" w:rsidRDefault="00F5481A">
      <w:pPr>
        <w:ind w:firstLine="360"/>
        <w:divId w:val="2079857248"/>
        <w:rPr>
          <w:rFonts w:eastAsia="Times New Roman"/>
        </w:rPr>
      </w:pPr>
      <w:r>
        <w:rPr>
          <w:rFonts w:ascii="IBM Plex Sans" w:eastAsia="Times New Roman" w:hAnsi="IBM Plex Sans"/>
          <w:b/>
          <w:bCs/>
          <w:i/>
          <w:iCs/>
          <w:color w:val="016676"/>
          <w:sz w:val="20"/>
          <w:szCs w:val="20"/>
        </w:rPr>
        <w:t>Goodwill-Related Fair Value Estimates.</w:t>
      </w:r>
      <w:r>
        <w:rPr>
          <w:rFonts w:ascii="IBM Plex Sans" w:eastAsia="Times New Roman" w:hAnsi="IBM Plex Sans"/>
          <w:color w:val="016676"/>
          <w:sz w:val="20"/>
          <w:szCs w:val="20"/>
        </w:rPr>
        <w:t xml:space="preserve"> </w:t>
      </w:r>
      <w:r>
        <w:rPr>
          <w:rFonts w:ascii="IBM Plex Sans" w:eastAsia="Times New Roman" w:hAnsi="IBM Plex Sans"/>
          <w:color w:val="283030"/>
          <w:sz w:val="20"/>
          <w:szCs w:val="20"/>
        </w:rPr>
        <w:t>Fair value determinations described above under the heading “Goodwill” in this Critica</w:t>
      </w:r>
      <w:r>
        <w:rPr>
          <w:rFonts w:ascii="IBM Plex Sans" w:eastAsia="Times New Roman" w:hAnsi="IBM Plex Sans"/>
          <w:color w:val="283030"/>
          <w:sz w:val="20"/>
          <w:szCs w:val="20"/>
        </w:rPr>
        <w:t>l Accounting Estimates section of this MD&amp;A were determined based on a combination of market-based valuation techniques, utilizing quoted market prices, comparable publicly reported transactions, and projected discounted cash flows. The process of evaluati</w:t>
      </w:r>
      <w:r>
        <w:rPr>
          <w:rFonts w:ascii="IBM Plex Sans" w:eastAsia="Times New Roman" w:hAnsi="IBM Plex Sans"/>
          <w:color w:val="283030"/>
          <w:sz w:val="20"/>
          <w:szCs w:val="20"/>
        </w:rPr>
        <w:t>ng the potential impairment of goodwill is highly subjective and requires significant judgment. Material changes in these estimates could occur and result in additional impairments in future periods. For example, if the discount rate used for our impairmen</w:t>
      </w:r>
      <w:r>
        <w:rPr>
          <w:rFonts w:ascii="IBM Plex Sans" w:eastAsia="Times New Roman" w:hAnsi="IBM Plex Sans"/>
          <w:color w:val="283030"/>
          <w:sz w:val="20"/>
          <w:szCs w:val="20"/>
        </w:rPr>
        <w:t xml:space="preserve">t analysis’ performed in the quarter ended September 30, 2022 was increased by 25 basis points, the total impairment would have increased by approximately $200 million. </w:t>
      </w:r>
    </w:p>
    <w:p w:rsidR="00000000" w:rsidRDefault="00F5481A">
      <w:pPr>
        <w:ind w:firstLine="360"/>
        <w:jc w:val="center"/>
        <w:divId w:val="1966815449"/>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50</w:t>
      </w:r>
    </w:p>
    <w:p w:rsidR="00000000" w:rsidRDefault="00F5481A">
      <w:pPr>
        <w:rPr>
          <w:rFonts w:eastAsia="Times New Roman"/>
        </w:rPr>
      </w:pPr>
      <w:r>
        <w:rPr>
          <w:rFonts w:eastAsia="Times New Roman"/>
        </w:rPr>
        <w:pict>
          <v:rect id="_x0000_i1081" style="width:0;height:1.5pt" o:hralign="center" o:hrstd="t" o:hr="t" fillcolor="#a0a0a0" stroked="f"/>
        </w:pict>
      </w:r>
    </w:p>
    <w:p w:rsidR="00000000" w:rsidRDefault="00F5481A">
      <w:pPr>
        <w:ind w:firstLine="360"/>
        <w:divId w:val="68430465"/>
        <w:rPr>
          <w:rFonts w:eastAsia="Times New Roman"/>
        </w:rPr>
      </w:pPr>
    </w:p>
    <w:p w:rsidR="00000000" w:rsidRDefault="00F5481A">
      <w:pPr>
        <w:ind w:firstLine="360"/>
        <w:divId w:val="650795420"/>
        <w:rPr>
          <w:rFonts w:eastAsia="Times New Roman"/>
        </w:rPr>
      </w:pPr>
      <w:r>
        <w:rPr>
          <w:rFonts w:ascii="IBM Plex Sans" w:eastAsia="Times New Roman" w:hAnsi="IBM Plex Sans"/>
          <w:b/>
          <w:bCs/>
          <w:i/>
          <w:iCs/>
          <w:color w:val="016676"/>
          <w:sz w:val="20"/>
          <w:szCs w:val="20"/>
        </w:rPr>
        <w:t>Business Disposal Group Goodwill Allocation.</w:t>
      </w:r>
      <w:r>
        <w:rPr>
          <w:rFonts w:ascii="IBM Plex Sans" w:eastAsia="Times New Roman" w:hAnsi="IBM Plex Sans"/>
          <w:color w:val="283030"/>
          <w:sz w:val="20"/>
          <w:szCs w:val="20"/>
        </w:rPr>
        <w:t xml:space="preserve"> As described in more detail in </w:t>
      </w:r>
      <w:r>
        <w:rPr>
          <w:rFonts w:ascii="IBM Plex Sans" w:eastAsia="Times New Roman" w:hAnsi="IBM Plex Sans"/>
          <w:i/>
          <w:iCs/>
          <w:color w:val="283030"/>
          <w:sz w:val="20"/>
          <w:szCs w:val="20"/>
        </w:rPr>
        <w:t>Note 4: Business Divestitures and Asset Sales</w:t>
      </w:r>
      <w:r>
        <w:rPr>
          <w:rFonts w:ascii="IBM Plex Sans" w:eastAsia="Times New Roman" w:hAnsi="IBM Plex Sans"/>
          <w:color w:val="283030"/>
          <w:sz w:val="20"/>
          <w:szCs w:val="20"/>
        </w:rPr>
        <w:t xml:space="preserve"> in the Notes, during fiscal 2022, we determined the criteria to be classified as held for sale were met for </w:t>
      </w:r>
      <w:r>
        <w:rPr>
          <w:rFonts w:ascii="IBM Plex Sans" w:eastAsia="Times New Roman" w:hAnsi="IBM Plex Sans"/>
          <w:color w:val="283030"/>
          <w:sz w:val="20"/>
          <w:szCs w:val="20"/>
        </w:rPr>
        <w:t>the Space &amp; Navigation business and the VIS business. Because the divestiture of these businesses represented the disposal of a portion of a reporting unit we assigned goodwill to the businesses on a relative fair value basis. For purposes of allocating go</w:t>
      </w:r>
      <w:r>
        <w:rPr>
          <w:rFonts w:ascii="IBM Plex Sans" w:eastAsia="Times New Roman" w:hAnsi="IBM Plex Sans"/>
          <w:color w:val="283030"/>
          <w:sz w:val="20"/>
          <w:szCs w:val="20"/>
        </w:rPr>
        <w:t>odwill to the businesses, we determined the fair value of each disposal group based on the respective negotiated selling price (or estimated net cash proceeds, in the case of no negotiated selling price), and the fair value of the retained businesses of th</w:t>
      </w:r>
      <w:r>
        <w:rPr>
          <w:rFonts w:ascii="IBM Plex Sans" w:eastAsia="Times New Roman" w:hAnsi="IBM Plex Sans"/>
          <w:color w:val="283030"/>
          <w:sz w:val="20"/>
          <w:szCs w:val="20"/>
        </w:rPr>
        <w:t>e respective reporting unit based on a combination of market-based valuation techniques, utilizing quoted market prices, comparable publicly reported transactions and projected discounted cash flows. These fair value determinations are categorized as Level</w:t>
      </w:r>
      <w:r>
        <w:rPr>
          <w:rFonts w:ascii="IBM Plex Sans" w:eastAsia="Times New Roman" w:hAnsi="IBM Plex Sans"/>
          <w:color w:val="283030"/>
          <w:sz w:val="20"/>
          <w:szCs w:val="20"/>
        </w:rPr>
        <w:t xml:space="preserve"> 3 in the fair value hierarchy due to their use of internal projections and unobservable measurement inputs. See </w:t>
      </w:r>
      <w:r>
        <w:rPr>
          <w:rFonts w:ascii="IBM Plex Sans" w:eastAsia="Times New Roman" w:hAnsi="IBM Plex Sans"/>
          <w:i/>
          <w:iCs/>
          <w:color w:val="283030"/>
          <w:sz w:val="20"/>
          <w:szCs w:val="20"/>
        </w:rPr>
        <w:t>Note 1: Significant Accounting Policies</w:t>
      </w:r>
      <w:r>
        <w:rPr>
          <w:rFonts w:ascii="IBM Plex Sans" w:eastAsia="Times New Roman" w:hAnsi="IBM Plex Sans"/>
          <w:color w:val="283030"/>
          <w:sz w:val="20"/>
          <w:szCs w:val="20"/>
        </w:rPr>
        <w:t xml:space="preserve"> in the Notes for additional information regarding the fair value hierarchy.</w:t>
      </w:r>
    </w:p>
    <w:p w:rsidR="00000000" w:rsidRDefault="00F5481A">
      <w:pPr>
        <w:ind w:firstLine="360"/>
        <w:divId w:val="1760370596"/>
        <w:rPr>
          <w:rFonts w:eastAsia="Times New Roman"/>
        </w:rPr>
      </w:pPr>
      <w:r>
        <w:rPr>
          <w:rFonts w:ascii="IBM Plex Sans" w:eastAsia="Times New Roman" w:hAnsi="IBM Plex Sans"/>
          <w:color w:val="283030"/>
          <w:sz w:val="20"/>
          <w:szCs w:val="20"/>
        </w:rPr>
        <w:t>In conjunction with the rel</w:t>
      </w:r>
      <w:r>
        <w:rPr>
          <w:rFonts w:ascii="IBM Plex Sans" w:eastAsia="Times New Roman" w:hAnsi="IBM Plex Sans"/>
          <w:color w:val="283030"/>
          <w:sz w:val="20"/>
          <w:szCs w:val="20"/>
        </w:rPr>
        <w:t>ative fair value allocation, we tested goodwill assigned to each of the disposal group businesses below and goodwill assigned to the retained businesses of their reporting units for impairment and concluded that no goodwill impairment existed at the time t</w:t>
      </w:r>
      <w:r>
        <w:rPr>
          <w:rFonts w:ascii="IBM Plex Sans" w:eastAsia="Times New Roman" w:hAnsi="IBM Plex Sans"/>
          <w:color w:val="283030"/>
          <w:sz w:val="20"/>
          <w:szCs w:val="20"/>
        </w:rPr>
        <w:t xml:space="preserve">he held for sale criteria were met. </w:t>
      </w:r>
    </w:p>
    <w:p w:rsidR="00000000" w:rsidRDefault="00F5481A">
      <w:pPr>
        <w:ind w:firstLine="360"/>
        <w:divId w:val="1458572646"/>
        <w:rPr>
          <w:rFonts w:eastAsia="Times New Roman"/>
        </w:rPr>
      </w:pPr>
      <w:r>
        <w:rPr>
          <w:rFonts w:ascii="IBM Plex Sans" w:eastAsia="Times New Roman" w:hAnsi="IBM Plex Sans"/>
          <w:color w:val="283030"/>
          <w:sz w:val="20"/>
          <w:szCs w:val="20"/>
        </w:rPr>
        <w:t>See Note 4: Business Divestitures and Asset Sales and Note 9: Goodwill in the Notes for additional information.</w:t>
      </w:r>
    </w:p>
    <w:p w:rsidR="00000000" w:rsidRDefault="00F5481A">
      <w:pPr>
        <w:divId w:val="383529464"/>
        <w:rPr>
          <w:rFonts w:eastAsia="Times New Roman"/>
        </w:rPr>
      </w:pPr>
      <w:r>
        <w:rPr>
          <w:rFonts w:ascii="IBM Plex Sans SemiBold" w:eastAsia="Times New Roman" w:hAnsi="IBM Plex Sans SemiBold"/>
          <w:b/>
          <w:bCs/>
          <w:color w:val="016676"/>
          <w:sz w:val="20"/>
          <w:szCs w:val="20"/>
        </w:rPr>
        <w:t>Income Taxes</w:t>
      </w:r>
    </w:p>
    <w:p w:rsidR="00000000" w:rsidRDefault="00F5481A">
      <w:pPr>
        <w:ind w:firstLine="360"/>
        <w:divId w:val="301082953"/>
        <w:rPr>
          <w:rFonts w:eastAsia="Times New Roman"/>
        </w:rPr>
      </w:pPr>
      <w:r>
        <w:rPr>
          <w:rFonts w:ascii="IBM Plex Sans" w:eastAsia="Times New Roman" w:hAnsi="IBM Plex Sans"/>
          <w:color w:val="283030"/>
          <w:sz w:val="20"/>
          <w:szCs w:val="20"/>
        </w:rPr>
        <w:t xml:space="preserve">We record deferred tax assets and liabilities for differences between the tax basis of assets </w:t>
      </w:r>
      <w:r>
        <w:rPr>
          <w:rFonts w:ascii="IBM Plex Sans" w:eastAsia="Times New Roman" w:hAnsi="IBM Plex Sans"/>
          <w:color w:val="283030"/>
          <w:sz w:val="20"/>
          <w:szCs w:val="20"/>
        </w:rPr>
        <w:t>and liabilities and amounts reported in our Consolidated Balance Sheet, as well as operating loss and tax credit carryforwards. We follow very specific and detailed guidelines in each tax jurisdiction regarding the recoverability of any tax assets recorded</w:t>
      </w:r>
      <w:r>
        <w:rPr>
          <w:rFonts w:ascii="IBM Plex Sans" w:eastAsia="Times New Roman" w:hAnsi="IBM Plex Sans"/>
          <w:color w:val="283030"/>
          <w:sz w:val="20"/>
          <w:szCs w:val="20"/>
        </w:rPr>
        <w:t xml:space="preserve"> on the balance sheet and provide necessary valuation allowances as required. Future realization of deferred tax assets ultimately depends on the existence of sufficient taxable income of the appropriate character (for example, ordinary income or capital g</w:t>
      </w:r>
      <w:r>
        <w:rPr>
          <w:rFonts w:ascii="IBM Plex Sans" w:eastAsia="Times New Roman" w:hAnsi="IBM Plex Sans"/>
          <w:color w:val="283030"/>
          <w:sz w:val="20"/>
          <w:szCs w:val="20"/>
        </w:rPr>
        <w:t>ain) within the carryback or carryforward periods available under the tax law. We regularly review our deferred tax assets for recoverability based on historical taxable income, projected future taxable income, the expected timing of the reversals of exist</w:t>
      </w:r>
      <w:r>
        <w:rPr>
          <w:rFonts w:ascii="IBM Plex Sans" w:eastAsia="Times New Roman" w:hAnsi="IBM Plex Sans"/>
          <w:color w:val="283030"/>
          <w:sz w:val="20"/>
          <w:szCs w:val="20"/>
        </w:rPr>
        <w:t>ing temporary differences and tax planning strategies. We have not made any material changes in the methodologies used to determine our tax valuation allowances during fiscal 2022, 2021 or 2020.</w:t>
      </w:r>
    </w:p>
    <w:p w:rsidR="00000000" w:rsidRDefault="00F5481A">
      <w:pPr>
        <w:ind w:firstLine="360"/>
        <w:divId w:val="1933276374"/>
        <w:rPr>
          <w:rFonts w:eastAsia="Times New Roman"/>
        </w:rPr>
      </w:pPr>
      <w:r>
        <w:rPr>
          <w:rFonts w:ascii="IBM Plex Sans" w:eastAsia="Times New Roman" w:hAnsi="IBM Plex Sans"/>
          <w:color w:val="283030"/>
          <w:sz w:val="20"/>
          <w:szCs w:val="20"/>
        </w:rPr>
        <w:t>Our Consolidated Balance Sheet as of December 30, 2022 includ</w:t>
      </w:r>
      <w:r>
        <w:rPr>
          <w:rFonts w:ascii="IBM Plex Sans" w:eastAsia="Times New Roman" w:hAnsi="IBM Plex Sans"/>
          <w:color w:val="283030"/>
          <w:sz w:val="20"/>
          <w:szCs w:val="20"/>
        </w:rPr>
        <w:t>ed deferred tax assets of $73 million and deferred tax liabilities of $719 million. This compares with deferred tax assets of $85 million and deferred tax liabilities of $1.3 billion as of December 31, 2021. For all jurisdictions in which we have net defer</w:t>
      </w:r>
      <w:r>
        <w:rPr>
          <w:rFonts w:ascii="IBM Plex Sans" w:eastAsia="Times New Roman" w:hAnsi="IBM Plex Sans"/>
          <w:color w:val="283030"/>
          <w:sz w:val="20"/>
          <w:szCs w:val="20"/>
        </w:rPr>
        <w:t>red tax assets, we expect that our existing levels of pre-tax earnings are sufficient to generate the amount of future taxable income needed to realize these tax assets. Our valuation allowance related to deferred income taxes, which is reflected in our Co</w:t>
      </w:r>
      <w:r>
        <w:rPr>
          <w:rFonts w:ascii="IBM Plex Sans" w:eastAsia="Times New Roman" w:hAnsi="IBM Plex Sans"/>
          <w:color w:val="283030"/>
          <w:sz w:val="20"/>
          <w:szCs w:val="20"/>
        </w:rPr>
        <w:t>nsolidated Balance Sheet, was $243 million as of December 30, 2022 compared with $257 million as of December 31, 2021. Although we make reasonable efforts to ensure the accuracy of our deferred tax assets, if we continue to operate at a loss in certain jur</w:t>
      </w:r>
      <w:r>
        <w:rPr>
          <w:rFonts w:ascii="IBM Plex Sans" w:eastAsia="Times New Roman" w:hAnsi="IBM Plex Sans"/>
          <w:color w:val="283030"/>
          <w:sz w:val="20"/>
          <w:szCs w:val="20"/>
        </w:rPr>
        <w:t>isdictions, or are unable to generate sufficient future taxable income, or if there is a material change in the actual effective tax rates or time period within which the underlying temporary differences become taxable or deductible, or if the potential im</w:t>
      </w:r>
      <w:r>
        <w:rPr>
          <w:rFonts w:ascii="IBM Plex Sans" w:eastAsia="Times New Roman" w:hAnsi="IBM Plex Sans"/>
          <w:color w:val="283030"/>
          <w:sz w:val="20"/>
          <w:szCs w:val="20"/>
        </w:rPr>
        <w:t>pact of tax planning strategies changes, we could be required to increase the valuation allowance against all or a significant portion of our deferred tax assets resulting in a substantial increase in our effective tax rate and a material adverse impact on</w:t>
      </w:r>
      <w:r>
        <w:rPr>
          <w:rFonts w:ascii="IBM Plex Sans" w:eastAsia="Times New Roman" w:hAnsi="IBM Plex Sans"/>
          <w:color w:val="283030"/>
          <w:sz w:val="20"/>
          <w:szCs w:val="20"/>
        </w:rPr>
        <w:t xml:space="preserve"> our operating results.</w:t>
      </w:r>
    </w:p>
    <w:p w:rsidR="00000000" w:rsidRDefault="00F5481A">
      <w:pPr>
        <w:ind w:firstLine="360"/>
        <w:divId w:val="1381051107"/>
        <w:rPr>
          <w:rFonts w:eastAsia="Times New Roman"/>
        </w:rPr>
      </w:pPr>
      <w:r>
        <w:rPr>
          <w:rFonts w:ascii="IBM Plex Sans" w:eastAsia="Times New Roman" w:hAnsi="IBM Plex Sans"/>
          <w:color w:val="283030"/>
          <w:sz w:val="20"/>
          <w:szCs w:val="20"/>
        </w:rPr>
        <w:t>The evaluation of tax positions taken in a filed tax return, or planned to be taken in a future tax return or claim, involves inherent uncertainty and requires the use of judgment. We evaluate our income tax positions and record tax</w:t>
      </w:r>
      <w:r>
        <w:rPr>
          <w:rFonts w:ascii="IBM Plex Sans" w:eastAsia="Times New Roman" w:hAnsi="IBM Plex Sans"/>
          <w:color w:val="283030"/>
          <w:sz w:val="20"/>
          <w:szCs w:val="20"/>
        </w:rPr>
        <w:t xml:space="preserve"> benefits for all years subject to examination based on our assessment of the facts and circumstances as of the reporting date. For tax positions where it is more likely than not that a tax benefit will be realized, we record the largest amount of tax bene</w:t>
      </w:r>
      <w:r>
        <w:rPr>
          <w:rFonts w:ascii="IBM Plex Sans" w:eastAsia="Times New Roman" w:hAnsi="IBM Plex Sans"/>
          <w:color w:val="283030"/>
          <w:sz w:val="20"/>
          <w:szCs w:val="20"/>
        </w:rPr>
        <w:t>fit with a greater than 50% probability of being realized upon ultimate settlement with the applicable taxing authority, assuming the taxing authority has full knowledge of all relevant information. For income tax positions where it is not more likely than</w:t>
      </w:r>
      <w:r>
        <w:rPr>
          <w:rFonts w:ascii="IBM Plex Sans" w:eastAsia="Times New Roman" w:hAnsi="IBM Plex Sans"/>
          <w:color w:val="283030"/>
          <w:sz w:val="20"/>
          <w:szCs w:val="20"/>
        </w:rPr>
        <w:t xml:space="preserve"> not that a tax benefit will be realized, we do not recognize a tax benefit in our Consolidated Financial Statements.</w:t>
      </w:r>
    </w:p>
    <w:p w:rsidR="00000000" w:rsidRDefault="00F5481A">
      <w:pPr>
        <w:ind w:firstLine="360"/>
        <w:divId w:val="1588921629"/>
        <w:rPr>
          <w:rFonts w:eastAsia="Times New Roman"/>
        </w:rPr>
      </w:pPr>
      <w:r>
        <w:rPr>
          <w:rFonts w:ascii="IBM Plex Sans" w:eastAsia="Times New Roman" w:hAnsi="IBM Plex Sans"/>
          <w:color w:val="283030"/>
          <w:sz w:val="20"/>
          <w:szCs w:val="20"/>
        </w:rPr>
        <w:t>As of December 30, 2022, we had $613 million of unrecognized tax benefits, of which $486 million would favorably impact our future tax rat</w:t>
      </w:r>
      <w:r>
        <w:rPr>
          <w:rFonts w:ascii="IBM Plex Sans" w:eastAsia="Times New Roman" w:hAnsi="IBM Plex Sans"/>
          <w:color w:val="283030"/>
          <w:sz w:val="20"/>
          <w:szCs w:val="20"/>
        </w:rPr>
        <w:t xml:space="preserve">es in the event that the tax benefits are eventually recognized. As of December 31, 2021, we had $587 million of unrecognized tax benefits, of which $488 million would favorably impact our future tax rates in the event that the tax benefits are eventually </w:t>
      </w:r>
      <w:r>
        <w:rPr>
          <w:rFonts w:ascii="IBM Plex Sans" w:eastAsia="Times New Roman" w:hAnsi="IBM Plex Sans"/>
          <w:color w:val="283030"/>
          <w:sz w:val="20"/>
          <w:szCs w:val="20"/>
        </w:rPr>
        <w:t xml:space="preserve">recognized. </w:t>
      </w:r>
    </w:p>
    <w:p w:rsidR="00000000" w:rsidRDefault="00F5481A">
      <w:pPr>
        <w:ind w:firstLine="360"/>
        <w:divId w:val="568266369"/>
        <w:rPr>
          <w:rFonts w:eastAsia="Times New Roman"/>
        </w:rPr>
      </w:pPr>
      <w:r>
        <w:rPr>
          <w:rFonts w:ascii="IBM Plex Sans" w:eastAsia="Times New Roman" w:hAnsi="IBM Plex Sans"/>
          <w:color w:val="283030"/>
          <w:sz w:val="20"/>
          <w:szCs w:val="20"/>
        </w:rPr>
        <w:t>It is reasonably possible that there could be a significant decrease or increase to our unrecognized tax benefits during the course of the next twelve months as ongoing tax examinations continue, other tax examinations commence or various stat</w:t>
      </w:r>
      <w:r>
        <w:rPr>
          <w:rFonts w:ascii="IBM Plex Sans" w:eastAsia="Times New Roman" w:hAnsi="IBM Plex Sans"/>
          <w:color w:val="283030"/>
          <w:sz w:val="20"/>
          <w:szCs w:val="20"/>
        </w:rPr>
        <w:t xml:space="preserve">utes of limitations expire. However, an estimate of the range of possible changes is not practicable for the remaining unrecognized tax benefits because of the significant number of jurisdictions in which </w:t>
      </w:r>
    </w:p>
    <w:p w:rsidR="00000000" w:rsidRDefault="00F5481A">
      <w:pPr>
        <w:ind w:firstLine="360"/>
        <w:jc w:val="center"/>
        <w:divId w:val="30689981"/>
        <w:rPr>
          <w:rFonts w:eastAsia="Times New Roman"/>
        </w:rPr>
      </w:pPr>
      <w:r>
        <w:rPr>
          <w:rFonts w:ascii="Arial" w:eastAsia="Times New Roman" w:hAnsi="Arial" w:cs="Arial"/>
          <w:b/>
          <w:bCs/>
          <w:color w:val="016676"/>
        </w:rPr>
        <w:t>__________________________________________________</w:t>
      </w:r>
      <w:r>
        <w:rPr>
          <w:rFonts w:ascii="Arial" w:eastAsia="Times New Roman" w:hAnsi="Arial" w:cs="Arial"/>
          <w:b/>
          <w:bCs/>
          <w:color w:val="016676"/>
        </w:rPr>
        <w:t>___________________</w:t>
      </w:r>
      <w:r>
        <w:rPr>
          <w:rFonts w:ascii="Arial" w:eastAsia="Times New Roman" w:hAnsi="Arial" w:cs="Arial"/>
          <w:b/>
          <w:bCs/>
          <w:color w:val="233D6F"/>
        </w:rPr>
        <w:br/>
      </w:r>
      <w:r>
        <w:rPr>
          <w:rFonts w:ascii="IBM Plex Sans" w:eastAsia="Times New Roman" w:hAnsi="IBM Plex Sans"/>
          <w:color w:val="283030"/>
          <w:sz w:val="20"/>
          <w:szCs w:val="20"/>
        </w:rPr>
        <w:t>51</w:t>
      </w:r>
    </w:p>
    <w:p w:rsidR="00000000" w:rsidRDefault="00F5481A">
      <w:pPr>
        <w:rPr>
          <w:rFonts w:eastAsia="Times New Roman"/>
        </w:rPr>
      </w:pPr>
      <w:r>
        <w:rPr>
          <w:rFonts w:eastAsia="Times New Roman"/>
        </w:rPr>
        <w:pict>
          <v:rect id="_x0000_i1082" style="width:0;height:1.5pt" o:hralign="center" o:hrstd="t" o:hr="t" fillcolor="#a0a0a0" stroked="f"/>
        </w:pict>
      </w:r>
    </w:p>
    <w:p w:rsidR="00000000" w:rsidRDefault="00F5481A">
      <w:pPr>
        <w:ind w:firstLine="360"/>
        <w:divId w:val="203175416"/>
        <w:rPr>
          <w:rFonts w:eastAsia="Times New Roman"/>
        </w:rPr>
      </w:pPr>
    </w:p>
    <w:p w:rsidR="00000000" w:rsidRDefault="00F5481A">
      <w:pPr>
        <w:divId w:val="195391051"/>
        <w:rPr>
          <w:rFonts w:eastAsia="Times New Roman"/>
        </w:rPr>
      </w:pPr>
      <w:r>
        <w:rPr>
          <w:rFonts w:ascii="IBM Plex Sans" w:eastAsia="Times New Roman" w:hAnsi="IBM Plex Sans"/>
          <w:color w:val="283030"/>
          <w:sz w:val="20"/>
          <w:szCs w:val="20"/>
        </w:rPr>
        <w:t xml:space="preserve">we do business and the number of open tax periods under various states of examination. See </w:t>
      </w:r>
      <w:r>
        <w:rPr>
          <w:rFonts w:ascii="IBM Plex Sans" w:eastAsia="Times New Roman" w:hAnsi="IBM Plex Sans"/>
          <w:i/>
          <w:iCs/>
          <w:color w:val="283030"/>
          <w:sz w:val="20"/>
          <w:szCs w:val="20"/>
        </w:rPr>
        <w:t>Note 22: Income Taxes</w:t>
      </w:r>
      <w:r>
        <w:rPr>
          <w:rFonts w:ascii="IBM Plex Sans" w:eastAsia="Times New Roman" w:hAnsi="IBM Plex Sans"/>
          <w:color w:val="283030"/>
          <w:sz w:val="20"/>
          <w:szCs w:val="20"/>
        </w:rPr>
        <w:t xml:space="preserve"> in the Notes for additional information. </w:t>
      </w:r>
    </w:p>
    <w:p w:rsidR="00000000" w:rsidRDefault="00F5481A">
      <w:pPr>
        <w:divId w:val="1638220183"/>
        <w:rPr>
          <w:rFonts w:eastAsia="Times New Roman"/>
        </w:rPr>
      </w:pPr>
      <w:r>
        <w:rPr>
          <w:rFonts w:ascii="IBM Plex Sans SemiBold" w:eastAsia="Times New Roman" w:hAnsi="IBM Plex Sans SemiBold"/>
          <w:b/>
          <w:bCs/>
          <w:color w:val="016676"/>
          <w:sz w:val="20"/>
          <w:szCs w:val="20"/>
        </w:rPr>
        <w:t>Impact of Recently Issued Accounting Pronouncements</w:t>
      </w:r>
    </w:p>
    <w:p w:rsidR="00000000" w:rsidRDefault="00F5481A">
      <w:pPr>
        <w:ind w:firstLine="360"/>
        <w:divId w:val="1727677784"/>
        <w:rPr>
          <w:rFonts w:eastAsia="Times New Roman"/>
        </w:rPr>
      </w:pPr>
      <w:r>
        <w:rPr>
          <w:rFonts w:ascii="IBM Plex Sans" w:eastAsia="Times New Roman" w:hAnsi="IBM Plex Sans"/>
          <w:color w:val="283030"/>
          <w:sz w:val="20"/>
          <w:szCs w:val="20"/>
        </w:rPr>
        <w:t>There have been no new accounting pronouncements which became effective during fiscal 2022 that have had a material impact on our Consolidated Financial Statements.</w:t>
      </w:r>
    </w:p>
    <w:p w:rsidR="00000000" w:rsidRDefault="00F5481A">
      <w:pPr>
        <w:divId w:val="1393700801"/>
        <w:rPr>
          <w:rFonts w:eastAsia="Times New Roman"/>
        </w:rPr>
      </w:pPr>
      <w:r>
        <w:rPr>
          <w:rFonts w:ascii="IBM Plex Sans SemiBold" w:eastAsia="Times New Roman" w:hAnsi="IBM Plex Sans SemiBold"/>
          <w:b/>
          <w:bCs/>
          <w:color w:val="016676"/>
          <w:sz w:val="20"/>
          <w:szCs w:val="20"/>
        </w:rPr>
        <w:t xml:space="preserve">FORWARD-LOOKING STATEMENTS AND FACTORS </w:t>
      </w:r>
      <w:r>
        <w:rPr>
          <w:rFonts w:ascii="IBM Plex Sans SemiBold" w:eastAsia="Times New Roman" w:hAnsi="IBM Plex Sans SemiBold"/>
          <w:b/>
          <w:bCs/>
          <w:color w:val="016676"/>
          <w:sz w:val="20"/>
          <w:szCs w:val="20"/>
        </w:rPr>
        <w:t>THAT MAY AFFECT FUTURE RESULTS</w:t>
      </w:r>
    </w:p>
    <w:p w:rsidR="00000000" w:rsidRDefault="00F5481A">
      <w:pPr>
        <w:ind w:firstLine="360"/>
        <w:divId w:val="330376273"/>
        <w:rPr>
          <w:rFonts w:eastAsia="Times New Roman"/>
        </w:rPr>
      </w:pPr>
      <w:r>
        <w:rPr>
          <w:rFonts w:ascii="IBM Plex Sans" w:eastAsia="Times New Roman" w:hAnsi="IBM Plex Sans"/>
          <w:color w:val="283030"/>
          <w:sz w:val="20"/>
          <w:szCs w:val="20"/>
        </w:rPr>
        <w:t>The following are some of the factors we believe could cause our actual results to differ materially from our historical results or our current expectations or projections. Other factors besides those listed here also could a</w:t>
      </w:r>
      <w:r>
        <w:rPr>
          <w:rFonts w:ascii="IBM Plex Sans" w:eastAsia="Times New Roman" w:hAnsi="IBM Plex Sans"/>
          <w:color w:val="283030"/>
          <w:sz w:val="20"/>
          <w:szCs w:val="20"/>
        </w:rPr>
        <w:t>dversely affect us. See “Item 1A. Risk Factors” of this Report for more information regarding factors that might cause our results to differ materially from those expressed in or implied by the forward-looking statements contained in this Report.</w:t>
      </w:r>
    </w:p>
    <w:p w:rsidR="00000000" w:rsidRDefault="00F5481A">
      <w:pPr>
        <w:ind w:hanging="360"/>
        <w:divId w:val="1193153505"/>
        <w:rPr>
          <w:rFonts w:eastAsia="Times New Roman"/>
        </w:rPr>
      </w:pPr>
      <w:r>
        <w:rPr>
          <w:rFonts w:ascii="IBM Plex Sans" w:eastAsia="Times New Roman" w:hAnsi="IBM Plex Sans"/>
          <w:color w:val="283030"/>
          <w:sz w:val="20"/>
          <w:szCs w:val="20"/>
        </w:rPr>
        <w:t>•We depen</w:t>
      </w:r>
      <w:r>
        <w:rPr>
          <w:rFonts w:ascii="IBM Plex Sans" w:eastAsia="Times New Roman" w:hAnsi="IBM Plex Sans"/>
          <w:color w:val="283030"/>
          <w:sz w:val="20"/>
          <w:szCs w:val="20"/>
        </w:rPr>
        <w:t xml:space="preserve">d on U.S. Government customers for a significant portion of our revenue, and the loss of these relationships, a reduction in U.S. Government funding or a change in U.S. Government spending priorities could have an adverse impact on our business, financial </w:t>
      </w:r>
      <w:r>
        <w:rPr>
          <w:rFonts w:ascii="IBM Plex Sans" w:eastAsia="Times New Roman" w:hAnsi="IBM Plex Sans"/>
          <w:color w:val="283030"/>
          <w:sz w:val="20"/>
          <w:szCs w:val="20"/>
        </w:rPr>
        <w:t>condition, results of operations, cash flows and equity.</w:t>
      </w:r>
    </w:p>
    <w:p w:rsidR="00000000" w:rsidRDefault="00F5481A">
      <w:pPr>
        <w:ind w:hanging="360"/>
        <w:divId w:val="854228707"/>
        <w:rPr>
          <w:rFonts w:eastAsia="Times New Roman"/>
        </w:rPr>
      </w:pPr>
      <w:r>
        <w:rPr>
          <w:rFonts w:ascii="IBM Plex Sans" w:eastAsia="Times New Roman" w:hAnsi="IBM Plex Sans"/>
          <w:color w:val="283030"/>
          <w:sz w:val="20"/>
          <w:szCs w:val="20"/>
        </w:rPr>
        <w:t xml:space="preserve">•Our results of operations and cash flows are substantially affected by our mix of fixed-price, cost-plus and time-and-material type contracts. In particular, our fixed-price contracts could subject </w:t>
      </w:r>
      <w:r>
        <w:rPr>
          <w:rFonts w:ascii="IBM Plex Sans" w:eastAsia="Times New Roman" w:hAnsi="IBM Plex Sans"/>
          <w:color w:val="283030"/>
          <w:sz w:val="20"/>
          <w:szCs w:val="20"/>
        </w:rPr>
        <w:t>us to losses in the event of cost overruns or a significant increase in or sustained period of increased inflation.</w:t>
      </w:r>
    </w:p>
    <w:p w:rsidR="00000000" w:rsidRDefault="00F5481A">
      <w:pPr>
        <w:ind w:hanging="360"/>
        <w:divId w:val="1962228653"/>
        <w:rPr>
          <w:rFonts w:eastAsia="Times New Roman"/>
        </w:rPr>
      </w:pPr>
      <w:r>
        <w:rPr>
          <w:rFonts w:ascii="IBM Plex Sans" w:eastAsia="Times New Roman" w:hAnsi="IBM Plex Sans"/>
          <w:color w:val="283030"/>
          <w:sz w:val="20"/>
          <w:szCs w:val="20"/>
        </w:rPr>
        <w:t>•We depend significantly on U.S. Government contracts, which often are only partially funded, subject to immediate termination and heavily r</w:t>
      </w:r>
      <w:r>
        <w:rPr>
          <w:rFonts w:ascii="IBM Plex Sans" w:eastAsia="Times New Roman" w:hAnsi="IBM Plex Sans"/>
          <w:color w:val="283030"/>
          <w:sz w:val="20"/>
          <w:szCs w:val="20"/>
        </w:rPr>
        <w:t>egulated and audited. The termination or failure to fund, or negative audit findings for, one or more of these contracts could have an adverse impact on our business, financial condition, results of operations, cash flows and equity.</w:t>
      </w:r>
    </w:p>
    <w:p w:rsidR="00000000" w:rsidRDefault="00F5481A">
      <w:pPr>
        <w:ind w:hanging="360"/>
        <w:divId w:val="6057713"/>
        <w:rPr>
          <w:rFonts w:eastAsia="Times New Roman"/>
        </w:rPr>
      </w:pPr>
      <w:r>
        <w:rPr>
          <w:rFonts w:ascii="IBM Plex Sans" w:eastAsia="Times New Roman" w:hAnsi="IBM Plex Sans"/>
          <w:color w:val="283030"/>
          <w:sz w:val="20"/>
          <w:szCs w:val="20"/>
        </w:rPr>
        <w:t>•The U.S. Government’s</w:t>
      </w:r>
      <w:r>
        <w:rPr>
          <w:rFonts w:ascii="IBM Plex Sans" w:eastAsia="Times New Roman" w:hAnsi="IBM Plex Sans"/>
          <w:color w:val="283030"/>
          <w:sz w:val="20"/>
          <w:szCs w:val="20"/>
        </w:rPr>
        <w:t xml:space="preserve"> budget deficit and the national debt, as well as a breach of the debt ceiling, could have an adverse impact on our business, financial condition, results of operations, cash flows and equity.</w:t>
      </w:r>
    </w:p>
    <w:p w:rsidR="00000000" w:rsidRDefault="00F5481A">
      <w:pPr>
        <w:ind w:hanging="360"/>
        <w:divId w:val="1284536896"/>
        <w:rPr>
          <w:rFonts w:eastAsia="Times New Roman"/>
        </w:rPr>
      </w:pPr>
      <w:r>
        <w:rPr>
          <w:rFonts w:ascii="IBM Plex Sans" w:eastAsia="Times New Roman" w:hAnsi="IBM Plex Sans"/>
          <w:color w:val="283030"/>
          <w:sz w:val="20"/>
          <w:szCs w:val="20"/>
        </w:rPr>
        <w:t xml:space="preserve">•We participate in markets that are often subject to uncertain </w:t>
      </w:r>
      <w:r>
        <w:rPr>
          <w:rFonts w:ascii="IBM Plex Sans" w:eastAsia="Times New Roman" w:hAnsi="IBM Plex Sans"/>
          <w:color w:val="283030"/>
          <w:sz w:val="20"/>
          <w:szCs w:val="20"/>
        </w:rPr>
        <w:t>economic conditions, which makes it difficult to estimate growth in our markets and, as a result, future income and expenditures.</w:t>
      </w:r>
    </w:p>
    <w:p w:rsidR="00000000" w:rsidRDefault="00F5481A">
      <w:pPr>
        <w:ind w:hanging="360"/>
        <w:divId w:val="667907869"/>
        <w:rPr>
          <w:rFonts w:eastAsia="Times New Roman"/>
        </w:rPr>
      </w:pPr>
      <w:r>
        <w:rPr>
          <w:rFonts w:ascii="IBM Plex Sans" w:eastAsia="Times New Roman" w:hAnsi="IBM Plex Sans"/>
          <w:color w:val="283030"/>
          <w:sz w:val="20"/>
          <w:szCs w:val="20"/>
        </w:rPr>
        <w:t>•We cannot predict the consequences of future geo-political events, but they may adversely affect the markets in which we oper</w:t>
      </w:r>
      <w:r>
        <w:rPr>
          <w:rFonts w:ascii="IBM Plex Sans" w:eastAsia="Times New Roman" w:hAnsi="IBM Plex Sans"/>
          <w:color w:val="283030"/>
          <w:sz w:val="20"/>
          <w:szCs w:val="20"/>
        </w:rPr>
        <w:t>ate, our ability to insure against risks, our operations or our profitability.</w:t>
      </w:r>
    </w:p>
    <w:p w:rsidR="00000000" w:rsidRDefault="00F5481A">
      <w:pPr>
        <w:ind w:hanging="360"/>
        <w:divId w:val="921183517"/>
        <w:rPr>
          <w:rFonts w:eastAsia="Times New Roman"/>
        </w:rPr>
      </w:pPr>
      <w:r>
        <w:rPr>
          <w:rFonts w:ascii="IBM Plex Sans" w:eastAsia="Times New Roman" w:hAnsi="IBM Plex Sans"/>
          <w:color w:val="283030"/>
          <w:sz w:val="20"/>
          <w:szCs w:val="20"/>
        </w:rPr>
        <w:t>•We are subject to government investigations, which could have a material adverse effect on our business, financial condition, results of operations, cash flows and equity.</w:t>
      </w:r>
    </w:p>
    <w:p w:rsidR="00000000" w:rsidRDefault="00F5481A">
      <w:pPr>
        <w:ind w:hanging="360"/>
        <w:divId w:val="1738091241"/>
        <w:rPr>
          <w:rFonts w:eastAsia="Times New Roman"/>
        </w:rPr>
      </w:pPr>
      <w:r>
        <w:rPr>
          <w:rFonts w:ascii="IBM Plex Sans" w:eastAsia="Times New Roman" w:hAnsi="IBM Plex Sans"/>
          <w:color w:val="283030"/>
          <w:sz w:val="20"/>
          <w:szCs w:val="20"/>
        </w:rPr>
        <w:t xml:space="preserve">•We </w:t>
      </w:r>
      <w:r>
        <w:rPr>
          <w:rFonts w:ascii="IBM Plex Sans" w:eastAsia="Times New Roman" w:hAnsi="IBM Plex Sans"/>
          <w:color w:val="283030"/>
          <w:sz w:val="20"/>
          <w:szCs w:val="20"/>
        </w:rPr>
        <w:t>derive a significant portion of our revenue from international operations and are subject to the risks of doing business internationally, including fluctuations in currency exchange rates.</w:t>
      </w:r>
    </w:p>
    <w:p w:rsidR="00000000" w:rsidRDefault="00F5481A">
      <w:pPr>
        <w:ind w:hanging="360"/>
        <w:divId w:val="886530899"/>
        <w:rPr>
          <w:rFonts w:eastAsia="Times New Roman"/>
        </w:rPr>
      </w:pPr>
      <w:r>
        <w:rPr>
          <w:rFonts w:ascii="IBM Plex Sans" w:eastAsia="Times New Roman" w:hAnsi="IBM Plex Sans"/>
          <w:color w:val="283030"/>
          <w:sz w:val="20"/>
          <w:szCs w:val="20"/>
        </w:rPr>
        <w:t>•Disputes with our subcontractors or key suppliers, or their inabil</w:t>
      </w:r>
      <w:r>
        <w:rPr>
          <w:rFonts w:ascii="IBM Plex Sans" w:eastAsia="Times New Roman" w:hAnsi="IBM Plex Sans"/>
          <w:color w:val="283030"/>
          <w:sz w:val="20"/>
          <w:szCs w:val="20"/>
        </w:rPr>
        <w:t>ity to perform or timely deliver our components, parts or services, could cause our products and/or services to be produced or delivered in an untimely or unsatisfactory manner.</w:t>
      </w:r>
    </w:p>
    <w:p w:rsidR="00000000" w:rsidRDefault="00F5481A">
      <w:pPr>
        <w:ind w:hanging="360"/>
        <w:divId w:val="2107260417"/>
        <w:rPr>
          <w:rFonts w:eastAsia="Times New Roman"/>
        </w:rPr>
      </w:pPr>
      <w:r>
        <w:rPr>
          <w:rFonts w:ascii="IBM Plex Sans" w:eastAsia="Times New Roman" w:hAnsi="IBM Plex Sans"/>
          <w:color w:val="283030"/>
          <w:sz w:val="20"/>
          <w:szCs w:val="20"/>
        </w:rPr>
        <w:t>•We must attract and retain key employees, and any failure to do so could seri</w:t>
      </w:r>
      <w:r>
        <w:rPr>
          <w:rFonts w:ascii="IBM Plex Sans" w:eastAsia="Times New Roman" w:hAnsi="IBM Plex Sans"/>
          <w:color w:val="283030"/>
          <w:sz w:val="20"/>
          <w:szCs w:val="20"/>
        </w:rPr>
        <w:t>ously harm us.</w:t>
      </w:r>
    </w:p>
    <w:p w:rsidR="00000000" w:rsidRDefault="00F5481A">
      <w:pPr>
        <w:ind w:hanging="360"/>
        <w:divId w:val="1037465284"/>
        <w:rPr>
          <w:rFonts w:eastAsia="Times New Roman"/>
        </w:rPr>
      </w:pPr>
      <w:r>
        <w:rPr>
          <w:rFonts w:ascii="IBM Plex Sans" w:eastAsia="Times New Roman" w:hAnsi="IBM Plex Sans"/>
          <w:color w:val="283030"/>
          <w:sz w:val="20"/>
          <w:szCs w:val="20"/>
        </w:rPr>
        <w:t>•We could be negatively impacted by a security breach, through cyber-attack, cyber intrusion, insider threats or otherwise, or other significant disruption of our IT networks and related systems or of those we operate for certain of our cust</w:t>
      </w:r>
      <w:r>
        <w:rPr>
          <w:rFonts w:ascii="IBM Plex Sans" w:eastAsia="Times New Roman" w:hAnsi="IBM Plex Sans"/>
          <w:color w:val="283030"/>
          <w:sz w:val="20"/>
          <w:szCs w:val="20"/>
        </w:rPr>
        <w:t>omers.</w:t>
      </w:r>
    </w:p>
    <w:p w:rsidR="00000000" w:rsidRDefault="00F5481A">
      <w:pPr>
        <w:ind w:hanging="360"/>
        <w:divId w:val="1815176965"/>
        <w:rPr>
          <w:rFonts w:eastAsia="Times New Roman"/>
        </w:rPr>
      </w:pPr>
      <w:r>
        <w:rPr>
          <w:rFonts w:ascii="IBM Plex Sans" w:eastAsia="Times New Roman" w:hAnsi="IBM Plex Sans"/>
          <w:color w:val="283030"/>
          <w:sz w:val="20"/>
          <w:szCs w:val="20"/>
        </w:rPr>
        <w:t>•Our future success will depend on our ability to develop new products and services and technologies that achieve market acceptance in our current and future markets.</w:t>
      </w:r>
    </w:p>
    <w:p w:rsidR="00000000" w:rsidRDefault="00F5481A">
      <w:pPr>
        <w:ind w:hanging="360"/>
        <w:divId w:val="1562131416"/>
        <w:rPr>
          <w:rFonts w:eastAsia="Times New Roman"/>
        </w:rPr>
      </w:pPr>
      <w:r>
        <w:rPr>
          <w:rFonts w:ascii="IBM Plex Sans" w:eastAsia="Times New Roman" w:hAnsi="IBM Plex Sans"/>
          <w:color w:val="283030"/>
          <w:sz w:val="20"/>
          <w:szCs w:val="20"/>
        </w:rPr>
        <w:t>•We have significant operations in locations that could be materially and adversel</w:t>
      </w:r>
      <w:r>
        <w:rPr>
          <w:rFonts w:ascii="IBM Plex Sans" w:eastAsia="Times New Roman" w:hAnsi="IBM Plex Sans"/>
          <w:color w:val="283030"/>
          <w:sz w:val="20"/>
          <w:szCs w:val="20"/>
        </w:rPr>
        <w:t>y impacted in the event of a natural disaster or other significant disruption.</w:t>
      </w:r>
    </w:p>
    <w:p w:rsidR="00000000" w:rsidRDefault="00F5481A">
      <w:pPr>
        <w:ind w:hanging="360"/>
        <w:divId w:val="1913158411"/>
        <w:rPr>
          <w:rFonts w:eastAsia="Times New Roman"/>
        </w:rPr>
      </w:pPr>
      <w:r>
        <w:rPr>
          <w:rFonts w:ascii="IBM Plex Sans" w:eastAsia="Times New Roman" w:hAnsi="IBM Plex Sans"/>
          <w:color w:val="283030"/>
          <w:sz w:val="20"/>
          <w:szCs w:val="20"/>
        </w:rPr>
        <w:t>•Changes in estimates we use in accounting for many of our programs could adversely affect our future financial results and condition.</w:t>
      </w:r>
    </w:p>
    <w:p w:rsidR="00000000" w:rsidRDefault="00F5481A">
      <w:pPr>
        <w:ind w:hanging="360"/>
        <w:divId w:val="83695547"/>
        <w:rPr>
          <w:rFonts w:eastAsia="Times New Roman"/>
        </w:rPr>
      </w:pPr>
      <w:r>
        <w:rPr>
          <w:rFonts w:ascii="IBM Plex Sans" w:eastAsia="Times New Roman" w:hAnsi="IBM Plex Sans"/>
          <w:color w:val="283030"/>
          <w:sz w:val="20"/>
          <w:szCs w:val="20"/>
        </w:rPr>
        <w:t>•Our level of indebtedness and our ability</w:t>
      </w:r>
      <w:r>
        <w:rPr>
          <w:rFonts w:ascii="IBM Plex Sans" w:eastAsia="Times New Roman" w:hAnsi="IBM Plex Sans"/>
          <w:color w:val="283030"/>
          <w:sz w:val="20"/>
          <w:szCs w:val="20"/>
        </w:rPr>
        <w:t xml:space="preserve"> to make payments on or service our indebtedness and our unfunded defined benefit plans liability may materially adversely affect our financial and operating activities or our ability to incur additional debt.</w:t>
      </w:r>
    </w:p>
    <w:p w:rsidR="00000000" w:rsidRDefault="00F5481A">
      <w:pPr>
        <w:ind w:hanging="360"/>
        <w:divId w:val="1866363626"/>
        <w:rPr>
          <w:rFonts w:eastAsia="Times New Roman"/>
        </w:rPr>
      </w:pPr>
      <w:r>
        <w:rPr>
          <w:rFonts w:ascii="IBM Plex Sans" w:eastAsia="Times New Roman" w:hAnsi="IBM Plex Sans"/>
          <w:color w:val="283030"/>
          <w:sz w:val="20"/>
          <w:szCs w:val="20"/>
        </w:rPr>
        <w:t>•A downgrade in our credit ratings could mater</w:t>
      </w:r>
      <w:r>
        <w:rPr>
          <w:rFonts w:ascii="IBM Plex Sans" w:eastAsia="Times New Roman" w:hAnsi="IBM Plex Sans"/>
          <w:color w:val="283030"/>
          <w:sz w:val="20"/>
          <w:szCs w:val="20"/>
        </w:rPr>
        <w:t>ially adversely affect our business.</w:t>
      </w:r>
    </w:p>
    <w:p w:rsidR="00000000" w:rsidRDefault="00F5481A">
      <w:pPr>
        <w:ind w:hanging="360"/>
        <w:divId w:val="891161080"/>
        <w:rPr>
          <w:rFonts w:eastAsia="Times New Roman"/>
        </w:rPr>
      </w:pPr>
      <w:r>
        <w:rPr>
          <w:rFonts w:ascii="IBM Plex Sans" w:eastAsia="Times New Roman" w:hAnsi="IBM Plex Sans"/>
          <w:color w:val="283030"/>
          <w:sz w:val="20"/>
          <w:szCs w:val="20"/>
        </w:rPr>
        <w:t>•The level of returns on defined benefit plan assets, changes in interest rates and other factors could materially adversely affect our financial condition, results of operations, cash flows and equity in future periods</w:t>
      </w:r>
      <w:r>
        <w:rPr>
          <w:rFonts w:ascii="IBM Plex Sans" w:eastAsia="Times New Roman" w:hAnsi="IBM Plex Sans"/>
          <w:color w:val="283030"/>
          <w:sz w:val="20"/>
          <w:szCs w:val="20"/>
        </w:rPr>
        <w:t>.</w:t>
      </w:r>
    </w:p>
    <w:p w:rsidR="00000000" w:rsidRDefault="00F5481A">
      <w:pPr>
        <w:ind w:hanging="360"/>
        <w:divId w:val="1905068311"/>
        <w:rPr>
          <w:rFonts w:eastAsia="Times New Roman"/>
        </w:rPr>
      </w:pPr>
      <w:r>
        <w:rPr>
          <w:rFonts w:ascii="IBM Plex Sans" w:eastAsia="Times New Roman" w:hAnsi="IBM Plex Sans"/>
          <w:color w:val="283030"/>
          <w:sz w:val="20"/>
          <w:szCs w:val="20"/>
        </w:rPr>
        <w:t>•Changes in our effective tax rate or additional tax exposures may have an adverse effect on our results of operations.</w:t>
      </w:r>
    </w:p>
    <w:p w:rsidR="00000000" w:rsidRDefault="00F5481A">
      <w:pPr>
        <w:ind w:hanging="360"/>
        <w:divId w:val="1371690558"/>
        <w:rPr>
          <w:rFonts w:eastAsia="Times New Roman"/>
        </w:rPr>
      </w:pPr>
      <w:r>
        <w:rPr>
          <w:rFonts w:ascii="IBM Plex Sans" w:eastAsia="Times New Roman" w:hAnsi="IBM Plex Sans"/>
          <w:color w:val="283030"/>
          <w:sz w:val="20"/>
          <w:szCs w:val="20"/>
        </w:rPr>
        <w:t>•We may not be successful in obtaining the necessary export licenses to conduct certain operations abroad, and Congress may prevent pr</w:t>
      </w:r>
      <w:r>
        <w:rPr>
          <w:rFonts w:ascii="IBM Plex Sans" w:eastAsia="Times New Roman" w:hAnsi="IBM Plex Sans"/>
          <w:color w:val="283030"/>
          <w:sz w:val="20"/>
          <w:szCs w:val="20"/>
        </w:rPr>
        <w:t>oposed sales to certain foreign governments.</w:t>
      </w:r>
    </w:p>
    <w:p w:rsidR="00000000" w:rsidRDefault="00F5481A">
      <w:pPr>
        <w:ind w:firstLine="360"/>
        <w:jc w:val="center"/>
        <w:divId w:val="880869734"/>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52</w:t>
      </w:r>
    </w:p>
    <w:p w:rsidR="00000000" w:rsidRDefault="00F5481A">
      <w:pPr>
        <w:rPr>
          <w:rFonts w:eastAsia="Times New Roman"/>
        </w:rPr>
      </w:pPr>
      <w:r>
        <w:rPr>
          <w:rFonts w:eastAsia="Times New Roman"/>
        </w:rPr>
        <w:pict>
          <v:rect id="_x0000_i1083" style="width:0;height:1.5pt" o:hralign="center" o:hrstd="t" o:hr="t" fillcolor="#a0a0a0" stroked="f"/>
        </w:pict>
      </w:r>
    </w:p>
    <w:p w:rsidR="00000000" w:rsidRDefault="00F5481A">
      <w:pPr>
        <w:ind w:firstLine="360"/>
        <w:divId w:val="1584954197"/>
        <w:rPr>
          <w:rFonts w:eastAsia="Times New Roman"/>
        </w:rPr>
      </w:pPr>
    </w:p>
    <w:p w:rsidR="00000000" w:rsidRDefault="00F5481A">
      <w:pPr>
        <w:ind w:hanging="360"/>
        <w:divId w:val="212623335"/>
        <w:rPr>
          <w:rFonts w:eastAsia="Times New Roman"/>
        </w:rPr>
      </w:pPr>
      <w:r>
        <w:rPr>
          <w:rFonts w:ascii="IBM Plex Sans" w:eastAsia="Times New Roman" w:hAnsi="IBM Plex Sans"/>
          <w:color w:val="283030"/>
          <w:sz w:val="20"/>
          <w:szCs w:val="20"/>
        </w:rPr>
        <w:t>•</w:t>
      </w:r>
      <w:r>
        <w:rPr>
          <w:rFonts w:ascii="IBM Plex Sans" w:eastAsia="Times New Roman" w:hAnsi="IBM Plex Sans"/>
          <w:color w:val="283030"/>
          <w:sz w:val="20"/>
          <w:szCs w:val="20"/>
        </w:rPr>
        <w:t xml:space="preserve">Unforeseen environmental issues, including regulations related to GHG emissions or change in customer sentiment related to environmental sustainability, could have a material adverse effect on our business, financial condition, results of operations, cash </w:t>
      </w:r>
      <w:r>
        <w:rPr>
          <w:rFonts w:ascii="IBM Plex Sans" w:eastAsia="Times New Roman" w:hAnsi="IBM Plex Sans"/>
          <w:color w:val="283030"/>
          <w:sz w:val="20"/>
          <w:szCs w:val="20"/>
        </w:rPr>
        <w:t>flows and equity.</w:t>
      </w:r>
    </w:p>
    <w:p w:rsidR="00000000" w:rsidRDefault="00F5481A">
      <w:pPr>
        <w:ind w:hanging="360"/>
        <w:divId w:val="1328360035"/>
        <w:rPr>
          <w:rFonts w:eastAsia="Times New Roman"/>
        </w:rPr>
      </w:pPr>
      <w:r>
        <w:rPr>
          <w:rFonts w:ascii="IBM Plex Sans" w:eastAsia="Times New Roman" w:hAnsi="IBM Plex Sans"/>
          <w:color w:val="283030"/>
          <w:sz w:val="20"/>
          <w:szCs w:val="20"/>
        </w:rPr>
        <w:t>•</w:t>
      </w:r>
      <w:r>
        <w:rPr>
          <w:rFonts w:ascii="IBM Plex Sans" w:eastAsia="Times New Roman" w:hAnsi="IBM Plex Sans"/>
          <w:color w:val="283030"/>
          <w:sz w:val="20"/>
          <w:szCs w:val="20"/>
        </w:rPr>
        <w:t>Our reputation and ability to do business may be impacted by the improper conduct of our employees, agents or business partners.</w:t>
      </w:r>
    </w:p>
    <w:p w:rsidR="00000000" w:rsidRDefault="00F5481A">
      <w:pPr>
        <w:ind w:hanging="360"/>
        <w:divId w:val="653333168"/>
        <w:rPr>
          <w:rFonts w:eastAsia="Times New Roman"/>
        </w:rPr>
      </w:pPr>
      <w:r>
        <w:rPr>
          <w:rFonts w:ascii="IBM Plex Sans" w:eastAsia="Times New Roman" w:hAnsi="IBM Plex Sans"/>
          <w:color w:val="283030"/>
          <w:sz w:val="20"/>
          <w:szCs w:val="20"/>
        </w:rPr>
        <w:t xml:space="preserve">•The outcome of litigation or arbitration in which we are involved from time to time is unpredictable, and an adverse decision </w:t>
      </w:r>
      <w:r>
        <w:rPr>
          <w:rFonts w:ascii="IBM Plex Sans" w:eastAsia="Times New Roman" w:hAnsi="IBM Plex Sans"/>
          <w:color w:val="283030"/>
          <w:sz w:val="20"/>
          <w:szCs w:val="20"/>
        </w:rPr>
        <w:t>in any such matter could have a material adverse effect on our financial condition, results of operations, cash flows and equity.</w:t>
      </w:r>
    </w:p>
    <w:p w:rsidR="00000000" w:rsidRDefault="00F5481A">
      <w:pPr>
        <w:ind w:hanging="360"/>
        <w:divId w:val="403171"/>
        <w:rPr>
          <w:rFonts w:eastAsia="Times New Roman"/>
        </w:rPr>
      </w:pPr>
      <w:r>
        <w:rPr>
          <w:rFonts w:ascii="IBM Plex Sans" w:eastAsia="Times New Roman" w:hAnsi="IBM Plex Sans"/>
          <w:color w:val="283030"/>
          <w:sz w:val="20"/>
          <w:szCs w:val="20"/>
        </w:rPr>
        <w:t>•Third parties have claimed in the past and may claim in the future that we are infringing directly or indirectly upon their i</w:t>
      </w:r>
      <w:r>
        <w:rPr>
          <w:rFonts w:ascii="IBM Plex Sans" w:eastAsia="Times New Roman" w:hAnsi="IBM Plex Sans"/>
          <w:color w:val="283030"/>
          <w:sz w:val="20"/>
          <w:szCs w:val="20"/>
        </w:rPr>
        <w:t>ntellectual property rights, and third parties may infringe upon our intellectual property rights.</w:t>
      </w:r>
    </w:p>
    <w:p w:rsidR="00000000" w:rsidRDefault="00F5481A">
      <w:pPr>
        <w:ind w:hanging="360"/>
        <w:divId w:val="1939412823"/>
        <w:rPr>
          <w:rFonts w:eastAsia="Times New Roman"/>
        </w:rPr>
      </w:pPr>
      <w:r>
        <w:rPr>
          <w:rFonts w:ascii="IBM Plex Sans" w:eastAsia="Times New Roman" w:hAnsi="IBM Plex Sans"/>
          <w:color w:val="283030"/>
          <w:sz w:val="20"/>
          <w:szCs w:val="20"/>
        </w:rPr>
        <w:t>•We face certain significant risk exposures and potential liabilities that may not be covered adequately by insurance or indemnity.</w:t>
      </w:r>
    </w:p>
    <w:p w:rsidR="00000000" w:rsidRDefault="00F5481A">
      <w:pPr>
        <w:ind w:hanging="360"/>
        <w:divId w:val="1701079037"/>
        <w:rPr>
          <w:rFonts w:eastAsia="Times New Roman"/>
        </w:rPr>
      </w:pPr>
      <w:r>
        <w:rPr>
          <w:rFonts w:ascii="IBM Plex Sans" w:eastAsia="Times New Roman" w:hAnsi="IBM Plex Sans"/>
          <w:color w:val="283030"/>
          <w:sz w:val="20"/>
          <w:szCs w:val="20"/>
        </w:rPr>
        <w:t xml:space="preserve">•We are subject to risks </w:t>
      </w:r>
      <w:r>
        <w:rPr>
          <w:rFonts w:ascii="IBM Plex Sans" w:eastAsia="Times New Roman" w:hAnsi="IBM Plex Sans"/>
          <w:color w:val="283030"/>
          <w:sz w:val="20"/>
          <w:szCs w:val="20"/>
        </w:rPr>
        <w:t>relating to the pending acquisition of AJRD, and acquisition of AJRD cannot be guaranteed to close in the expected time frame or at all.</w:t>
      </w:r>
    </w:p>
    <w:p w:rsidR="00000000" w:rsidRDefault="00F5481A">
      <w:pPr>
        <w:ind w:hanging="360"/>
        <w:divId w:val="234970235"/>
        <w:rPr>
          <w:rFonts w:eastAsia="Times New Roman"/>
        </w:rPr>
      </w:pPr>
      <w:r>
        <w:rPr>
          <w:rFonts w:ascii="IBM Plex Sans" w:eastAsia="Times New Roman" w:hAnsi="IBM Plex Sans"/>
          <w:color w:val="283030"/>
          <w:sz w:val="20"/>
          <w:szCs w:val="20"/>
        </w:rPr>
        <w:t>•Challenges arising from the expanded operations from the acquisition of the TDL product line and the pending acquisiti</w:t>
      </w:r>
      <w:r>
        <w:rPr>
          <w:rFonts w:ascii="IBM Plex Sans" w:eastAsia="Times New Roman" w:hAnsi="IBM Plex Sans"/>
          <w:color w:val="283030"/>
          <w:sz w:val="20"/>
          <w:szCs w:val="20"/>
        </w:rPr>
        <w:t>on of AJRD may affect our future results.</w:t>
      </w:r>
    </w:p>
    <w:p w:rsidR="00000000" w:rsidRDefault="00F5481A">
      <w:pPr>
        <w:ind w:hanging="360"/>
        <w:divId w:val="152721587"/>
        <w:rPr>
          <w:rFonts w:eastAsia="Times New Roman"/>
        </w:rPr>
      </w:pPr>
      <w:r>
        <w:rPr>
          <w:rFonts w:ascii="IBM Plex Sans" w:eastAsia="Times New Roman" w:hAnsi="IBM Plex Sans"/>
          <w:color w:val="283030"/>
          <w:sz w:val="20"/>
          <w:szCs w:val="20"/>
        </w:rPr>
        <w:t>•Strategic transactions, including mergers, acquisitions and divestitures, involve significant risks and uncertainties that could adversely affect our business, financial condition, results of operations, cash flow</w:t>
      </w:r>
      <w:r>
        <w:rPr>
          <w:rFonts w:ascii="IBM Plex Sans" w:eastAsia="Times New Roman" w:hAnsi="IBM Plex Sans"/>
          <w:color w:val="283030"/>
          <w:sz w:val="20"/>
          <w:szCs w:val="20"/>
        </w:rPr>
        <w:t>s and equity.</w:t>
      </w:r>
    </w:p>
    <w:p w:rsidR="00000000" w:rsidRDefault="00F5481A">
      <w:pPr>
        <w:ind w:hanging="360"/>
        <w:divId w:val="1560747209"/>
        <w:rPr>
          <w:rFonts w:eastAsia="Times New Roman"/>
        </w:rPr>
      </w:pPr>
      <w:r>
        <w:rPr>
          <w:rFonts w:ascii="IBM Plex Sans" w:eastAsia="Times New Roman" w:hAnsi="IBM Plex Sans"/>
          <w:color w:val="283030"/>
          <w:sz w:val="20"/>
          <w:szCs w:val="20"/>
        </w:rPr>
        <w:t>•Changes in future business or other market conditions could cause business investments and/or recorded goodwill or other long-term assets to become impaired, resulting in substantial losses and write-downs that would materially adversely aff</w:t>
      </w:r>
      <w:r>
        <w:rPr>
          <w:rFonts w:ascii="IBM Plex Sans" w:eastAsia="Times New Roman" w:hAnsi="IBM Plex Sans"/>
          <w:color w:val="283030"/>
          <w:sz w:val="20"/>
          <w:szCs w:val="20"/>
        </w:rPr>
        <w:t>ect our results of operations and financial condition.</w:t>
      </w:r>
    </w:p>
    <w:tbl>
      <w:tblPr>
        <w:tblW w:w="4288" w:type="pct"/>
        <w:tblCellMar>
          <w:top w:w="15" w:type="dxa"/>
          <w:left w:w="15" w:type="dxa"/>
          <w:bottom w:w="15" w:type="dxa"/>
          <w:right w:w="15" w:type="dxa"/>
        </w:tblCellMar>
        <w:tblLook w:val="04A0" w:firstRow="1" w:lastRow="0" w:firstColumn="1" w:lastColumn="0" w:noHBand="0" w:noVBand="1"/>
      </w:tblPr>
      <w:tblGrid>
        <w:gridCol w:w="64"/>
        <w:gridCol w:w="949"/>
        <w:gridCol w:w="36"/>
        <w:gridCol w:w="57"/>
        <w:gridCol w:w="5981"/>
        <w:gridCol w:w="36"/>
      </w:tblGrid>
      <w:tr w:rsidR="00000000">
        <w:trPr>
          <w:divId w:val="1318607587"/>
        </w:trPr>
        <w:tc>
          <w:tcPr>
            <w:tcW w:w="50" w:type="pct"/>
            <w:vAlign w:val="center"/>
            <w:hideMark/>
          </w:tcPr>
          <w:p w:rsidR="00000000" w:rsidRDefault="00F5481A">
            <w:pPr>
              <w:ind w:hanging="360"/>
              <w:rPr>
                <w:rFonts w:eastAsia="Times New Roman"/>
              </w:rPr>
            </w:pPr>
          </w:p>
        </w:tc>
        <w:tc>
          <w:tcPr>
            <w:tcW w:w="682"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20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1318607587"/>
        </w:trPr>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016676"/>
                <w:sz w:val="20"/>
                <w:szCs w:val="20"/>
              </w:rPr>
              <w:t> ITEM 7A.</w:t>
            </w:r>
          </w:p>
        </w:tc>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283030"/>
                <w:sz w:val="20"/>
                <w:szCs w:val="20"/>
              </w:rPr>
              <w:t>QUANTITATIVE AND QUALITATIVE DISCLOSURES ABOUT MARKET RISK.</w:t>
            </w:r>
          </w:p>
        </w:tc>
      </w:tr>
    </w:tbl>
    <w:p w:rsidR="00000000" w:rsidRDefault="00F5481A">
      <w:pPr>
        <w:ind w:firstLine="360"/>
        <w:divId w:val="1231231684"/>
        <w:rPr>
          <w:rFonts w:eastAsia="Times New Roman"/>
        </w:rPr>
      </w:pPr>
      <w:r>
        <w:rPr>
          <w:rFonts w:ascii="IBM Plex Sans" w:eastAsia="Times New Roman" w:hAnsi="IBM Plex Sans"/>
          <w:color w:val="283030"/>
          <w:sz w:val="20"/>
          <w:szCs w:val="20"/>
        </w:rPr>
        <w:t xml:space="preserve">In the normal course of business, we are exposed to the risks associated with foreign currency exchange rates and changes in interest rates. We employ established policies and procedures governing the use of financial instruments to manage our exposure to </w:t>
      </w:r>
      <w:r>
        <w:rPr>
          <w:rFonts w:ascii="IBM Plex Sans" w:eastAsia="Times New Roman" w:hAnsi="IBM Plex Sans"/>
          <w:color w:val="283030"/>
          <w:sz w:val="20"/>
          <w:szCs w:val="20"/>
        </w:rPr>
        <w:t xml:space="preserve">such risks. For a discussion of such policies and procedures and the related risks, see “Financial Risk Management” in “Item 7. Management’s Discussion and Analysis of Financial Condition and Results of Operations” of this Report, which is incorporated by </w:t>
      </w:r>
      <w:r>
        <w:rPr>
          <w:rFonts w:ascii="IBM Plex Sans" w:eastAsia="Times New Roman" w:hAnsi="IBM Plex Sans"/>
          <w:color w:val="283030"/>
          <w:sz w:val="20"/>
          <w:szCs w:val="20"/>
        </w:rPr>
        <w:t>reference into this Item 7A.</w:t>
      </w:r>
    </w:p>
    <w:p w:rsidR="00000000" w:rsidRDefault="00F5481A">
      <w:pPr>
        <w:ind w:firstLine="360"/>
        <w:divId w:val="1900246145"/>
        <w:rPr>
          <w:rFonts w:eastAsia="Times New Roman"/>
        </w:rPr>
      </w:pPr>
      <w:r>
        <w:rPr>
          <w:rFonts w:ascii="IBM Plex Sans" w:eastAsia="Times New Roman" w:hAnsi="IBM Plex Sans"/>
          <w:color w:val="283030"/>
          <w:sz w:val="20"/>
          <w:szCs w:val="20"/>
        </w:rPr>
        <w:t>In addition, we are exposed to market return fluctuations on our defined benefit plans. A material adverse decline in the value of these assets and/or the discount rate for PBOs would result in a decrease in the funded status o</w:t>
      </w:r>
      <w:r>
        <w:rPr>
          <w:rFonts w:ascii="IBM Plex Sans" w:eastAsia="Times New Roman" w:hAnsi="IBM Plex Sans"/>
          <w:color w:val="283030"/>
          <w:sz w:val="20"/>
          <w:szCs w:val="20"/>
        </w:rPr>
        <w:t>f the defined benefit plans, an increase in net periodic benefit cost and an increase in required funding. To protect against declines in the discount rate (i.e., interest rates), we will continue to monitor the performance of these assets and market condi</w:t>
      </w:r>
      <w:r>
        <w:rPr>
          <w:rFonts w:ascii="IBM Plex Sans" w:eastAsia="Times New Roman" w:hAnsi="IBM Plex Sans"/>
          <w:color w:val="283030"/>
          <w:sz w:val="20"/>
          <w:szCs w:val="20"/>
        </w:rPr>
        <w:t xml:space="preserve">tions as we evaluate the amount of future contributions. For further information, see </w:t>
      </w:r>
      <w:r>
        <w:rPr>
          <w:rFonts w:ascii="IBM Plex Sans" w:eastAsia="Times New Roman" w:hAnsi="IBM Plex Sans"/>
          <w:i/>
          <w:iCs/>
          <w:color w:val="283030"/>
          <w:sz w:val="20"/>
          <w:szCs w:val="20"/>
        </w:rPr>
        <w:t>Note 14: Pension and Other Postretirement Benefits</w:t>
      </w:r>
      <w:r>
        <w:rPr>
          <w:rFonts w:ascii="IBM Plex Sans" w:eastAsia="Times New Roman" w:hAnsi="IBM Plex Sans"/>
          <w:color w:val="283030"/>
          <w:sz w:val="20"/>
          <w:szCs w:val="20"/>
        </w:rPr>
        <w:t xml:space="preserve"> in the Notes, which information is incorporated by reference into this Item 7A. </w:t>
      </w:r>
    </w:p>
    <w:p w:rsidR="00000000" w:rsidRDefault="00F5481A">
      <w:pPr>
        <w:ind w:firstLine="360"/>
        <w:divId w:val="358162167"/>
        <w:rPr>
          <w:rFonts w:eastAsia="Times New Roman"/>
        </w:rPr>
      </w:pPr>
    </w:p>
    <w:p w:rsidR="00000000" w:rsidRDefault="00F5481A">
      <w:pPr>
        <w:ind w:firstLine="360"/>
        <w:jc w:val="center"/>
        <w:divId w:val="1813716483"/>
        <w:rPr>
          <w:rFonts w:eastAsia="Times New Roman"/>
        </w:rPr>
      </w:pPr>
      <w:r>
        <w:rPr>
          <w:rFonts w:ascii="Arial" w:eastAsia="Times New Roman" w:hAnsi="Arial" w:cs="Arial"/>
          <w:b/>
          <w:bCs/>
          <w:color w:val="016676"/>
        </w:rPr>
        <w:t>____________________________________</w:t>
      </w:r>
      <w:r>
        <w:rPr>
          <w:rFonts w:ascii="Arial" w:eastAsia="Times New Roman" w:hAnsi="Arial" w:cs="Arial"/>
          <w:b/>
          <w:bCs/>
          <w:color w:val="016676"/>
        </w:rPr>
        <w:t>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53</w:t>
      </w:r>
    </w:p>
    <w:p w:rsidR="00000000" w:rsidRDefault="00F5481A">
      <w:pPr>
        <w:rPr>
          <w:rFonts w:eastAsia="Times New Roman"/>
        </w:rPr>
      </w:pPr>
      <w:r>
        <w:rPr>
          <w:rFonts w:eastAsia="Times New Roman"/>
        </w:rPr>
        <w:pict>
          <v:rect id="_x0000_i1084" style="width:0;height:1.5pt" o:hralign="center" o:hrstd="t" o:hr="t" fillcolor="#a0a0a0" stroked="f"/>
        </w:pict>
      </w:r>
    </w:p>
    <w:p w:rsidR="00000000" w:rsidRDefault="00F5481A">
      <w:pPr>
        <w:ind w:firstLine="360"/>
        <w:divId w:val="478544804"/>
        <w:rPr>
          <w:rFonts w:eastAsia="Times New Roman"/>
        </w:rPr>
      </w:pPr>
    </w:p>
    <w:tbl>
      <w:tblPr>
        <w:tblW w:w="3484" w:type="pct"/>
        <w:tblCellMar>
          <w:top w:w="15" w:type="dxa"/>
          <w:left w:w="15" w:type="dxa"/>
          <w:bottom w:w="15" w:type="dxa"/>
          <w:right w:w="15" w:type="dxa"/>
        </w:tblCellMar>
        <w:tblLook w:val="04A0" w:firstRow="1" w:lastRow="0" w:firstColumn="1" w:lastColumn="0" w:noHBand="0" w:noVBand="1"/>
      </w:tblPr>
      <w:tblGrid>
        <w:gridCol w:w="48"/>
        <w:gridCol w:w="882"/>
        <w:gridCol w:w="36"/>
        <w:gridCol w:w="43"/>
        <w:gridCol w:w="4743"/>
        <w:gridCol w:w="36"/>
      </w:tblGrid>
      <w:tr w:rsidR="00000000">
        <w:trPr>
          <w:divId w:val="1461800484"/>
        </w:trPr>
        <w:tc>
          <w:tcPr>
            <w:tcW w:w="50" w:type="pct"/>
            <w:vAlign w:val="center"/>
            <w:hideMark/>
          </w:tcPr>
          <w:p w:rsidR="00000000" w:rsidRDefault="00F5481A">
            <w:pPr>
              <w:ind w:firstLine="360"/>
              <w:rPr>
                <w:rFonts w:eastAsia="Times New Roman"/>
              </w:rPr>
            </w:pPr>
          </w:p>
        </w:tc>
        <w:tc>
          <w:tcPr>
            <w:tcW w:w="780"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10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1461800484"/>
        </w:trPr>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016676"/>
                <w:sz w:val="20"/>
                <w:szCs w:val="20"/>
              </w:rPr>
              <w:t> ITEM 8.</w:t>
            </w:r>
          </w:p>
        </w:tc>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283030"/>
                <w:sz w:val="20"/>
                <w:szCs w:val="20"/>
              </w:rPr>
              <w:t>FINANCIAL STATEMENTS AND SUPPLEMENTARY DATA.</w:t>
            </w:r>
          </w:p>
        </w:tc>
      </w:tr>
    </w:tbl>
    <w:p w:rsidR="00000000" w:rsidRDefault="00F5481A">
      <w:pPr>
        <w:ind w:firstLine="360"/>
        <w:divId w:val="1366367267"/>
        <w:rPr>
          <w:rFonts w:eastAsia="Times New Roman"/>
        </w:rPr>
      </w:pPr>
      <w:r>
        <w:rPr>
          <w:rFonts w:ascii="IBM Plex Sans" w:eastAsia="Times New Roman" w:hAnsi="IBM Plex Sans"/>
          <w:b/>
          <w:bCs/>
          <w:color w:val="283030"/>
          <w:sz w:val="20"/>
          <w:szCs w:val="20"/>
        </w:rPr>
        <w:t>INDEX TO FINANCIAL STATEMENTS AND SUPPLEMENTARY DATA</w:t>
      </w:r>
    </w:p>
    <w:tbl>
      <w:tblPr>
        <w:tblW w:w="5000" w:type="pct"/>
        <w:jc w:val="center"/>
        <w:tblCellMar>
          <w:top w:w="15" w:type="dxa"/>
          <w:left w:w="15" w:type="dxa"/>
          <w:bottom w:w="15" w:type="dxa"/>
          <w:right w:w="15" w:type="dxa"/>
        </w:tblCellMar>
        <w:tblLook w:val="04A0" w:firstRow="1" w:lastRow="0" w:firstColumn="1" w:lastColumn="0" w:noHBand="0" w:noVBand="1"/>
      </w:tblPr>
      <w:tblGrid>
        <w:gridCol w:w="56"/>
        <w:gridCol w:w="7762"/>
        <w:gridCol w:w="37"/>
        <w:gridCol w:w="83"/>
        <w:gridCol w:w="332"/>
        <w:gridCol w:w="36"/>
      </w:tblGrid>
      <w:tr w:rsidR="00000000">
        <w:trPr>
          <w:divId w:val="716012304"/>
          <w:jc w:val="center"/>
        </w:trPr>
        <w:tc>
          <w:tcPr>
            <w:tcW w:w="50" w:type="pct"/>
            <w:vAlign w:val="center"/>
            <w:hideMark/>
          </w:tcPr>
          <w:p w:rsidR="00000000" w:rsidRDefault="00F5481A">
            <w:pPr>
              <w:ind w:firstLine="360"/>
              <w:rPr>
                <w:rFonts w:eastAsia="Times New Roman"/>
              </w:rPr>
            </w:pPr>
          </w:p>
        </w:tc>
        <w:tc>
          <w:tcPr>
            <w:tcW w:w="468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201"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716012304"/>
          <w:jc w:val="center"/>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Page</w:t>
            </w:r>
          </w:p>
        </w:tc>
      </w:tr>
      <w:tr w:rsidR="00000000">
        <w:trPr>
          <w:divId w:val="716012304"/>
          <w:jc w:val="center"/>
        </w:trPr>
        <w:tc>
          <w:tcPr>
            <w:tcW w:w="0" w:type="auto"/>
            <w:gridSpan w:val="3"/>
            <w:tcMar>
              <w:top w:w="30" w:type="dxa"/>
              <w:left w:w="20" w:type="dxa"/>
              <w:bottom w:w="30" w:type="dxa"/>
              <w:right w:w="20" w:type="dxa"/>
            </w:tcMar>
            <w:hideMark/>
          </w:tcPr>
          <w:p w:rsidR="00000000" w:rsidRDefault="00F5481A">
            <w:pPr>
              <w:spacing w:after="100"/>
              <w:divId w:val="1771849179"/>
              <w:rPr>
                <w:rFonts w:eastAsia="Times New Roman"/>
              </w:rPr>
            </w:pPr>
            <w:hyperlink w:anchor="iefe78000fcc84d7eb9dad62280c74976_70" w:history="1">
              <w:r>
                <w:rPr>
                  <w:rStyle w:val="a3"/>
                  <w:rFonts w:ascii="IBM Plex Sans" w:eastAsia="Times New Roman" w:hAnsi="IBM Plex Sans"/>
                  <w:color w:val="000000"/>
                  <w:sz w:val="20"/>
                  <w:szCs w:val="20"/>
                  <w:u w:val="none"/>
                </w:rPr>
                <w:t>Management’s Report on Internal Control Over Financial Reporting</w:t>
              </w:r>
            </w:hyperlink>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right"/>
              <w:rPr>
                <w:rFonts w:eastAsia="Times New Roman"/>
              </w:rPr>
            </w:pPr>
            <w:hyperlink w:anchor="iefe78000fcc84d7eb9dad62280c74976_70" w:history="1">
              <w:r>
                <w:rPr>
                  <w:rStyle w:val="a3"/>
                  <w:rFonts w:ascii="IBM Plex Sans" w:eastAsia="Times New Roman" w:hAnsi="IBM Plex Sans"/>
                  <w:color w:val="000000"/>
                  <w:sz w:val="20"/>
                  <w:szCs w:val="20"/>
                  <w:u w:val="none"/>
                </w:rPr>
                <w:t>55</w:t>
              </w:r>
            </w:hyperlink>
          </w:p>
        </w:tc>
      </w:tr>
      <w:tr w:rsidR="00000000">
        <w:trPr>
          <w:divId w:val="716012304"/>
          <w:jc w:val="center"/>
        </w:trPr>
        <w:tc>
          <w:tcPr>
            <w:tcW w:w="0" w:type="auto"/>
            <w:gridSpan w:val="3"/>
            <w:tcMar>
              <w:top w:w="30" w:type="dxa"/>
              <w:left w:w="20" w:type="dxa"/>
              <w:bottom w:w="30" w:type="dxa"/>
              <w:right w:w="20" w:type="dxa"/>
            </w:tcMar>
            <w:hideMark/>
          </w:tcPr>
          <w:p w:rsidR="00000000" w:rsidRDefault="00F5481A">
            <w:pPr>
              <w:spacing w:after="100"/>
              <w:ind w:hanging="270"/>
              <w:divId w:val="1973098007"/>
              <w:rPr>
                <w:rFonts w:eastAsia="Times New Roman"/>
              </w:rPr>
            </w:pPr>
            <w:hyperlink w:anchor="iefe78000fcc84d7eb9dad62280c74976_73" w:history="1">
              <w:r>
                <w:rPr>
                  <w:rStyle w:val="a3"/>
                  <w:rFonts w:ascii="IBM Plex Sans" w:eastAsia="Times New Roman" w:hAnsi="IBM Plex Sans"/>
                  <w:color w:val="000000"/>
                  <w:sz w:val="20"/>
                  <w:szCs w:val="20"/>
                  <w:u w:val="none"/>
                </w:rPr>
                <w:t>Report</w:t>
              </w:r>
              <w:r>
                <w:rPr>
                  <w:rStyle w:val="a3"/>
                  <w:rFonts w:ascii="IBM Plex Sans" w:eastAsia="Times New Roman" w:hAnsi="IBM Plex Sans"/>
                  <w:color w:val="000000"/>
                  <w:sz w:val="20"/>
                  <w:szCs w:val="20"/>
                  <w:u w:val="none"/>
                </w:rPr>
                <w:t xml:space="preserve"> of Independent Registered Public Accounting Firm (PCAOB ID:</w:t>
              </w:r>
            </w:hyperlink>
            <w:r>
              <w:rPr>
                <w:rFonts w:ascii="IBM Plex Sans" w:eastAsia="Times New Roman" w:hAnsi="IBM Plex Sans"/>
                <w:color w:val="283030"/>
                <w:sz w:val="20"/>
                <w:szCs w:val="20"/>
              </w:rPr>
              <w:t xml:space="preserve"> </w:t>
            </w:r>
            <w:r>
              <w:rPr>
                <w:rFonts w:ascii="IBM Plex Sans" w:eastAsia="Times New Roman" w:hAnsi="IBM Plex Sans"/>
                <w:color w:val="000000"/>
                <w:sz w:val="20"/>
                <w:szCs w:val="20"/>
              </w:rPr>
              <w:t>42</w:t>
            </w:r>
            <w:hyperlink w:anchor="iefe78000fcc84d7eb9dad62280c74976_73" w:history="1">
              <w:r>
                <w:rPr>
                  <w:rStyle w:val="a3"/>
                  <w:rFonts w:ascii="IBM Plex Sans" w:eastAsia="Times New Roman" w:hAnsi="IBM Plex Sans"/>
                  <w:color w:val="000000"/>
                  <w:sz w:val="20"/>
                  <w:szCs w:val="20"/>
                  <w:u w:val="none"/>
                </w:rPr>
                <w:t>) on the Consolidated Financial Statements</w:t>
              </w:r>
            </w:hyperlink>
          </w:p>
        </w:tc>
        <w:tc>
          <w:tcPr>
            <w:tcW w:w="0" w:type="auto"/>
            <w:gridSpan w:val="3"/>
            <w:tcMar>
              <w:top w:w="30" w:type="dxa"/>
              <w:left w:w="20" w:type="dxa"/>
              <w:bottom w:w="30" w:type="dxa"/>
              <w:right w:w="20" w:type="dxa"/>
            </w:tcMar>
            <w:vAlign w:val="bottom"/>
            <w:hideMark/>
          </w:tcPr>
          <w:p w:rsidR="00000000" w:rsidRDefault="00F5481A">
            <w:pPr>
              <w:spacing w:after="100"/>
              <w:jc w:val="right"/>
              <w:rPr>
                <w:rFonts w:eastAsia="Times New Roman"/>
              </w:rPr>
            </w:pPr>
            <w:hyperlink w:anchor="iefe78000fcc84d7eb9dad62280c74976_73" w:history="1">
              <w:r>
                <w:rPr>
                  <w:rStyle w:val="a3"/>
                  <w:rFonts w:ascii="IBM Plex Sans" w:eastAsia="Times New Roman" w:hAnsi="IBM Plex Sans"/>
                  <w:color w:val="000000"/>
                  <w:sz w:val="20"/>
                  <w:szCs w:val="20"/>
                  <w:u w:val="none"/>
                </w:rPr>
                <w:t>56</w:t>
              </w:r>
            </w:hyperlink>
          </w:p>
        </w:tc>
      </w:tr>
      <w:tr w:rsidR="00000000">
        <w:trPr>
          <w:divId w:val="716012304"/>
          <w:jc w:val="center"/>
        </w:trPr>
        <w:tc>
          <w:tcPr>
            <w:tcW w:w="0" w:type="auto"/>
            <w:gridSpan w:val="3"/>
            <w:tcMar>
              <w:top w:w="30" w:type="dxa"/>
              <w:left w:w="20" w:type="dxa"/>
              <w:bottom w:w="30" w:type="dxa"/>
              <w:right w:w="20" w:type="dxa"/>
            </w:tcMar>
            <w:hideMark/>
          </w:tcPr>
          <w:p w:rsidR="00000000" w:rsidRDefault="00F5481A">
            <w:pPr>
              <w:spacing w:after="100"/>
              <w:ind w:hanging="270"/>
              <w:divId w:val="149491394"/>
              <w:rPr>
                <w:rFonts w:eastAsia="Times New Roman"/>
              </w:rPr>
            </w:pPr>
            <w:hyperlink w:anchor="iefe78000fcc84d7eb9dad62280c74976_76" w:history="1">
              <w:r>
                <w:rPr>
                  <w:rStyle w:val="a3"/>
                  <w:rFonts w:ascii="IBM Plex Sans" w:eastAsia="Times New Roman" w:hAnsi="IBM Plex Sans"/>
                  <w:color w:val="000000"/>
                  <w:sz w:val="20"/>
                  <w:szCs w:val="20"/>
                  <w:u w:val="none"/>
                </w:rPr>
                <w:t>Report of Independent Registered Public Accounting Firm on the Effectiveness of Internal Control Over Financial Reporting</w:t>
              </w:r>
            </w:hyperlink>
          </w:p>
        </w:tc>
        <w:tc>
          <w:tcPr>
            <w:tcW w:w="0" w:type="auto"/>
            <w:gridSpan w:val="3"/>
            <w:tcMar>
              <w:top w:w="30" w:type="dxa"/>
              <w:left w:w="20" w:type="dxa"/>
              <w:bottom w:w="30" w:type="dxa"/>
              <w:right w:w="20" w:type="dxa"/>
            </w:tcMar>
            <w:vAlign w:val="bottom"/>
            <w:hideMark/>
          </w:tcPr>
          <w:p w:rsidR="00000000" w:rsidRDefault="00F5481A">
            <w:pPr>
              <w:spacing w:after="100"/>
              <w:jc w:val="right"/>
              <w:rPr>
                <w:rFonts w:eastAsia="Times New Roman"/>
              </w:rPr>
            </w:pPr>
            <w:hyperlink w:anchor="iefe78000fcc84d7eb9dad62280c74976_76" w:history="1">
              <w:r>
                <w:rPr>
                  <w:rStyle w:val="a3"/>
                  <w:rFonts w:ascii="IBM Plex Sans" w:eastAsia="Times New Roman" w:hAnsi="IBM Plex Sans"/>
                  <w:color w:val="000000"/>
                  <w:sz w:val="20"/>
                  <w:szCs w:val="20"/>
                  <w:u w:val="none"/>
                </w:rPr>
                <w:t>59</w:t>
              </w:r>
            </w:hyperlink>
          </w:p>
        </w:tc>
      </w:tr>
      <w:tr w:rsidR="00000000">
        <w:trPr>
          <w:divId w:val="716012304"/>
          <w:jc w:val="center"/>
        </w:trPr>
        <w:tc>
          <w:tcPr>
            <w:tcW w:w="0" w:type="auto"/>
            <w:gridSpan w:val="3"/>
            <w:tcMar>
              <w:top w:w="30" w:type="dxa"/>
              <w:left w:w="20" w:type="dxa"/>
              <w:bottom w:w="30" w:type="dxa"/>
              <w:right w:w="20" w:type="dxa"/>
            </w:tcMar>
            <w:hideMark/>
          </w:tcPr>
          <w:p w:rsidR="00000000" w:rsidRDefault="00F5481A">
            <w:pPr>
              <w:spacing w:after="100"/>
              <w:ind w:hanging="270"/>
              <w:divId w:val="673652110"/>
              <w:rPr>
                <w:rFonts w:eastAsia="Times New Roman"/>
              </w:rPr>
            </w:pPr>
            <w:hyperlink w:anchor="iefe78000fcc84d7eb9dad62280c74976_79" w:history="1">
              <w:r>
                <w:rPr>
                  <w:rStyle w:val="a3"/>
                  <w:rFonts w:ascii="IBM Plex Sans" w:eastAsia="Times New Roman" w:hAnsi="IBM Plex Sans"/>
                  <w:color w:val="000000"/>
                  <w:sz w:val="20"/>
                  <w:szCs w:val="20"/>
                  <w:u w:val="none"/>
                </w:rPr>
                <w:t xml:space="preserve">Consolidated </w:t>
              </w:r>
            </w:hyperlink>
            <w:hyperlink w:anchor="iefe78000fcc84d7eb9dad62280c74976_79" w:history="1">
              <w:r>
                <w:rPr>
                  <w:rStyle w:val="a3"/>
                  <w:rFonts w:ascii="IBM Plex Sans" w:eastAsia="Times New Roman" w:hAnsi="IBM Plex Sans"/>
                  <w:color w:val="000000"/>
                  <w:sz w:val="20"/>
                  <w:szCs w:val="20"/>
                  <w:u w:val="none"/>
                </w:rPr>
                <w:t>Statement of Operations</w:t>
              </w:r>
            </w:hyperlink>
            <w:hyperlink w:anchor="iefe78000fcc84d7eb9dad62280c74976_79" w:history="1">
              <w:r>
                <w:rPr>
                  <w:rStyle w:val="a3"/>
                  <w:rFonts w:ascii="IBM Plex Sans" w:eastAsia="Times New Roman" w:hAnsi="IBM Plex Sans"/>
                  <w:color w:val="000000"/>
                  <w:sz w:val="20"/>
                  <w:szCs w:val="20"/>
                  <w:u w:val="none"/>
                </w:rPr>
                <w:t xml:space="preserve"> — Fiscal Year</w:t>
              </w:r>
            </w:hyperlink>
            <w:hyperlink w:anchor="iefe78000fcc84d7eb9dad62280c74976_79" w:history="1">
              <w:r>
                <w:rPr>
                  <w:rStyle w:val="a3"/>
                  <w:rFonts w:ascii="IBM Plex Sans" w:eastAsia="Times New Roman" w:hAnsi="IBM Plex Sans"/>
                  <w:color w:val="000000"/>
                  <w:sz w:val="20"/>
                  <w:szCs w:val="20"/>
                  <w:u w:val="none"/>
                </w:rPr>
                <w:t xml:space="preserve"> Ended </w:t>
              </w:r>
            </w:hyperlink>
            <w:r>
              <w:rPr>
                <w:rFonts w:ascii="IBM Plex Sans" w:eastAsia="Times New Roman" w:hAnsi="IBM Plex Sans"/>
                <w:color w:val="000000"/>
                <w:sz w:val="20"/>
                <w:szCs w:val="20"/>
              </w:rPr>
              <w:t>December 30, 2022,</w:t>
            </w:r>
            <w:hyperlink w:anchor="iefe78000fcc84d7eb9dad62280c74976_79" w:history="1">
              <w:r>
                <w:rPr>
                  <w:rStyle w:val="a3"/>
                  <w:rFonts w:ascii="IBM Plex Sans" w:eastAsia="Times New Roman" w:hAnsi="IBM Plex Sans"/>
                  <w:color w:val="000000"/>
                  <w:sz w:val="20"/>
                  <w:szCs w:val="20"/>
                  <w:u w:val="none"/>
                </w:rPr>
                <w:t xml:space="preserve"> </w:t>
              </w:r>
            </w:hyperlink>
            <w:r>
              <w:rPr>
                <w:rFonts w:ascii="IBM Plex Sans" w:eastAsia="Times New Roman" w:hAnsi="IBM Plex Sans"/>
                <w:color w:val="000000"/>
                <w:sz w:val="20"/>
                <w:szCs w:val="20"/>
              </w:rPr>
              <w:t>December 31, 2021 and</w:t>
            </w:r>
            <w:hyperlink w:anchor="iefe78000fcc84d7eb9dad62280c74976_79" w:history="1">
              <w:r>
                <w:rPr>
                  <w:rStyle w:val="a3"/>
                  <w:rFonts w:ascii="IBM Plex Sans" w:eastAsia="Times New Roman" w:hAnsi="IBM Plex Sans"/>
                  <w:color w:val="000000"/>
                  <w:sz w:val="20"/>
                  <w:szCs w:val="20"/>
                  <w:u w:val="none"/>
                </w:rPr>
                <w:t xml:space="preserve"> </w:t>
              </w:r>
            </w:hyperlink>
            <w:r>
              <w:rPr>
                <w:rFonts w:ascii="IBM Plex Sans" w:eastAsia="Times New Roman" w:hAnsi="IBM Plex Sans"/>
                <w:color w:val="000000"/>
                <w:sz w:val="20"/>
                <w:szCs w:val="20"/>
              </w:rPr>
              <w:t>January 1, 2021</w:t>
            </w:r>
          </w:p>
        </w:tc>
        <w:tc>
          <w:tcPr>
            <w:tcW w:w="0" w:type="auto"/>
            <w:gridSpan w:val="3"/>
            <w:tcMar>
              <w:top w:w="30" w:type="dxa"/>
              <w:left w:w="20" w:type="dxa"/>
              <w:bottom w:w="30" w:type="dxa"/>
              <w:right w:w="20" w:type="dxa"/>
            </w:tcMar>
            <w:vAlign w:val="bottom"/>
            <w:hideMark/>
          </w:tcPr>
          <w:p w:rsidR="00000000" w:rsidRDefault="00F5481A">
            <w:pPr>
              <w:spacing w:after="100"/>
              <w:jc w:val="right"/>
              <w:rPr>
                <w:rFonts w:eastAsia="Times New Roman"/>
              </w:rPr>
            </w:pPr>
            <w:hyperlink w:anchor="iefe78000fcc84d7eb9dad62280c74976_79" w:history="1">
              <w:r>
                <w:rPr>
                  <w:rStyle w:val="a3"/>
                  <w:rFonts w:ascii="IBM Plex Sans" w:eastAsia="Times New Roman" w:hAnsi="IBM Plex Sans"/>
                  <w:color w:val="000000"/>
                  <w:sz w:val="20"/>
                  <w:szCs w:val="20"/>
                  <w:u w:val="none"/>
                </w:rPr>
                <w:t>60</w:t>
              </w:r>
            </w:hyperlink>
          </w:p>
        </w:tc>
      </w:tr>
      <w:tr w:rsidR="00000000">
        <w:trPr>
          <w:divId w:val="716012304"/>
          <w:jc w:val="center"/>
        </w:trPr>
        <w:tc>
          <w:tcPr>
            <w:tcW w:w="0" w:type="auto"/>
            <w:gridSpan w:val="3"/>
            <w:tcMar>
              <w:top w:w="30" w:type="dxa"/>
              <w:left w:w="20" w:type="dxa"/>
              <w:bottom w:w="30" w:type="dxa"/>
              <w:right w:w="20" w:type="dxa"/>
            </w:tcMar>
            <w:hideMark/>
          </w:tcPr>
          <w:p w:rsidR="00000000" w:rsidRDefault="00F5481A">
            <w:pPr>
              <w:spacing w:after="100"/>
              <w:ind w:hanging="270"/>
              <w:divId w:val="1704937099"/>
              <w:rPr>
                <w:rFonts w:eastAsia="Times New Roman"/>
              </w:rPr>
            </w:pPr>
            <w:hyperlink w:anchor="iefe78000fcc84d7eb9dad62280c74976_82" w:history="1">
              <w:r>
                <w:rPr>
                  <w:rStyle w:val="a3"/>
                  <w:rFonts w:ascii="IBM Plex Sans" w:eastAsia="Times New Roman" w:hAnsi="IBM Plex Sans"/>
                  <w:color w:val="000000"/>
                  <w:sz w:val="20"/>
                  <w:szCs w:val="20"/>
                  <w:u w:val="none"/>
                </w:rPr>
                <w:t xml:space="preserve">Consolidated Statement of Comprehensive Income — </w:t>
              </w:r>
            </w:hyperlink>
            <w:hyperlink w:anchor="iefe78000fcc84d7eb9dad62280c74976_79" w:history="1">
              <w:r>
                <w:rPr>
                  <w:rStyle w:val="a3"/>
                  <w:rFonts w:ascii="IBM Plex Sans" w:eastAsia="Times New Roman" w:hAnsi="IBM Plex Sans"/>
                  <w:color w:val="000000"/>
                  <w:sz w:val="20"/>
                  <w:szCs w:val="20"/>
                  <w:u w:val="none"/>
                </w:rPr>
                <w:t>Fiscal Year</w:t>
              </w:r>
            </w:hyperlink>
            <w:hyperlink w:anchor="iefe78000fcc84d7eb9dad62280c74976_79" w:history="1">
              <w:r>
                <w:rPr>
                  <w:rStyle w:val="a3"/>
                  <w:rFonts w:ascii="IBM Plex Sans" w:eastAsia="Times New Roman" w:hAnsi="IBM Plex Sans"/>
                  <w:color w:val="000000"/>
                  <w:sz w:val="20"/>
                  <w:szCs w:val="20"/>
                  <w:u w:val="none"/>
                </w:rPr>
                <w:t xml:space="preserve"> Ended </w:t>
              </w:r>
            </w:hyperlink>
            <w:r>
              <w:rPr>
                <w:rFonts w:ascii="IBM Plex Sans" w:eastAsia="Times New Roman" w:hAnsi="IBM Plex Sans"/>
                <w:color w:val="000000"/>
                <w:sz w:val="20"/>
                <w:szCs w:val="20"/>
              </w:rPr>
              <w:t xml:space="preserve">December 30, 2022, December 31, 2021 and January 1, 2021 </w:t>
            </w:r>
          </w:p>
        </w:tc>
        <w:tc>
          <w:tcPr>
            <w:tcW w:w="0" w:type="auto"/>
            <w:gridSpan w:val="3"/>
            <w:tcMar>
              <w:top w:w="30" w:type="dxa"/>
              <w:left w:w="20" w:type="dxa"/>
              <w:bottom w:w="30" w:type="dxa"/>
              <w:right w:w="20" w:type="dxa"/>
            </w:tcMar>
            <w:vAlign w:val="bottom"/>
            <w:hideMark/>
          </w:tcPr>
          <w:p w:rsidR="00000000" w:rsidRDefault="00F5481A">
            <w:pPr>
              <w:spacing w:after="100"/>
              <w:jc w:val="right"/>
              <w:rPr>
                <w:rFonts w:eastAsia="Times New Roman"/>
              </w:rPr>
            </w:pPr>
            <w:hyperlink w:anchor="iefe78000fcc84d7eb9dad62280c74976_82" w:history="1">
              <w:r>
                <w:rPr>
                  <w:rStyle w:val="a3"/>
                  <w:rFonts w:ascii="IBM Plex Sans" w:eastAsia="Times New Roman" w:hAnsi="IBM Plex Sans"/>
                  <w:color w:val="000000"/>
                  <w:sz w:val="20"/>
                  <w:szCs w:val="20"/>
                  <w:u w:val="none"/>
                </w:rPr>
                <w:t>61</w:t>
              </w:r>
            </w:hyperlink>
          </w:p>
        </w:tc>
      </w:tr>
      <w:tr w:rsidR="00000000">
        <w:trPr>
          <w:divId w:val="716012304"/>
          <w:jc w:val="center"/>
        </w:trPr>
        <w:tc>
          <w:tcPr>
            <w:tcW w:w="0" w:type="auto"/>
            <w:gridSpan w:val="3"/>
            <w:tcMar>
              <w:top w:w="30" w:type="dxa"/>
              <w:left w:w="20" w:type="dxa"/>
              <w:bottom w:w="30" w:type="dxa"/>
              <w:right w:w="20" w:type="dxa"/>
            </w:tcMar>
            <w:hideMark/>
          </w:tcPr>
          <w:p w:rsidR="00000000" w:rsidRDefault="00F5481A">
            <w:pPr>
              <w:spacing w:after="100"/>
              <w:divId w:val="1346175675"/>
              <w:rPr>
                <w:rFonts w:eastAsia="Times New Roman"/>
              </w:rPr>
            </w:pPr>
            <w:hyperlink w:anchor="iefe78000fcc84d7eb9dad62280c74976_85" w:history="1">
              <w:r>
                <w:rPr>
                  <w:rStyle w:val="a3"/>
                  <w:rFonts w:ascii="IBM Plex Sans" w:eastAsia="Times New Roman" w:hAnsi="IBM Plex Sans"/>
                  <w:color w:val="000000"/>
                  <w:sz w:val="20"/>
                  <w:szCs w:val="20"/>
                  <w:u w:val="none"/>
                </w:rPr>
                <w:t>Consolidated Balance Sheet —</w:t>
              </w:r>
            </w:hyperlink>
            <w:r>
              <w:rPr>
                <w:rFonts w:ascii="IBM Plex Sans" w:eastAsia="Times New Roman" w:hAnsi="IBM Plex Sans"/>
                <w:color w:val="283030"/>
                <w:sz w:val="20"/>
                <w:szCs w:val="20"/>
              </w:rPr>
              <w:t xml:space="preserve"> </w:t>
            </w:r>
            <w:r>
              <w:rPr>
                <w:rFonts w:ascii="IBM Plex Sans" w:eastAsia="Times New Roman" w:hAnsi="IBM Plex Sans"/>
                <w:color w:val="000000"/>
                <w:sz w:val="20"/>
                <w:szCs w:val="20"/>
              </w:rPr>
              <w:t>December 30, 2022</w:t>
            </w:r>
            <w:r>
              <w:rPr>
                <w:rFonts w:ascii="IBM Plex Sans" w:eastAsia="Times New Roman" w:hAnsi="IBM Plex Sans"/>
                <w:color w:val="283030"/>
                <w:sz w:val="20"/>
                <w:szCs w:val="20"/>
              </w:rPr>
              <w:t xml:space="preserve"> and </w:t>
            </w:r>
            <w:r>
              <w:rPr>
                <w:rFonts w:ascii="IBM Plex Sans" w:eastAsia="Times New Roman" w:hAnsi="IBM Plex Sans"/>
                <w:color w:val="000000"/>
                <w:sz w:val="20"/>
                <w:szCs w:val="20"/>
              </w:rPr>
              <w:t xml:space="preserve">December 31, 2021 </w:t>
            </w:r>
          </w:p>
        </w:tc>
        <w:tc>
          <w:tcPr>
            <w:tcW w:w="0" w:type="auto"/>
            <w:gridSpan w:val="3"/>
            <w:tcMar>
              <w:top w:w="30" w:type="dxa"/>
              <w:left w:w="20" w:type="dxa"/>
              <w:bottom w:w="30" w:type="dxa"/>
              <w:right w:w="20" w:type="dxa"/>
            </w:tcMar>
            <w:vAlign w:val="bottom"/>
            <w:hideMark/>
          </w:tcPr>
          <w:p w:rsidR="00000000" w:rsidRDefault="00F5481A">
            <w:pPr>
              <w:spacing w:after="100"/>
              <w:jc w:val="right"/>
              <w:rPr>
                <w:rFonts w:eastAsia="Times New Roman"/>
              </w:rPr>
            </w:pPr>
            <w:hyperlink w:anchor="iefe78000fcc84d7eb9dad62280c74976_85" w:history="1">
              <w:r>
                <w:rPr>
                  <w:rStyle w:val="a3"/>
                  <w:rFonts w:ascii="IBM Plex Sans" w:eastAsia="Times New Roman" w:hAnsi="IBM Plex Sans"/>
                  <w:color w:val="000000"/>
                  <w:sz w:val="20"/>
                  <w:szCs w:val="20"/>
                  <w:u w:val="none"/>
                </w:rPr>
                <w:t>62</w:t>
              </w:r>
            </w:hyperlink>
          </w:p>
        </w:tc>
      </w:tr>
      <w:tr w:rsidR="00000000">
        <w:trPr>
          <w:divId w:val="716012304"/>
          <w:jc w:val="center"/>
        </w:trPr>
        <w:tc>
          <w:tcPr>
            <w:tcW w:w="0" w:type="auto"/>
            <w:gridSpan w:val="3"/>
            <w:tcMar>
              <w:top w:w="30" w:type="dxa"/>
              <w:left w:w="20" w:type="dxa"/>
              <w:bottom w:w="30" w:type="dxa"/>
              <w:right w:w="20" w:type="dxa"/>
            </w:tcMar>
            <w:hideMark/>
          </w:tcPr>
          <w:p w:rsidR="00000000" w:rsidRDefault="00F5481A">
            <w:pPr>
              <w:spacing w:after="100"/>
              <w:ind w:hanging="270"/>
              <w:divId w:val="1050881867"/>
              <w:rPr>
                <w:rFonts w:eastAsia="Times New Roman"/>
              </w:rPr>
            </w:pPr>
            <w:hyperlink w:anchor="iefe78000fcc84d7eb9dad62280c74976_88" w:history="1">
              <w:r>
                <w:rPr>
                  <w:rStyle w:val="a3"/>
                  <w:rFonts w:ascii="IBM Plex Sans" w:eastAsia="Times New Roman" w:hAnsi="IBM Plex Sans"/>
                  <w:color w:val="000000"/>
                  <w:sz w:val="20"/>
                  <w:szCs w:val="20"/>
                  <w:u w:val="none"/>
                </w:rPr>
                <w:t xml:space="preserve">Consolidated Statement of Cash Flows — </w:t>
              </w:r>
            </w:hyperlink>
            <w:hyperlink w:anchor="iefe78000fcc84d7eb9dad62280c74976_79" w:history="1">
              <w:r>
                <w:rPr>
                  <w:rStyle w:val="a3"/>
                  <w:rFonts w:ascii="IBM Plex Sans" w:eastAsia="Times New Roman" w:hAnsi="IBM Plex Sans"/>
                  <w:color w:val="000000"/>
                  <w:sz w:val="20"/>
                  <w:szCs w:val="20"/>
                  <w:u w:val="none"/>
                </w:rPr>
                <w:t>Fiscal Year</w:t>
              </w:r>
            </w:hyperlink>
            <w:hyperlink w:anchor="iefe78000fcc84d7eb9dad62280c74976_79" w:history="1">
              <w:r>
                <w:rPr>
                  <w:rStyle w:val="a3"/>
                  <w:rFonts w:ascii="IBM Plex Sans" w:eastAsia="Times New Roman" w:hAnsi="IBM Plex Sans"/>
                  <w:color w:val="000000"/>
                  <w:sz w:val="20"/>
                  <w:szCs w:val="20"/>
                  <w:u w:val="none"/>
                </w:rPr>
                <w:t xml:space="preserve"> Ended </w:t>
              </w:r>
            </w:hyperlink>
            <w:r>
              <w:rPr>
                <w:rFonts w:ascii="IBM Plex Sans" w:eastAsia="Times New Roman" w:hAnsi="IBM Plex Sans"/>
                <w:color w:val="000000"/>
                <w:sz w:val="20"/>
                <w:szCs w:val="20"/>
              </w:rPr>
              <w:t>December 30, 2022,</w:t>
            </w:r>
            <w:hyperlink w:anchor="iefe78000fcc84d7eb9dad62280c74976_79" w:history="1">
              <w:r>
                <w:rPr>
                  <w:rStyle w:val="a3"/>
                  <w:rFonts w:ascii="IBM Plex Sans" w:eastAsia="Times New Roman" w:hAnsi="IBM Plex Sans"/>
                  <w:color w:val="000000"/>
                  <w:sz w:val="20"/>
                  <w:szCs w:val="20"/>
                  <w:u w:val="none"/>
                </w:rPr>
                <w:t xml:space="preserve"> </w:t>
              </w:r>
            </w:hyperlink>
            <w:r>
              <w:rPr>
                <w:rFonts w:ascii="IBM Plex Sans" w:eastAsia="Times New Roman" w:hAnsi="IBM Plex Sans"/>
                <w:color w:val="000000"/>
                <w:sz w:val="20"/>
                <w:szCs w:val="20"/>
              </w:rPr>
              <w:t>December 31, 2021 and January 1, 2021</w:t>
            </w:r>
            <w:hyperlink w:anchor="iefe78000fcc84d7eb9dad62280c74976_79" w:history="1">
              <w:r>
                <w:rPr>
                  <w:rStyle w:val="a3"/>
                  <w:rFonts w:ascii="IBM Plex Sans" w:eastAsia="Times New Roman" w:hAnsi="IBM Plex Sans"/>
                  <w:color w:val="000000"/>
                  <w:sz w:val="20"/>
                  <w:szCs w:val="20"/>
                  <w:u w:val="none"/>
                </w:rPr>
                <w:t xml:space="preserve"> </w:t>
              </w:r>
            </w:hyperlink>
          </w:p>
        </w:tc>
        <w:tc>
          <w:tcPr>
            <w:tcW w:w="0" w:type="auto"/>
            <w:gridSpan w:val="3"/>
            <w:tcMar>
              <w:top w:w="30" w:type="dxa"/>
              <w:left w:w="20" w:type="dxa"/>
              <w:bottom w:w="30" w:type="dxa"/>
              <w:right w:w="20" w:type="dxa"/>
            </w:tcMar>
            <w:vAlign w:val="bottom"/>
            <w:hideMark/>
          </w:tcPr>
          <w:p w:rsidR="00000000" w:rsidRDefault="00F5481A">
            <w:pPr>
              <w:spacing w:after="100"/>
              <w:jc w:val="right"/>
              <w:rPr>
                <w:rFonts w:eastAsia="Times New Roman"/>
              </w:rPr>
            </w:pPr>
            <w:hyperlink w:anchor="iefe78000fcc84d7eb9dad62280c74976_88" w:history="1">
              <w:r>
                <w:rPr>
                  <w:rStyle w:val="a3"/>
                  <w:rFonts w:ascii="IBM Plex Sans" w:eastAsia="Times New Roman" w:hAnsi="IBM Plex Sans"/>
                  <w:color w:val="000000"/>
                  <w:sz w:val="20"/>
                  <w:szCs w:val="20"/>
                  <w:u w:val="none"/>
                </w:rPr>
                <w:t>63</w:t>
              </w:r>
            </w:hyperlink>
          </w:p>
        </w:tc>
      </w:tr>
      <w:tr w:rsidR="00000000">
        <w:trPr>
          <w:divId w:val="716012304"/>
          <w:jc w:val="center"/>
        </w:trPr>
        <w:tc>
          <w:tcPr>
            <w:tcW w:w="0" w:type="auto"/>
            <w:gridSpan w:val="3"/>
            <w:tcMar>
              <w:top w:w="30" w:type="dxa"/>
              <w:left w:w="20" w:type="dxa"/>
              <w:bottom w:w="30" w:type="dxa"/>
              <w:right w:w="20" w:type="dxa"/>
            </w:tcMar>
            <w:hideMark/>
          </w:tcPr>
          <w:p w:rsidR="00000000" w:rsidRDefault="00F5481A">
            <w:pPr>
              <w:spacing w:after="100"/>
              <w:ind w:hanging="270"/>
              <w:divId w:val="1751809001"/>
              <w:rPr>
                <w:rFonts w:eastAsia="Times New Roman"/>
              </w:rPr>
            </w:pPr>
            <w:hyperlink w:anchor="iefe78000fcc84d7eb9dad62280c74976_91" w:history="1">
              <w:r>
                <w:rPr>
                  <w:rStyle w:val="a3"/>
                  <w:rFonts w:ascii="IBM Plex Sans" w:eastAsia="Times New Roman" w:hAnsi="IBM Plex Sans"/>
                  <w:color w:val="000000"/>
                  <w:sz w:val="20"/>
                  <w:szCs w:val="20"/>
                  <w:u w:val="none"/>
                </w:rPr>
                <w:t xml:space="preserve">Consolidated Statement of Equity — </w:t>
              </w:r>
            </w:hyperlink>
            <w:hyperlink w:anchor="iefe78000fcc84d7eb9dad62280c74976_79" w:history="1">
              <w:r>
                <w:rPr>
                  <w:rStyle w:val="a3"/>
                  <w:rFonts w:ascii="IBM Plex Sans" w:eastAsia="Times New Roman" w:hAnsi="IBM Plex Sans"/>
                  <w:color w:val="000000"/>
                  <w:sz w:val="20"/>
                  <w:szCs w:val="20"/>
                  <w:u w:val="none"/>
                </w:rPr>
                <w:t>Fiscal Year</w:t>
              </w:r>
            </w:hyperlink>
            <w:hyperlink w:anchor="iefe78000fcc84d7eb9dad62280c74976_79" w:history="1">
              <w:r>
                <w:rPr>
                  <w:rStyle w:val="a3"/>
                  <w:rFonts w:ascii="IBM Plex Sans" w:eastAsia="Times New Roman" w:hAnsi="IBM Plex Sans"/>
                  <w:color w:val="000000"/>
                  <w:sz w:val="20"/>
                  <w:szCs w:val="20"/>
                  <w:u w:val="none"/>
                </w:rPr>
                <w:t xml:space="preserve"> Ended </w:t>
              </w:r>
            </w:hyperlink>
            <w:r>
              <w:rPr>
                <w:rFonts w:ascii="IBM Plex Sans" w:eastAsia="Times New Roman" w:hAnsi="IBM Plex Sans"/>
                <w:color w:val="000000"/>
                <w:sz w:val="20"/>
                <w:szCs w:val="20"/>
              </w:rPr>
              <w:t>December 30, 2022,</w:t>
            </w:r>
            <w:hyperlink w:anchor="iefe78000fcc84d7eb9dad62280c74976_79" w:history="1">
              <w:r>
                <w:rPr>
                  <w:rStyle w:val="a3"/>
                  <w:rFonts w:ascii="IBM Plex Sans" w:eastAsia="Times New Roman" w:hAnsi="IBM Plex Sans"/>
                  <w:color w:val="000000"/>
                  <w:sz w:val="20"/>
                  <w:szCs w:val="20"/>
                  <w:u w:val="none"/>
                </w:rPr>
                <w:t xml:space="preserve"> </w:t>
              </w:r>
            </w:hyperlink>
            <w:r>
              <w:rPr>
                <w:rFonts w:ascii="IBM Plex Sans" w:eastAsia="Times New Roman" w:hAnsi="IBM Plex Sans"/>
                <w:color w:val="000000"/>
                <w:sz w:val="20"/>
                <w:szCs w:val="20"/>
              </w:rPr>
              <w:t xml:space="preserve">December 31, 2021 and January 1, 2021 </w:t>
            </w:r>
          </w:p>
        </w:tc>
        <w:tc>
          <w:tcPr>
            <w:tcW w:w="0" w:type="auto"/>
            <w:gridSpan w:val="3"/>
            <w:tcMar>
              <w:top w:w="30" w:type="dxa"/>
              <w:left w:w="20" w:type="dxa"/>
              <w:bottom w:w="30" w:type="dxa"/>
              <w:right w:w="20" w:type="dxa"/>
            </w:tcMar>
            <w:vAlign w:val="bottom"/>
            <w:hideMark/>
          </w:tcPr>
          <w:p w:rsidR="00000000" w:rsidRDefault="00F5481A">
            <w:pPr>
              <w:spacing w:after="100"/>
              <w:jc w:val="right"/>
              <w:rPr>
                <w:rFonts w:eastAsia="Times New Roman"/>
              </w:rPr>
            </w:pPr>
            <w:hyperlink w:anchor="iefe78000fcc84d7eb9dad62280c74976_91" w:history="1">
              <w:r>
                <w:rPr>
                  <w:rStyle w:val="a3"/>
                  <w:rFonts w:ascii="IBM Plex Sans" w:eastAsia="Times New Roman" w:hAnsi="IBM Plex Sans"/>
                  <w:color w:val="000000"/>
                  <w:sz w:val="20"/>
                  <w:szCs w:val="20"/>
                  <w:u w:val="none"/>
                </w:rPr>
                <w:t>64</w:t>
              </w:r>
            </w:hyperlink>
          </w:p>
        </w:tc>
      </w:tr>
      <w:tr w:rsidR="00000000">
        <w:trPr>
          <w:divId w:val="716012304"/>
          <w:jc w:val="center"/>
        </w:trPr>
        <w:tc>
          <w:tcPr>
            <w:tcW w:w="0" w:type="auto"/>
            <w:gridSpan w:val="3"/>
            <w:tcMar>
              <w:top w:w="30" w:type="dxa"/>
              <w:left w:w="20" w:type="dxa"/>
              <w:bottom w:w="30" w:type="dxa"/>
              <w:right w:w="20" w:type="dxa"/>
            </w:tcMar>
            <w:hideMark/>
          </w:tcPr>
          <w:p w:rsidR="00000000" w:rsidRDefault="00F5481A">
            <w:pPr>
              <w:spacing w:after="100"/>
              <w:divId w:val="1255433055"/>
              <w:rPr>
                <w:rFonts w:eastAsia="Times New Roman"/>
              </w:rPr>
            </w:pPr>
            <w:hyperlink w:anchor="iefe78000fcc84d7eb9dad62280c74976_94" w:history="1">
              <w:r>
                <w:rPr>
                  <w:rStyle w:val="a3"/>
                  <w:rFonts w:ascii="IBM Plex Sans" w:eastAsia="Times New Roman" w:hAnsi="IBM Plex Sans"/>
                  <w:color w:val="000000"/>
                  <w:sz w:val="20"/>
                  <w:szCs w:val="20"/>
                  <w:u w:val="none"/>
                </w:rPr>
                <w:t>Notes to Consolidated Financial Statements</w:t>
              </w:r>
            </w:hyperlink>
          </w:p>
        </w:tc>
        <w:tc>
          <w:tcPr>
            <w:tcW w:w="0" w:type="auto"/>
            <w:gridSpan w:val="3"/>
            <w:tcMar>
              <w:top w:w="30" w:type="dxa"/>
              <w:left w:w="20" w:type="dxa"/>
              <w:bottom w:w="30" w:type="dxa"/>
              <w:right w:w="20" w:type="dxa"/>
            </w:tcMar>
            <w:vAlign w:val="bottom"/>
            <w:hideMark/>
          </w:tcPr>
          <w:p w:rsidR="00000000" w:rsidRDefault="00F5481A">
            <w:pPr>
              <w:spacing w:after="100"/>
              <w:jc w:val="right"/>
              <w:rPr>
                <w:rFonts w:eastAsia="Times New Roman"/>
              </w:rPr>
            </w:pPr>
            <w:hyperlink w:anchor="iefe78000fcc84d7eb9dad62280c74976_94" w:history="1">
              <w:r>
                <w:rPr>
                  <w:rStyle w:val="a3"/>
                  <w:rFonts w:ascii="IBM Plex Sans" w:eastAsia="Times New Roman" w:hAnsi="IBM Plex Sans"/>
                  <w:color w:val="000000"/>
                  <w:sz w:val="20"/>
                  <w:szCs w:val="20"/>
                  <w:u w:val="none"/>
                </w:rPr>
                <w:t>65</w:t>
              </w:r>
            </w:hyperlink>
          </w:p>
        </w:tc>
      </w:tr>
      <w:tr w:rsidR="00000000">
        <w:trPr>
          <w:divId w:val="716012304"/>
          <w:jc w:val="center"/>
        </w:trPr>
        <w:tc>
          <w:tcPr>
            <w:tcW w:w="0" w:type="auto"/>
            <w:gridSpan w:val="3"/>
            <w:vAlign w:val="center"/>
            <w:hideMark/>
          </w:tcPr>
          <w:p w:rsidR="00000000" w:rsidRDefault="00F5481A">
            <w:pPr>
              <w:spacing w:after="100"/>
              <w:jc w:val="right"/>
              <w:rPr>
                <w:rFonts w:eastAsia="Times New Roman"/>
              </w:rPr>
            </w:pPr>
          </w:p>
        </w:tc>
        <w:tc>
          <w:tcPr>
            <w:tcW w:w="0" w:type="auto"/>
            <w:gridSpan w:val="3"/>
            <w:vAlign w:val="center"/>
            <w:hideMark/>
          </w:tcPr>
          <w:p w:rsidR="00000000" w:rsidRDefault="00F5481A">
            <w:pPr>
              <w:spacing w:after="100"/>
              <w:rPr>
                <w:rFonts w:eastAsia="Times New Roman"/>
                <w:sz w:val="20"/>
                <w:szCs w:val="20"/>
              </w:rPr>
            </w:pPr>
          </w:p>
        </w:tc>
      </w:tr>
    </w:tbl>
    <w:p w:rsidR="00000000" w:rsidRDefault="00F5481A">
      <w:pPr>
        <w:ind w:firstLine="360"/>
        <w:divId w:val="1114833337"/>
        <w:rPr>
          <w:rFonts w:eastAsia="Times New Roman"/>
        </w:rPr>
      </w:pPr>
    </w:p>
    <w:p w:rsidR="00000000" w:rsidRDefault="00F5481A">
      <w:pPr>
        <w:ind w:firstLine="360"/>
        <w:jc w:val="center"/>
        <w:divId w:val="265039106"/>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54</w:t>
      </w:r>
    </w:p>
    <w:p w:rsidR="00000000" w:rsidRDefault="00F5481A">
      <w:pPr>
        <w:rPr>
          <w:rFonts w:eastAsia="Times New Roman"/>
        </w:rPr>
      </w:pPr>
      <w:r>
        <w:rPr>
          <w:rFonts w:eastAsia="Times New Roman"/>
        </w:rPr>
        <w:pict>
          <v:rect id="_x0000_i1085" style="width:0;height:1.5pt" o:hralign="center" o:hrstd="t" o:hr="t" fillcolor="#a0a0a0" stroked="f"/>
        </w:pict>
      </w:r>
    </w:p>
    <w:p w:rsidR="00000000" w:rsidRDefault="00F5481A">
      <w:pPr>
        <w:ind w:firstLine="360"/>
        <w:divId w:val="1122185069"/>
        <w:rPr>
          <w:rFonts w:eastAsia="Times New Roman"/>
        </w:rPr>
      </w:pPr>
    </w:p>
    <w:p w:rsidR="00000000" w:rsidRDefault="00F5481A">
      <w:pPr>
        <w:ind w:firstLine="360"/>
        <w:jc w:val="center"/>
        <w:divId w:val="742221887"/>
        <w:rPr>
          <w:rFonts w:eastAsia="Times New Roman"/>
        </w:rPr>
      </w:pPr>
      <w:r>
        <w:rPr>
          <w:rFonts w:ascii="IBM Plex Sans" w:eastAsia="Times New Roman" w:hAnsi="IBM Plex Sans"/>
          <w:b/>
          <w:bCs/>
          <w:color w:val="283030"/>
          <w:sz w:val="20"/>
          <w:szCs w:val="20"/>
        </w:rPr>
        <w:t>MANAGEMENT’S REPORT ON INTERNAL CONTROL</w:t>
      </w:r>
    </w:p>
    <w:p w:rsidR="00000000" w:rsidRDefault="00F5481A">
      <w:pPr>
        <w:ind w:firstLine="360"/>
        <w:jc w:val="center"/>
        <w:divId w:val="1649358236"/>
        <w:rPr>
          <w:rFonts w:eastAsia="Times New Roman"/>
        </w:rPr>
      </w:pPr>
      <w:r>
        <w:rPr>
          <w:rFonts w:ascii="IBM Plex Sans" w:eastAsia="Times New Roman" w:hAnsi="IBM Plex Sans"/>
          <w:b/>
          <w:bCs/>
          <w:color w:val="283030"/>
          <w:sz w:val="20"/>
          <w:szCs w:val="20"/>
        </w:rPr>
        <w:t>OVER FINANCIAL REPORTING</w:t>
      </w:r>
    </w:p>
    <w:p w:rsidR="00000000" w:rsidRDefault="00F5481A">
      <w:pPr>
        <w:ind w:firstLine="360"/>
        <w:divId w:val="1046292916"/>
        <w:rPr>
          <w:rFonts w:eastAsia="Times New Roman"/>
        </w:rPr>
      </w:pPr>
      <w:r>
        <w:rPr>
          <w:rFonts w:ascii="IBM Plex Sans" w:eastAsia="Times New Roman" w:hAnsi="IBM Plex Sans"/>
          <w:color w:val="283030"/>
          <w:sz w:val="20"/>
          <w:szCs w:val="20"/>
        </w:rPr>
        <w:t>The management of L3Harris Technologies, Inc. (the “Company”) is responsible fo</w:t>
      </w:r>
      <w:r>
        <w:rPr>
          <w:rFonts w:ascii="IBM Plex Sans" w:eastAsia="Times New Roman" w:hAnsi="IBM Plex Sans"/>
          <w:color w:val="283030"/>
          <w:sz w:val="20"/>
          <w:szCs w:val="20"/>
        </w:rPr>
        <w:t>r establishing and maintaining adequate internal control over financial reporting as such term is defined in Rules 13a-15(f) and 15d-15(f) under the Securities Exchange Act of 1934, as amended. The Company’s internal control over financial reporting is des</w:t>
      </w:r>
      <w:r>
        <w:rPr>
          <w:rFonts w:ascii="IBM Plex Sans" w:eastAsia="Times New Roman" w:hAnsi="IBM Plex Sans"/>
          <w:color w:val="283030"/>
          <w:sz w:val="20"/>
          <w:szCs w:val="20"/>
        </w:rPr>
        <w:t>igned to provide reasonable assurance, based on an appropriate cost-benefit analysis, regarding the reliability of financial reporting and the preparation of financial statements for external purposes in accordance with U.S. generally accepted accounting p</w:t>
      </w:r>
      <w:r>
        <w:rPr>
          <w:rFonts w:ascii="IBM Plex Sans" w:eastAsia="Times New Roman" w:hAnsi="IBM Plex Sans"/>
          <w:color w:val="283030"/>
          <w:sz w:val="20"/>
          <w:szCs w:val="20"/>
        </w:rPr>
        <w:t>rinciples. The Company’s internal control over financial reporting includes those policies and procedures that: (i) pertain to the maintenance of records that, in reasonable detail, accurately and fairly reflect the transactions and dispositions of the ass</w:t>
      </w:r>
      <w:r>
        <w:rPr>
          <w:rFonts w:ascii="IBM Plex Sans" w:eastAsia="Times New Roman" w:hAnsi="IBM Plex Sans"/>
          <w:color w:val="283030"/>
          <w:sz w:val="20"/>
          <w:szCs w:val="20"/>
        </w:rPr>
        <w:t>ets of the Company; (ii) provide reasonable assurance that transactions are recorded as necessary to permit preparation of financial statements in accordance with U.S. generally accepted accounting principles, and that receipts and expenditures of the Comp</w:t>
      </w:r>
      <w:r>
        <w:rPr>
          <w:rFonts w:ascii="IBM Plex Sans" w:eastAsia="Times New Roman" w:hAnsi="IBM Plex Sans"/>
          <w:color w:val="283030"/>
          <w:sz w:val="20"/>
          <w:szCs w:val="20"/>
        </w:rPr>
        <w:t>any are being made only in accordance with authorizations of management and directors of the Company; and (iii) provide reasonable assurance regarding prevention or timely detection of unauthorized acquisition, use or disposition of the Company’s assets th</w:t>
      </w:r>
      <w:r>
        <w:rPr>
          <w:rFonts w:ascii="IBM Plex Sans" w:eastAsia="Times New Roman" w:hAnsi="IBM Plex Sans"/>
          <w:color w:val="283030"/>
          <w:sz w:val="20"/>
          <w:szCs w:val="20"/>
        </w:rPr>
        <w:t>at could have a material effect on the financial statements.</w:t>
      </w:r>
    </w:p>
    <w:p w:rsidR="00000000" w:rsidRDefault="00F5481A">
      <w:pPr>
        <w:ind w:firstLine="360"/>
        <w:divId w:val="1764568993"/>
        <w:rPr>
          <w:rFonts w:eastAsia="Times New Roman"/>
        </w:rPr>
      </w:pPr>
      <w:r>
        <w:rPr>
          <w:rFonts w:ascii="IBM Plex Sans" w:eastAsia="Times New Roman" w:hAnsi="IBM Plex Sans"/>
          <w:color w:val="283030"/>
          <w:sz w:val="20"/>
          <w:szCs w:val="20"/>
        </w:rPr>
        <w:t>Because of its inherent limitations, internal control over financial reporting may not prevent or detect misstatements. Therefore, even those systems determined to be effective can provide only r</w:t>
      </w:r>
      <w:r>
        <w:rPr>
          <w:rFonts w:ascii="IBM Plex Sans" w:eastAsia="Times New Roman" w:hAnsi="IBM Plex Sans"/>
          <w:color w:val="283030"/>
          <w:sz w:val="20"/>
          <w:szCs w:val="20"/>
        </w:rPr>
        <w:t>easonable assurance with respect to financial statement preparation and presentation. Also, projections of any evaluation of effectiveness to future periods are subject to the risk that controls may become inadequate because of changes in conditions, or th</w:t>
      </w:r>
      <w:r>
        <w:rPr>
          <w:rFonts w:ascii="IBM Plex Sans" w:eastAsia="Times New Roman" w:hAnsi="IBM Plex Sans"/>
          <w:color w:val="283030"/>
          <w:sz w:val="20"/>
          <w:szCs w:val="20"/>
        </w:rPr>
        <w:t>at the degree of compliance with the policies or procedures may deteriorate.</w:t>
      </w:r>
    </w:p>
    <w:p w:rsidR="00000000" w:rsidRDefault="00F5481A">
      <w:pPr>
        <w:ind w:firstLine="360"/>
        <w:divId w:val="1441486684"/>
        <w:rPr>
          <w:rFonts w:eastAsia="Times New Roman"/>
        </w:rPr>
      </w:pPr>
      <w:r>
        <w:rPr>
          <w:rFonts w:ascii="IBM Plex Sans" w:eastAsia="Times New Roman" w:hAnsi="IBM Plex Sans"/>
          <w:color w:val="283030"/>
          <w:sz w:val="20"/>
          <w:szCs w:val="20"/>
        </w:rPr>
        <w:t>Management, with the participation of our Chief Executive Officer and Chief Financial Officer, assessed the effectiveness of the Company’s internal control over financial reportin</w:t>
      </w:r>
      <w:r>
        <w:rPr>
          <w:rFonts w:ascii="IBM Plex Sans" w:eastAsia="Times New Roman" w:hAnsi="IBM Plex Sans"/>
          <w:color w:val="283030"/>
          <w:sz w:val="20"/>
          <w:szCs w:val="20"/>
        </w:rPr>
        <w:t xml:space="preserve">g as of December 30, 2022. In making this assessment, management used the criteria set forth by the Committee of Sponsoring Organizations of the Treadway Commission (COSO) in </w:t>
      </w:r>
      <w:r>
        <w:rPr>
          <w:rFonts w:ascii="IBM Plex Sans" w:eastAsia="Times New Roman" w:hAnsi="IBM Plex Sans"/>
          <w:i/>
          <w:iCs/>
          <w:color w:val="283030"/>
          <w:sz w:val="20"/>
          <w:szCs w:val="20"/>
        </w:rPr>
        <w:t>Internal Control-Integrated Framework</w:t>
      </w:r>
      <w:r>
        <w:rPr>
          <w:rFonts w:ascii="IBM Plex Sans" w:eastAsia="Times New Roman" w:hAnsi="IBM Plex Sans"/>
          <w:color w:val="283030"/>
          <w:sz w:val="20"/>
          <w:szCs w:val="20"/>
        </w:rPr>
        <w:t xml:space="preserve"> (2013 framework). Based on management’s ass</w:t>
      </w:r>
      <w:r>
        <w:rPr>
          <w:rFonts w:ascii="IBM Plex Sans" w:eastAsia="Times New Roman" w:hAnsi="IBM Plex Sans"/>
          <w:color w:val="283030"/>
          <w:sz w:val="20"/>
          <w:szCs w:val="20"/>
        </w:rPr>
        <w:t>essment and those criteria, management concluded that the Company maintained effective internal control over financial reporting as of December 30, 2022.</w:t>
      </w:r>
    </w:p>
    <w:p w:rsidR="00000000" w:rsidRDefault="00F5481A">
      <w:pPr>
        <w:ind w:firstLine="360"/>
        <w:divId w:val="49618004"/>
        <w:rPr>
          <w:rFonts w:eastAsia="Times New Roman"/>
        </w:rPr>
      </w:pPr>
      <w:r>
        <w:rPr>
          <w:rFonts w:ascii="IBM Plex Sans" w:eastAsia="Times New Roman" w:hAnsi="IBM Plex Sans"/>
          <w:color w:val="283030"/>
          <w:sz w:val="20"/>
          <w:szCs w:val="20"/>
        </w:rPr>
        <w:t>The Company’s independent registered public accounting firm, Ernst &amp; Young LLP, has issued a report on</w:t>
      </w:r>
      <w:r>
        <w:rPr>
          <w:rFonts w:ascii="IBM Plex Sans" w:eastAsia="Times New Roman" w:hAnsi="IBM Plex Sans"/>
          <w:color w:val="283030"/>
          <w:sz w:val="20"/>
          <w:szCs w:val="20"/>
        </w:rPr>
        <w:t xml:space="preserve"> the effectiveness of the Company’s internal control over financial reporting. This report appears on page 59 of this Annual Report on Form 10-K.</w:t>
      </w:r>
    </w:p>
    <w:p w:rsidR="00000000" w:rsidRDefault="00F5481A">
      <w:pPr>
        <w:ind w:firstLine="360"/>
        <w:divId w:val="1275594724"/>
        <w:rPr>
          <w:rFonts w:eastAsia="Times New Roman"/>
        </w:rPr>
      </w:pPr>
    </w:p>
    <w:p w:rsidR="00000000" w:rsidRDefault="00F5481A">
      <w:pPr>
        <w:ind w:firstLine="360"/>
        <w:jc w:val="center"/>
        <w:divId w:val="937981076"/>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55</w:t>
      </w:r>
    </w:p>
    <w:p w:rsidR="00000000" w:rsidRDefault="00F5481A">
      <w:pPr>
        <w:rPr>
          <w:rFonts w:eastAsia="Times New Roman"/>
        </w:rPr>
      </w:pPr>
      <w:r>
        <w:rPr>
          <w:rFonts w:eastAsia="Times New Roman"/>
        </w:rPr>
        <w:pict>
          <v:rect id="_x0000_i1086" style="width:0;height:1.5pt" o:hralign="center" o:hrstd="t" o:hr="t" fillcolor="#a0a0a0" stroked="f"/>
        </w:pict>
      </w:r>
    </w:p>
    <w:p w:rsidR="00000000" w:rsidRDefault="00F5481A">
      <w:pPr>
        <w:ind w:firstLine="360"/>
        <w:divId w:val="427042766"/>
        <w:rPr>
          <w:rFonts w:eastAsia="Times New Roman"/>
        </w:rPr>
      </w:pPr>
    </w:p>
    <w:p w:rsidR="00000000" w:rsidRDefault="00F5481A">
      <w:pPr>
        <w:ind w:firstLine="360"/>
        <w:jc w:val="center"/>
        <w:divId w:val="653412841"/>
        <w:rPr>
          <w:rFonts w:eastAsia="Times New Roman"/>
        </w:rPr>
      </w:pPr>
      <w:r>
        <w:rPr>
          <w:rFonts w:ascii="IBM Plex Sans" w:eastAsia="Times New Roman" w:hAnsi="IBM Plex Sans"/>
          <w:b/>
          <w:bCs/>
          <w:color w:val="283030"/>
          <w:sz w:val="20"/>
          <w:szCs w:val="20"/>
        </w:rPr>
        <w:t>Report of Independent Registered Public Accounting Firm</w:t>
      </w:r>
    </w:p>
    <w:p w:rsidR="00000000" w:rsidRDefault="00F5481A">
      <w:pPr>
        <w:divId w:val="121774762"/>
        <w:rPr>
          <w:rFonts w:eastAsia="Times New Roman"/>
        </w:rPr>
      </w:pPr>
      <w:r>
        <w:rPr>
          <w:rFonts w:ascii="IBM Plex Sans" w:eastAsia="Times New Roman" w:hAnsi="IBM Plex Sans"/>
          <w:color w:val="283030"/>
          <w:sz w:val="20"/>
          <w:szCs w:val="20"/>
        </w:rPr>
        <w:t xml:space="preserve">To the Shareholders and the Board of Directors of L3Harris Technologies, Inc. </w:t>
      </w:r>
    </w:p>
    <w:p w:rsidR="00000000" w:rsidRDefault="00F5481A">
      <w:pPr>
        <w:divId w:val="1540699796"/>
        <w:rPr>
          <w:rFonts w:eastAsia="Times New Roman"/>
        </w:rPr>
      </w:pPr>
      <w:r>
        <w:rPr>
          <w:rFonts w:ascii="IBM Plex Sans SemiBold" w:eastAsia="Times New Roman" w:hAnsi="IBM Plex Sans SemiBold"/>
          <w:b/>
          <w:bCs/>
          <w:color w:val="016676"/>
          <w:sz w:val="20"/>
          <w:szCs w:val="20"/>
        </w:rPr>
        <w:t>Opinion on the Financial Statements</w:t>
      </w:r>
    </w:p>
    <w:p w:rsidR="00000000" w:rsidRDefault="00F5481A">
      <w:pPr>
        <w:divId w:val="1648820225"/>
        <w:rPr>
          <w:rFonts w:eastAsia="Times New Roman"/>
        </w:rPr>
      </w:pPr>
      <w:r>
        <w:rPr>
          <w:rFonts w:ascii="IBM Plex Sans" w:eastAsia="Times New Roman" w:hAnsi="IBM Plex Sans"/>
          <w:color w:val="283030"/>
          <w:sz w:val="20"/>
          <w:szCs w:val="20"/>
        </w:rPr>
        <w:t>We have audited the accompanying consolidated balance sheets of L3Harris Technologies, Inc. (the Company) as of December 30, 2022 and December 31, 2021, the related consolidated statements of operations, comprehensive income, cash flows and equity for each</w:t>
      </w:r>
      <w:r>
        <w:rPr>
          <w:rFonts w:ascii="IBM Plex Sans" w:eastAsia="Times New Roman" w:hAnsi="IBM Plex Sans"/>
          <w:color w:val="283030"/>
          <w:sz w:val="20"/>
          <w:szCs w:val="20"/>
        </w:rPr>
        <w:t xml:space="preserve"> of the three years in the period ended December 30, 2022, and the related notes (collectively referred to as the “consolidated financial statements”). In our opinion, the consolidated financial statements present fairly, in all material respects, the fina</w:t>
      </w:r>
      <w:r>
        <w:rPr>
          <w:rFonts w:ascii="IBM Plex Sans" w:eastAsia="Times New Roman" w:hAnsi="IBM Plex Sans"/>
          <w:color w:val="283030"/>
          <w:sz w:val="20"/>
          <w:szCs w:val="20"/>
        </w:rPr>
        <w:t>ncial position of the Company at December 30, 2022 and December 31, 2021, and the results of its operations and its cash flows for each of the three years in the period ended December 30, 2022, in conformity with U.S. generally accepted accounting principl</w:t>
      </w:r>
      <w:r>
        <w:rPr>
          <w:rFonts w:ascii="IBM Plex Sans" w:eastAsia="Times New Roman" w:hAnsi="IBM Plex Sans"/>
          <w:color w:val="283030"/>
          <w:sz w:val="20"/>
          <w:szCs w:val="20"/>
        </w:rPr>
        <w:t>es.</w:t>
      </w:r>
    </w:p>
    <w:p w:rsidR="00000000" w:rsidRDefault="00F5481A">
      <w:pPr>
        <w:divId w:val="507063321"/>
        <w:rPr>
          <w:rFonts w:eastAsia="Times New Roman"/>
        </w:rPr>
      </w:pPr>
      <w:r>
        <w:rPr>
          <w:rFonts w:ascii="IBM Plex Sans" w:eastAsia="Times New Roman" w:hAnsi="IBM Plex Sans"/>
          <w:color w:val="283030"/>
          <w:sz w:val="20"/>
          <w:szCs w:val="20"/>
        </w:rPr>
        <w:t xml:space="preserve">We also have audited, in accordance with the standards of the Public Company Accounting Oversight Board (United States) (PCAOB), the Company's internal control over financial reporting as of December 30, 2022, based on criteria established in Internal </w:t>
      </w:r>
      <w:r>
        <w:rPr>
          <w:rFonts w:ascii="IBM Plex Sans" w:eastAsia="Times New Roman" w:hAnsi="IBM Plex Sans"/>
          <w:color w:val="283030"/>
          <w:sz w:val="20"/>
          <w:szCs w:val="20"/>
        </w:rPr>
        <w:t>Control-Integrated Framework issued by the Committee of Sponsoring Organizations of the Treadway Commission (2013 framework), and our report dated February 24, 2023 expressed an unqualified opinion thereon.</w:t>
      </w:r>
    </w:p>
    <w:p w:rsidR="00000000" w:rsidRDefault="00F5481A">
      <w:pPr>
        <w:divId w:val="1460882605"/>
        <w:rPr>
          <w:rFonts w:eastAsia="Times New Roman"/>
        </w:rPr>
      </w:pPr>
      <w:r>
        <w:rPr>
          <w:rFonts w:ascii="IBM Plex Sans SemiBold" w:eastAsia="Times New Roman" w:hAnsi="IBM Plex Sans SemiBold"/>
          <w:b/>
          <w:bCs/>
          <w:color w:val="016676"/>
          <w:sz w:val="20"/>
          <w:szCs w:val="20"/>
        </w:rPr>
        <w:t>Basis for Opinion</w:t>
      </w:r>
    </w:p>
    <w:p w:rsidR="00000000" w:rsidRDefault="00F5481A">
      <w:pPr>
        <w:divId w:val="599720311"/>
        <w:rPr>
          <w:rFonts w:eastAsia="Times New Roman"/>
        </w:rPr>
      </w:pPr>
      <w:r>
        <w:rPr>
          <w:rFonts w:ascii="IBM Plex Sans" w:eastAsia="Times New Roman" w:hAnsi="IBM Plex Sans"/>
          <w:color w:val="283030"/>
          <w:sz w:val="20"/>
          <w:szCs w:val="20"/>
        </w:rPr>
        <w:t xml:space="preserve">These financial statements are </w:t>
      </w:r>
      <w:r>
        <w:rPr>
          <w:rFonts w:ascii="IBM Plex Sans" w:eastAsia="Times New Roman" w:hAnsi="IBM Plex Sans"/>
          <w:color w:val="283030"/>
          <w:sz w:val="20"/>
          <w:szCs w:val="20"/>
        </w:rPr>
        <w:t>the responsibility of the Company's management. Our responsibility is to express an opinion on the Company’s financial statements based on our audits. We are a public accounting firm registered with the PCAOB and are required to be independent with respect</w:t>
      </w:r>
      <w:r>
        <w:rPr>
          <w:rFonts w:ascii="IBM Plex Sans" w:eastAsia="Times New Roman" w:hAnsi="IBM Plex Sans"/>
          <w:color w:val="283030"/>
          <w:sz w:val="20"/>
          <w:szCs w:val="20"/>
        </w:rPr>
        <w:t xml:space="preserve"> to the Company in accordance with the U.S. federal securities laws and the applicable rules and regulations of the Securities and Exchange Commission and the PCAOB.</w:t>
      </w:r>
    </w:p>
    <w:p w:rsidR="00000000" w:rsidRDefault="00F5481A">
      <w:pPr>
        <w:divId w:val="704907113"/>
        <w:rPr>
          <w:rFonts w:eastAsia="Times New Roman"/>
        </w:rPr>
      </w:pPr>
      <w:r>
        <w:rPr>
          <w:rFonts w:ascii="IBM Plex Sans" w:eastAsia="Times New Roman" w:hAnsi="IBM Plex Sans"/>
          <w:color w:val="283030"/>
          <w:sz w:val="20"/>
          <w:szCs w:val="20"/>
        </w:rPr>
        <w:t>We conducted our audits in accordance with the standards of the PCAOB. Those standards req</w:t>
      </w:r>
      <w:r>
        <w:rPr>
          <w:rFonts w:ascii="IBM Plex Sans" w:eastAsia="Times New Roman" w:hAnsi="IBM Plex Sans"/>
          <w:color w:val="283030"/>
          <w:sz w:val="20"/>
          <w:szCs w:val="20"/>
        </w:rPr>
        <w:t>uire that we plan and perform the audit to obtain reasonable assurance about whether the financial statements are free of material misstatement, whether due to error or fraud. Our audits included performing procedures to assess the risks of material missta</w:t>
      </w:r>
      <w:r>
        <w:rPr>
          <w:rFonts w:ascii="IBM Plex Sans" w:eastAsia="Times New Roman" w:hAnsi="IBM Plex Sans"/>
          <w:color w:val="283030"/>
          <w:sz w:val="20"/>
          <w:szCs w:val="20"/>
        </w:rPr>
        <w:t>tement of the financial statements, whether due to error or fraud, and performing procedures that respond to those risks. Such procedures included examining, on a test basis, evidence regarding the amounts and disclosures in the financial statements. Our a</w:t>
      </w:r>
      <w:r>
        <w:rPr>
          <w:rFonts w:ascii="IBM Plex Sans" w:eastAsia="Times New Roman" w:hAnsi="IBM Plex Sans"/>
          <w:color w:val="283030"/>
          <w:sz w:val="20"/>
          <w:szCs w:val="20"/>
        </w:rPr>
        <w:t>udits also included evaluating the accounting principles used and significant estimates made by management, as well as evaluating the overall presentation of the financial statements. We believe that our audits provide a reasonable basis for our opinion.</w:t>
      </w:r>
    </w:p>
    <w:p w:rsidR="00000000" w:rsidRDefault="00F5481A">
      <w:pPr>
        <w:divId w:val="1494905011"/>
        <w:rPr>
          <w:rFonts w:eastAsia="Times New Roman"/>
        </w:rPr>
      </w:pPr>
      <w:r>
        <w:rPr>
          <w:rFonts w:ascii="IBM Plex Sans SemiBold" w:eastAsia="Times New Roman" w:hAnsi="IBM Plex Sans SemiBold"/>
          <w:b/>
          <w:bCs/>
          <w:color w:val="016676"/>
          <w:sz w:val="20"/>
          <w:szCs w:val="20"/>
        </w:rPr>
        <w:t xml:space="preserve">Critical Audit Matters </w:t>
      </w:r>
    </w:p>
    <w:p w:rsidR="00000000" w:rsidRDefault="00F5481A">
      <w:pPr>
        <w:divId w:val="629170509"/>
        <w:rPr>
          <w:rFonts w:eastAsia="Times New Roman"/>
        </w:rPr>
      </w:pPr>
      <w:r>
        <w:rPr>
          <w:rFonts w:ascii="IBM Plex Sans" w:eastAsia="Times New Roman" w:hAnsi="IBM Plex Sans"/>
          <w:color w:val="283030"/>
          <w:sz w:val="20"/>
          <w:szCs w:val="20"/>
        </w:rPr>
        <w:t>The critical audit matters communicated below are matters arising from the current period audit of the financial statements that were communicated or required to be communicated to the audit committee and that: (1) relate to account</w:t>
      </w:r>
      <w:r>
        <w:rPr>
          <w:rFonts w:ascii="IBM Plex Sans" w:eastAsia="Times New Roman" w:hAnsi="IBM Plex Sans"/>
          <w:color w:val="283030"/>
          <w:sz w:val="20"/>
          <w:szCs w:val="20"/>
        </w:rPr>
        <w:t>s or disclosures that are material to the financial statements and (2) involved our especially challenging, subjective or complex judgments. The communication of critical audit matters does not alter in any way our opinion on the consolidated financial sta</w:t>
      </w:r>
      <w:r>
        <w:rPr>
          <w:rFonts w:ascii="IBM Plex Sans" w:eastAsia="Times New Roman" w:hAnsi="IBM Plex Sans"/>
          <w:color w:val="283030"/>
          <w:sz w:val="20"/>
          <w:szCs w:val="20"/>
        </w:rPr>
        <w:t>tements, taken as a whole, and we are not, by communicating the critical audit matters below, providing separate opinions on the critical audit matters or on the accounts or disclosures to which they relate.</w:t>
      </w:r>
    </w:p>
    <w:p w:rsidR="00000000" w:rsidRDefault="00F5481A">
      <w:pPr>
        <w:ind w:firstLine="360"/>
        <w:divId w:val="1550148350"/>
        <w:rPr>
          <w:rFonts w:eastAsia="Times New Roman"/>
        </w:rPr>
      </w:pPr>
    </w:p>
    <w:p w:rsidR="00000000" w:rsidRDefault="00F5481A">
      <w:pPr>
        <w:ind w:firstLine="360"/>
        <w:jc w:val="center"/>
        <w:divId w:val="1369838427"/>
        <w:rPr>
          <w:rFonts w:eastAsia="Times New Roman"/>
        </w:rPr>
      </w:pPr>
      <w:r>
        <w:rPr>
          <w:rFonts w:ascii="Arial" w:eastAsia="Times New Roman" w:hAnsi="Arial" w:cs="Arial"/>
          <w:b/>
          <w:bCs/>
          <w:color w:val="016676"/>
        </w:rPr>
        <w:t>______________________________________________</w:t>
      </w:r>
      <w:r>
        <w:rPr>
          <w:rFonts w:ascii="Arial" w:eastAsia="Times New Roman" w:hAnsi="Arial" w:cs="Arial"/>
          <w:b/>
          <w:bCs/>
          <w:color w:val="016676"/>
        </w:rPr>
        <w:t>_______________________</w:t>
      </w:r>
      <w:r>
        <w:rPr>
          <w:rFonts w:ascii="Arial" w:eastAsia="Times New Roman" w:hAnsi="Arial" w:cs="Arial"/>
          <w:b/>
          <w:bCs/>
          <w:color w:val="233D6F"/>
        </w:rPr>
        <w:br/>
      </w:r>
      <w:r>
        <w:rPr>
          <w:rFonts w:ascii="IBM Plex Sans" w:eastAsia="Times New Roman" w:hAnsi="IBM Plex Sans"/>
          <w:color w:val="283030"/>
          <w:sz w:val="20"/>
          <w:szCs w:val="20"/>
        </w:rPr>
        <w:t>56</w:t>
      </w:r>
    </w:p>
    <w:p w:rsidR="00000000" w:rsidRDefault="00F5481A">
      <w:pPr>
        <w:rPr>
          <w:rFonts w:eastAsia="Times New Roman"/>
        </w:rPr>
      </w:pPr>
      <w:r>
        <w:rPr>
          <w:rFonts w:eastAsia="Times New Roman"/>
        </w:rPr>
        <w:pict>
          <v:rect id="_x0000_i1087" style="width:0;height:1.5pt" o:hralign="center" o:hrstd="t" o:hr="t" fillcolor="#a0a0a0" stroked="f"/>
        </w:pict>
      </w:r>
    </w:p>
    <w:p w:rsidR="00000000" w:rsidRDefault="00F5481A">
      <w:pPr>
        <w:ind w:firstLine="360"/>
        <w:divId w:val="1300379783"/>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1758"/>
        <w:gridCol w:w="36"/>
        <w:gridCol w:w="69"/>
        <w:gridCol w:w="6337"/>
        <w:gridCol w:w="38"/>
      </w:tblGrid>
      <w:tr w:rsidR="00000000">
        <w:trPr>
          <w:divId w:val="417749212"/>
          <w:jc w:val="center"/>
        </w:trPr>
        <w:tc>
          <w:tcPr>
            <w:tcW w:w="50" w:type="pct"/>
            <w:vAlign w:val="center"/>
            <w:hideMark/>
          </w:tcPr>
          <w:p w:rsidR="00000000" w:rsidRDefault="00F5481A">
            <w:pPr>
              <w:ind w:firstLine="360"/>
              <w:rPr>
                <w:rFonts w:eastAsia="Times New Roman"/>
              </w:rPr>
            </w:pPr>
          </w:p>
        </w:tc>
        <w:tc>
          <w:tcPr>
            <w:tcW w:w="1067"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382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417749212"/>
          <w:jc w:val="center"/>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b/>
                <w:bCs/>
                <w:i/>
                <w:iCs/>
                <w:color w:val="283030"/>
                <w:sz w:val="20"/>
                <w:szCs w:val="20"/>
              </w:rPr>
              <w:t>Cost estimation for revenue recognition on development and production contracts</w:t>
            </w:r>
          </w:p>
        </w:tc>
      </w:tr>
      <w:tr w:rsidR="00000000">
        <w:trPr>
          <w:divId w:val="417749212"/>
          <w:jc w:val="center"/>
        </w:trPr>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i/>
                <w:iCs/>
                <w:color w:val="283030"/>
                <w:sz w:val="20"/>
                <w:szCs w:val="20"/>
              </w:rPr>
              <w:t>Description of the Matter</w:t>
            </w:r>
          </w:p>
        </w:tc>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As described in the consolidated financial statements, the Company recognized revenue for certain of its development and production contracts over time, typically using a percentage of completion cost-to-cost method, which required estimates of costs at co</w:t>
            </w:r>
            <w:r>
              <w:rPr>
                <w:rFonts w:ascii="IBM Plex Sans" w:eastAsia="Times New Roman" w:hAnsi="IBM Plex Sans"/>
                <w:color w:val="283030"/>
                <w:sz w:val="20"/>
                <w:szCs w:val="20"/>
              </w:rPr>
              <w:t xml:space="preserve">mpletion for each contract. At the outset of each contract, the Company gauges its complexity and perceived risks and establishes an estimated total cost at completion with these expectations. After establishing the estimated total cost at completion, the </w:t>
            </w:r>
            <w:r>
              <w:rPr>
                <w:rFonts w:ascii="IBM Plex Sans" w:eastAsia="Times New Roman" w:hAnsi="IBM Plex Sans"/>
                <w:color w:val="283030"/>
                <w:sz w:val="20"/>
                <w:szCs w:val="20"/>
              </w:rPr>
              <w:t>Company reviews the progress and performance on its ongoing contracts at least quarterly and updates the estimated total cost at completion. Such estimates are subject to change during the performance of the contract and significant changes in estimates co</w:t>
            </w:r>
            <w:r>
              <w:rPr>
                <w:rFonts w:ascii="IBM Plex Sans" w:eastAsia="Times New Roman" w:hAnsi="IBM Plex Sans"/>
                <w:color w:val="283030"/>
                <w:sz w:val="20"/>
                <w:szCs w:val="20"/>
              </w:rPr>
              <w:t>uld have a material effect on the Company’s results of operations.</w:t>
            </w:r>
            <w:r>
              <w:rPr>
                <w:rFonts w:ascii="IBM Plex Sans" w:eastAsia="Times New Roman" w:hAnsi="IBM Plex Sans"/>
                <w:color w:val="283030"/>
                <w:sz w:val="20"/>
                <w:szCs w:val="20"/>
              </w:rPr>
              <w:br/>
            </w:r>
            <w:r>
              <w:rPr>
                <w:rFonts w:ascii="IBM Plex Sans" w:eastAsia="Times New Roman" w:hAnsi="IBM Plex Sans"/>
                <w:sz w:val="20"/>
                <w:szCs w:val="20"/>
              </w:rPr>
              <w:br/>
            </w:r>
            <w:r>
              <w:rPr>
                <w:rFonts w:ascii="IBM Plex Sans" w:eastAsia="Times New Roman" w:hAnsi="IBM Plex Sans"/>
                <w:color w:val="283030"/>
                <w:sz w:val="20"/>
                <w:szCs w:val="20"/>
              </w:rPr>
              <w:t>Auditing the cost estimation for revenue recognition on development and production contracts where revenue is recognized over time using the POC cost-to-cost method involved subjective aud</w:t>
            </w:r>
            <w:r>
              <w:rPr>
                <w:rFonts w:ascii="IBM Plex Sans" w:eastAsia="Times New Roman" w:hAnsi="IBM Plex Sans"/>
                <w:color w:val="283030"/>
                <w:sz w:val="20"/>
                <w:szCs w:val="20"/>
              </w:rPr>
              <w:t xml:space="preserve">itor judgment because the Company’s development of the estimated total cost at completion requires estimates of the cost of the work to be completed based on the Company’s underlying assumptions around achieving the technical, schedule and cost aspects of </w:t>
            </w:r>
            <w:r>
              <w:rPr>
                <w:rFonts w:ascii="IBM Plex Sans" w:eastAsia="Times New Roman" w:hAnsi="IBM Plex Sans"/>
                <w:color w:val="283030"/>
                <w:sz w:val="20"/>
                <w:szCs w:val="20"/>
              </w:rPr>
              <w:t xml:space="preserve">its contracts. In determining the estimates of the cost of the work to be completed, the Company considered the nature and complexity of the work to be performed, subcontractor performance and the risk and impact of delayed performance. Estimates of total </w:t>
            </w:r>
            <w:r>
              <w:rPr>
                <w:rFonts w:ascii="IBM Plex Sans" w:eastAsia="Times New Roman" w:hAnsi="IBM Plex Sans"/>
                <w:color w:val="283030"/>
                <w:sz w:val="20"/>
                <w:szCs w:val="20"/>
              </w:rPr>
              <w:t>cost at completion are also affected by management’s assessment of the current status of the contract and expectation for performance on the contract, as well as historical experience.</w:t>
            </w:r>
          </w:p>
        </w:tc>
      </w:tr>
      <w:tr w:rsidR="00000000">
        <w:trPr>
          <w:divId w:val="417749212"/>
          <w:jc w:val="center"/>
        </w:trPr>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i/>
                <w:iCs/>
                <w:color w:val="283030"/>
                <w:sz w:val="20"/>
                <w:szCs w:val="20"/>
              </w:rPr>
              <w:t>How We Addressed the Matter in Our Audit</w:t>
            </w:r>
          </w:p>
        </w:tc>
        <w:tc>
          <w:tcPr>
            <w:tcW w:w="0" w:type="auto"/>
            <w:gridSpan w:val="3"/>
            <w:tcMar>
              <w:top w:w="30" w:type="dxa"/>
              <w:left w:w="20" w:type="dxa"/>
              <w:bottom w:w="30" w:type="dxa"/>
              <w:right w:w="20" w:type="dxa"/>
            </w:tcMar>
            <w:hideMark/>
          </w:tcPr>
          <w:p w:rsidR="00000000" w:rsidRDefault="00F5481A">
            <w:pPr>
              <w:spacing w:after="100"/>
              <w:divId w:val="1512336274"/>
              <w:rPr>
                <w:rFonts w:eastAsia="Times New Roman"/>
              </w:rPr>
            </w:pPr>
            <w:r>
              <w:rPr>
                <w:rFonts w:ascii="IBM Plex Sans" w:eastAsia="Times New Roman" w:hAnsi="IBM Plex Sans"/>
                <w:color w:val="283030"/>
                <w:sz w:val="20"/>
                <w:szCs w:val="20"/>
              </w:rPr>
              <w:t>We obtained an understand</w:t>
            </w:r>
            <w:r>
              <w:rPr>
                <w:rFonts w:ascii="IBM Plex Sans" w:eastAsia="Times New Roman" w:hAnsi="IBM Plex Sans"/>
                <w:color w:val="283030"/>
                <w:sz w:val="20"/>
                <w:szCs w:val="20"/>
              </w:rPr>
              <w:t>ing, evaluated the design and tested the operating effectiveness of certain internal controls over the Company’s accounting for cost estimation for development and production contracts. For example, we tested certain controls over management’s review of th</w:t>
            </w:r>
            <w:r>
              <w:rPr>
                <w:rFonts w:ascii="IBM Plex Sans" w:eastAsia="Times New Roman" w:hAnsi="IBM Plex Sans"/>
                <w:color w:val="283030"/>
                <w:sz w:val="20"/>
                <w:szCs w:val="20"/>
              </w:rPr>
              <w:t>e estimate at completion analyses and the significant assumptions underlying the estimated total costs at completion. We also tested certain of management’s controls to validate that the data used in the estimate at completion analyses was complete and acc</w:t>
            </w:r>
            <w:r>
              <w:rPr>
                <w:rFonts w:ascii="IBM Plex Sans" w:eastAsia="Times New Roman" w:hAnsi="IBM Plex Sans"/>
                <w:color w:val="283030"/>
                <w:sz w:val="20"/>
                <w:szCs w:val="20"/>
              </w:rPr>
              <w:t>urate.</w:t>
            </w:r>
          </w:p>
          <w:p w:rsidR="00000000" w:rsidRDefault="00F5481A">
            <w:pPr>
              <w:spacing w:after="100"/>
              <w:divId w:val="1597051966"/>
              <w:rPr>
                <w:rFonts w:eastAsia="Times New Roman"/>
              </w:rPr>
            </w:pPr>
            <w:r>
              <w:rPr>
                <w:rFonts w:ascii="IBM Plex Sans" w:eastAsia="Times New Roman" w:hAnsi="IBM Plex Sans"/>
                <w:color w:val="283030"/>
                <w:sz w:val="20"/>
                <w:szCs w:val="20"/>
              </w:rPr>
              <w:t xml:space="preserve">To test the cost estimation for development and production contracts, our audit procedures included, among others, obtaining an understanding of the contract, meeting with program management to confirm our understanding of the risks associated with </w:t>
            </w:r>
            <w:r>
              <w:rPr>
                <w:rFonts w:ascii="IBM Plex Sans" w:eastAsia="Times New Roman" w:hAnsi="IBM Plex Sans"/>
                <w:color w:val="283030"/>
                <w:sz w:val="20"/>
                <w:szCs w:val="20"/>
              </w:rPr>
              <w:t>the arrangement and the current contract performance, review of customer correspondence and contractual milestones and comparing cost estimates to historical cost experience with similar contracts, when applicable. Additionally, we obtained an understandin</w:t>
            </w:r>
            <w:r>
              <w:rPr>
                <w:rFonts w:ascii="IBM Plex Sans" w:eastAsia="Times New Roman" w:hAnsi="IBM Plex Sans"/>
                <w:color w:val="283030"/>
                <w:sz w:val="20"/>
                <w:szCs w:val="20"/>
              </w:rPr>
              <w:t>g of the Company’s past performance of estimating total costs at completion by reviewing changes in the cost estimates from previous periods and reviewing the overall accuracy of management’s cost to completion estimations through lookback analyses.</w:t>
            </w:r>
          </w:p>
        </w:tc>
      </w:tr>
    </w:tbl>
    <w:p w:rsidR="00000000" w:rsidRDefault="00F5481A">
      <w:pPr>
        <w:ind w:firstLine="360"/>
        <w:jc w:val="center"/>
        <w:divId w:val="304818721"/>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57</w:t>
      </w:r>
    </w:p>
    <w:p w:rsidR="00000000" w:rsidRDefault="00F5481A">
      <w:pPr>
        <w:rPr>
          <w:rFonts w:eastAsia="Times New Roman"/>
        </w:rPr>
      </w:pPr>
      <w:r>
        <w:rPr>
          <w:rFonts w:eastAsia="Times New Roman"/>
        </w:rPr>
        <w:pict>
          <v:rect id="_x0000_i1088" style="width:0;height:1.5pt" o:hralign="center" o:hrstd="t" o:hr="t" fillcolor="#a0a0a0" stroked="f"/>
        </w:pict>
      </w:r>
    </w:p>
    <w:p w:rsidR="00000000" w:rsidRDefault="00F5481A">
      <w:pPr>
        <w:ind w:firstLine="360"/>
        <w:divId w:val="2083137962"/>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1759"/>
        <w:gridCol w:w="36"/>
        <w:gridCol w:w="69"/>
        <w:gridCol w:w="6337"/>
        <w:gridCol w:w="37"/>
      </w:tblGrid>
      <w:tr w:rsidR="00000000">
        <w:trPr>
          <w:divId w:val="233856608"/>
          <w:jc w:val="center"/>
        </w:trPr>
        <w:tc>
          <w:tcPr>
            <w:tcW w:w="50" w:type="pct"/>
            <w:vAlign w:val="center"/>
            <w:hideMark/>
          </w:tcPr>
          <w:p w:rsidR="00000000" w:rsidRDefault="00F5481A">
            <w:pPr>
              <w:ind w:firstLine="360"/>
              <w:rPr>
                <w:rFonts w:eastAsia="Times New Roman"/>
              </w:rPr>
            </w:pPr>
          </w:p>
        </w:tc>
        <w:tc>
          <w:tcPr>
            <w:tcW w:w="1067"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382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233856608"/>
          <w:jc w:val="center"/>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b/>
                <w:bCs/>
                <w:i/>
                <w:iCs/>
                <w:color w:val="283030"/>
                <w:sz w:val="20"/>
                <w:szCs w:val="20"/>
              </w:rPr>
              <w:t>Valuation of Goodwill</w:t>
            </w:r>
          </w:p>
        </w:tc>
      </w:tr>
      <w:tr w:rsidR="00000000">
        <w:trPr>
          <w:divId w:val="233856608"/>
          <w:jc w:val="center"/>
        </w:trPr>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i/>
                <w:iCs/>
                <w:color w:val="283030"/>
                <w:sz w:val="20"/>
                <w:szCs w:val="20"/>
              </w:rPr>
              <w:t>Description of the Matter</w:t>
            </w:r>
          </w:p>
        </w:tc>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At December 30, 2022, the Company’</w:t>
            </w:r>
            <w:r>
              <w:rPr>
                <w:rFonts w:ascii="IBM Plex Sans" w:eastAsia="Times New Roman" w:hAnsi="IBM Plex Sans"/>
                <w:color w:val="283030"/>
                <w:sz w:val="20"/>
                <w:szCs w:val="20"/>
              </w:rPr>
              <w:t>s goodwill was $17 billion. As more fully described in the consolidated financial statements, the Company tests goodwill for impairment annually (or under certain circumstances, more frequently) at the reporting unit level using either a qualitative or qua</w:t>
            </w:r>
            <w:r>
              <w:rPr>
                <w:rFonts w:ascii="IBM Plex Sans" w:eastAsia="Times New Roman" w:hAnsi="IBM Plex Sans"/>
                <w:color w:val="283030"/>
                <w:sz w:val="20"/>
                <w:szCs w:val="20"/>
              </w:rPr>
              <w:t>ntitative assessment. Under the quantitative assessment to test for goodwill impairment, the Company compares the fair value of a reporting unit to its carrying amount, including goodwill. The Company estimates the fair value of its reporting units using a</w:t>
            </w:r>
            <w:r>
              <w:rPr>
                <w:rFonts w:ascii="IBM Plex Sans" w:eastAsia="Times New Roman" w:hAnsi="IBM Plex Sans"/>
                <w:color w:val="283030"/>
                <w:sz w:val="20"/>
                <w:szCs w:val="20"/>
              </w:rPr>
              <w:t xml:space="preserve"> combination of a discounted cash flows analysis and market-based valuation methodologies. As further discussed in the footnotes to the consolidated financial statements, during the year ended December 30, 2022, the Company recorded $802 million of goodwil</w:t>
            </w:r>
            <w:r>
              <w:rPr>
                <w:rFonts w:ascii="IBM Plex Sans" w:eastAsia="Times New Roman" w:hAnsi="IBM Plex Sans"/>
                <w:color w:val="283030"/>
                <w:sz w:val="20"/>
                <w:szCs w:val="20"/>
              </w:rPr>
              <w:t>l impairment charges at reporting units within the Integration Mission Systems and Communication Systems segments.</w:t>
            </w:r>
            <w:r>
              <w:rPr>
                <w:rFonts w:ascii="IBM Plex Sans" w:eastAsia="Times New Roman" w:hAnsi="IBM Plex Sans"/>
                <w:color w:val="283030"/>
                <w:sz w:val="20"/>
                <w:szCs w:val="20"/>
              </w:rPr>
              <w:br/>
            </w:r>
            <w:r>
              <w:rPr>
                <w:rFonts w:ascii="IBM Plex Sans" w:eastAsia="Times New Roman" w:hAnsi="IBM Plex Sans"/>
                <w:sz w:val="20"/>
                <w:szCs w:val="20"/>
              </w:rPr>
              <w:br/>
            </w:r>
            <w:r>
              <w:rPr>
                <w:rFonts w:ascii="IBM Plex Sans" w:eastAsia="Times New Roman" w:hAnsi="IBM Plex Sans"/>
                <w:color w:val="283030"/>
                <w:sz w:val="20"/>
                <w:szCs w:val="20"/>
              </w:rPr>
              <w:t>Auditing the Company’s quantitative goodwill impairment tests involved subjective auditor judgment due to the significant estimation require</w:t>
            </w:r>
            <w:r>
              <w:rPr>
                <w:rFonts w:ascii="IBM Plex Sans" w:eastAsia="Times New Roman" w:hAnsi="IBM Plex Sans"/>
                <w:color w:val="283030"/>
                <w:sz w:val="20"/>
                <w:szCs w:val="20"/>
              </w:rPr>
              <w:t>d in management’s determination of the fair value of the reporting units. The significant estimation is primarily due to the sensitivity of the respective fair values to underlying assumptions, including changes in the weighted average cost of capital, pro</w:t>
            </w:r>
            <w:r>
              <w:rPr>
                <w:rFonts w:ascii="IBM Plex Sans" w:eastAsia="Times New Roman" w:hAnsi="IBM Plex Sans"/>
                <w:color w:val="283030"/>
                <w:sz w:val="20"/>
                <w:szCs w:val="20"/>
              </w:rPr>
              <w:t>jected revenue growth rates, projected operating margins, terminal growth rate and market multiples. These assumptions relate to the expected future operating performance of the Company’s reporting units, are forward-looking and are sensitive to and affect</w:t>
            </w:r>
            <w:r>
              <w:rPr>
                <w:rFonts w:ascii="IBM Plex Sans" w:eastAsia="Times New Roman" w:hAnsi="IBM Plex Sans"/>
                <w:color w:val="283030"/>
                <w:sz w:val="20"/>
                <w:szCs w:val="20"/>
              </w:rPr>
              <w:t>ed by economic, industry and company-specific qualitative factors.</w:t>
            </w:r>
          </w:p>
        </w:tc>
      </w:tr>
      <w:tr w:rsidR="00000000">
        <w:trPr>
          <w:divId w:val="233856608"/>
          <w:jc w:val="center"/>
        </w:trPr>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i/>
                <w:iCs/>
                <w:color w:val="283030"/>
                <w:sz w:val="20"/>
                <w:szCs w:val="20"/>
              </w:rPr>
              <w:t>How We Addressed the Matter in Our Audit</w:t>
            </w:r>
          </w:p>
        </w:tc>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We obtained an understanding, evaluated the design and tested the operating effectiveness of relevant internal controls over the Company’s good</w:t>
            </w:r>
            <w:r>
              <w:rPr>
                <w:rFonts w:ascii="IBM Plex Sans" w:eastAsia="Times New Roman" w:hAnsi="IBM Plex Sans"/>
                <w:color w:val="283030"/>
                <w:sz w:val="20"/>
                <w:szCs w:val="20"/>
              </w:rPr>
              <w:t xml:space="preserve">will impairment review process, including controls over management’s review of the significant assumptions used in the valuation models. We also tested management’s controls to validate that the data used in the valuation models was complete and accurate. </w:t>
            </w:r>
            <w:r>
              <w:rPr>
                <w:rFonts w:ascii="IBM Plex Sans" w:eastAsia="Times New Roman" w:hAnsi="IBM Plex Sans"/>
                <w:color w:val="283030"/>
                <w:sz w:val="20"/>
                <w:szCs w:val="20"/>
              </w:rPr>
              <w:br/>
            </w:r>
            <w:r>
              <w:rPr>
                <w:rFonts w:ascii="IBM Plex Sans" w:eastAsia="Times New Roman" w:hAnsi="IBM Plex Sans"/>
                <w:sz w:val="20"/>
                <w:szCs w:val="20"/>
              </w:rPr>
              <w:br/>
            </w:r>
            <w:r>
              <w:rPr>
                <w:rFonts w:ascii="IBM Plex Sans" w:eastAsia="Times New Roman" w:hAnsi="IBM Plex Sans"/>
                <w:color w:val="283030"/>
                <w:sz w:val="20"/>
                <w:szCs w:val="20"/>
              </w:rPr>
              <w:t>To test the estimated fair value of the Company’s reporting units, we performed audit procedures that included, among others, assessing the valuation methodologies used by the Company, involving our valuation specialists to assist in testing the signific</w:t>
            </w:r>
            <w:r>
              <w:rPr>
                <w:rFonts w:ascii="IBM Plex Sans" w:eastAsia="Times New Roman" w:hAnsi="IBM Plex Sans"/>
                <w:color w:val="283030"/>
                <w:sz w:val="20"/>
                <w:szCs w:val="20"/>
              </w:rPr>
              <w:t>ant assumptions discussed above and testing the completeness and accuracy of the underlying data the Company used in its valuation analyses. For example, we compared the significant assumptions used by management to current industry, market and economic tr</w:t>
            </w:r>
            <w:r>
              <w:rPr>
                <w:rFonts w:ascii="IBM Plex Sans" w:eastAsia="Times New Roman" w:hAnsi="IBM Plex Sans"/>
                <w:color w:val="283030"/>
                <w:sz w:val="20"/>
                <w:szCs w:val="20"/>
              </w:rPr>
              <w:t>ends, the historical results of the reporting units and other relevant factors. We also assessed the historical accuracy of management’s valuation estimates and performed sensitivity analyses of significant assumptions used in the impairment tests to evalu</w:t>
            </w:r>
            <w:r>
              <w:rPr>
                <w:rFonts w:ascii="IBM Plex Sans" w:eastAsia="Times New Roman" w:hAnsi="IBM Plex Sans"/>
                <w:color w:val="283030"/>
                <w:sz w:val="20"/>
                <w:szCs w:val="20"/>
              </w:rPr>
              <w:t>ate the change in the fair value of the reporting unit resulting from changes in the significant assumptions.</w:t>
            </w:r>
            <w:r>
              <w:rPr>
                <w:rFonts w:ascii="IBM Plex Sans" w:eastAsia="Times New Roman" w:hAnsi="IBM Plex Sans"/>
                <w:color w:val="283030"/>
                <w:sz w:val="20"/>
                <w:szCs w:val="20"/>
              </w:rPr>
              <w:br/>
            </w:r>
            <w:r>
              <w:rPr>
                <w:rFonts w:ascii="IBM Plex Sans" w:eastAsia="Times New Roman" w:hAnsi="IBM Plex Sans"/>
                <w:sz w:val="20"/>
                <w:szCs w:val="20"/>
              </w:rPr>
              <w:br/>
            </w:r>
            <w:r>
              <w:rPr>
                <w:rFonts w:ascii="IBM Plex Sans" w:eastAsia="Times New Roman" w:hAnsi="IBM Plex Sans"/>
                <w:color w:val="283030"/>
                <w:sz w:val="20"/>
                <w:szCs w:val="20"/>
              </w:rPr>
              <w:t>In addition, we reviewed the reconciliation of the fair value of the reporting units based on the annual impairment test to the market capitaliza</w:t>
            </w:r>
            <w:r>
              <w:rPr>
                <w:rFonts w:ascii="IBM Plex Sans" w:eastAsia="Times New Roman" w:hAnsi="IBM Plex Sans"/>
                <w:color w:val="283030"/>
                <w:sz w:val="20"/>
                <w:szCs w:val="20"/>
              </w:rPr>
              <w:t>tion of the Company.</w:t>
            </w:r>
          </w:p>
        </w:tc>
      </w:tr>
    </w:tbl>
    <w:p w:rsidR="00000000" w:rsidRDefault="00F5481A">
      <w:pPr>
        <w:ind w:firstLine="360"/>
        <w:divId w:val="455105375"/>
        <w:rPr>
          <w:rFonts w:eastAsia="Times New Roman"/>
        </w:rPr>
      </w:pPr>
    </w:p>
    <w:p w:rsidR="00000000" w:rsidRDefault="00F5481A">
      <w:pPr>
        <w:divId w:val="1935822169"/>
        <w:rPr>
          <w:rFonts w:eastAsia="Times New Roman"/>
        </w:rPr>
      </w:pPr>
      <w:r>
        <w:rPr>
          <w:rFonts w:ascii="IBM Plex Sans" w:eastAsia="Times New Roman" w:hAnsi="IBM Plex Sans"/>
          <w:color w:val="283030"/>
          <w:sz w:val="20"/>
          <w:szCs w:val="20"/>
        </w:rPr>
        <w:t>We have served as the Company’s auditor since at least 1932, but we are unable to determine the specific year.</w:t>
      </w:r>
    </w:p>
    <w:p w:rsidR="00000000" w:rsidRDefault="00F5481A">
      <w:pPr>
        <w:divId w:val="1598445568"/>
        <w:rPr>
          <w:rFonts w:eastAsia="Times New Roman"/>
        </w:rPr>
      </w:pPr>
      <w:r>
        <w:rPr>
          <w:rFonts w:ascii="IBM Plex Sans" w:eastAsia="Times New Roman" w:hAnsi="IBM Plex Sans"/>
          <w:color w:val="283030"/>
          <w:sz w:val="20"/>
          <w:szCs w:val="20"/>
        </w:rPr>
        <w:t>/s/ Ernst &amp; Young LLP</w:t>
      </w:r>
    </w:p>
    <w:p w:rsidR="00000000" w:rsidRDefault="00F5481A">
      <w:pPr>
        <w:divId w:val="719020364"/>
        <w:rPr>
          <w:rFonts w:eastAsia="Times New Roman"/>
        </w:rPr>
      </w:pPr>
      <w:r>
        <w:rPr>
          <w:rFonts w:ascii="IBM Plex Sans" w:eastAsia="Times New Roman" w:hAnsi="IBM Plex Sans"/>
          <w:color w:val="283030"/>
          <w:sz w:val="20"/>
          <w:szCs w:val="20"/>
        </w:rPr>
        <w:t>Orlando, Florida</w:t>
      </w:r>
    </w:p>
    <w:p w:rsidR="00000000" w:rsidRDefault="00F5481A">
      <w:pPr>
        <w:divId w:val="915282836"/>
        <w:rPr>
          <w:rFonts w:eastAsia="Times New Roman"/>
        </w:rPr>
      </w:pPr>
      <w:r>
        <w:rPr>
          <w:rFonts w:ascii="IBM Plex Sans" w:eastAsia="Times New Roman" w:hAnsi="IBM Plex Sans"/>
          <w:color w:val="283030"/>
          <w:sz w:val="20"/>
          <w:szCs w:val="20"/>
        </w:rPr>
        <w:t>February 24, 2023</w:t>
      </w:r>
    </w:p>
    <w:p w:rsidR="00000000" w:rsidRDefault="00F5481A">
      <w:pPr>
        <w:ind w:firstLine="360"/>
        <w:divId w:val="255795905"/>
        <w:rPr>
          <w:rFonts w:eastAsia="Times New Roman"/>
        </w:rPr>
      </w:pPr>
    </w:p>
    <w:p w:rsidR="00000000" w:rsidRDefault="00F5481A">
      <w:pPr>
        <w:ind w:firstLine="360"/>
        <w:divId w:val="1684866426"/>
        <w:rPr>
          <w:rFonts w:eastAsia="Times New Roman"/>
        </w:rPr>
      </w:pPr>
    </w:p>
    <w:p w:rsidR="00000000" w:rsidRDefault="00F5481A">
      <w:pPr>
        <w:ind w:firstLine="360"/>
        <w:divId w:val="550533574"/>
        <w:rPr>
          <w:rFonts w:eastAsia="Times New Roman"/>
        </w:rPr>
      </w:pPr>
    </w:p>
    <w:p w:rsidR="00000000" w:rsidRDefault="00F5481A">
      <w:pPr>
        <w:ind w:firstLine="360"/>
        <w:jc w:val="center"/>
        <w:divId w:val="1366249813"/>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58</w:t>
      </w:r>
    </w:p>
    <w:p w:rsidR="00000000" w:rsidRDefault="00F5481A">
      <w:pPr>
        <w:rPr>
          <w:rFonts w:eastAsia="Times New Roman"/>
        </w:rPr>
      </w:pPr>
      <w:r>
        <w:rPr>
          <w:rFonts w:eastAsia="Times New Roman"/>
        </w:rPr>
        <w:pict>
          <v:rect id="_x0000_i1089" style="width:0;height:1.5pt" o:hralign="center" o:hrstd="t" o:hr="t" fillcolor="#a0a0a0" stroked="f"/>
        </w:pict>
      </w:r>
    </w:p>
    <w:p w:rsidR="00000000" w:rsidRDefault="00F5481A">
      <w:pPr>
        <w:ind w:firstLine="360"/>
        <w:divId w:val="533618132"/>
        <w:rPr>
          <w:rFonts w:eastAsia="Times New Roman"/>
        </w:rPr>
      </w:pPr>
    </w:p>
    <w:p w:rsidR="00000000" w:rsidRDefault="00F5481A">
      <w:pPr>
        <w:ind w:firstLine="360"/>
        <w:jc w:val="center"/>
        <w:divId w:val="338846974"/>
        <w:rPr>
          <w:rFonts w:eastAsia="Times New Roman"/>
        </w:rPr>
      </w:pPr>
      <w:r>
        <w:rPr>
          <w:rFonts w:ascii="IBM Plex Sans" w:eastAsia="Times New Roman" w:hAnsi="IBM Plex Sans"/>
          <w:b/>
          <w:bCs/>
          <w:color w:val="283030"/>
          <w:sz w:val="20"/>
          <w:szCs w:val="20"/>
        </w:rPr>
        <w:t>Report of Independent Registered Public Accounting Firm</w:t>
      </w:r>
    </w:p>
    <w:p w:rsidR="00000000" w:rsidRDefault="00F5481A">
      <w:pPr>
        <w:divId w:val="2070029111"/>
        <w:rPr>
          <w:rFonts w:eastAsia="Times New Roman"/>
        </w:rPr>
      </w:pPr>
      <w:r>
        <w:rPr>
          <w:rFonts w:ascii="IBM Plex Sans" w:eastAsia="Times New Roman" w:hAnsi="IBM Plex Sans"/>
          <w:color w:val="283030"/>
          <w:sz w:val="20"/>
          <w:szCs w:val="20"/>
        </w:rPr>
        <w:t xml:space="preserve">To the Shareholders and the Board of Directors of L3Harris Technologies, Inc. </w:t>
      </w:r>
    </w:p>
    <w:p w:rsidR="00000000" w:rsidRDefault="00F5481A">
      <w:pPr>
        <w:divId w:val="41945244"/>
        <w:rPr>
          <w:rFonts w:eastAsia="Times New Roman"/>
        </w:rPr>
      </w:pPr>
      <w:r>
        <w:rPr>
          <w:rFonts w:ascii="IBM Plex Sans SemiBold" w:eastAsia="Times New Roman" w:hAnsi="IBM Plex Sans SemiBold"/>
          <w:b/>
          <w:bCs/>
          <w:color w:val="016676"/>
          <w:sz w:val="20"/>
          <w:szCs w:val="20"/>
        </w:rPr>
        <w:t>Opinion on Internal Control Over Financial Reporting</w:t>
      </w:r>
    </w:p>
    <w:p w:rsidR="00000000" w:rsidRDefault="00F5481A">
      <w:pPr>
        <w:divId w:val="1179469986"/>
        <w:rPr>
          <w:rFonts w:eastAsia="Times New Roman"/>
        </w:rPr>
      </w:pPr>
      <w:r>
        <w:rPr>
          <w:rFonts w:ascii="IBM Plex Sans" w:eastAsia="Times New Roman" w:hAnsi="IBM Plex Sans"/>
          <w:color w:val="283030"/>
          <w:sz w:val="20"/>
          <w:szCs w:val="20"/>
        </w:rPr>
        <w:t>We have audited L3Harris Technologies, Inc.’</w:t>
      </w:r>
      <w:r>
        <w:rPr>
          <w:rFonts w:ascii="IBM Plex Sans" w:eastAsia="Times New Roman" w:hAnsi="IBM Plex Sans"/>
          <w:color w:val="283030"/>
          <w:sz w:val="20"/>
          <w:szCs w:val="20"/>
        </w:rPr>
        <w:t>s internal control over financial reporting as of December 30, 2022, based on criteria established in Internal Control—Integrated Framework issued by the Committee of Sponsoring Organizations of the Treadway Commission (2013 framework) (the COSO criteria).</w:t>
      </w:r>
      <w:r>
        <w:rPr>
          <w:rFonts w:ascii="IBM Plex Sans" w:eastAsia="Times New Roman" w:hAnsi="IBM Plex Sans"/>
          <w:color w:val="283030"/>
          <w:sz w:val="20"/>
          <w:szCs w:val="20"/>
        </w:rPr>
        <w:t xml:space="preserve"> In our opinion, L3Harris Technologies, Inc. (the Company) maintained, in all material respects, effective internal control over financial reporting as of December 30, 2022, based on the COSO criteria.</w:t>
      </w:r>
    </w:p>
    <w:p w:rsidR="00000000" w:rsidRDefault="00F5481A">
      <w:pPr>
        <w:divId w:val="318963720"/>
        <w:rPr>
          <w:rFonts w:eastAsia="Times New Roman"/>
        </w:rPr>
      </w:pPr>
      <w:r>
        <w:rPr>
          <w:rFonts w:ascii="IBM Plex Sans" w:eastAsia="Times New Roman" w:hAnsi="IBM Plex Sans"/>
          <w:color w:val="283030"/>
          <w:sz w:val="20"/>
          <w:szCs w:val="20"/>
        </w:rPr>
        <w:t>We also have audited, in accordance with the standards</w:t>
      </w:r>
      <w:r>
        <w:rPr>
          <w:rFonts w:ascii="IBM Plex Sans" w:eastAsia="Times New Roman" w:hAnsi="IBM Plex Sans"/>
          <w:color w:val="283030"/>
          <w:sz w:val="20"/>
          <w:szCs w:val="20"/>
        </w:rPr>
        <w:t xml:space="preserve"> of the Public Company Accounting Oversight Board (United States) (PCAOB), the consolidated balance sheets of the Company as of December 30, 2022 and December 31, 2021, the related consolidated statements of operations, comprehensive income, cash flows and</w:t>
      </w:r>
      <w:r>
        <w:rPr>
          <w:rFonts w:ascii="IBM Plex Sans" w:eastAsia="Times New Roman" w:hAnsi="IBM Plex Sans"/>
          <w:color w:val="283030"/>
          <w:sz w:val="20"/>
          <w:szCs w:val="20"/>
        </w:rPr>
        <w:t xml:space="preserve"> equity for each of the three years in the period ended December 30, 2022, and the related notes and our report dated February 24, 2023 expressed an unqualified opinion thereon.</w:t>
      </w:r>
    </w:p>
    <w:p w:rsidR="00000000" w:rsidRDefault="00F5481A">
      <w:pPr>
        <w:divId w:val="810293686"/>
        <w:rPr>
          <w:rFonts w:eastAsia="Times New Roman"/>
        </w:rPr>
      </w:pPr>
      <w:r>
        <w:rPr>
          <w:rFonts w:ascii="IBM Plex Sans SemiBold" w:eastAsia="Times New Roman" w:hAnsi="IBM Plex Sans SemiBold"/>
          <w:b/>
          <w:bCs/>
          <w:color w:val="016676"/>
          <w:sz w:val="20"/>
          <w:szCs w:val="20"/>
        </w:rPr>
        <w:t>Basis for Opinion</w:t>
      </w:r>
    </w:p>
    <w:p w:rsidR="00000000" w:rsidRDefault="00F5481A">
      <w:pPr>
        <w:divId w:val="2003968439"/>
        <w:rPr>
          <w:rFonts w:eastAsia="Times New Roman"/>
        </w:rPr>
      </w:pPr>
      <w:r>
        <w:rPr>
          <w:rFonts w:ascii="IBM Plex Sans" w:eastAsia="Times New Roman" w:hAnsi="IBM Plex Sans"/>
          <w:color w:val="283030"/>
          <w:sz w:val="20"/>
          <w:szCs w:val="20"/>
        </w:rPr>
        <w:t>The Company’s management is responsible for maintaining effe</w:t>
      </w:r>
      <w:r>
        <w:rPr>
          <w:rFonts w:ascii="IBM Plex Sans" w:eastAsia="Times New Roman" w:hAnsi="IBM Plex Sans"/>
          <w:color w:val="283030"/>
          <w:sz w:val="20"/>
          <w:szCs w:val="20"/>
        </w:rPr>
        <w:t>ctive internal control over financial reporting and for its assessment of the effectiveness of internal control over financial reporting included in the accompanying Management’s Report on Internal Control Over Financial Reporting. Our responsibility is to</w:t>
      </w:r>
      <w:r>
        <w:rPr>
          <w:rFonts w:ascii="IBM Plex Sans" w:eastAsia="Times New Roman" w:hAnsi="IBM Plex Sans"/>
          <w:color w:val="283030"/>
          <w:sz w:val="20"/>
          <w:szCs w:val="20"/>
        </w:rPr>
        <w:t xml:space="preserve"> express an opinion on the Company’s internal control over financial reporting based on our audit. We are a public accounting firm registered with the PCAOB and are required to be independent with respect to the Company in accordance with the U.S. Federal </w:t>
      </w:r>
      <w:r>
        <w:rPr>
          <w:rFonts w:ascii="IBM Plex Sans" w:eastAsia="Times New Roman" w:hAnsi="IBM Plex Sans"/>
          <w:color w:val="283030"/>
          <w:sz w:val="20"/>
          <w:szCs w:val="20"/>
        </w:rPr>
        <w:t>securities laws and the applicable rules and regulations of the Securities and Exchange Commission and the PCAOB.</w:t>
      </w:r>
    </w:p>
    <w:p w:rsidR="00000000" w:rsidRDefault="00F5481A">
      <w:pPr>
        <w:divId w:val="1996031716"/>
        <w:rPr>
          <w:rFonts w:eastAsia="Times New Roman"/>
        </w:rPr>
      </w:pPr>
      <w:r>
        <w:rPr>
          <w:rFonts w:ascii="IBM Plex Sans" w:eastAsia="Times New Roman" w:hAnsi="IBM Plex Sans"/>
          <w:color w:val="283030"/>
          <w:sz w:val="20"/>
          <w:szCs w:val="20"/>
        </w:rPr>
        <w:t>We conducted our audit in accordance with the standards of the PCAOB. Those standards require that we plan and perform the audit to obtain rea</w:t>
      </w:r>
      <w:r>
        <w:rPr>
          <w:rFonts w:ascii="IBM Plex Sans" w:eastAsia="Times New Roman" w:hAnsi="IBM Plex Sans"/>
          <w:color w:val="283030"/>
          <w:sz w:val="20"/>
          <w:szCs w:val="20"/>
        </w:rPr>
        <w:t>sonable assurance about whether effective internal control over financial reporting was maintained in all material respects.</w:t>
      </w:r>
    </w:p>
    <w:p w:rsidR="00000000" w:rsidRDefault="00F5481A">
      <w:pPr>
        <w:divId w:val="1481314583"/>
        <w:rPr>
          <w:rFonts w:eastAsia="Times New Roman"/>
        </w:rPr>
      </w:pPr>
      <w:r>
        <w:rPr>
          <w:rFonts w:ascii="IBM Plex Sans" w:eastAsia="Times New Roman" w:hAnsi="IBM Plex Sans"/>
          <w:color w:val="283030"/>
          <w:sz w:val="20"/>
          <w:szCs w:val="20"/>
        </w:rPr>
        <w:t>Our audit included obtaining an understanding of internal control over financial reporting, assessing the risk that a material weak</w:t>
      </w:r>
      <w:r>
        <w:rPr>
          <w:rFonts w:ascii="IBM Plex Sans" w:eastAsia="Times New Roman" w:hAnsi="IBM Plex Sans"/>
          <w:color w:val="283030"/>
          <w:sz w:val="20"/>
          <w:szCs w:val="20"/>
        </w:rPr>
        <w:t xml:space="preserve">ness exists, testing and evaluating the design and operating effectiveness of internal control based on the assessed risk and performing such other procedures as we considered necessary in the circumstances. We believe that our audit provides a reasonable </w:t>
      </w:r>
      <w:r>
        <w:rPr>
          <w:rFonts w:ascii="IBM Plex Sans" w:eastAsia="Times New Roman" w:hAnsi="IBM Plex Sans"/>
          <w:color w:val="283030"/>
          <w:sz w:val="20"/>
          <w:szCs w:val="20"/>
        </w:rPr>
        <w:t>basis for our opinion.</w:t>
      </w:r>
    </w:p>
    <w:p w:rsidR="00000000" w:rsidRDefault="00F5481A">
      <w:pPr>
        <w:divId w:val="771822262"/>
        <w:rPr>
          <w:rFonts w:eastAsia="Times New Roman"/>
        </w:rPr>
      </w:pPr>
      <w:r>
        <w:rPr>
          <w:rFonts w:ascii="IBM Plex Sans SemiBold" w:eastAsia="Times New Roman" w:hAnsi="IBM Plex Sans SemiBold"/>
          <w:b/>
          <w:bCs/>
          <w:color w:val="016676"/>
          <w:sz w:val="20"/>
          <w:szCs w:val="20"/>
        </w:rPr>
        <w:t>Definition and Limitations of Internal Control Over Financial Reporting</w:t>
      </w:r>
    </w:p>
    <w:p w:rsidR="00000000" w:rsidRDefault="00F5481A">
      <w:pPr>
        <w:divId w:val="1263761126"/>
        <w:rPr>
          <w:rFonts w:eastAsia="Times New Roman"/>
        </w:rPr>
      </w:pPr>
      <w:r>
        <w:rPr>
          <w:rFonts w:ascii="IBM Plex Sans" w:eastAsia="Times New Roman" w:hAnsi="IBM Plex Sans"/>
          <w:color w:val="283030"/>
          <w:sz w:val="20"/>
          <w:szCs w:val="20"/>
        </w:rPr>
        <w:t xml:space="preserve">A company’s internal control over financial reporting is a process designed to provide reasonable assurance regarding the reliability of financial reporting and </w:t>
      </w:r>
      <w:r>
        <w:rPr>
          <w:rFonts w:ascii="IBM Plex Sans" w:eastAsia="Times New Roman" w:hAnsi="IBM Plex Sans"/>
          <w:color w:val="283030"/>
          <w:sz w:val="20"/>
          <w:szCs w:val="20"/>
        </w:rPr>
        <w:t>the preparation of financial statements for external purposes in accordance with generally accepted accounting principles. A company’s internal control over financial reporting includes those policies and procedures that (1) pertain to the maintenance of r</w:t>
      </w:r>
      <w:r>
        <w:rPr>
          <w:rFonts w:ascii="IBM Plex Sans" w:eastAsia="Times New Roman" w:hAnsi="IBM Plex Sans"/>
          <w:color w:val="283030"/>
          <w:sz w:val="20"/>
          <w:szCs w:val="20"/>
        </w:rPr>
        <w:t>ecords that, in reasonable detail, accurately and fairly reflect the transactions and dispositions of the assets of the company; (2) provide reasonable assurance that transactions are recorded as necessary to permit preparation of financial statements in a</w:t>
      </w:r>
      <w:r>
        <w:rPr>
          <w:rFonts w:ascii="IBM Plex Sans" w:eastAsia="Times New Roman" w:hAnsi="IBM Plex Sans"/>
          <w:color w:val="283030"/>
          <w:sz w:val="20"/>
          <w:szCs w:val="20"/>
        </w:rPr>
        <w:t>ccordance with generally accepted accounting principles, and that receipts and expenditures of the company are being made only in accordance with authorizations of management and directors of the company; and (3) provide reasonable assurance regarding prev</w:t>
      </w:r>
      <w:r>
        <w:rPr>
          <w:rFonts w:ascii="IBM Plex Sans" w:eastAsia="Times New Roman" w:hAnsi="IBM Plex Sans"/>
          <w:color w:val="283030"/>
          <w:sz w:val="20"/>
          <w:szCs w:val="20"/>
        </w:rPr>
        <w:t>ention or timely detection of unauthorized acquisition, use, or disposition of the company’s assets that could have a material effect on the financial statements.</w:t>
      </w:r>
    </w:p>
    <w:p w:rsidR="00000000" w:rsidRDefault="00F5481A">
      <w:pPr>
        <w:divId w:val="9333149"/>
        <w:rPr>
          <w:rFonts w:eastAsia="Times New Roman"/>
        </w:rPr>
      </w:pPr>
      <w:r>
        <w:rPr>
          <w:rFonts w:ascii="IBM Plex Sans" w:eastAsia="Times New Roman" w:hAnsi="IBM Plex Sans"/>
          <w:color w:val="283030"/>
          <w:sz w:val="20"/>
          <w:szCs w:val="20"/>
        </w:rPr>
        <w:t>Because of its inherent limitations, internal control over financial reporting may not preven</w:t>
      </w:r>
      <w:r>
        <w:rPr>
          <w:rFonts w:ascii="IBM Plex Sans" w:eastAsia="Times New Roman" w:hAnsi="IBM Plex Sans"/>
          <w:color w:val="283030"/>
          <w:sz w:val="20"/>
          <w:szCs w:val="20"/>
        </w:rPr>
        <w:t>t or detect misstatements. Also, projections of any evaluation of effectiveness to future periods are subject to the risk that controls may become inadequate because of changes in conditions, or that the degree of compliance with the policies or procedures</w:t>
      </w:r>
      <w:r>
        <w:rPr>
          <w:rFonts w:ascii="IBM Plex Sans" w:eastAsia="Times New Roman" w:hAnsi="IBM Plex Sans"/>
          <w:color w:val="283030"/>
          <w:sz w:val="20"/>
          <w:szCs w:val="20"/>
        </w:rPr>
        <w:t xml:space="preserve"> may deteriorate.</w:t>
      </w:r>
    </w:p>
    <w:p w:rsidR="00000000" w:rsidRDefault="00F5481A">
      <w:pPr>
        <w:divId w:val="1392344314"/>
        <w:rPr>
          <w:rFonts w:eastAsia="Times New Roman"/>
        </w:rPr>
      </w:pPr>
    </w:p>
    <w:p w:rsidR="00000000" w:rsidRDefault="00F5481A">
      <w:pPr>
        <w:divId w:val="1051079366"/>
        <w:rPr>
          <w:rFonts w:eastAsia="Times New Roman"/>
        </w:rPr>
      </w:pPr>
      <w:r>
        <w:rPr>
          <w:rFonts w:ascii="IBM Plex Sans" w:eastAsia="Times New Roman" w:hAnsi="IBM Plex Sans"/>
          <w:color w:val="283030"/>
          <w:sz w:val="20"/>
          <w:szCs w:val="20"/>
        </w:rPr>
        <w:t>/s/ Ernst &amp; Young LLP</w:t>
      </w:r>
    </w:p>
    <w:p w:rsidR="00000000" w:rsidRDefault="00F5481A">
      <w:pPr>
        <w:divId w:val="1936084751"/>
        <w:rPr>
          <w:rFonts w:eastAsia="Times New Roman"/>
        </w:rPr>
      </w:pPr>
      <w:r>
        <w:rPr>
          <w:rFonts w:ascii="IBM Plex Sans" w:eastAsia="Times New Roman" w:hAnsi="IBM Plex Sans"/>
          <w:color w:val="283030"/>
          <w:sz w:val="20"/>
          <w:szCs w:val="20"/>
        </w:rPr>
        <w:t>Orlando, Florida</w:t>
      </w:r>
    </w:p>
    <w:p w:rsidR="00000000" w:rsidRDefault="00F5481A">
      <w:pPr>
        <w:divId w:val="373969592"/>
        <w:rPr>
          <w:rFonts w:eastAsia="Times New Roman"/>
        </w:rPr>
      </w:pPr>
      <w:r>
        <w:rPr>
          <w:rFonts w:ascii="IBM Plex Sans" w:eastAsia="Times New Roman" w:hAnsi="IBM Plex Sans"/>
          <w:color w:val="283030"/>
          <w:sz w:val="20"/>
          <w:szCs w:val="20"/>
        </w:rPr>
        <w:t>February 24, 2023</w:t>
      </w:r>
    </w:p>
    <w:p w:rsidR="00000000" w:rsidRDefault="00F5481A">
      <w:pPr>
        <w:ind w:firstLine="360"/>
        <w:jc w:val="center"/>
        <w:divId w:val="1888108390"/>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59</w:t>
      </w:r>
    </w:p>
    <w:p w:rsidR="00000000" w:rsidRDefault="00F5481A">
      <w:pPr>
        <w:rPr>
          <w:rFonts w:eastAsia="Times New Roman"/>
        </w:rPr>
      </w:pPr>
      <w:r>
        <w:rPr>
          <w:rFonts w:eastAsia="Times New Roman"/>
        </w:rPr>
        <w:pict>
          <v:rect id="_x0000_i1090" style="width:0;height:1.5pt" o:hralign="center" o:hrstd="t" o:hr="t" fillcolor="#a0a0a0" stroked="f"/>
        </w:pict>
      </w:r>
    </w:p>
    <w:p w:rsidR="00000000" w:rsidRDefault="00F5481A">
      <w:pPr>
        <w:ind w:firstLine="360"/>
        <w:divId w:val="1730375821"/>
        <w:rPr>
          <w:rFonts w:eastAsia="Times New Roman"/>
        </w:rPr>
      </w:pPr>
    </w:p>
    <w:p w:rsidR="00000000" w:rsidRDefault="00F5481A">
      <w:pPr>
        <w:divId w:val="865367648"/>
        <w:rPr>
          <w:rFonts w:eastAsia="Times New Roman"/>
        </w:rPr>
      </w:pPr>
      <w:r>
        <w:rPr>
          <w:rFonts w:ascii="IBM Plex Sans SemiBold" w:eastAsia="Times New Roman" w:hAnsi="IBM Plex Sans SemiBold"/>
          <w:b/>
          <w:bCs/>
          <w:color w:val="016676"/>
          <w:sz w:val="20"/>
          <w:szCs w:val="20"/>
        </w:rPr>
        <w:t>CONSOLIDATED STATEMENT OF OPERATIONS</w:t>
      </w:r>
    </w:p>
    <w:tbl>
      <w:tblPr>
        <w:tblW w:w="5000" w:type="pct"/>
        <w:tblCellMar>
          <w:top w:w="15" w:type="dxa"/>
          <w:left w:w="15" w:type="dxa"/>
          <w:bottom w:w="15" w:type="dxa"/>
          <w:right w:w="15" w:type="dxa"/>
        </w:tblCellMar>
        <w:tblLook w:val="04A0" w:firstRow="1" w:lastRow="0" w:firstColumn="1" w:lastColumn="0" w:noHBand="0" w:noVBand="1"/>
      </w:tblPr>
      <w:tblGrid>
        <w:gridCol w:w="41"/>
        <w:gridCol w:w="4190"/>
        <w:gridCol w:w="40"/>
        <w:gridCol w:w="132"/>
        <w:gridCol w:w="1109"/>
        <w:gridCol w:w="36"/>
        <w:gridCol w:w="36"/>
        <w:gridCol w:w="36"/>
        <w:gridCol w:w="36"/>
        <w:gridCol w:w="132"/>
        <w:gridCol w:w="1097"/>
        <w:gridCol w:w="36"/>
        <w:gridCol w:w="36"/>
        <w:gridCol w:w="36"/>
        <w:gridCol w:w="36"/>
        <w:gridCol w:w="132"/>
        <w:gridCol w:w="1109"/>
        <w:gridCol w:w="36"/>
      </w:tblGrid>
      <w:tr w:rsidR="00000000">
        <w:trPr>
          <w:divId w:val="865367648"/>
        </w:trPr>
        <w:tc>
          <w:tcPr>
            <w:tcW w:w="50" w:type="pct"/>
            <w:vAlign w:val="center"/>
            <w:hideMark/>
          </w:tcPr>
          <w:p w:rsidR="00000000" w:rsidRDefault="00F5481A">
            <w:pPr>
              <w:rPr>
                <w:rFonts w:eastAsia="Times New Roman"/>
              </w:rPr>
            </w:pPr>
          </w:p>
        </w:tc>
        <w:tc>
          <w:tcPr>
            <w:tcW w:w="258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0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865367648"/>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Fiscal Year Ended</w:t>
            </w:r>
          </w:p>
        </w:tc>
      </w:tr>
      <w:tr w:rsidR="00000000">
        <w:trPr>
          <w:divId w:val="865367648"/>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January 1, 2021</w:t>
            </w:r>
          </w:p>
        </w:tc>
      </w:tr>
      <w:tr w:rsidR="00000000">
        <w:trPr>
          <w:divId w:val="865367648"/>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15"/>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rPr>
            </w:pPr>
          </w:p>
        </w:tc>
      </w:tr>
      <w:tr w:rsidR="00000000">
        <w:trPr>
          <w:divId w:val="865367648"/>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Revenue from product sales</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12,097 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13,156 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13,581 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865367648"/>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Revenue from services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4,965 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4,658 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4,613 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865367648"/>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Revenue from product sales and services</w:t>
            </w:r>
          </w:p>
        </w:tc>
        <w:tc>
          <w:tcPr>
            <w:tcW w:w="0" w:type="auto"/>
            <w:gridSpan w:val="2"/>
            <w:tcBorders>
              <w:top w:val="single" w:sz="8" w:space="0" w:color="000000"/>
            </w:tcBorders>
            <w:shd w:val="clear" w:color="auto" w:fill="D7EFF1"/>
            <w:tcMar>
              <w:top w:w="30" w:type="dxa"/>
              <w:left w:w="20" w:type="dxa"/>
              <w:bottom w:w="30" w:type="dxa"/>
              <w:right w:w="0" w:type="dxa"/>
            </w:tcMar>
            <w:hideMark/>
          </w:tcPr>
          <w:p w:rsidR="00000000" w:rsidRDefault="00F5481A">
            <w:pPr>
              <w:spacing w:after="100"/>
              <w:jc w:val="right"/>
              <w:rPr>
                <w:rFonts w:eastAsia="Times New Roman"/>
              </w:rPr>
            </w:pPr>
            <w:r>
              <w:rPr>
                <w:rFonts w:ascii="IBM Plex Sans" w:eastAsia="Times New Roman" w:hAnsi="IBM Plex Sans"/>
                <w:color w:val="283030"/>
                <w:sz w:val="20"/>
                <w:szCs w:val="20"/>
              </w:rPr>
              <w:t>17,062 </w:t>
            </w:r>
          </w:p>
        </w:tc>
        <w:tc>
          <w:tcPr>
            <w:tcW w:w="0" w:type="auto"/>
            <w:tcBorders>
              <w:top w:val="single" w:sz="8" w:space="0" w:color="000000"/>
            </w:tcBorders>
            <w:shd w:val="clear" w:color="auto" w:fill="D7EFF1"/>
            <w:tcMar>
              <w:top w:w="30" w:type="dxa"/>
              <w:left w:w="0" w:type="dxa"/>
              <w:bottom w:w="30" w:type="dxa"/>
              <w:right w:w="20" w:type="dxa"/>
            </w:tcMar>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hideMark/>
          </w:tcPr>
          <w:p w:rsidR="00000000" w:rsidRDefault="00F5481A">
            <w:pPr>
              <w:spacing w:after="100"/>
              <w:jc w:val="right"/>
              <w:rPr>
                <w:rFonts w:eastAsia="Times New Roman"/>
              </w:rPr>
            </w:pPr>
            <w:r>
              <w:rPr>
                <w:rFonts w:ascii="IBM Plex Sans" w:eastAsia="Times New Roman" w:hAnsi="IBM Plex Sans"/>
                <w:color w:val="283030"/>
                <w:sz w:val="20"/>
                <w:szCs w:val="20"/>
              </w:rPr>
              <w:t>17,814 </w:t>
            </w:r>
          </w:p>
        </w:tc>
        <w:tc>
          <w:tcPr>
            <w:tcW w:w="0" w:type="auto"/>
            <w:tcBorders>
              <w:top w:val="single" w:sz="8" w:space="0" w:color="000000"/>
            </w:tcBorders>
            <w:shd w:val="clear" w:color="auto" w:fill="D7EFF1"/>
            <w:tcMar>
              <w:top w:w="30" w:type="dxa"/>
              <w:left w:w="0" w:type="dxa"/>
              <w:bottom w:w="30" w:type="dxa"/>
              <w:right w:w="20" w:type="dxa"/>
            </w:tcMar>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hideMark/>
          </w:tcPr>
          <w:p w:rsidR="00000000" w:rsidRDefault="00F5481A">
            <w:pPr>
              <w:spacing w:after="100"/>
              <w:jc w:val="right"/>
              <w:rPr>
                <w:rFonts w:eastAsia="Times New Roman"/>
              </w:rPr>
            </w:pPr>
            <w:r>
              <w:rPr>
                <w:rFonts w:ascii="IBM Plex Sans" w:eastAsia="Times New Roman" w:hAnsi="IBM Plex Sans"/>
                <w:color w:val="283030"/>
                <w:sz w:val="20"/>
                <w:szCs w:val="20"/>
              </w:rPr>
              <w:t>18,194 </w:t>
            </w:r>
          </w:p>
        </w:tc>
        <w:tc>
          <w:tcPr>
            <w:tcW w:w="0" w:type="auto"/>
            <w:tcBorders>
              <w:top w:val="single" w:sz="8" w:space="0" w:color="000000"/>
            </w:tcBorders>
            <w:shd w:val="clear" w:color="auto" w:fill="D7EFF1"/>
            <w:tcMar>
              <w:top w:w="30" w:type="dxa"/>
              <w:left w:w="0" w:type="dxa"/>
              <w:bottom w:w="30" w:type="dxa"/>
              <w:right w:w="20" w:type="dxa"/>
            </w:tcMar>
            <w:hideMark/>
          </w:tcPr>
          <w:p w:rsidR="00000000" w:rsidRDefault="00F5481A">
            <w:pPr>
              <w:spacing w:after="100"/>
              <w:jc w:val="right"/>
              <w:rPr>
                <w:rFonts w:eastAsia="Times New Roman"/>
              </w:rPr>
            </w:pPr>
          </w:p>
        </w:tc>
      </w:tr>
      <w:tr w:rsidR="00000000">
        <w:trPr>
          <w:divId w:val="865367648"/>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Cost of product sales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(8,355)</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(9,007)</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(9,464)</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865367648"/>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Cost of services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(3,780)</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(3,431)</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(3,422)</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865367648"/>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Cost of product sales and services</w:t>
            </w: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F5481A">
            <w:pPr>
              <w:spacing w:after="100"/>
              <w:jc w:val="right"/>
              <w:rPr>
                <w:rFonts w:eastAsia="Times New Roman"/>
              </w:rPr>
            </w:pPr>
            <w:r>
              <w:rPr>
                <w:rFonts w:ascii="IBM Plex Sans" w:eastAsia="Times New Roman" w:hAnsi="IBM Plex Sans"/>
                <w:color w:val="283030"/>
                <w:sz w:val="20"/>
                <w:szCs w:val="20"/>
              </w:rPr>
              <w:t>(12,135)</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F5481A">
            <w:pPr>
              <w:spacing w:after="100"/>
              <w:jc w:val="right"/>
              <w:rPr>
                <w:rFonts w:eastAsia="Times New Roman"/>
              </w:rPr>
            </w:pPr>
            <w:r>
              <w:rPr>
                <w:rFonts w:ascii="IBM Plex Sans" w:eastAsia="Times New Roman" w:hAnsi="IBM Plex Sans"/>
                <w:color w:val="283030"/>
                <w:sz w:val="20"/>
                <w:szCs w:val="20"/>
              </w:rPr>
              <w:t>(12,438)</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F5481A">
            <w:pPr>
              <w:spacing w:after="100"/>
              <w:jc w:val="right"/>
              <w:rPr>
                <w:rFonts w:eastAsia="Times New Roman"/>
              </w:rPr>
            </w:pPr>
            <w:r>
              <w:rPr>
                <w:rFonts w:ascii="IBM Plex Sans" w:eastAsia="Times New Roman" w:hAnsi="IBM Plex Sans"/>
                <w:color w:val="283030"/>
                <w:sz w:val="20"/>
                <w:szCs w:val="20"/>
              </w:rPr>
              <w:t>(12,886)</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F5481A">
            <w:pPr>
              <w:spacing w:after="100"/>
              <w:jc w:val="right"/>
              <w:rPr>
                <w:rFonts w:eastAsia="Times New Roman"/>
              </w:rPr>
            </w:pPr>
          </w:p>
        </w:tc>
      </w:tr>
      <w:tr w:rsidR="00000000">
        <w:trPr>
          <w:divId w:val="865367648"/>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000000"/>
                <w:sz w:val="20"/>
                <w:szCs w:val="20"/>
              </w:rPr>
              <w:t>Engineering, selling and administrative expenses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(2,998)</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(3,280)</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(3,315)</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865367648"/>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Business divestiture-related gains (losses), net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220 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(51)</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865367648"/>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Impairment of goodwill and other assets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(802)</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(207)</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(767)</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865367648"/>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Non-operating income, net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425 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439 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401 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865367648"/>
        </w:trPr>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865367648"/>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865367648"/>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Interest expense, net</w:t>
            </w:r>
          </w:p>
        </w:tc>
        <w:tc>
          <w:tcPr>
            <w:tcW w:w="0" w:type="auto"/>
            <w:gridSpan w:val="2"/>
            <w:shd w:val="clear" w:color="auto" w:fill="D7EFF1"/>
            <w:tcMar>
              <w:top w:w="30" w:type="dxa"/>
              <w:left w:w="20" w:type="dxa"/>
              <w:bottom w:w="30" w:type="dxa"/>
              <w:right w:w="0" w:type="dxa"/>
            </w:tcMar>
            <w:hideMark/>
          </w:tcPr>
          <w:p w:rsidR="00000000" w:rsidRDefault="00F5481A">
            <w:pPr>
              <w:spacing w:after="100"/>
              <w:jc w:val="right"/>
              <w:rPr>
                <w:rFonts w:eastAsia="Times New Roman"/>
              </w:rPr>
            </w:pPr>
            <w:r>
              <w:rPr>
                <w:rFonts w:ascii="IBM Plex Sans" w:eastAsia="Times New Roman" w:hAnsi="IBM Plex Sans"/>
                <w:color w:val="283030"/>
                <w:sz w:val="20"/>
                <w:szCs w:val="20"/>
              </w:rPr>
              <w:t>(279)</w:t>
            </w:r>
          </w:p>
        </w:tc>
        <w:tc>
          <w:tcPr>
            <w:tcW w:w="0" w:type="auto"/>
            <w:shd w:val="clear" w:color="auto" w:fill="D7EFF1"/>
            <w:tcMar>
              <w:top w:w="30" w:type="dxa"/>
              <w:left w:w="0" w:type="dxa"/>
              <w:bottom w:w="30" w:type="dxa"/>
              <w:right w:w="20" w:type="dxa"/>
            </w:tcMar>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hideMark/>
          </w:tcPr>
          <w:p w:rsidR="00000000" w:rsidRDefault="00F5481A">
            <w:pPr>
              <w:spacing w:after="100"/>
              <w:jc w:val="right"/>
              <w:rPr>
                <w:rFonts w:eastAsia="Times New Roman"/>
              </w:rPr>
            </w:pPr>
            <w:r>
              <w:rPr>
                <w:rFonts w:ascii="IBM Plex Sans" w:eastAsia="Times New Roman" w:hAnsi="IBM Plex Sans"/>
                <w:color w:val="283030"/>
                <w:sz w:val="20"/>
                <w:szCs w:val="20"/>
              </w:rPr>
              <w:t>(265)</w:t>
            </w:r>
          </w:p>
        </w:tc>
        <w:tc>
          <w:tcPr>
            <w:tcW w:w="0" w:type="auto"/>
            <w:shd w:val="clear" w:color="auto" w:fill="D7EFF1"/>
            <w:tcMar>
              <w:top w:w="30" w:type="dxa"/>
              <w:left w:w="0" w:type="dxa"/>
              <w:bottom w:w="30" w:type="dxa"/>
              <w:right w:w="20" w:type="dxa"/>
            </w:tcMar>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hideMark/>
          </w:tcPr>
          <w:p w:rsidR="00000000" w:rsidRDefault="00F5481A">
            <w:pPr>
              <w:spacing w:after="100"/>
              <w:jc w:val="right"/>
              <w:rPr>
                <w:rFonts w:eastAsia="Times New Roman"/>
              </w:rPr>
            </w:pPr>
            <w:r>
              <w:rPr>
                <w:rFonts w:ascii="IBM Plex Sans" w:eastAsia="Times New Roman" w:hAnsi="IBM Plex Sans"/>
                <w:color w:val="283030"/>
                <w:sz w:val="20"/>
                <w:szCs w:val="20"/>
              </w:rPr>
              <w:t>(254)</w:t>
            </w:r>
          </w:p>
        </w:tc>
        <w:tc>
          <w:tcPr>
            <w:tcW w:w="0" w:type="auto"/>
            <w:shd w:val="clear" w:color="auto" w:fill="D7EFF1"/>
            <w:tcMar>
              <w:top w:w="30" w:type="dxa"/>
              <w:left w:w="0" w:type="dxa"/>
              <w:bottom w:w="30" w:type="dxa"/>
              <w:right w:w="20" w:type="dxa"/>
            </w:tcMar>
            <w:hideMark/>
          </w:tcPr>
          <w:p w:rsidR="00000000" w:rsidRDefault="00F5481A">
            <w:pPr>
              <w:spacing w:after="100"/>
              <w:jc w:val="right"/>
              <w:rPr>
                <w:rFonts w:eastAsia="Times New Roman"/>
              </w:rPr>
            </w:pPr>
          </w:p>
        </w:tc>
      </w:tr>
      <w:tr w:rsidR="00000000">
        <w:trPr>
          <w:divId w:val="865367648"/>
        </w:trPr>
        <w:tc>
          <w:tcPr>
            <w:tcW w:w="0" w:type="auto"/>
            <w:gridSpan w:val="3"/>
            <w:shd w:val="clear" w:color="auto" w:fill="FFFFFF"/>
            <w:tcMar>
              <w:top w:w="30" w:type="dxa"/>
              <w:left w:w="290" w:type="dxa"/>
              <w:bottom w:w="30" w:type="dxa"/>
              <w:right w:w="20" w:type="dxa"/>
            </w:tcMar>
            <w:vAlign w:val="bottom"/>
            <w:hideMark/>
          </w:tcPr>
          <w:p w:rsidR="00000000" w:rsidRDefault="00F5481A">
            <w:pPr>
              <w:spacing w:after="100"/>
              <w:ind w:hanging="270"/>
              <w:rPr>
                <w:rFonts w:eastAsia="Times New Roman"/>
              </w:rPr>
            </w:pPr>
            <w:r>
              <w:rPr>
                <w:rFonts w:ascii="IBM Plex Sans" w:eastAsia="Times New Roman" w:hAnsi="IBM Plex Sans"/>
                <w:color w:val="283030"/>
                <w:sz w:val="20"/>
                <w:szCs w:val="20"/>
              </w:rPr>
              <w:t>Income from continuing operations before income taxes</w:t>
            </w: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F5481A">
            <w:pPr>
              <w:spacing w:after="100"/>
              <w:jc w:val="right"/>
              <w:rPr>
                <w:rFonts w:eastAsia="Times New Roman"/>
              </w:rPr>
            </w:pPr>
            <w:r>
              <w:rPr>
                <w:rFonts w:ascii="IBM Plex Sans" w:eastAsia="Times New Roman" w:hAnsi="IBM Plex Sans"/>
                <w:color w:val="283030"/>
                <w:sz w:val="20"/>
                <w:szCs w:val="20"/>
              </w:rPr>
              <w:t>1,273 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F5481A">
            <w:pPr>
              <w:spacing w:after="100"/>
              <w:jc w:val="right"/>
              <w:rPr>
                <w:rFonts w:eastAsia="Times New Roman"/>
              </w:rPr>
            </w:pPr>
            <w:r>
              <w:rPr>
                <w:rFonts w:ascii="IBM Plex Sans" w:eastAsia="Times New Roman" w:hAnsi="IBM Plex Sans"/>
                <w:color w:val="283030"/>
                <w:sz w:val="20"/>
                <w:szCs w:val="20"/>
              </w:rPr>
              <w:t>2,283 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F5481A">
            <w:pPr>
              <w:spacing w:after="100"/>
              <w:jc w:val="right"/>
              <w:rPr>
                <w:rFonts w:eastAsia="Times New Roman"/>
              </w:rPr>
            </w:pPr>
            <w:r>
              <w:rPr>
                <w:rFonts w:ascii="IBM Plex Sans" w:eastAsia="Times New Roman" w:hAnsi="IBM Plex Sans"/>
                <w:color w:val="283030"/>
                <w:sz w:val="20"/>
                <w:szCs w:val="20"/>
              </w:rPr>
              <w:t>1,322 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F5481A">
            <w:pPr>
              <w:spacing w:after="100"/>
              <w:jc w:val="right"/>
              <w:rPr>
                <w:rFonts w:eastAsia="Times New Roman"/>
              </w:rPr>
            </w:pPr>
          </w:p>
        </w:tc>
      </w:tr>
      <w:tr w:rsidR="00000000">
        <w:trPr>
          <w:divId w:val="865367648"/>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Income taxes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(212)</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(440)</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(234)</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865367648"/>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Income from continuing operations</w:t>
            </w: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F5481A">
            <w:pPr>
              <w:spacing w:after="100"/>
              <w:jc w:val="right"/>
              <w:rPr>
                <w:rFonts w:eastAsia="Times New Roman"/>
              </w:rPr>
            </w:pPr>
            <w:r>
              <w:rPr>
                <w:rFonts w:ascii="IBM Plex Sans" w:eastAsia="Times New Roman" w:hAnsi="IBM Plex Sans"/>
                <w:color w:val="283030"/>
                <w:sz w:val="20"/>
                <w:szCs w:val="20"/>
              </w:rPr>
              <w:t>1,061 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F5481A">
            <w:pPr>
              <w:spacing w:after="100"/>
              <w:jc w:val="right"/>
              <w:rPr>
                <w:rFonts w:eastAsia="Times New Roman"/>
              </w:rPr>
            </w:pPr>
            <w:r>
              <w:rPr>
                <w:rFonts w:ascii="IBM Plex Sans" w:eastAsia="Times New Roman" w:hAnsi="IBM Plex Sans"/>
                <w:color w:val="283030"/>
                <w:sz w:val="20"/>
                <w:szCs w:val="20"/>
              </w:rPr>
              <w:t>1,843 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F5481A">
            <w:pPr>
              <w:spacing w:after="100"/>
              <w:jc w:val="right"/>
              <w:rPr>
                <w:rFonts w:eastAsia="Times New Roman"/>
              </w:rPr>
            </w:pPr>
            <w:r>
              <w:rPr>
                <w:rFonts w:ascii="IBM Plex Sans" w:eastAsia="Times New Roman" w:hAnsi="IBM Plex Sans"/>
                <w:color w:val="283030"/>
                <w:sz w:val="20"/>
                <w:szCs w:val="20"/>
              </w:rPr>
              <w:t>1,088 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F5481A">
            <w:pPr>
              <w:spacing w:after="100"/>
              <w:jc w:val="right"/>
              <w:rPr>
                <w:rFonts w:eastAsia="Times New Roman"/>
              </w:rPr>
            </w:pPr>
          </w:p>
        </w:tc>
      </w:tr>
      <w:tr w:rsidR="00000000">
        <w:trPr>
          <w:divId w:val="865367648"/>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Discontinued operations, net of income taxes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865367648"/>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Net income</w:t>
            </w: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F5481A">
            <w:pPr>
              <w:spacing w:after="100"/>
              <w:jc w:val="right"/>
              <w:rPr>
                <w:rFonts w:eastAsia="Times New Roman"/>
              </w:rPr>
            </w:pPr>
            <w:r>
              <w:rPr>
                <w:rFonts w:ascii="IBM Plex Sans" w:eastAsia="Times New Roman" w:hAnsi="IBM Plex Sans"/>
                <w:color w:val="283030"/>
                <w:sz w:val="20"/>
                <w:szCs w:val="20"/>
              </w:rPr>
              <w:t>1,061 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F5481A">
            <w:pPr>
              <w:spacing w:after="100"/>
              <w:jc w:val="right"/>
              <w:rPr>
                <w:rFonts w:eastAsia="Times New Roman"/>
              </w:rPr>
            </w:pPr>
            <w:r>
              <w:rPr>
                <w:rFonts w:ascii="IBM Plex Sans" w:eastAsia="Times New Roman" w:hAnsi="IBM Plex Sans"/>
                <w:color w:val="283030"/>
                <w:sz w:val="20"/>
                <w:szCs w:val="20"/>
              </w:rPr>
              <w:t>1,842 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F5481A">
            <w:pPr>
              <w:spacing w:after="100"/>
              <w:jc w:val="right"/>
              <w:rPr>
                <w:rFonts w:eastAsia="Times New Roman"/>
              </w:rPr>
            </w:pPr>
            <w:r>
              <w:rPr>
                <w:rFonts w:ascii="IBM Plex Sans" w:eastAsia="Times New Roman" w:hAnsi="IBM Plex Sans"/>
                <w:color w:val="283030"/>
                <w:sz w:val="20"/>
                <w:szCs w:val="20"/>
              </w:rPr>
              <w:t>1,086 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F5481A">
            <w:pPr>
              <w:spacing w:after="100"/>
              <w:jc w:val="right"/>
              <w:rPr>
                <w:rFonts w:eastAsia="Times New Roman"/>
              </w:rPr>
            </w:pPr>
          </w:p>
        </w:tc>
      </w:tr>
      <w:tr w:rsidR="00000000">
        <w:trPr>
          <w:divId w:val="865367648"/>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Noncontrolling interests, net of income taxes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865367648"/>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Net income attributable to L3Harris Technologies, Inc.</w:t>
            </w:r>
          </w:p>
        </w:tc>
        <w:tc>
          <w:tcPr>
            <w:tcW w:w="0" w:type="auto"/>
            <w:tcBorders>
              <w:top w:val="single" w:sz="8" w:space="0" w:color="000000"/>
            </w:tcBorders>
            <w:shd w:val="clear" w:color="auto" w:fill="FFFFFF"/>
            <w:tcMar>
              <w:top w:w="30" w:type="dxa"/>
              <w:left w:w="20" w:type="dxa"/>
              <w:bottom w:w="30" w:type="dxa"/>
              <w:right w:w="0" w:type="dxa"/>
            </w:tcMar>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FFFFFF"/>
            <w:tcMar>
              <w:top w:w="30" w:type="dxa"/>
              <w:left w:w="0" w:type="dxa"/>
              <w:bottom w:w="30" w:type="dxa"/>
              <w:right w:w="0" w:type="dxa"/>
            </w:tcMar>
            <w:hideMark/>
          </w:tcPr>
          <w:p w:rsidR="00000000" w:rsidRDefault="00F5481A">
            <w:pPr>
              <w:spacing w:after="100"/>
              <w:jc w:val="right"/>
              <w:rPr>
                <w:rFonts w:eastAsia="Times New Roman"/>
              </w:rPr>
            </w:pPr>
            <w:r>
              <w:rPr>
                <w:rFonts w:ascii="IBM Plex Sans" w:eastAsia="Times New Roman" w:hAnsi="IBM Plex Sans"/>
                <w:color w:val="283030"/>
                <w:sz w:val="20"/>
                <w:szCs w:val="20"/>
              </w:rPr>
              <w:t>1,062 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FFFFFF"/>
            <w:tcMar>
              <w:top w:w="30" w:type="dxa"/>
              <w:left w:w="0" w:type="dxa"/>
              <w:bottom w:w="30" w:type="dxa"/>
              <w:right w:w="0" w:type="dxa"/>
            </w:tcMar>
            <w:hideMark/>
          </w:tcPr>
          <w:p w:rsidR="00000000" w:rsidRDefault="00F5481A">
            <w:pPr>
              <w:spacing w:after="100"/>
              <w:jc w:val="right"/>
              <w:rPr>
                <w:rFonts w:eastAsia="Times New Roman"/>
              </w:rPr>
            </w:pPr>
            <w:r>
              <w:rPr>
                <w:rFonts w:ascii="IBM Plex Sans" w:eastAsia="Times New Roman" w:hAnsi="IBM Plex Sans"/>
                <w:color w:val="283030"/>
                <w:sz w:val="20"/>
                <w:szCs w:val="20"/>
              </w:rPr>
              <w:t>1,846 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FFFFFF"/>
            <w:tcMar>
              <w:top w:w="30" w:type="dxa"/>
              <w:left w:w="0" w:type="dxa"/>
              <w:bottom w:w="30" w:type="dxa"/>
              <w:right w:w="0" w:type="dxa"/>
            </w:tcMar>
            <w:hideMark/>
          </w:tcPr>
          <w:p w:rsidR="00000000" w:rsidRDefault="00F5481A">
            <w:pPr>
              <w:spacing w:after="100"/>
              <w:jc w:val="right"/>
              <w:rPr>
                <w:rFonts w:eastAsia="Times New Roman"/>
              </w:rPr>
            </w:pPr>
            <w:r>
              <w:rPr>
                <w:rFonts w:ascii="IBM Plex Sans" w:eastAsia="Times New Roman" w:hAnsi="IBM Plex Sans"/>
                <w:color w:val="283030"/>
                <w:sz w:val="20"/>
                <w:szCs w:val="20"/>
              </w:rPr>
              <w:t>1,119 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F5481A">
            <w:pPr>
              <w:spacing w:after="100"/>
              <w:jc w:val="right"/>
              <w:rPr>
                <w:rFonts w:eastAsia="Times New Roman"/>
              </w:rPr>
            </w:pPr>
          </w:p>
        </w:tc>
      </w:tr>
      <w:tr w:rsidR="00000000">
        <w:trPr>
          <w:divId w:val="865367648"/>
          <w:trHeight w:val="300"/>
        </w:trPr>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tcBorders>
              <w:top w:val="double" w:sz="6" w:space="0" w:color="000000"/>
            </w:tcBorders>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double" w:sz="6" w:space="0" w:color="000000"/>
            </w:tcBorders>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double" w:sz="6" w:space="0" w:color="000000"/>
            </w:tcBorders>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865367648"/>
        </w:trPr>
        <w:tc>
          <w:tcPr>
            <w:tcW w:w="0" w:type="auto"/>
            <w:gridSpan w:val="18"/>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283030"/>
                <w:sz w:val="20"/>
                <w:szCs w:val="20"/>
              </w:rPr>
              <w:t>Amount attributable to L3Harris Technologies, Inc. common shareholders</w:t>
            </w:r>
          </w:p>
        </w:tc>
      </w:tr>
      <w:tr w:rsidR="00000000">
        <w:trPr>
          <w:divId w:val="865367648"/>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000000"/>
                <w:sz w:val="20"/>
                <w:szCs w:val="20"/>
              </w:rPr>
              <w:t>Income from continuing operations</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1,062 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1,847 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1,121 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865367648"/>
        </w:trPr>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Discontinued operations, net of income taxes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865367648"/>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000000"/>
                <w:sz w:val="20"/>
                <w:szCs w:val="20"/>
              </w:rPr>
              <w:t>Net income</w:t>
            </w:r>
          </w:p>
        </w:tc>
        <w:tc>
          <w:tcPr>
            <w:tcW w:w="0" w:type="auto"/>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1,062 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1,846 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1,119 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865367648"/>
          <w:trHeight w:val="300"/>
        </w:trPr>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865367648"/>
        </w:trPr>
        <w:tc>
          <w:tcPr>
            <w:tcW w:w="0" w:type="auto"/>
            <w:gridSpan w:val="18"/>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283030"/>
                <w:sz w:val="20"/>
                <w:szCs w:val="20"/>
              </w:rPr>
              <w:t>Net income per common share attributable to L3Harris Technologies, Inc. common shareholders</w:t>
            </w:r>
          </w:p>
        </w:tc>
      </w:tr>
      <w:tr w:rsidR="00000000">
        <w:trPr>
          <w:divId w:val="865367648"/>
        </w:trPr>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Basic</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865367648"/>
        </w:trPr>
        <w:tc>
          <w:tcPr>
            <w:tcW w:w="0" w:type="auto"/>
            <w:gridSpan w:val="3"/>
            <w:shd w:val="clear" w:color="auto" w:fill="D7EFF1"/>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Continuing operations</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5.54 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9.17 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5.24 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865367648"/>
        </w:trPr>
        <w:tc>
          <w:tcPr>
            <w:tcW w:w="0" w:type="auto"/>
            <w:gridSpan w:val="3"/>
            <w:shd w:val="clear" w:color="auto" w:fill="FFFFFF"/>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Discontinued operations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(0.01)</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865367648"/>
        </w:trPr>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tcBorders>
            <w:shd w:val="clear" w:color="auto" w:fill="D7EFF1"/>
            <w:tcMar>
              <w:top w:w="30" w:type="dxa"/>
              <w:left w:w="20" w:type="dxa"/>
              <w:bottom w:w="30" w:type="dxa"/>
              <w:right w:w="0" w:type="dxa"/>
            </w:tcMar>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hideMark/>
          </w:tcPr>
          <w:p w:rsidR="00000000" w:rsidRDefault="00F5481A">
            <w:pPr>
              <w:spacing w:after="100"/>
              <w:jc w:val="right"/>
              <w:rPr>
                <w:rFonts w:eastAsia="Times New Roman"/>
              </w:rPr>
            </w:pPr>
            <w:r>
              <w:rPr>
                <w:rFonts w:ascii="IBM Plex Sans" w:eastAsia="Times New Roman" w:hAnsi="IBM Plex Sans"/>
                <w:color w:val="283030"/>
                <w:sz w:val="20"/>
                <w:szCs w:val="20"/>
              </w:rPr>
              <w:t>5.54 </w:t>
            </w:r>
          </w:p>
        </w:tc>
        <w:tc>
          <w:tcPr>
            <w:tcW w:w="0" w:type="auto"/>
            <w:tcBorders>
              <w:top w:val="single" w:sz="8" w:space="0" w:color="000000"/>
            </w:tcBorders>
            <w:shd w:val="clear" w:color="auto" w:fill="D7EFF1"/>
            <w:tcMar>
              <w:top w:w="30" w:type="dxa"/>
              <w:left w:w="0" w:type="dxa"/>
              <w:bottom w:w="30" w:type="dxa"/>
              <w:right w:w="20" w:type="dxa"/>
            </w:tcMar>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tcBorders>
            <w:shd w:val="clear" w:color="auto" w:fill="D7EFF1"/>
            <w:tcMar>
              <w:top w:w="30" w:type="dxa"/>
              <w:left w:w="20" w:type="dxa"/>
              <w:bottom w:w="30" w:type="dxa"/>
              <w:right w:w="0" w:type="dxa"/>
            </w:tcMar>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hideMark/>
          </w:tcPr>
          <w:p w:rsidR="00000000" w:rsidRDefault="00F5481A">
            <w:pPr>
              <w:spacing w:after="100"/>
              <w:jc w:val="right"/>
              <w:rPr>
                <w:rFonts w:eastAsia="Times New Roman"/>
              </w:rPr>
            </w:pPr>
            <w:r>
              <w:rPr>
                <w:rFonts w:ascii="IBM Plex Sans" w:eastAsia="Times New Roman" w:hAnsi="IBM Plex Sans"/>
                <w:color w:val="283030"/>
                <w:sz w:val="20"/>
                <w:szCs w:val="20"/>
              </w:rPr>
              <w:t>9.17 </w:t>
            </w:r>
          </w:p>
        </w:tc>
        <w:tc>
          <w:tcPr>
            <w:tcW w:w="0" w:type="auto"/>
            <w:tcBorders>
              <w:top w:val="single" w:sz="8" w:space="0" w:color="000000"/>
            </w:tcBorders>
            <w:shd w:val="clear" w:color="auto" w:fill="D7EFF1"/>
            <w:tcMar>
              <w:top w:w="30" w:type="dxa"/>
              <w:left w:w="0" w:type="dxa"/>
              <w:bottom w:w="30" w:type="dxa"/>
              <w:right w:w="20" w:type="dxa"/>
            </w:tcMar>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tcBorders>
            <w:shd w:val="clear" w:color="auto" w:fill="D7EFF1"/>
            <w:tcMar>
              <w:top w:w="30" w:type="dxa"/>
              <w:left w:w="20" w:type="dxa"/>
              <w:bottom w:w="30" w:type="dxa"/>
              <w:right w:w="0" w:type="dxa"/>
            </w:tcMar>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hideMark/>
          </w:tcPr>
          <w:p w:rsidR="00000000" w:rsidRDefault="00F5481A">
            <w:pPr>
              <w:spacing w:after="100"/>
              <w:jc w:val="right"/>
              <w:rPr>
                <w:rFonts w:eastAsia="Times New Roman"/>
              </w:rPr>
            </w:pPr>
            <w:r>
              <w:rPr>
                <w:rFonts w:ascii="IBM Plex Sans" w:eastAsia="Times New Roman" w:hAnsi="IBM Plex Sans"/>
                <w:color w:val="283030"/>
                <w:sz w:val="20"/>
                <w:szCs w:val="20"/>
              </w:rPr>
              <w:t>5.23 </w:t>
            </w:r>
          </w:p>
        </w:tc>
        <w:tc>
          <w:tcPr>
            <w:tcW w:w="0" w:type="auto"/>
            <w:tcBorders>
              <w:top w:val="single" w:sz="8" w:space="0" w:color="000000"/>
            </w:tcBorders>
            <w:shd w:val="clear" w:color="auto" w:fill="D7EFF1"/>
            <w:tcMar>
              <w:top w:w="30" w:type="dxa"/>
              <w:left w:w="0" w:type="dxa"/>
              <w:bottom w:w="30" w:type="dxa"/>
              <w:right w:w="20" w:type="dxa"/>
            </w:tcMar>
            <w:hideMark/>
          </w:tcPr>
          <w:p w:rsidR="00000000" w:rsidRDefault="00F5481A">
            <w:pPr>
              <w:spacing w:after="100"/>
              <w:jc w:val="right"/>
              <w:rPr>
                <w:rFonts w:eastAsia="Times New Roman"/>
              </w:rPr>
            </w:pPr>
          </w:p>
        </w:tc>
      </w:tr>
      <w:tr w:rsidR="00000000">
        <w:trPr>
          <w:divId w:val="865367648"/>
          <w:trHeight w:val="300"/>
        </w:trPr>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865367648"/>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865367648"/>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865367648"/>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865367648"/>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Diluted</w:t>
            </w: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hideMark/>
          </w:tcPr>
          <w:p w:rsidR="00000000" w:rsidRDefault="00F5481A">
            <w:pPr>
              <w:spacing w:after="100"/>
              <w:jc w:val="right"/>
              <w:rPr>
                <w:rFonts w:eastAsia="Times New Roman"/>
              </w:rPr>
            </w:pPr>
            <w:r>
              <w:rPr>
                <w:rFonts w:ascii="IBM Plex Sans" w:eastAsia="Times New Roman" w:hAnsi="IBM Plex Sans"/>
                <w:color w:val="283030"/>
                <w:sz w:val="20"/>
                <w:szCs w:val="20"/>
              </w:rPr>
              <w:t>5.49 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hideMark/>
          </w:tcPr>
          <w:p w:rsidR="00000000" w:rsidRDefault="00F5481A">
            <w:pPr>
              <w:spacing w:after="100"/>
              <w:jc w:val="right"/>
              <w:rPr>
                <w:rFonts w:eastAsia="Times New Roman"/>
              </w:rPr>
            </w:pPr>
            <w:r>
              <w:rPr>
                <w:rFonts w:ascii="IBM Plex Sans" w:eastAsia="Times New Roman" w:hAnsi="IBM Plex Sans"/>
                <w:color w:val="283030"/>
                <w:sz w:val="20"/>
                <w:szCs w:val="20"/>
              </w:rPr>
              <w:t>9.09 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hideMark/>
          </w:tcPr>
          <w:p w:rsidR="00000000" w:rsidRDefault="00F5481A">
            <w:pPr>
              <w:spacing w:after="100"/>
              <w:jc w:val="right"/>
              <w:rPr>
                <w:rFonts w:eastAsia="Times New Roman"/>
              </w:rPr>
            </w:pPr>
            <w:r>
              <w:rPr>
                <w:rFonts w:ascii="IBM Plex Sans" w:eastAsia="Times New Roman" w:hAnsi="IBM Plex Sans"/>
                <w:color w:val="283030"/>
                <w:sz w:val="20"/>
                <w:szCs w:val="20"/>
              </w:rPr>
              <w:t>5.19 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hideMark/>
          </w:tcPr>
          <w:p w:rsidR="00000000" w:rsidRDefault="00F5481A">
            <w:pPr>
              <w:spacing w:after="100"/>
              <w:jc w:val="right"/>
              <w:rPr>
                <w:rFonts w:eastAsia="Times New Roman"/>
              </w:rPr>
            </w:pPr>
          </w:p>
        </w:tc>
      </w:tr>
    </w:tbl>
    <w:p w:rsidR="00000000" w:rsidRDefault="00F5481A">
      <w:pPr>
        <w:divId w:val="1671174101"/>
        <w:rPr>
          <w:rFonts w:eastAsia="Times New Roman"/>
        </w:rPr>
      </w:pPr>
      <w:r>
        <w:rPr>
          <w:rFonts w:ascii="IBM Plex Sans" w:eastAsia="Times New Roman" w:hAnsi="IBM Plex Sans"/>
          <w:color w:val="283030"/>
          <w:sz w:val="20"/>
          <w:szCs w:val="20"/>
        </w:rPr>
        <w:t>See accompanying Notes to Consolidated Financial Statements.</w:t>
      </w:r>
    </w:p>
    <w:p w:rsidR="00000000" w:rsidRDefault="00F5481A">
      <w:pPr>
        <w:ind w:firstLine="360"/>
        <w:divId w:val="1336031655"/>
        <w:rPr>
          <w:rFonts w:eastAsia="Times New Roman"/>
        </w:rPr>
      </w:pPr>
    </w:p>
    <w:p w:rsidR="00000000" w:rsidRDefault="00F5481A">
      <w:pPr>
        <w:ind w:firstLine="360"/>
        <w:jc w:val="center"/>
        <w:divId w:val="1274094851"/>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60</w:t>
      </w:r>
    </w:p>
    <w:p w:rsidR="00000000" w:rsidRDefault="00F5481A">
      <w:pPr>
        <w:rPr>
          <w:rFonts w:eastAsia="Times New Roman"/>
        </w:rPr>
      </w:pPr>
      <w:r>
        <w:rPr>
          <w:rFonts w:eastAsia="Times New Roman"/>
        </w:rPr>
        <w:pict>
          <v:rect id="_x0000_i1091" style="width:0;height:1.5pt" o:hralign="center" o:hrstd="t" o:hr="t" fillcolor="#a0a0a0" stroked="f"/>
        </w:pict>
      </w:r>
    </w:p>
    <w:p w:rsidR="00000000" w:rsidRDefault="00F5481A">
      <w:pPr>
        <w:ind w:firstLine="360"/>
        <w:divId w:val="1030108912"/>
        <w:rPr>
          <w:rFonts w:eastAsia="Times New Roman"/>
        </w:rPr>
      </w:pPr>
    </w:p>
    <w:p w:rsidR="00000000" w:rsidRDefault="00F5481A">
      <w:pPr>
        <w:divId w:val="1669864060"/>
        <w:rPr>
          <w:rFonts w:eastAsia="Times New Roman"/>
        </w:rPr>
      </w:pPr>
      <w:r>
        <w:rPr>
          <w:rFonts w:ascii="IBM Plex Sans SemiBold" w:eastAsia="Times New Roman" w:hAnsi="IBM Plex Sans SemiBold"/>
          <w:b/>
          <w:bCs/>
          <w:color w:val="016676"/>
          <w:sz w:val="20"/>
          <w:szCs w:val="20"/>
        </w:rPr>
        <w:t>CONSOLIDATED STATEMENT OF COMPREHENSIVE INCOME</w:t>
      </w:r>
    </w:p>
    <w:tbl>
      <w:tblPr>
        <w:tblW w:w="5000" w:type="pct"/>
        <w:tblCellMar>
          <w:top w:w="15" w:type="dxa"/>
          <w:left w:w="15" w:type="dxa"/>
          <w:bottom w:w="15" w:type="dxa"/>
          <w:right w:w="15" w:type="dxa"/>
        </w:tblCellMar>
        <w:tblLook w:val="04A0" w:firstRow="1" w:lastRow="0" w:firstColumn="1" w:lastColumn="0" w:noHBand="0" w:noVBand="1"/>
      </w:tblPr>
      <w:tblGrid>
        <w:gridCol w:w="40"/>
        <w:gridCol w:w="4179"/>
        <w:gridCol w:w="38"/>
        <w:gridCol w:w="133"/>
        <w:gridCol w:w="1109"/>
        <w:gridCol w:w="36"/>
        <w:gridCol w:w="36"/>
        <w:gridCol w:w="36"/>
        <w:gridCol w:w="36"/>
        <w:gridCol w:w="133"/>
        <w:gridCol w:w="1109"/>
        <w:gridCol w:w="36"/>
        <w:gridCol w:w="36"/>
        <w:gridCol w:w="36"/>
        <w:gridCol w:w="36"/>
        <w:gridCol w:w="132"/>
        <w:gridCol w:w="1109"/>
        <w:gridCol w:w="36"/>
      </w:tblGrid>
      <w:tr w:rsidR="00000000">
        <w:trPr>
          <w:divId w:val="1669864060"/>
        </w:trPr>
        <w:tc>
          <w:tcPr>
            <w:tcW w:w="50" w:type="pct"/>
            <w:vAlign w:val="center"/>
            <w:hideMark/>
          </w:tcPr>
          <w:p w:rsidR="00000000" w:rsidRDefault="00F5481A">
            <w:pPr>
              <w:rPr>
                <w:rFonts w:eastAsia="Times New Roman"/>
              </w:rPr>
            </w:pPr>
          </w:p>
        </w:tc>
        <w:tc>
          <w:tcPr>
            <w:tcW w:w="2581"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1669864060"/>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Fiscal Year Ended</w:t>
            </w:r>
          </w:p>
        </w:tc>
      </w:tr>
      <w:tr w:rsidR="00000000">
        <w:trPr>
          <w:divId w:val="1669864060"/>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January 1, 2021</w:t>
            </w:r>
          </w:p>
        </w:tc>
      </w:tr>
      <w:tr w:rsidR="00000000">
        <w:trPr>
          <w:divId w:val="1669864060"/>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15"/>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rPr>
            </w:pPr>
          </w:p>
        </w:tc>
      </w:tr>
      <w:tr w:rsidR="00000000">
        <w:trPr>
          <w:divId w:val="1669864060"/>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Net income</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1,061 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1,842 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1,086 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69864060"/>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Other comprehensive income:</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669864060"/>
        </w:trPr>
        <w:tc>
          <w:tcPr>
            <w:tcW w:w="0" w:type="auto"/>
            <w:gridSpan w:val="3"/>
            <w:shd w:val="clear" w:color="auto" w:fill="D7EFF1"/>
            <w:tcMar>
              <w:top w:w="30" w:type="dxa"/>
              <w:left w:w="410" w:type="dxa"/>
              <w:bottom w:w="30" w:type="dxa"/>
              <w:right w:w="20" w:type="dxa"/>
            </w:tcMar>
            <w:vAlign w:val="bottom"/>
            <w:hideMark/>
          </w:tcPr>
          <w:p w:rsidR="00000000" w:rsidRDefault="00F5481A">
            <w:pPr>
              <w:spacing w:after="100"/>
              <w:ind w:hanging="270"/>
              <w:rPr>
                <w:rFonts w:eastAsia="Times New Roman"/>
              </w:rPr>
            </w:pPr>
            <w:r>
              <w:rPr>
                <w:rFonts w:ascii="IBM Plex Sans" w:eastAsia="Times New Roman" w:hAnsi="IBM Plex Sans"/>
                <w:color w:val="283030"/>
                <w:sz w:val="20"/>
                <w:szCs w:val="20"/>
              </w:rPr>
              <w:t>Foreign currency translation (loss) gain, net of income taxes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(119)</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(63)</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16 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69864060"/>
        </w:trPr>
        <w:tc>
          <w:tcPr>
            <w:tcW w:w="0" w:type="auto"/>
            <w:gridSpan w:val="3"/>
            <w:shd w:val="clear" w:color="auto" w:fill="FFFFFF"/>
            <w:tcMar>
              <w:top w:w="30" w:type="dxa"/>
              <w:left w:w="410" w:type="dxa"/>
              <w:bottom w:w="30" w:type="dxa"/>
              <w:right w:w="20" w:type="dxa"/>
            </w:tcMar>
            <w:vAlign w:val="bottom"/>
            <w:hideMark/>
          </w:tcPr>
          <w:p w:rsidR="00000000" w:rsidRDefault="00F5481A">
            <w:pPr>
              <w:spacing w:after="100"/>
              <w:ind w:hanging="270"/>
              <w:rPr>
                <w:rFonts w:eastAsia="Times New Roman"/>
              </w:rPr>
            </w:pPr>
            <w:r>
              <w:rPr>
                <w:rFonts w:ascii="IBM Plex Sans" w:eastAsia="Times New Roman" w:hAnsi="IBM Plex Sans"/>
                <w:color w:val="283030"/>
                <w:sz w:val="20"/>
                <w:szCs w:val="20"/>
              </w:rPr>
              <w:t>Net unrealized loss on hedging derivatives, net of income taxes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(31)</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69864060"/>
        </w:trPr>
        <w:tc>
          <w:tcPr>
            <w:tcW w:w="0" w:type="auto"/>
            <w:gridSpan w:val="3"/>
            <w:shd w:val="clear" w:color="auto" w:fill="D7EFF1"/>
            <w:tcMar>
              <w:top w:w="30" w:type="dxa"/>
              <w:left w:w="410" w:type="dxa"/>
              <w:bottom w:w="30" w:type="dxa"/>
              <w:right w:w="20" w:type="dxa"/>
            </w:tcMar>
            <w:vAlign w:val="bottom"/>
            <w:hideMark/>
          </w:tcPr>
          <w:p w:rsidR="00000000" w:rsidRDefault="00F5481A">
            <w:pPr>
              <w:spacing w:after="100"/>
              <w:ind w:hanging="270"/>
              <w:rPr>
                <w:rFonts w:eastAsia="Times New Roman"/>
              </w:rPr>
            </w:pPr>
            <w:r>
              <w:rPr>
                <w:rFonts w:ascii="IBM Plex Sans" w:eastAsia="Times New Roman" w:hAnsi="IBM Plex Sans"/>
                <w:color w:val="283030"/>
                <w:sz w:val="20"/>
                <w:szCs w:val="20"/>
              </w:rPr>
              <w:t>Net unrecognized (loss) gain on postretirement obligations, net of income taxes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(26)</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758 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(313)</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69864060"/>
        </w:trPr>
        <w:tc>
          <w:tcPr>
            <w:tcW w:w="0" w:type="auto"/>
            <w:gridSpan w:val="3"/>
            <w:shd w:val="clear" w:color="auto" w:fill="FFFFFF"/>
            <w:tcMar>
              <w:top w:w="30" w:type="dxa"/>
              <w:left w:w="410" w:type="dxa"/>
              <w:bottom w:w="30" w:type="dxa"/>
              <w:right w:w="20" w:type="dxa"/>
            </w:tcMar>
            <w:vAlign w:val="bottom"/>
            <w:hideMark/>
          </w:tcPr>
          <w:p w:rsidR="00000000" w:rsidRDefault="00F5481A">
            <w:pPr>
              <w:spacing w:after="100"/>
              <w:ind w:hanging="270"/>
              <w:rPr>
                <w:rFonts w:eastAsia="Times New Roman"/>
              </w:rPr>
            </w:pPr>
            <w:r>
              <w:rPr>
                <w:rFonts w:ascii="IBM Plex Sans" w:eastAsia="Times New Roman" w:hAnsi="IBM Plex Sans"/>
                <w:color w:val="283030"/>
                <w:sz w:val="20"/>
                <w:szCs w:val="20"/>
              </w:rPr>
              <w:t>Other comprehensive (loss) income, recognized during the period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(153)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(328)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69864060"/>
        </w:trPr>
        <w:tc>
          <w:tcPr>
            <w:tcW w:w="0" w:type="auto"/>
            <w:gridSpan w:val="3"/>
            <w:shd w:val="clear" w:color="auto" w:fill="D7EFF1"/>
            <w:tcMar>
              <w:top w:w="30" w:type="dxa"/>
              <w:left w:w="410" w:type="dxa"/>
              <w:bottom w:w="30" w:type="dxa"/>
              <w:right w:w="20" w:type="dxa"/>
            </w:tcMar>
            <w:vAlign w:val="bottom"/>
            <w:hideMark/>
          </w:tcPr>
          <w:p w:rsidR="00000000" w:rsidRDefault="00F5481A">
            <w:pPr>
              <w:spacing w:after="100"/>
              <w:ind w:hanging="270"/>
              <w:rPr>
                <w:rFonts w:eastAsia="Times New Roman"/>
              </w:rPr>
            </w:pPr>
            <w:r>
              <w:rPr>
                <w:rFonts w:ascii="IBM Plex Sans" w:eastAsia="Times New Roman" w:hAnsi="IBM Plex Sans"/>
                <w:color w:val="283030"/>
                <w:sz w:val="20"/>
                <w:szCs w:val="20"/>
              </w:rPr>
              <w:t>Reclassification adjustments for losses (gains) included in net income</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69864060"/>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Other comprehensive (loss) income, net of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(142)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(331)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69864060"/>
        </w:trPr>
        <w:tc>
          <w:tcPr>
            <w:tcW w:w="0" w:type="auto"/>
            <w:gridSpan w:val="3"/>
            <w:shd w:val="clear" w:color="auto" w:fill="D7EFF1"/>
            <w:tcMar>
              <w:top w:w="30" w:type="dxa"/>
              <w:left w:w="290" w:type="dxa"/>
              <w:bottom w:w="30" w:type="dxa"/>
              <w:right w:w="20" w:type="dxa"/>
            </w:tcMar>
            <w:vAlign w:val="bottom"/>
            <w:hideMark/>
          </w:tcPr>
          <w:p w:rsidR="00000000" w:rsidRDefault="00F5481A">
            <w:pPr>
              <w:spacing w:after="100"/>
              <w:ind w:hanging="270"/>
              <w:rPr>
                <w:rFonts w:eastAsia="Times New Roman"/>
              </w:rPr>
            </w:pPr>
            <w:r>
              <w:rPr>
                <w:rFonts w:ascii="IBM Plex Sans" w:eastAsia="Times New Roman" w:hAnsi="IBM Plex Sans"/>
                <w:color w:val="283030"/>
                <w:sz w:val="20"/>
                <w:szCs w:val="20"/>
              </w:rPr>
              <w:t>Total comprehensive income</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919 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2,535 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755 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69864060"/>
        </w:trPr>
        <w:tc>
          <w:tcPr>
            <w:tcW w:w="0" w:type="auto"/>
            <w:gridSpan w:val="3"/>
            <w:shd w:val="clear" w:color="auto" w:fill="FFFFFF"/>
            <w:tcMar>
              <w:top w:w="30" w:type="dxa"/>
              <w:left w:w="410" w:type="dxa"/>
              <w:bottom w:w="30" w:type="dxa"/>
              <w:right w:w="20" w:type="dxa"/>
            </w:tcMar>
            <w:vAlign w:val="bottom"/>
            <w:hideMark/>
          </w:tcPr>
          <w:p w:rsidR="00000000" w:rsidRDefault="00F5481A">
            <w:pPr>
              <w:spacing w:after="100"/>
              <w:ind w:hanging="270"/>
              <w:rPr>
                <w:rFonts w:eastAsia="Times New Roman"/>
              </w:rPr>
            </w:pPr>
            <w:r>
              <w:rPr>
                <w:rFonts w:ascii="IBM Plex Sans" w:eastAsia="Times New Roman" w:hAnsi="IBM Plex Sans"/>
                <w:color w:val="283030"/>
                <w:sz w:val="20"/>
                <w:szCs w:val="20"/>
              </w:rPr>
              <w:t>Comprehensive loss attributable to noncontrolling interests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33 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69864060"/>
        </w:trPr>
        <w:tc>
          <w:tcPr>
            <w:tcW w:w="0" w:type="auto"/>
            <w:gridSpan w:val="3"/>
            <w:shd w:val="clear" w:color="auto" w:fill="D7EFF1"/>
            <w:tcMar>
              <w:top w:w="30" w:type="dxa"/>
              <w:left w:w="290" w:type="dxa"/>
              <w:bottom w:w="30" w:type="dxa"/>
              <w:right w:w="20" w:type="dxa"/>
            </w:tcMar>
            <w:vAlign w:val="bottom"/>
            <w:hideMark/>
          </w:tcPr>
          <w:p w:rsidR="00000000" w:rsidRDefault="00F5481A">
            <w:pPr>
              <w:spacing w:after="100"/>
              <w:ind w:hanging="270"/>
              <w:rPr>
                <w:rFonts w:eastAsia="Times New Roman"/>
              </w:rPr>
            </w:pPr>
            <w:r>
              <w:rPr>
                <w:rFonts w:ascii="IBM Plex Sans" w:eastAsia="Times New Roman" w:hAnsi="IBM Plex Sans"/>
                <w:color w:val="283030"/>
                <w:sz w:val="20"/>
                <w:szCs w:val="20"/>
              </w:rPr>
              <w:t>Total comprehensive income attributable to L3Harris Technologies, Inc.</w:t>
            </w: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920 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2,539 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788 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bl>
    <w:p w:rsidR="00000000" w:rsidRDefault="00F5481A">
      <w:pPr>
        <w:divId w:val="397869229"/>
        <w:rPr>
          <w:rFonts w:eastAsia="Times New Roman"/>
        </w:rPr>
      </w:pPr>
      <w:r>
        <w:rPr>
          <w:rFonts w:ascii="IBM Plex Sans" w:eastAsia="Times New Roman" w:hAnsi="IBM Plex Sans"/>
          <w:color w:val="283030"/>
          <w:sz w:val="20"/>
          <w:szCs w:val="20"/>
        </w:rPr>
        <w:t>See accompanying Notes to Consolidated Financial Statements.</w:t>
      </w:r>
    </w:p>
    <w:p w:rsidR="00000000" w:rsidRDefault="00F5481A">
      <w:pPr>
        <w:ind w:firstLine="360"/>
        <w:divId w:val="1766535533"/>
        <w:rPr>
          <w:rFonts w:eastAsia="Times New Roman"/>
        </w:rPr>
      </w:pPr>
    </w:p>
    <w:p w:rsidR="00000000" w:rsidRDefault="00F5481A">
      <w:pPr>
        <w:ind w:firstLine="360"/>
        <w:jc w:val="center"/>
        <w:divId w:val="674457550"/>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61</w:t>
      </w:r>
    </w:p>
    <w:p w:rsidR="00000000" w:rsidRDefault="00F5481A">
      <w:pPr>
        <w:rPr>
          <w:rFonts w:eastAsia="Times New Roman"/>
        </w:rPr>
      </w:pPr>
      <w:r>
        <w:rPr>
          <w:rFonts w:eastAsia="Times New Roman"/>
        </w:rPr>
        <w:pict>
          <v:rect id="_x0000_i1092" style="width:0;height:1.5pt" o:hralign="center" o:hrstd="t" o:hr="t" fillcolor="#a0a0a0" stroked="f"/>
        </w:pict>
      </w:r>
    </w:p>
    <w:p w:rsidR="00000000" w:rsidRDefault="00F5481A">
      <w:pPr>
        <w:ind w:firstLine="360"/>
        <w:divId w:val="1492872150"/>
        <w:rPr>
          <w:rFonts w:eastAsia="Times New Roman"/>
        </w:rPr>
      </w:pPr>
    </w:p>
    <w:p w:rsidR="00000000" w:rsidRDefault="00F5481A">
      <w:pPr>
        <w:divId w:val="526677590"/>
        <w:rPr>
          <w:rFonts w:eastAsia="Times New Roman"/>
        </w:rPr>
      </w:pPr>
      <w:r>
        <w:rPr>
          <w:rFonts w:ascii="IBM Plex Sans SemiBold" w:eastAsia="Times New Roman" w:hAnsi="IBM Plex Sans SemiBold"/>
          <w:b/>
          <w:bCs/>
          <w:color w:val="016676"/>
          <w:sz w:val="20"/>
          <w:szCs w:val="20"/>
        </w:rPr>
        <w:t>CONSOLIDATED BALANCE SHEET</w:t>
      </w:r>
    </w:p>
    <w:tbl>
      <w:tblPr>
        <w:tblW w:w="5000" w:type="pct"/>
        <w:tblCellMar>
          <w:top w:w="15" w:type="dxa"/>
          <w:left w:w="15" w:type="dxa"/>
          <w:bottom w:w="15" w:type="dxa"/>
          <w:right w:w="15" w:type="dxa"/>
        </w:tblCellMar>
        <w:tblLook w:val="04A0" w:firstRow="1" w:lastRow="0" w:firstColumn="1" w:lastColumn="0" w:noHBand="0" w:noVBand="1"/>
      </w:tblPr>
      <w:tblGrid>
        <w:gridCol w:w="37"/>
        <w:gridCol w:w="5541"/>
        <w:gridCol w:w="36"/>
        <w:gridCol w:w="132"/>
        <w:gridCol w:w="1124"/>
        <w:gridCol w:w="36"/>
        <w:gridCol w:w="36"/>
        <w:gridCol w:w="36"/>
        <w:gridCol w:w="36"/>
        <w:gridCol w:w="132"/>
        <w:gridCol w:w="1124"/>
        <w:gridCol w:w="36"/>
      </w:tblGrid>
      <w:tr w:rsidR="00000000">
        <w:trPr>
          <w:divId w:val="526677590"/>
        </w:trPr>
        <w:tc>
          <w:tcPr>
            <w:tcW w:w="50" w:type="pct"/>
            <w:vAlign w:val="center"/>
            <w:hideMark/>
          </w:tcPr>
          <w:p w:rsidR="00000000" w:rsidRDefault="00F5481A">
            <w:pPr>
              <w:rPr>
                <w:rFonts w:eastAsia="Times New Roman"/>
              </w:rPr>
            </w:pPr>
          </w:p>
        </w:tc>
        <w:tc>
          <w:tcPr>
            <w:tcW w:w="337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526677590"/>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 except shares)</w:t>
            </w: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r>
      <w:tr w:rsidR="00000000">
        <w:trPr>
          <w:divId w:val="526677590"/>
          <w:trHeight w:val="6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526677590"/>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283030"/>
                <w:sz w:val="20"/>
                <w:szCs w:val="20"/>
              </w:rPr>
              <w:t>Assets</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526677590"/>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i/>
                <w:iCs/>
                <w:color w:val="283030"/>
                <w:sz w:val="20"/>
                <w:szCs w:val="20"/>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526677590"/>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Cash and cash equivalents</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880 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941 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526677590"/>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Receivables, net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1,251 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1,045 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526677590"/>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Contract assets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2,987 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3,021 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526677590"/>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Inventories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1,291 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982 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526677590"/>
        </w:trPr>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526677590"/>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Income taxes receivable</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98 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526677590"/>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Other current assets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258 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272 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526677590"/>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Assets of business held for sale</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47 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526677590"/>
        </w:trPr>
        <w:tc>
          <w:tcPr>
            <w:tcW w:w="0" w:type="auto"/>
            <w:gridSpan w:val="3"/>
            <w:shd w:val="clear" w:color="auto" w:fill="FFFFFF"/>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6,754 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6,359 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526677590"/>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i/>
                <w:iCs/>
                <w:color w:val="283030"/>
                <w:sz w:val="20"/>
                <w:szCs w:val="20"/>
              </w:rPr>
              <w:t>Non-current Assets</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526677590"/>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Property, plant and equipment, net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2,104 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2,101 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526677590"/>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Operating lease right-of-use assets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756 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769 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526677590"/>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Goodwill</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17,283 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18,189 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526677590"/>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Other intangible assets, net</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6,001 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6,640 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526677590"/>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73 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526677590"/>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Other non-current assets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553 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566 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526677590"/>
        </w:trPr>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526677590"/>
        </w:trPr>
        <w:tc>
          <w:tcPr>
            <w:tcW w:w="0" w:type="auto"/>
            <w:gridSpan w:val="3"/>
            <w:shd w:val="clear" w:color="auto" w:fill="FFFFFF"/>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Total non-current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26,770 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28,350 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526677590"/>
        </w:trPr>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33,524 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34,709 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526677590"/>
        </w:trPr>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Liabilities and Equity</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526677590"/>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i/>
                <w:iCs/>
                <w:color w:val="283030"/>
                <w:sz w:val="20"/>
                <w:szCs w:val="20"/>
              </w:rPr>
              <w:t>Current Liabilities</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526677590"/>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Short-term debt</w:t>
            </w: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526677590"/>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Accounts payable</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1,945 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1,767 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526677590"/>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Contract liabilities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1,400 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1,297 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526677590"/>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Compensation and benefits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398 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444 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526677590"/>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Other accrued items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818 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1,002 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526677590"/>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Income taxes payable</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376 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28 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526677590"/>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Current portion of long-term debt, net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818 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526677590"/>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 xml:space="preserve">Liabilities of business held for sale </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526677590"/>
        </w:trPr>
        <w:tc>
          <w:tcPr>
            <w:tcW w:w="0" w:type="auto"/>
            <w:gridSpan w:val="3"/>
            <w:shd w:val="clear" w:color="auto" w:fill="FFFFFF"/>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5,776 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4,551 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526677590"/>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i/>
                <w:iCs/>
                <w:color w:val="283030"/>
                <w:sz w:val="20"/>
                <w:szCs w:val="20"/>
              </w:rPr>
              <w:t>Non-current Liabilities</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526677590"/>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Defined benefit plans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262 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614 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526677590"/>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Operating lease liabilities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741 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768 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526677590"/>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Long-term debt, net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6,225 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7,048 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526677590"/>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Deferred income taxes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719 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1,344 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526677590"/>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Other long-term liabilities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1,177 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1,065 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526677590"/>
        </w:trPr>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526677590"/>
        </w:trPr>
        <w:tc>
          <w:tcPr>
            <w:tcW w:w="0" w:type="auto"/>
            <w:gridSpan w:val="3"/>
            <w:shd w:val="clear" w:color="auto" w:fill="D7EFF1"/>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Total non-current liabilities</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9,124 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10,839 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526677590"/>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i/>
                <w:iCs/>
                <w:color w:val="283030"/>
                <w:sz w:val="20"/>
                <w:szCs w:val="20"/>
              </w:rPr>
              <w:t>Equity</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526677590"/>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Shareholders’ Equity:</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526677590"/>
        </w:trPr>
        <w:tc>
          <w:tcPr>
            <w:tcW w:w="0" w:type="auto"/>
            <w:gridSpan w:val="3"/>
            <w:shd w:val="clear" w:color="auto" w:fill="FFFFFF"/>
            <w:tcMar>
              <w:top w:w="30" w:type="dxa"/>
              <w:left w:w="20" w:type="dxa"/>
              <w:bottom w:w="30" w:type="dxa"/>
              <w:right w:w="20" w:type="dxa"/>
            </w:tcMar>
            <w:hideMark/>
          </w:tcPr>
          <w:p w:rsidR="00000000" w:rsidRDefault="00F5481A">
            <w:pPr>
              <w:spacing w:after="100"/>
              <w:divId w:val="889611665"/>
              <w:rPr>
                <w:rFonts w:eastAsia="Times New Roman"/>
              </w:rPr>
            </w:pPr>
            <w:r>
              <w:rPr>
                <w:rFonts w:ascii="IBM Plex Sans" w:eastAsia="Times New Roman" w:hAnsi="IBM Plex Sans"/>
                <w:color w:val="283030"/>
                <w:sz w:val="20"/>
                <w:szCs w:val="20"/>
              </w:rPr>
              <w:t>Preferred stock, without par value; 1,000,000 shares authorized; none issued</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526677590"/>
        </w:trPr>
        <w:tc>
          <w:tcPr>
            <w:tcW w:w="0" w:type="auto"/>
            <w:gridSpan w:val="3"/>
            <w:shd w:val="clear" w:color="auto" w:fill="D7EFF1"/>
            <w:tcMar>
              <w:top w:w="30" w:type="dxa"/>
              <w:left w:w="20" w:type="dxa"/>
              <w:bottom w:w="30" w:type="dxa"/>
              <w:right w:w="20" w:type="dxa"/>
            </w:tcMar>
            <w:hideMark/>
          </w:tcPr>
          <w:p w:rsidR="00000000" w:rsidRDefault="00F5481A">
            <w:pPr>
              <w:spacing w:after="100"/>
              <w:ind w:hanging="270"/>
              <w:divId w:val="486555928"/>
              <w:rPr>
                <w:rFonts w:eastAsia="Times New Roman"/>
              </w:rPr>
            </w:pPr>
            <w:r>
              <w:rPr>
                <w:rFonts w:ascii="IBM Plex Sans" w:eastAsia="Times New Roman" w:hAnsi="IBM Plex Sans"/>
                <w:color w:val="283030"/>
                <w:sz w:val="20"/>
                <w:szCs w:val="20"/>
              </w:rPr>
              <w:t>Common stock, $1.00 par value; 500,000,000 shares authorized; issued and outstanding 190,611,458 and 193,511,401 shares at December </w:t>
            </w:r>
            <w:r>
              <w:rPr>
                <w:rFonts w:ascii="IBM Plex Sans" w:eastAsia="Times New Roman" w:hAnsi="IBM Plex Sans"/>
                <w:color w:val="283030"/>
                <w:sz w:val="20"/>
                <w:szCs w:val="20"/>
              </w:rPr>
              <w:t>30, 2022 and December 31, 2021, respectively</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191 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194 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526677590"/>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Other capital</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15,677 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16,248 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526677590"/>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Retained earnings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2,943 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2,917 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526677590"/>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Accumulated other comprehensive loss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(288)</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(146)</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526677590"/>
        </w:trPr>
        <w:tc>
          <w:tcPr>
            <w:tcW w:w="0" w:type="auto"/>
            <w:gridSpan w:val="3"/>
            <w:shd w:val="clear" w:color="auto" w:fill="D7EFF1"/>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Total shareholders’ equity</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18,523 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19,213 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526677590"/>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Noncontrolling interests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526677590"/>
        </w:trPr>
        <w:tc>
          <w:tcPr>
            <w:tcW w:w="0" w:type="auto"/>
            <w:gridSpan w:val="3"/>
            <w:shd w:val="clear" w:color="auto" w:fill="D7EFF1"/>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Total equity</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18,624 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19,319 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526677590"/>
        </w:trPr>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33,524 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34,709 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bl>
    <w:p w:rsidR="00000000" w:rsidRDefault="00F5481A">
      <w:pPr>
        <w:divId w:val="526677590"/>
        <w:rPr>
          <w:rFonts w:eastAsia="Times New Roman"/>
        </w:rPr>
      </w:pPr>
      <w:r>
        <w:rPr>
          <w:rFonts w:ascii="IBM Plex Sans" w:eastAsia="Times New Roman" w:hAnsi="IBM Plex Sans"/>
          <w:color w:val="283030"/>
          <w:sz w:val="20"/>
          <w:szCs w:val="20"/>
        </w:rPr>
        <w:t>See accompanying Notes to Consolidated Financial Statements.</w:t>
      </w:r>
    </w:p>
    <w:p w:rsidR="00000000" w:rsidRDefault="00F5481A">
      <w:pPr>
        <w:ind w:firstLine="360"/>
        <w:jc w:val="center"/>
        <w:divId w:val="1654216600"/>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62</w:t>
      </w:r>
    </w:p>
    <w:p w:rsidR="00000000" w:rsidRDefault="00F5481A">
      <w:pPr>
        <w:rPr>
          <w:rFonts w:eastAsia="Times New Roman"/>
        </w:rPr>
      </w:pPr>
      <w:r>
        <w:rPr>
          <w:rFonts w:eastAsia="Times New Roman"/>
        </w:rPr>
        <w:pict>
          <v:rect id="_x0000_i1093" style="width:0;height:1.5pt" o:hralign="center" o:hrstd="t" o:hr="t" fillcolor="#a0a0a0" stroked="f"/>
        </w:pict>
      </w:r>
    </w:p>
    <w:p w:rsidR="00000000" w:rsidRDefault="00F5481A">
      <w:pPr>
        <w:ind w:firstLine="360"/>
        <w:divId w:val="811288719"/>
        <w:rPr>
          <w:rFonts w:eastAsia="Times New Roman"/>
        </w:rPr>
      </w:pPr>
    </w:p>
    <w:p w:rsidR="00000000" w:rsidRDefault="00F5481A">
      <w:pPr>
        <w:divId w:val="1160543566"/>
        <w:rPr>
          <w:rFonts w:eastAsia="Times New Roman"/>
        </w:rPr>
      </w:pPr>
      <w:r>
        <w:rPr>
          <w:rFonts w:ascii="IBM Plex Sans SemiBold" w:eastAsia="Times New Roman" w:hAnsi="IBM Plex Sans SemiBold"/>
          <w:b/>
          <w:bCs/>
          <w:color w:val="016676"/>
          <w:sz w:val="20"/>
          <w:szCs w:val="20"/>
        </w:rPr>
        <w:t>CONSOLIDATED STATEMENT OF CASH FLOWS</w:t>
      </w:r>
    </w:p>
    <w:tbl>
      <w:tblPr>
        <w:tblW w:w="4985" w:type="pct"/>
        <w:tblCellMar>
          <w:top w:w="15" w:type="dxa"/>
          <w:left w:w="15" w:type="dxa"/>
          <w:bottom w:w="15" w:type="dxa"/>
          <w:right w:w="15" w:type="dxa"/>
        </w:tblCellMar>
        <w:tblLook w:val="04A0" w:firstRow="1" w:lastRow="0" w:firstColumn="1" w:lastColumn="0" w:noHBand="0" w:noVBand="1"/>
      </w:tblPr>
      <w:tblGrid>
        <w:gridCol w:w="42"/>
        <w:gridCol w:w="4177"/>
        <w:gridCol w:w="40"/>
        <w:gridCol w:w="133"/>
        <w:gridCol w:w="1084"/>
        <w:gridCol w:w="36"/>
        <w:gridCol w:w="36"/>
        <w:gridCol w:w="36"/>
        <w:gridCol w:w="36"/>
        <w:gridCol w:w="133"/>
        <w:gridCol w:w="1107"/>
        <w:gridCol w:w="36"/>
        <w:gridCol w:w="36"/>
        <w:gridCol w:w="36"/>
        <w:gridCol w:w="36"/>
        <w:gridCol w:w="132"/>
        <w:gridCol w:w="1109"/>
        <w:gridCol w:w="36"/>
      </w:tblGrid>
      <w:tr w:rsidR="00000000">
        <w:trPr>
          <w:divId w:val="1160543566"/>
        </w:trPr>
        <w:tc>
          <w:tcPr>
            <w:tcW w:w="50" w:type="pct"/>
            <w:vAlign w:val="center"/>
            <w:hideMark/>
          </w:tcPr>
          <w:p w:rsidR="00000000" w:rsidRDefault="00F5481A">
            <w:pPr>
              <w:rPr>
                <w:rFonts w:eastAsia="Times New Roman"/>
              </w:rPr>
            </w:pPr>
          </w:p>
        </w:tc>
        <w:tc>
          <w:tcPr>
            <w:tcW w:w="258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01"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1160543566"/>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 </w:t>
            </w:r>
          </w:p>
        </w:tc>
        <w:tc>
          <w:tcPr>
            <w:tcW w:w="0" w:type="auto"/>
            <w:gridSpan w:val="15"/>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Fiscal Year Ended</w:t>
            </w:r>
          </w:p>
        </w:tc>
      </w:tr>
      <w:tr w:rsidR="00000000">
        <w:trPr>
          <w:divId w:val="1160543566"/>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January 1, 2021</w:t>
            </w:r>
          </w:p>
        </w:tc>
      </w:tr>
      <w:tr w:rsidR="00000000">
        <w:trPr>
          <w:divId w:val="1160543566"/>
          <w:trHeight w:val="6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160543566"/>
        </w:trPr>
        <w:tc>
          <w:tcPr>
            <w:tcW w:w="0" w:type="auto"/>
            <w:gridSpan w:val="3"/>
            <w:shd w:val="clear" w:color="auto" w:fill="D7EFF1"/>
            <w:tcMar>
              <w:top w:w="30" w:type="dxa"/>
              <w:left w:w="2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b/>
                <w:bCs/>
                <w:color w:val="283030"/>
                <w:sz w:val="20"/>
                <w:szCs w:val="20"/>
              </w:rPr>
              <w:t>Operating Activities</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160543566"/>
        </w:trPr>
        <w:tc>
          <w:tcPr>
            <w:tcW w:w="0" w:type="auto"/>
            <w:gridSpan w:val="3"/>
            <w:shd w:val="clear" w:color="auto" w:fill="FFFFFF"/>
            <w:tcMar>
              <w:top w:w="30" w:type="dxa"/>
              <w:left w:w="14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Net income</w:t>
            </w: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1,061 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1,842 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1,086 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60543566"/>
        </w:trPr>
        <w:tc>
          <w:tcPr>
            <w:tcW w:w="0" w:type="auto"/>
            <w:gridSpan w:val="3"/>
            <w:shd w:val="clear" w:color="auto" w:fill="D7EFF1"/>
            <w:tcMar>
              <w:top w:w="30" w:type="dxa"/>
              <w:left w:w="14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Adjustments to reconcile net income to net cash provided by operating activities:</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160543566"/>
        </w:trPr>
        <w:tc>
          <w:tcPr>
            <w:tcW w:w="0" w:type="auto"/>
            <w:gridSpan w:val="3"/>
            <w:shd w:val="clear" w:color="auto" w:fill="FFFFFF"/>
            <w:tcMar>
              <w:top w:w="30" w:type="dxa"/>
              <w:left w:w="26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Amortization of acquisition-related intangibles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605 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627 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709 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60543566"/>
        </w:trPr>
        <w:tc>
          <w:tcPr>
            <w:tcW w:w="0" w:type="auto"/>
            <w:gridSpan w:val="3"/>
            <w:shd w:val="clear" w:color="auto" w:fill="D7EFF1"/>
            <w:tcMar>
              <w:top w:w="30" w:type="dxa"/>
              <w:left w:w="26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Depreciation and other amortization</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333 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340 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323 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60543566"/>
        </w:trPr>
        <w:tc>
          <w:tcPr>
            <w:tcW w:w="0" w:type="auto"/>
            <w:gridSpan w:val="3"/>
            <w:shd w:val="clear" w:color="auto" w:fill="FFFFFF"/>
            <w:tcMar>
              <w:top w:w="30" w:type="dxa"/>
              <w:left w:w="26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Share-based compensation</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109 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129 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94 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60543566"/>
        </w:trPr>
        <w:tc>
          <w:tcPr>
            <w:tcW w:w="0" w:type="auto"/>
            <w:gridSpan w:val="3"/>
            <w:shd w:val="clear" w:color="auto" w:fill="D7EFF1"/>
            <w:tcMar>
              <w:top w:w="30" w:type="dxa"/>
              <w:left w:w="380" w:type="dxa"/>
              <w:bottom w:w="30" w:type="dxa"/>
              <w:right w:w="20" w:type="dxa"/>
            </w:tcMar>
            <w:vAlign w:val="center"/>
            <w:hideMark/>
          </w:tcPr>
          <w:p w:rsidR="00000000" w:rsidRDefault="00F5481A">
            <w:pPr>
              <w:spacing w:after="100"/>
              <w:ind w:hanging="90"/>
              <w:rPr>
                <w:rFonts w:eastAsia="Times New Roman"/>
              </w:rPr>
            </w:pPr>
            <w:r>
              <w:rPr>
                <w:rFonts w:ascii="IBM Plex Sans" w:eastAsia="Times New Roman" w:hAnsi="IBM Plex Sans"/>
                <w:color w:val="283030"/>
                <w:sz w:val="20"/>
                <w:szCs w:val="20"/>
              </w:rPr>
              <w:t>Share-based matching contributions under defined contribution plans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216 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216 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60543566"/>
        </w:trPr>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60543566"/>
        </w:trPr>
        <w:tc>
          <w:tcPr>
            <w:tcW w:w="0" w:type="auto"/>
            <w:gridSpan w:val="3"/>
            <w:shd w:val="clear" w:color="auto" w:fill="FFFFFF"/>
            <w:tcMar>
              <w:top w:w="30" w:type="dxa"/>
              <w:left w:w="26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Pension and other postretirement benefit plan income</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(395)</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(375)</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(321)</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60543566"/>
        </w:trPr>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60543566"/>
        </w:trPr>
        <w:tc>
          <w:tcPr>
            <w:tcW w:w="0" w:type="auto"/>
            <w:gridSpan w:val="3"/>
            <w:shd w:val="clear" w:color="auto" w:fill="D7EFF1"/>
            <w:tcMar>
              <w:top w:w="30" w:type="dxa"/>
              <w:left w:w="26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Goodwill and asset impairment charges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802 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244 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767 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60543566"/>
        </w:trPr>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60543566"/>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60543566"/>
        </w:trPr>
        <w:tc>
          <w:tcPr>
            <w:tcW w:w="0" w:type="auto"/>
            <w:gridSpan w:val="3"/>
            <w:shd w:val="clear" w:color="auto" w:fill="FFFFFF"/>
            <w:tcMar>
              <w:top w:w="30" w:type="dxa"/>
              <w:left w:w="26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Business divestiture-related (gains) losses, net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(220)</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60543566"/>
        </w:trPr>
        <w:tc>
          <w:tcPr>
            <w:tcW w:w="0" w:type="auto"/>
            <w:gridSpan w:val="3"/>
            <w:shd w:val="clear" w:color="auto" w:fill="D7EFF1"/>
            <w:tcMar>
              <w:top w:w="30" w:type="dxa"/>
              <w:left w:w="26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Loss (gain) on sale of property, plant and equipment</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(22)</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60543566"/>
        </w:trPr>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60543566"/>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60543566"/>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60543566"/>
        </w:trPr>
        <w:tc>
          <w:tcPr>
            <w:tcW w:w="0" w:type="auto"/>
            <w:gridSpan w:val="3"/>
            <w:shd w:val="clear" w:color="auto" w:fill="FFFFFF"/>
            <w:tcMar>
              <w:top w:w="30" w:type="dxa"/>
              <w:left w:w="26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(596)</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(114)</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(215)</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60543566"/>
        </w:trPr>
        <w:tc>
          <w:tcPr>
            <w:tcW w:w="0" w:type="auto"/>
            <w:gridSpan w:val="3"/>
            <w:shd w:val="clear" w:color="auto" w:fill="D7EFF1"/>
            <w:tcMar>
              <w:top w:w="30" w:type="dxa"/>
              <w:left w:w="26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(Increase) decrease in:</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160543566"/>
        </w:trPr>
        <w:tc>
          <w:tcPr>
            <w:tcW w:w="0" w:type="auto"/>
            <w:gridSpan w:val="3"/>
            <w:shd w:val="clear" w:color="auto" w:fill="FFFFFF"/>
            <w:tcMar>
              <w:top w:w="30" w:type="dxa"/>
              <w:left w:w="38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Receivables, net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(210)</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(250)</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60543566"/>
        </w:trPr>
        <w:tc>
          <w:tcPr>
            <w:tcW w:w="0" w:type="auto"/>
            <w:gridSpan w:val="3"/>
            <w:shd w:val="clear" w:color="auto" w:fill="D7EFF1"/>
            <w:tcMar>
              <w:top w:w="30" w:type="dxa"/>
              <w:left w:w="38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Contract assets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(820)</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(116)</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60543566"/>
        </w:trPr>
        <w:tc>
          <w:tcPr>
            <w:tcW w:w="0" w:type="auto"/>
            <w:gridSpan w:val="3"/>
            <w:shd w:val="clear" w:color="auto" w:fill="FFFFFF"/>
            <w:tcMar>
              <w:top w:w="30" w:type="dxa"/>
              <w:left w:w="38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Inventories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(310)</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(68)</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60543566"/>
        </w:trPr>
        <w:tc>
          <w:tcPr>
            <w:tcW w:w="0" w:type="auto"/>
            <w:gridSpan w:val="3"/>
            <w:shd w:val="clear" w:color="auto" w:fill="D7EFF1"/>
            <w:tcMar>
              <w:top w:w="30" w:type="dxa"/>
              <w:left w:w="38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Prepaid expenses and other current assets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57 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60543566"/>
        </w:trPr>
        <w:tc>
          <w:tcPr>
            <w:tcW w:w="0" w:type="auto"/>
            <w:gridSpan w:val="3"/>
            <w:shd w:val="clear" w:color="auto" w:fill="FFFFFF"/>
            <w:tcMar>
              <w:top w:w="30" w:type="dxa"/>
              <w:left w:w="26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Increase (decrease) in:</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160543566"/>
        </w:trPr>
        <w:tc>
          <w:tcPr>
            <w:tcW w:w="0" w:type="auto"/>
            <w:gridSpan w:val="3"/>
            <w:shd w:val="clear" w:color="auto" w:fill="D7EFF1"/>
            <w:tcMar>
              <w:top w:w="30" w:type="dxa"/>
              <w:left w:w="38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Accounts payable</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430 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173 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60543566"/>
        </w:trPr>
        <w:tc>
          <w:tcPr>
            <w:tcW w:w="0" w:type="auto"/>
            <w:gridSpan w:val="3"/>
            <w:shd w:val="clear" w:color="auto" w:fill="FFFFFF"/>
            <w:tcMar>
              <w:top w:w="30" w:type="dxa"/>
              <w:left w:w="38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Contract liabilities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178 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14 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60543566"/>
        </w:trPr>
        <w:tc>
          <w:tcPr>
            <w:tcW w:w="0" w:type="auto"/>
            <w:gridSpan w:val="3"/>
            <w:shd w:val="clear" w:color="auto" w:fill="D7EFF1"/>
            <w:tcMar>
              <w:top w:w="30" w:type="dxa"/>
              <w:left w:w="38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Compensation and benefits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(45)</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(44)</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60543566"/>
        </w:trPr>
        <w:tc>
          <w:tcPr>
            <w:tcW w:w="0" w:type="auto"/>
            <w:gridSpan w:val="3"/>
            <w:shd w:val="clear" w:color="auto" w:fill="FFFFFF"/>
            <w:tcMar>
              <w:top w:w="30" w:type="dxa"/>
              <w:left w:w="38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Other accrued items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(181)</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60543566"/>
        </w:trPr>
        <w:tc>
          <w:tcPr>
            <w:tcW w:w="0" w:type="auto"/>
            <w:gridSpan w:val="3"/>
            <w:shd w:val="clear" w:color="auto" w:fill="D7EFF1"/>
            <w:tcMar>
              <w:top w:w="30" w:type="dxa"/>
              <w:left w:w="38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Income taxes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499 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190 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60543566"/>
        </w:trPr>
        <w:tc>
          <w:tcPr>
            <w:tcW w:w="0" w:type="auto"/>
            <w:gridSpan w:val="3"/>
            <w:shd w:val="clear" w:color="auto" w:fill="FFFFFF"/>
            <w:tcMar>
              <w:top w:w="30" w:type="dxa"/>
              <w:left w:w="14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(73)</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(131)</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19 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60543566"/>
        </w:trPr>
        <w:tc>
          <w:tcPr>
            <w:tcW w:w="0" w:type="auto"/>
            <w:gridSpan w:val="3"/>
            <w:shd w:val="clear" w:color="auto" w:fill="D7EFF1"/>
            <w:tcMar>
              <w:top w:w="30" w:type="dxa"/>
              <w:left w:w="2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Net cash provided by operating activities</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2,158 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2,687 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2,790 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60543566"/>
        </w:trPr>
        <w:tc>
          <w:tcPr>
            <w:tcW w:w="0" w:type="auto"/>
            <w:gridSpan w:val="3"/>
            <w:shd w:val="clear" w:color="auto" w:fill="FFFFFF"/>
            <w:tcMar>
              <w:top w:w="30" w:type="dxa"/>
              <w:left w:w="2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b/>
                <w:bCs/>
                <w:color w:val="283030"/>
                <w:sz w:val="20"/>
                <w:szCs w:val="20"/>
              </w:rPr>
              <w:t>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160543566"/>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60543566"/>
        </w:trPr>
        <w:tc>
          <w:tcPr>
            <w:tcW w:w="0" w:type="auto"/>
            <w:gridSpan w:val="3"/>
            <w:shd w:val="clear" w:color="auto" w:fill="D7EFF1"/>
            <w:tcMar>
              <w:top w:w="30" w:type="dxa"/>
              <w:left w:w="14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Additions to property, plant and equipment</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(252)</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(342)</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(368)</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60543566"/>
        </w:trPr>
        <w:tc>
          <w:tcPr>
            <w:tcW w:w="0" w:type="auto"/>
            <w:gridSpan w:val="3"/>
            <w:shd w:val="clear" w:color="auto" w:fill="FFFFFF"/>
            <w:tcMar>
              <w:top w:w="30" w:type="dxa"/>
              <w:left w:w="14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Proceeds from sale of property, plant and equipment, net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14 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60543566"/>
        </w:trPr>
        <w:tc>
          <w:tcPr>
            <w:tcW w:w="0" w:type="auto"/>
            <w:gridSpan w:val="3"/>
            <w:shd w:val="clear" w:color="auto" w:fill="D7EFF1"/>
            <w:tcMar>
              <w:top w:w="30" w:type="dxa"/>
              <w:left w:w="14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Proceeds from sales of businesses, net</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1,729 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1,040 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60543566"/>
        </w:trPr>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60543566"/>
        </w:trPr>
        <w:tc>
          <w:tcPr>
            <w:tcW w:w="0" w:type="auto"/>
            <w:gridSpan w:val="3"/>
            <w:shd w:val="clear" w:color="auto" w:fill="FFFFFF"/>
            <w:tcMar>
              <w:top w:w="30" w:type="dxa"/>
              <w:left w:w="14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Proceeds from sale of asset group, net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60543566"/>
        </w:trPr>
        <w:tc>
          <w:tcPr>
            <w:tcW w:w="0" w:type="auto"/>
            <w:gridSpan w:val="3"/>
            <w:shd w:val="clear" w:color="auto" w:fill="D7EFF1"/>
            <w:tcMar>
              <w:top w:w="30" w:type="dxa"/>
              <w:left w:w="14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Cash used for equity investments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(47)</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(14)</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60543566"/>
        </w:trPr>
        <w:tc>
          <w:tcPr>
            <w:tcW w:w="0" w:type="auto"/>
            <w:gridSpan w:val="3"/>
            <w:shd w:val="clear" w:color="auto" w:fill="FFFFFF"/>
            <w:tcMar>
              <w:top w:w="30" w:type="dxa"/>
              <w:left w:w="14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Other investing activities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60543566"/>
        </w:trPr>
        <w:tc>
          <w:tcPr>
            <w:tcW w:w="0" w:type="auto"/>
            <w:gridSpan w:val="3"/>
            <w:shd w:val="clear" w:color="auto" w:fill="D7EFF1"/>
            <w:tcMar>
              <w:top w:w="30" w:type="dxa"/>
              <w:left w:w="2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Net cash (used in) provided by investing activities</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(250)</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1,394 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751 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60543566"/>
        </w:trPr>
        <w:tc>
          <w:tcPr>
            <w:tcW w:w="0" w:type="auto"/>
            <w:gridSpan w:val="3"/>
            <w:shd w:val="clear" w:color="auto" w:fill="FFFFFF"/>
            <w:tcMar>
              <w:top w:w="30" w:type="dxa"/>
              <w:left w:w="2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b/>
                <w:bCs/>
                <w:color w:val="283030"/>
                <w:sz w:val="20"/>
                <w:szCs w:val="20"/>
              </w:rPr>
              <w:t>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160543566"/>
        </w:trPr>
        <w:tc>
          <w:tcPr>
            <w:tcW w:w="0" w:type="auto"/>
            <w:gridSpan w:val="3"/>
            <w:shd w:val="clear" w:color="auto" w:fill="D7EFF1"/>
            <w:tcMar>
              <w:top w:w="30" w:type="dxa"/>
              <w:left w:w="14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Net proceeds from borrowings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901 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60543566"/>
        </w:trPr>
        <w:tc>
          <w:tcPr>
            <w:tcW w:w="0" w:type="auto"/>
            <w:gridSpan w:val="3"/>
            <w:shd w:val="clear" w:color="auto" w:fill="FFFFFF"/>
            <w:tcMar>
              <w:top w:w="30" w:type="dxa"/>
              <w:left w:w="14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Repayments of borrowings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(14)</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(931)</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60543566"/>
        </w:trPr>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60543566"/>
        </w:trPr>
        <w:tc>
          <w:tcPr>
            <w:tcW w:w="0" w:type="auto"/>
            <w:gridSpan w:val="3"/>
            <w:shd w:val="clear" w:color="auto" w:fill="D7EFF1"/>
            <w:tcMar>
              <w:top w:w="30" w:type="dxa"/>
              <w:left w:w="14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Payments of interest rate derivative obligations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(113)</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60543566"/>
        </w:trPr>
        <w:tc>
          <w:tcPr>
            <w:tcW w:w="0" w:type="auto"/>
            <w:gridSpan w:val="3"/>
            <w:shd w:val="clear" w:color="auto" w:fill="FFFFFF"/>
            <w:tcMar>
              <w:top w:w="30" w:type="dxa"/>
              <w:left w:w="14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Proceeds from exercises of employee stock options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60543566"/>
        </w:trPr>
        <w:tc>
          <w:tcPr>
            <w:tcW w:w="0" w:type="auto"/>
            <w:gridSpan w:val="3"/>
            <w:shd w:val="clear" w:color="auto" w:fill="D7EFF1"/>
            <w:tcMar>
              <w:top w:w="30" w:type="dxa"/>
              <w:left w:w="14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Repurchases of common stock</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(1,083)</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(3,675)</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(2,290)</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60543566"/>
        </w:trPr>
        <w:tc>
          <w:tcPr>
            <w:tcW w:w="0" w:type="auto"/>
            <w:gridSpan w:val="3"/>
            <w:shd w:val="clear" w:color="auto" w:fill="FFFFFF"/>
            <w:tcMar>
              <w:top w:w="30" w:type="dxa"/>
              <w:left w:w="14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Cash dividends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(864)</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(817)</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(725)</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60543566"/>
        </w:trPr>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60543566"/>
        </w:trPr>
        <w:tc>
          <w:tcPr>
            <w:tcW w:w="0" w:type="auto"/>
            <w:gridSpan w:val="3"/>
            <w:shd w:val="clear" w:color="auto" w:fill="D7EFF1"/>
            <w:tcMar>
              <w:top w:w="30" w:type="dxa"/>
              <w:left w:w="320" w:type="dxa"/>
              <w:bottom w:w="30" w:type="dxa"/>
              <w:right w:w="20" w:type="dxa"/>
            </w:tcMar>
            <w:vAlign w:val="center"/>
            <w:hideMark/>
          </w:tcPr>
          <w:p w:rsidR="00000000" w:rsidRDefault="00F5481A">
            <w:pPr>
              <w:spacing w:after="100"/>
              <w:ind w:hanging="180"/>
              <w:rPr>
                <w:rFonts w:eastAsia="Times New Roman"/>
              </w:rPr>
            </w:pPr>
            <w:r>
              <w:rPr>
                <w:rFonts w:ascii="IBM Plex Sans" w:eastAsia="Times New Roman" w:hAnsi="IBM Plex Sans"/>
                <w:color w:val="283030"/>
                <w:sz w:val="20"/>
                <w:szCs w:val="20"/>
              </w:rPr>
              <w:t>Tax withholding payments associated with vested share-based awards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(45)</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60543566"/>
        </w:trPr>
        <w:tc>
          <w:tcPr>
            <w:tcW w:w="0" w:type="auto"/>
            <w:gridSpan w:val="3"/>
            <w:shd w:val="clear" w:color="auto" w:fill="FFFFFF"/>
            <w:tcMar>
              <w:top w:w="30" w:type="dxa"/>
              <w:left w:w="14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Other financing activities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60543566"/>
        </w:trPr>
        <w:tc>
          <w:tcPr>
            <w:tcW w:w="0" w:type="auto"/>
            <w:gridSpan w:val="3"/>
            <w:shd w:val="clear" w:color="auto" w:fill="D7EFF1"/>
            <w:tcMar>
              <w:top w:w="30" w:type="dxa"/>
              <w:left w:w="2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Net cash used in financing activities</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(1,951)</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(4,413)</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(3,112)</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60543566"/>
        </w:trPr>
        <w:tc>
          <w:tcPr>
            <w:tcW w:w="0" w:type="auto"/>
            <w:gridSpan w:val="3"/>
            <w:shd w:val="clear" w:color="auto" w:fill="FFFFFF"/>
            <w:tcMar>
              <w:top w:w="30" w:type="dxa"/>
              <w:left w:w="290" w:type="dxa"/>
              <w:bottom w:w="30" w:type="dxa"/>
              <w:right w:w="20" w:type="dxa"/>
            </w:tcMar>
            <w:vAlign w:val="bottom"/>
            <w:hideMark/>
          </w:tcPr>
          <w:p w:rsidR="00000000" w:rsidRDefault="00F5481A">
            <w:pPr>
              <w:spacing w:after="100"/>
              <w:ind w:hanging="270"/>
              <w:rPr>
                <w:rFonts w:eastAsia="Times New Roman"/>
              </w:rPr>
            </w:pPr>
            <w:r>
              <w:rPr>
                <w:rFonts w:ascii="IBM Plex Sans" w:eastAsia="Times New Roman" w:hAnsi="IBM Plex Sans"/>
                <w:color w:val="283030"/>
                <w:sz w:val="20"/>
                <w:szCs w:val="20"/>
              </w:rPr>
              <w:t>Effect of exchange rate changes on cash and cash equivalents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60543566"/>
        </w:trPr>
        <w:tc>
          <w:tcPr>
            <w:tcW w:w="0" w:type="auto"/>
            <w:gridSpan w:val="3"/>
            <w:shd w:val="clear" w:color="auto" w:fill="D7EFF1"/>
            <w:tcMar>
              <w:top w:w="30" w:type="dxa"/>
              <w:left w:w="2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b/>
                <w:bCs/>
                <w:color w:val="283030"/>
                <w:sz w:val="20"/>
                <w:szCs w:val="20"/>
              </w:rPr>
              <w:t>Net (decrease) increase in cash and cash equivalents</w:t>
            </w:r>
          </w:p>
        </w:tc>
        <w:tc>
          <w:tcPr>
            <w:tcW w:w="0" w:type="auto"/>
            <w:gridSpan w:val="2"/>
            <w:tcBorders>
              <w:top w:val="single" w:sz="8" w:space="0" w:color="000000"/>
            </w:tcBorders>
            <w:shd w:val="clear" w:color="auto" w:fill="D7EFF1"/>
            <w:tcMar>
              <w:top w:w="30" w:type="dxa"/>
              <w:left w:w="20" w:type="dxa"/>
              <w:bottom w:w="30" w:type="dxa"/>
              <w:right w:w="0" w:type="dxa"/>
            </w:tcMar>
            <w:hideMark/>
          </w:tcPr>
          <w:p w:rsidR="00000000" w:rsidRDefault="00F5481A">
            <w:pPr>
              <w:spacing w:after="100"/>
              <w:jc w:val="right"/>
              <w:rPr>
                <w:rFonts w:eastAsia="Times New Roman"/>
              </w:rPr>
            </w:pPr>
            <w:r>
              <w:rPr>
                <w:rFonts w:ascii="IBM Plex Sans" w:eastAsia="Times New Roman" w:hAnsi="IBM Plex Sans"/>
                <w:color w:val="283030"/>
                <w:sz w:val="20"/>
                <w:szCs w:val="20"/>
              </w:rPr>
              <w:t>(61)</w:t>
            </w:r>
          </w:p>
        </w:tc>
        <w:tc>
          <w:tcPr>
            <w:tcW w:w="0" w:type="auto"/>
            <w:tcBorders>
              <w:top w:val="single" w:sz="8" w:space="0" w:color="000000"/>
            </w:tcBorders>
            <w:shd w:val="clear" w:color="auto" w:fill="D7EFF1"/>
            <w:tcMar>
              <w:top w:w="30" w:type="dxa"/>
              <w:left w:w="0" w:type="dxa"/>
              <w:bottom w:w="30" w:type="dxa"/>
              <w:right w:w="20" w:type="dxa"/>
            </w:tcMar>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hideMark/>
          </w:tcPr>
          <w:p w:rsidR="00000000" w:rsidRDefault="00F5481A">
            <w:pPr>
              <w:spacing w:after="100"/>
              <w:jc w:val="right"/>
              <w:rPr>
                <w:rFonts w:eastAsia="Times New Roman"/>
              </w:rPr>
            </w:pPr>
            <w:r>
              <w:rPr>
                <w:rFonts w:ascii="IBM Plex Sans" w:eastAsia="Times New Roman" w:hAnsi="IBM Plex Sans"/>
                <w:color w:val="283030"/>
                <w:sz w:val="20"/>
                <w:szCs w:val="20"/>
              </w:rPr>
              <w:t>(335)</w:t>
            </w:r>
          </w:p>
        </w:tc>
        <w:tc>
          <w:tcPr>
            <w:tcW w:w="0" w:type="auto"/>
            <w:tcBorders>
              <w:top w:val="single" w:sz="8" w:space="0" w:color="000000"/>
            </w:tcBorders>
            <w:shd w:val="clear" w:color="auto" w:fill="D7EFF1"/>
            <w:tcMar>
              <w:top w:w="30" w:type="dxa"/>
              <w:left w:w="0" w:type="dxa"/>
              <w:bottom w:w="30" w:type="dxa"/>
              <w:right w:w="20" w:type="dxa"/>
            </w:tcMar>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hideMark/>
          </w:tcPr>
          <w:p w:rsidR="00000000" w:rsidRDefault="00F5481A">
            <w:pPr>
              <w:spacing w:after="100"/>
              <w:jc w:val="right"/>
              <w:rPr>
                <w:rFonts w:eastAsia="Times New Roman"/>
              </w:rPr>
            </w:pPr>
            <w:r>
              <w:rPr>
                <w:rFonts w:ascii="IBM Plex Sans" w:eastAsia="Times New Roman" w:hAnsi="IBM Plex Sans"/>
                <w:color w:val="283030"/>
                <w:sz w:val="20"/>
                <w:szCs w:val="20"/>
              </w:rPr>
              <w:t>452 </w:t>
            </w:r>
          </w:p>
        </w:tc>
        <w:tc>
          <w:tcPr>
            <w:tcW w:w="0" w:type="auto"/>
            <w:tcBorders>
              <w:top w:val="single" w:sz="8" w:space="0" w:color="000000"/>
            </w:tcBorders>
            <w:shd w:val="clear" w:color="auto" w:fill="D7EFF1"/>
            <w:tcMar>
              <w:top w:w="30" w:type="dxa"/>
              <w:left w:w="0" w:type="dxa"/>
              <w:bottom w:w="30" w:type="dxa"/>
              <w:right w:w="20" w:type="dxa"/>
            </w:tcMar>
            <w:hideMark/>
          </w:tcPr>
          <w:p w:rsidR="00000000" w:rsidRDefault="00F5481A">
            <w:pPr>
              <w:spacing w:after="100"/>
              <w:jc w:val="right"/>
              <w:rPr>
                <w:rFonts w:eastAsia="Times New Roman"/>
              </w:rPr>
            </w:pPr>
          </w:p>
        </w:tc>
      </w:tr>
      <w:tr w:rsidR="00000000">
        <w:trPr>
          <w:divId w:val="1160543566"/>
        </w:trPr>
        <w:tc>
          <w:tcPr>
            <w:tcW w:w="0" w:type="auto"/>
            <w:gridSpan w:val="3"/>
            <w:shd w:val="clear" w:color="auto" w:fill="FFFFFF"/>
            <w:tcMar>
              <w:top w:w="30" w:type="dxa"/>
              <w:left w:w="2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b/>
                <w:bCs/>
                <w:color w:val="283030"/>
                <w:sz w:val="20"/>
                <w:szCs w:val="20"/>
              </w:rPr>
              <w:t>Cash and cash equivalents, beginning of period</w:t>
            </w:r>
          </w:p>
        </w:tc>
        <w:tc>
          <w:tcPr>
            <w:tcW w:w="0" w:type="auto"/>
            <w:gridSpan w:val="2"/>
            <w:shd w:val="clear" w:color="auto" w:fill="FFFFFF"/>
            <w:tcMar>
              <w:top w:w="30" w:type="dxa"/>
              <w:left w:w="20" w:type="dxa"/>
              <w:bottom w:w="30" w:type="dxa"/>
              <w:right w:w="0" w:type="dxa"/>
            </w:tcMar>
            <w:hideMark/>
          </w:tcPr>
          <w:p w:rsidR="00000000" w:rsidRDefault="00F5481A">
            <w:pPr>
              <w:spacing w:after="100"/>
              <w:jc w:val="right"/>
              <w:rPr>
                <w:rFonts w:eastAsia="Times New Roman"/>
              </w:rPr>
            </w:pPr>
            <w:r>
              <w:rPr>
                <w:rFonts w:ascii="IBM Plex Sans" w:eastAsia="Times New Roman" w:hAnsi="IBM Plex Sans"/>
                <w:color w:val="283030"/>
                <w:sz w:val="20"/>
                <w:szCs w:val="20"/>
              </w:rPr>
              <w:t>941 </w:t>
            </w:r>
          </w:p>
        </w:tc>
        <w:tc>
          <w:tcPr>
            <w:tcW w:w="0" w:type="auto"/>
            <w:shd w:val="clear" w:color="auto" w:fill="FFFFFF"/>
            <w:tcMar>
              <w:top w:w="30" w:type="dxa"/>
              <w:left w:w="0" w:type="dxa"/>
              <w:bottom w:w="30" w:type="dxa"/>
              <w:right w:w="20" w:type="dxa"/>
            </w:tcMar>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F5481A">
            <w:pPr>
              <w:spacing w:after="100"/>
              <w:jc w:val="right"/>
              <w:rPr>
                <w:rFonts w:eastAsia="Times New Roman"/>
              </w:rPr>
            </w:pPr>
            <w:r>
              <w:rPr>
                <w:rFonts w:ascii="IBM Plex Sans" w:eastAsia="Times New Roman" w:hAnsi="IBM Plex Sans"/>
                <w:color w:val="283030"/>
                <w:sz w:val="20"/>
                <w:szCs w:val="20"/>
              </w:rPr>
              <w:t>1,276 </w:t>
            </w:r>
          </w:p>
        </w:tc>
        <w:tc>
          <w:tcPr>
            <w:tcW w:w="0" w:type="auto"/>
            <w:shd w:val="clear" w:color="auto" w:fill="FFFFFF"/>
            <w:tcMar>
              <w:top w:w="30" w:type="dxa"/>
              <w:left w:w="0" w:type="dxa"/>
              <w:bottom w:w="30" w:type="dxa"/>
              <w:right w:w="20" w:type="dxa"/>
            </w:tcMar>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F5481A">
            <w:pPr>
              <w:spacing w:after="100"/>
              <w:jc w:val="right"/>
              <w:rPr>
                <w:rFonts w:eastAsia="Times New Roman"/>
              </w:rPr>
            </w:pPr>
            <w:r>
              <w:rPr>
                <w:rFonts w:ascii="IBM Plex Sans" w:eastAsia="Times New Roman" w:hAnsi="IBM Plex Sans"/>
                <w:color w:val="283030"/>
                <w:sz w:val="20"/>
                <w:szCs w:val="20"/>
              </w:rPr>
              <w:t>824 </w:t>
            </w:r>
          </w:p>
        </w:tc>
        <w:tc>
          <w:tcPr>
            <w:tcW w:w="0" w:type="auto"/>
            <w:shd w:val="clear" w:color="auto" w:fill="FFFFFF"/>
            <w:tcMar>
              <w:top w:w="30" w:type="dxa"/>
              <w:left w:w="0" w:type="dxa"/>
              <w:bottom w:w="30" w:type="dxa"/>
              <w:right w:w="20" w:type="dxa"/>
            </w:tcMar>
            <w:hideMark/>
          </w:tcPr>
          <w:p w:rsidR="00000000" w:rsidRDefault="00F5481A">
            <w:pPr>
              <w:spacing w:after="100"/>
              <w:jc w:val="right"/>
              <w:rPr>
                <w:rFonts w:eastAsia="Times New Roman"/>
              </w:rPr>
            </w:pPr>
          </w:p>
        </w:tc>
      </w:tr>
      <w:tr w:rsidR="00000000">
        <w:trPr>
          <w:divId w:val="1160543566"/>
        </w:trPr>
        <w:tc>
          <w:tcPr>
            <w:tcW w:w="0" w:type="auto"/>
            <w:gridSpan w:val="3"/>
            <w:shd w:val="clear" w:color="auto" w:fill="D7EFF1"/>
            <w:tcMar>
              <w:top w:w="30" w:type="dxa"/>
              <w:left w:w="2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b/>
                <w:bCs/>
                <w:color w:val="283030"/>
                <w:sz w:val="20"/>
                <w:szCs w:val="20"/>
              </w:rPr>
              <w:t>Cash and cash equivalents, end of period</w:t>
            </w: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hideMark/>
          </w:tcPr>
          <w:p w:rsidR="00000000" w:rsidRDefault="00F5481A">
            <w:pPr>
              <w:spacing w:after="100"/>
              <w:jc w:val="right"/>
              <w:rPr>
                <w:rFonts w:eastAsia="Times New Roman"/>
              </w:rPr>
            </w:pPr>
            <w:r>
              <w:rPr>
                <w:rFonts w:ascii="IBM Plex Sans" w:eastAsia="Times New Roman" w:hAnsi="IBM Plex Sans"/>
                <w:color w:val="283030"/>
                <w:sz w:val="20"/>
                <w:szCs w:val="20"/>
              </w:rPr>
              <w:t>880 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hideMark/>
          </w:tcPr>
          <w:p w:rsidR="00000000" w:rsidRDefault="00F5481A">
            <w:pPr>
              <w:spacing w:after="100"/>
              <w:jc w:val="right"/>
              <w:rPr>
                <w:rFonts w:eastAsia="Times New Roman"/>
              </w:rPr>
            </w:pPr>
            <w:r>
              <w:rPr>
                <w:rFonts w:ascii="IBM Plex Sans" w:eastAsia="Times New Roman" w:hAnsi="IBM Plex Sans"/>
                <w:color w:val="283030"/>
                <w:sz w:val="20"/>
                <w:szCs w:val="20"/>
              </w:rPr>
              <w:t>941 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hideMark/>
          </w:tcPr>
          <w:p w:rsidR="00000000" w:rsidRDefault="00F5481A">
            <w:pPr>
              <w:spacing w:after="100"/>
              <w:jc w:val="right"/>
              <w:rPr>
                <w:rFonts w:eastAsia="Times New Roman"/>
              </w:rPr>
            </w:pPr>
            <w:r>
              <w:rPr>
                <w:rFonts w:ascii="IBM Plex Sans" w:eastAsia="Times New Roman" w:hAnsi="IBM Plex Sans"/>
                <w:color w:val="283030"/>
                <w:sz w:val="20"/>
                <w:szCs w:val="20"/>
              </w:rPr>
              <w:t>1,276 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hideMark/>
          </w:tcPr>
          <w:p w:rsidR="00000000" w:rsidRDefault="00F5481A">
            <w:pPr>
              <w:spacing w:after="100"/>
              <w:jc w:val="right"/>
              <w:rPr>
                <w:rFonts w:eastAsia="Times New Roman"/>
              </w:rPr>
            </w:pPr>
          </w:p>
        </w:tc>
      </w:tr>
    </w:tbl>
    <w:p w:rsidR="00000000" w:rsidRDefault="00F5481A">
      <w:pPr>
        <w:divId w:val="1160543566"/>
        <w:rPr>
          <w:rFonts w:eastAsia="Times New Roman"/>
        </w:rPr>
      </w:pPr>
      <w:r>
        <w:rPr>
          <w:rFonts w:ascii="IBM Plex Sans" w:eastAsia="Times New Roman" w:hAnsi="IBM Plex Sans"/>
          <w:color w:val="283030"/>
          <w:sz w:val="20"/>
          <w:szCs w:val="20"/>
        </w:rPr>
        <w:t>See accompanying Notes to Consolidated Financial Statements.</w:t>
      </w:r>
    </w:p>
    <w:p w:rsidR="00000000" w:rsidRDefault="00F5481A">
      <w:pPr>
        <w:ind w:firstLine="360"/>
        <w:jc w:val="center"/>
        <w:divId w:val="1401438455"/>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63</w:t>
      </w:r>
    </w:p>
    <w:p w:rsidR="00000000" w:rsidRDefault="00F5481A">
      <w:pPr>
        <w:rPr>
          <w:rFonts w:eastAsia="Times New Roman"/>
        </w:rPr>
      </w:pPr>
      <w:r>
        <w:rPr>
          <w:rFonts w:eastAsia="Times New Roman"/>
        </w:rPr>
        <w:pict>
          <v:rect id="_x0000_i1094" style="width:0;height:1.5pt" o:hralign="center" o:hrstd="t" o:hr="t" fillcolor="#a0a0a0" stroked="f"/>
        </w:pict>
      </w:r>
    </w:p>
    <w:p w:rsidR="00000000" w:rsidRDefault="00F5481A">
      <w:pPr>
        <w:ind w:firstLine="360"/>
        <w:divId w:val="452872027"/>
        <w:rPr>
          <w:rFonts w:eastAsia="Times New Roman"/>
        </w:rPr>
      </w:pPr>
    </w:p>
    <w:p w:rsidR="00000000" w:rsidRDefault="00F5481A">
      <w:pPr>
        <w:divId w:val="1626277451"/>
        <w:rPr>
          <w:rFonts w:eastAsia="Times New Roman"/>
        </w:rPr>
      </w:pPr>
      <w:r>
        <w:rPr>
          <w:rFonts w:ascii="IBM Plex Sans SemiBold" w:eastAsia="Times New Roman" w:hAnsi="IBM Plex Sans SemiBold"/>
          <w:b/>
          <w:bCs/>
          <w:color w:val="016676"/>
          <w:sz w:val="20"/>
          <w:szCs w:val="20"/>
        </w:rPr>
        <w:t>CONSOLIDATED STATEMENT OF EQUITY</w:t>
      </w:r>
    </w:p>
    <w:tbl>
      <w:tblPr>
        <w:tblW w:w="5000" w:type="pct"/>
        <w:tblCellMar>
          <w:top w:w="15" w:type="dxa"/>
          <w:left w:w="15" w:type="dxa"/>
          <w:bottom w:w="15" w:type="dxa"/>
          <w:right w:w="15" w:type="dxa"/>
        </w:tblCellMar>
        <w:tblLook w:val="04A0" w:firstRow="1" w:lastRow="0" w:firstColumn="1" w:lastColumn="0" w:noHBand="0" w:noVBand="1"/>
      </w:tblPr>
      <w:tblGrid>
        <w:gridCol w:w="41"/>
        <w:gridCol w:w="2259"/>
        <w:gridCol w:w="37"/>
        <w:gridCol w:w="133"/>
        <w:gridCol w:w="632"/>
        <w:gridCol w:w="36"/>
        <w:gridCol w:w="36"/>
        <w:gridCol w:w="36"/>
        <w:gridCol w:w="36"/>
        <w:gridCol w:w="132"/>
        <w:gridCol w:w="668"/>
        <w:gridCol w:w="36"/>
        <w:gridCol w:w="36"/>
        <w:gridCol w:w="36"/>
        <w:gridCol w:w="36"/>
        <w:gridCol w:w="132"/>
        <w:gridCol w:w="557"/>
        <w:gridCol w:w="36"/>
        <w:gridCol w:w="36"/>
        <w:gridCol w:w="36"/>
        <w:gridCol w:w="36"/>
        <w:gridCol w:w="133"/>
        <w:gridCol w:w="1132"/>
        <w:gridCol w:w="36"/>
        <w:gridCol w:w="36"/>
        <w:gridCol w:w="36"/>
        <w:gridCol w:w="36"/>
        <w:gridCol w:w="133"/>
        <w:gridCol w:w="761"/>
        <w:gridCol w:w="36"/>
        <w:gridCol w:w="36"/>
        <w:gridCol w:w="36"/>
        <w:gridCol w:w="36"/>
        <w:gridCol w:w="132"/>
        <w:gridCol w:w="668"/>
        <w:gridCol w:w="36"/>
      </w:tblGrid>
      <w:tr w:rsidR="00000000">
        <w:trPr>
          <w:divId w:val="1626277451"/>
        </w:trPr>
        <w:tc>
          <w:tcPr>
            <w:tcW w:w="50" w:type="pct"/>
            <w:vAlign w:val="center"/>
            <w:hideMark/>
          </w:tcPr>
          <w:p w:rsidR="00000000" w:rsidRDefault="00F5481A">
            <w:pPr>
              <w:rPr>
                <w:rFonts w:eastAsia="Times New Roman"/>
              </w:rPr>
            </w:pPr>
          </w:p>
        </w:tc>
        <w:tc>
          <w:tcPr>
            <w:tcW w:w="2021"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340"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39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354"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56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39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397"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1626277451"/>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 except per share amounts)</w:t>
            </w: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Common</w:t>
            </w:r>
            <w:r>
              <w:rPr>
                <w:rFonts w:ascii="IBM Plex Sans" w:eastAsia="Times New Roman" w:hAnsi="IBM Plex Sans"/>
                <w:b/>
                <w:bCs/>
                <w:color w:val="283030"/>
                <w:sz w:val="16"/>
                <w:szCs w:val="16"/>
              </w:rPr>
              <w:br/>
              <w:t>Stock</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Other</w:t>
            </w:r>
            <w:r>
              <w:rPr>
                <w:rFonts w:ascii="IBM Plex Sans" w:eastAsia="Times New Roman" w:hAnsi="IBM Plex Sans"/>
                <w:b/>
                <w:bCs/>
                <w:color w:val="283030"/>
                <w:sz w:val="16"/>
                <w:szCs w:val="16"/>
              </w:rPr>
              <w:br/>
              <w:t>Capital</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Retained</w:t>
            </w:r>
            <w:r>
              <w:rPr>
                <w:rFonts w:ascii="IBM Plex Sans" w:eastAsia="Times New Roman" w:hAnsi="IBM Plex Sans"/>
                <w:b/>
                <w:bCs/>
                <w:color w:val="283030"/>
                <w:sz w:val="16"/>
                <w:szCs w:val="16"/>
              </w:rPr>
              <w:br/>
              <w:t>Earnings</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Accumulated</w:t>
            </w:r>
            <w:r>
              <w:rPr>
                <w:rFonts w:ascii="IBM Plex Sans" w:eastAsia="Times New Roman" w:hAnsi="IBM Plex Sans"/>
                <w:b/>
                <w:bCs/>
                <w:color w:val="283030"/>
                <w:sz w:val="16"/>
                <w:szCs w:val="16"/>
              </w:rPr>
              <w:br/>
              <w:t>Other</w:t>
            </w:r>
            <w:r>
              <w:rPr>
                <w:rFonts w:ascii="IBM Plex Sans" w:eastAsia="Times New Roman" w:hAnsi="IBM Plex Sans"/>
                <w:b/>
                <w:bCs/>
                <w:color w:val="283030"/>
                <w:sz w:val="16"/>
                <w:szCs w:val="16"/>
              </w:rPr>
              <w:br/>
              <w:t>Comprehensive</w:t>
            </w:r>
            <w:r>
              <w:rPr>
                <w:rFonts w:ascii="IBM Plex Sans" w:eastAsia="Times New Roman" w:hAnsi="IBM Plex Sans"/>
                <w:b/>
                <w:bCs/>
                <w:color w:val="283030"/>
                <w:sz w:val="16"/>
                <w:szCs w:val="16"/>
              </w:rPr>
              <w:br/>
              <w:t>Loss</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Non-controlling</w:t>
            </w:r>
            <w:r>
              <w:rPr>
                <w:rFonts w:ascii="IBM Plex Sans" w:eastAsia="Times New Roman" w:hAnsi="IBM Plex Sans"/>
                <w:b/>
                <w:bCs/>
                <w:color w:val="283030"/>
                <w:sz w:val="16"/>
                <w:szCs w:val="16"/>
              </w:rPr>
              <w:br/>
              <w:t>Interests</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Total</w:t>
            </w:r>
            <w:r>
              <w:rPr>
                <w:rFonts w:ascii="IBM Plex Sans" w:eastAsia="Times New Roman" w:hAnsi="IBM Plex Sans"/>
                <w:b/>
                <w:bCs/>
                <w:color w:val="283030"/>
                <w:sz w:val="16"/>
                <w:szCs w:val="16"/>
              </w:rPr>
              <w:br/>
              <w:t>Equity</w:t>
            </w:r>
          </w:p>
        </w:tc>
      </w:tr>
      <w:tr w:rsidR="00000000">
        <w:trPr>
          <w:divId w:val="1626277451"/>
          <w:trHeight w:val="6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626277451"/>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Balance at January 3, 2020</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218</w:t>
            </w: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20,694</w:t>
            </w: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2,183</w:t>
            </w: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(508)</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157</w:t>
            </w: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22,744</w:t>
            </w: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6277451"/>
        </w:trPr>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Net income (loss)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1,119 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(33)</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1,086 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6277451"/>
        </w:trPr>
        <w:tc>
          <w:tcPr>
            <w:tcW w:w="0" w:type="auto"/>
            <w:gridSpan w:val="3"/>
            <w:shd w:val="clear" w:color="auto" w:fill="D7EFF1"/>
            <w:tcMar>
              <w:top w:w="30" w:type="dxa"/>
              <w:left w:w="290" w:type="dxa"/>
              <w:bottom w:w="30" w:type="dxa"/>
              <w:right w:w="20" w:type="dxa"/>
            </w:tcMar>
            <w:vAlign w:val="bottom"/>
            <w:hideMark/>
          </w:tcPr>
          <w:p w:rsidR="00000000" w:rsidRDefault="00F5481A">
            <w:pPr>
              <w:spacing w:after="100"/>
              <w:ind w:hanging="270"/>
              <w:rPr>
                <w:rFonts w:eastAsia="Times New Roman"/>
              </w:rPr>
            </w:pPr>
            <w:r>
              <w:rPr>
                <w:rFonts w:ascii="IBM Plex Sans" w:eastAsia="Times New Roman" w:hAnsi="IBM Plex Sans"/>
                <w:color w:val="283030"/>
                <w:sz w:val="20"/>
                <w:szCs w:val="20"/>
              </w:rPr>
              <w:t>Other comprehensive loss, net of income taxes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(331)</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(331)</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6277451"/>
        </w:trPr>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626277451"/>
        </w:trPr>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Shares issued under stock incentive plans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6277451"/>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Shares issued under defined contribution plans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215 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216 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6277451"/>
        </w:trPr>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Share-based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93 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93 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6277451"/>
        </w:trPr>
        <w:tc>
          <w:tcPr>
            <w:tcW w:w="0" w:type="auto"/>
            <w:gridSpan w:val="3"/>
            <w:shd w:val="clear" w:color="auto" w:fill="D7EFF1"/>
            <w:tcMar>
              <w:top w:w="30" w:type="dxa"/>
              <w:left w:w="290" w:type="dxa"/>
              <w:bottom w:w="30" w:type="dxa"/>
              <w:right w:w="20" w:type="dxa"/>
            </w:tcMar>
            <w:vAlign w:val="bottom"/>
            <w:hideMark/>
          </w:tcPr>
          <w:p w:rsidR="00000000" w:rsidRDefault="00F5481A">
            <w:pPr>
              <w:spacing w:after="100"/>
              <w:ind w:hanging="270"/>
              <w:rPr>
                <w:rFonts w:eastAsia="Times New Roman"/>
              </w:rPr>
            </w:pPr>
            <w:r>
              <w:rPr>
                <w:rFonts w:ascii="IBM Plex Sans" w:eastAsia="Times New Roman" w:hAnsi="IBM Plex Sans"/>
                <w:color w:val="283030"/>
                <w:sz w:val="20"/>
                <w:szCs w:val="20"/>
              </w:rPr>
              <w:t>Tax withholding payments on share-based awards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6277451"/>
        </w:trPr>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Repurchases and retirement of common stock</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(2,046)</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(232)</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(2,290)</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6277451"/>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divId w:val="271519689"/>
              <w:rPr>
                <w:rFonts w:eastAsia="Times New Roman"/>
              </w:rPr>
            </w:pPr>
            <w:r>
              <w:rPr>
                <w:rFonts w:ascii="IBM Plex Sans" w:eastAsia="Times New Roman" w:hAnsi="IBM Plex Sans"/>
                <w:color w:val="283030"/>
                <w:sz w:val="20"/>
                <w:szCs w:val="20"/>
              </w:rPr>
              <w:t>Cash dividends ($3.40 per share)</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r>
              <w:rPr>
                <w:rFonts w:ascii="IBM Plex Sans" w:eastAsia="Times New Roman" w:hAnsi="IBM Plex Sans"/>
                <w:color w:val="283030"/>
                <w:sz w:val="20"/>
                <w:szCs w:val="20"/>
              </w:rPr>
              <w:t>725)</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(725)</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6277451"/>
        </w:trPr>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626277451"/>
        </w:trPr>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6277451"/>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Balance at January 1, 2021</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208</w:t>
            </w:r>
            <w:r>
              <w:rPr>
                <w:rFonts w:ascii="IBM Plex Sans" w:eastAsia="Times New Roman" w:hAnsi="IBM Plex Sans"/>
                <w:color w:val="283030"/>
                <w:sz w:val="20"/>
                <w:szCs w:val="20"/>
              </w:rPr>
              <w:t>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19,008</w:t>
            </w:r>
            <w:r>
              <w:rPr>
                <w:rFonts w:ascii="IBM Plex Sans" w:eastAsia="Times New Roman" w:hAnsi="IBM Plex Sans"/>
                <w:color w:val="283030"/>
                <w:sz w:val="20"/>
                <w:szCs w:val="20"/>
              </w:rPr>
              <w:t>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2,347</w:t>
            </w:r>
            <w:r>
              <w:rPr>
                <w:rFonts w:ascii="IBM Plex Sans" w:eastAsia="Times New Roman" w:hAnsi="IBM Plex Sans"/>
                <w:color w:val="283030"/>
                <w:sz w:val="20"/>
                <w:szCs w:val="20"/>
              </w:rPr>
              <w:t>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(839)</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117</w:t>
            </w:r>
            <w:r>
              <w:rPr>
                <w:rFonts w:ascii="IBM Plex Sans" w:eastAsia="Times New Roman" w:hAnsi="IBM Plex Sans"/>
                <w:color w:val="283030"/>
                <w:sz w:val="20"/>
                <w:szCs w:val="20"/>
              </w:rPr>
              <w:t>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20,841</w:t>
            </w:r>
            <w:r>
              <w:rPr>
                <w:rFonts w:ascii="IBM Plex Sans" w:eastAsia="Times New Roman" w:hAnsi="IBM Plex Sans"/>
                <w:color w:val="283030"/>
                <w:sz w:val="20"/>
                <w:szCs w:val="20"/>
              </w:rPr>
              <w:t>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6277451"/>
        </w:trPr>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Net income (loss)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1,846 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1,842 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6277451"/>
        </w:trPr>
        <w:tc>
          <w:tcPr>
            <w:tcW w:w="0" w:type="auto"/>
            <w:gridSpan w:val="3"/>
            <w:shd w:val="clear" w:color="auto" w:fill="D7EFF1"/>
            <w:tcMar>
              <w:top w:w="30" w:type="dxa"/>
              <w:left w:w="290" w:type="dxa"/>
              <w:bottom w:w="30" w:type="dxa"/>
              <w:right w:w="20" w:type="dxa"/>
            </w:tcMar>
            <w:vAlign w:val="bottom"/>
            <w:hideMark/>
          </w:tcPr>
          <w:p w:rsidR="00000000" w:rsidRDefault="00F5481A">
            <w:pPr>
              <w:spacing w:after="100"/>
              <w:ind w:hanging="270"/>
              <w:rPr>
                <w:rFonts w:eastAsia="Times New Roman"/>
              </w:rPr>
            </w:pPr>
            <w:r>
              <w:rPr>
                <w:rFonts w:ascii="IBM Plex Sans" w:eastAsia="Times New Roman" w:hAnsi="IBM Plex Sans"/>
                <w:color w:val="283030"/>
                <w:sz w:val="20"/>
                <w:szCs w:val="20"/>
              </w:rPr>
              <w:t>Other comprehensive income, net of income taxes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693 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693 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6277451"/>
        </w:trPr>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626277451"/>
        </w:trPr>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Shares issued under stock incentive plans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6277451"/>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Shares issued under defined contribution plans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218 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6277451"/>
        </w:trPr>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Share-based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129 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129 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6277451"/>
        </w:trPr>
        <w:tc>
          <w:tcPr>
            <w:tcW w:w="0" w:type="auto"/>
            <w:gridSpan w:val="3"/>
            <w:shd w:val="clear" w:color="auto" w:fill="D7EFF1"/>
            <w:tcMar>
              <w:top w:w="30" w:type="dxa"/>
              <w:left w:w="290" w:type="dxa"/>
              <w:bottom w:w="30" w:type="dxa"/>
              <w:right w:w="20" w:type="dxa"/>
            </w:tcMar>
            <w:vAlign w:val="bottom"/>
            <w:hideMark/>
          </w:tcPr>
          <w:p w:rsidR="00000000" w:rsidRDefault="00F5481A">
            <w:pPr>
              <w:spacing w:after="100"/>
              <w:ind w:hanging="270"/>
              <w:rPr>
                <w:rFonts w:eastAsia="Times New Roman"/>
              </w:rPr>
            </w:pPr>
            <w:r>
              <w:rPr>
                <w:rFonts w:ascii="IBM Plex Sans" w:eastAsia="Times New Roman" w:hAnsi="IBM Plex Sans"/>
                <w:color w:val="283030"/>
                <w:sz w:val="20"/>
                <w:szCs w:val="20"/>
              </w:rPr>
              <w:t>Tax withholding payments on share-based awards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6277451"/>
        </w:trPr>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Repurchases and retirement of common stock</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(17)</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(3,199)</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(459)</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(3,675)</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6277451"/>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divId w:val="233518260"/>
              <w:rPr>
                <w:rFonts w:eastAsia="Times New Roman"/>
              </w:rPr>
            </w:pPr>
            <w:r>
              <w:rPr>
                <w:rFonts w:ascii="IBM Plex Sans" w:eastAsia="Times New Roman" w:hAnsi="IBM Plex Sans"/>
                <w:color w:val="283030"/>
                <w:sz w:val="20"/>
                <w:szCs w:val="20"/>
              </w:rPr>
              <w:t>Cash dividends ($4.08 per share)</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(817)</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(817)</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6277451"/>
        </w:trPr>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626277451"/>
        </w:trPr>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6277451"/>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Balance at December 31, 2021</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194</w:t>
            </w:r>
            <w:r>
              <w:rPr>
                <w:rFonts w:ascii="IBM Plex Sans" w:eastAsia="Times New Roman" w:hAnsi="IBM Plex Sans"/>
                <w:color w:val="283030"/>
                <w:sz w:val="20"/>
                <w:szCs w:val="20"/>
              </w:rPr>
              <w:t>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16,248</w:t>
            </w:r>
            <w:r>
              <w:rPr>
                <w:rFonts w:ascii="IBM Plex Sans" w:eastAsia="Times New Roman" w:hAnsi="IBM Plex Sans"/>
                <w:color w:val="283030"/>
                <w:sz w:val="20"/>
                <w:szCs w:val="20"/>
              </w:rPr>
              <w:t>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2,917</w:t>
            </w:r>
            <w:r>
              <w:rPr>
                <w:rFonts w:ascii="IBM Plex Sans" w:eastAsia="Times New Roman" w:hAnsi="IBM Plex Sans"/>
                <w:color w:val="283030"/>
                <w:sz w:val="20"/>
                <w:szCs w:val="20"/>
              </w:rPr>
              <w:t>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(146)</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106</w:t>
            </w:r>
            <w:r>
              <w:rPr>
                <w:rFonts w:ascii="IBM Plex Sans" w:eastAsia="Times New Roman" w:hAnsi="IBM Plex Sans"/>
                <w:color w:val="283030"/>
                <w:sz w:val="20"/>
                <w:szCs w:val="20"/>
              </w:rPr>
              <w:t>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19,319</w:t>
            </w:r>
            <w:r>
              <w:rPr>
                <w:rFonts w:ascii="IBM Plex Sans" w:eastAsia="Times New Roman" w:hAnsi="IBM Plex Sans"/>
                <w:color w:val="283030"/>
                <w:sz w:val="20"/>
                <w:szCs w:val="20"/>
              </w:rPr>
              <w:t>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6277451"/>
        </w:trPr>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Net income (loss)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1,062 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1,061 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6277451"/>
        </w:trPr>
        <w:tc>
          <w:tcPr>
            <w:tcW w:w="0" w:type="auto"/>
            <w:gridSpan w:val="3"/>
            <w:shd w:val="clear" w:color="auto" w:fill="D7EFF1"/>
            <w:tcMar>
              <w:top w:w="30" w:type="dxa"/>
              <w:left w:w="290" w:type="dxa"/>
              <w:bottom w:w="30" w:type="dxa"/>
              <w:right w:w="20" w:type="dxa"/>
            </w:tcMar>
            <w:vAlign w:val="bottom"/>
            <w:hideMark/>
          </w:tcPr>
          <w:p w:rsidR="00000000" w:rsidRDefault="00F5481A">
            <w:pPr>
              <w:spacing w:after="100"/>
              <w:ind w:hanging="270"/>
              <w:rPr>
                <w:rFonts w:eastAsia="Times New Roman"/>
              </w:rPr>
            </w:pPr>
            <w:r>
              <w:rPr>
                <w:rFonts w:ascii="IBM Plex Sans" w:eastAsia="Times New Roman" w:hAnsi="IBM Plex Sans"/>
                <w:color w:val="283030"/>
                <w:sz w:val="20"/>
                <w:szCs w:val="20"/>
              </w:rPr>
              <w:t>Other comprehensive loss, net of income taxes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(142)</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(142)</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6277451"/>
        </w:trPr>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626277451"/>
        </w:trPr>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Shares issued under stock incentive plans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6277451"/>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Shares issued under defined contribution plans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215 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216 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6277451"/>
        </w:trPr>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Share-based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109 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109 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6277451"/>
        </w:trPr>
        <w:tc>
          <w:tcPr>
            <w:tcW w:w="0" w:type="auto"/>
            <w:gridSpan w:val="3"/>
            <w:shd w:val="clear" w:color="auto" w:fill="D7EFF1"/>
            <w:tcMar>
              <w:top w:w="30" w:type="dxa"/>
              <w:left w:w="290" w:type="dxa"/>
              <w:bottom w:w="30" w:type="dxa"/>
              <w:right w:w="20" w:type="dxa"/>
            </w:tcMar>
            <w:vAlign w:val="bottom"/>
            <w:hideMark/>
          </w:tcPr>
          <w:p w:rsidR="00000000" w:rsidRDefault="00F5481A">
            <w:pPr>
              <w:spacing w:after="100"/>
              <w:ind w:hanging="270"/>
              <w:rPr>
                <w:rFonts w:eastAsia="Times New Roman"/>
              </w:rPr>
            </w:pPr>
            <w:r>
              <w:rPr>
                <w:rFonts w:ascii="IBM Plex Sans" w:eastAsia="Times New Roman" w:hAnsi="IBM Plex Sans"/>
                <w:color w:val="283030"/>
                <w:sz w:val="20"/>
                <w:szCs w:val="20"/>
              </w:rPr>
              <w:t>Tax withholding payments on share-based awards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(45)</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(45)</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6277451"/>
        </w:trPr>
        <w:tc>
          <w:tcPr>
            <w:tcW w:w="0" w:type="auto"/>
            <w:gridSpan w:val="3"/>
            <w:shd w:val="clear" w:color="auto" w:fill="FFFFFF"/>
            <w:tcMar>
              <w:top w:w="30" w:type="dxa"/>
              <w:left w:w="290" w:type="dxa"/>
              <w:bottom w:w="30" w:type="dxa"/>
              <w:right w:w="20" w:type="dxa"/>
            </w:tcMar>
            <w:vAlign w:val="bottom"/>
            <w:hideMark/>
          </w:tcPr>
          <w:p w:rsidR="00000000" w:rsidRDefault="00F5481A">
            <w:pPr>
              <w:spacing w:after="100"/>
              <w:ind w:hanging="270"/>
              <w:rPr>
                <w:rFonts w:eastAsia="Times New Roman"/>
              </w:rPr>
            </w:pPr>
            <w:r>
              <w:rPr>
                <w:rFonts w:ascii="IBM Plex Sans" w:eastAsia="Times New Roman" w:hAnsi="IBM Plex Sans"/>
                <w:color w:val="283030"/>
                <w:sz w:val="20"/>
                <w:szCs w:val="20"/>
              </w:rPr>
              <w:t>Repurchases and retirement of common stock</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(907)</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(171)</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(1,083)</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6277451"/>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divId w:val="1903638061"/>
              <w:rPr>
                <w:rFonts w:eastAsia="Times New Roman"/>
              </w:rPr>
            </w:pPr>
            <w:r>
              <w:rPr>
                <w:rFonts w:ascii="IBM Plex Sans" w:eastAsia="Times New Roman" w:hAnsi="IBM Plex Sans"/>
                <w:color w:val="283030"/>
                <w:sz w:val="20"/>
                <w:szCs w:val="20"/>
              </w:rPr>
              <w:t>Cash dividends ($4.48 per share)</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(864)</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(864)</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6277451"/>
        </w:trPr>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6277451"/>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Balance at December 30, 2022</w:t>
            </w: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191</w:t>
            </w:r>
            <w:r>
              <w:rPr>
                <w:rFonts w:ascii="IBM Plex Sans" w:eastAsia="Times New Roman" w:hAnsi="IBM Plex Sans"/>
                <w:color w:val="283030"/>
                <w:sz w:val="20"/>
                <w:szCs w:val="20"/>
              </w:rPr>
              <w:t>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15,677</w:t>
            </w:r>
            <w:r>
              <w:rPr>
                <w:rFonts w:ascii="IBM Plex Sans" w:eastAsia="Times New Roman" w:hAnsi="IBM Plex Sans"/>
                <w:color w:val="283030"/>
                <w:sz w:val="20"/>
                <w:szCs w:val="20"/>
              </w:rPr>
              <w:t>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2,943</w:t>
            </w:r>
            <w:r>
              <w:rPr>
                <w:rFonts w:ascii="IBM Plex Sans" w:eastAsia="Times New Roman" w:hAnsi="IBM Plex Sans"/>
                <w:color w:val="283030"/>
                <w:sz w:val="20"/>
                <w:szCs w:val="20"/>
              </w:rPr>
              <w:t>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(288)</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101</w:t>
            </w:r>
            <w:r>
              <w:rPr>
                <w:rFonts w:ascii="IBM Plex Sans" w:eastAsia="Times New Roman" w:hAnsi="IBM Plex Sans"/>
                <w:color w:val="283030"/>
                <w:sz w:val="20"/>
                <w:szCs w:val="20"/>
              </w:rPr>
              <w:t>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18,624</w:t>
            </w:r>
            <w:r>
              <w:rPr>
                <w:rFonts w:ascii="IBM Plex Sans" w:eastAsia="Times New Roman" w:hAnsi="IBM Plex Sans"/>
                <w:color w:val="283030"/>
                <w:sz w:val="20"/>
                <w:szCs w:val="20"/>
              </w:rPr>
              <w:t>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bl>
    <w:p w:rsidR="00000000" w:rsidRDefault="00F5481A">
      <w:pPr>
        <w:divId w:val="1724908879"/>
        <w:rPr>
          <w:rFonts w:eastAsia="Times New Roman"/>
        </w:rPr>
      </w:pPr>
      <w:r>
        <w:rPr>
          <w:rFonts w:ascii="IBM Plex Sans" w:eastAsia="Times New Roman" w:hAnsi="IBM Plex Sans"/>
          <w:color w:val="283030"/>
          <w:sz w:val="20"/>
          <w:szCs w:val="20"/>
        </w:rPr>
        <w:t>See accompanying Notes to Consolidated Financial Statements.</w:t>
      </w:r>
    </w:p>
    <w:p w:rsidR="00000000" w:rsidRDefault="00F5481A">
      <w:pPr>
        <w:ind w:firstLine="360"/>
        <w:jc w:val="center"/>
        <w:divId w:val="520902882"/>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64</w:t>
      </w:r>
    </w:p>
    <w:p w:rsidR="00000000" w:rsidRDefault="00F5481A">
      <w:pPr>
        <w:rPr>
          <w:rFonts w:eastAsia="Times New Roman"/>
        </w:rPr>
      </w:pPr>
      <w:r>
        <w:rPr>
          <w:rFonts w:eastAsia="Times New Roman"/>
        </w:rPr>
        <w:pict>
          <v:rect id="_x0000_i1095" style="width:0;height:1.5pt" o:hralign="center" o:hrstd="t" o:hr="t" fillcolor="#a0a0a0" stroked="f"/>
        </w:pict>
      </w:r>
    </w:p>
    <w:p w:rsidR="00000000" w:rsidRDefault="00F5481A">
      <w:pPr>
        <w:ind w:firstLine="360"/>
        <w:divId w:val="554123849"/>
        <w:rPr>
          <w:rFonts w:eastAsia="Times New Roman"/>
        </w:rPr>
      </w:pPr>
    </w:p>
    <w:p w:rsidR="00000000" w:rsidRDefault="00F5481A">
      <w:pPr>
        <w:divId w:val="137503147"/>
        <w:rPr>
          <w:rFonts w:eastAsia="Times New Roman"/>
        </w:rPr>
      </w:pPr>
      <w:r>
        <w:rPr>
          <w:rFonts w:ascii="IBM Plex Sans SemiBold" w:eastAsia="Times New Roman" w:hAnsi="IBM Plex Sans SemiBold"/>
          <w:b/>
          <w:bCs/>
          <w:color w:val="016676"/>
          <w:sz w:val="20"/>
          <w:szCs w:val="20"/>
        </w:rPr>
        <w:t>NOTES TO CONSOLIDATED FINANC</w:t>
      </w:r>
      <w:r>
        <w:rPr>
          <w:rFonts w:ascii="IBM Plex Sans SemiBold" w:eastAsia="Times New Roman" w:hAnsi="IBM Plex Sans SemiBold"/>
          <w:b/>
          <w:bCs/>
          <w:color w:val="016676"/>
          <w:sz w:val="20"/>
          <w:szCs w:val="20"/>
        </w:rPr>
        <w:t>IAL STATEMENTS</w:t>
      </w:r>
    </w:p>
    <w:p w:rsidR="00000000" w:rsidRDefault="00F5481A">
      <w:pPr>
        <w:divId w:val="768695890"/>
        <w:rPr>
          <w:rFonts w:eastAsia="Times New Roman"/>
        </w:rPr>
      </w:pPr>
      <w:r>
        <w:rPr>
          <w:rFonts w:ascii="IBM Plex Sans SemiBold" w:eastAsia="Times New Roman" w:hAnsi="IBM Plex Sans SemiBold"/>
          <w:b/>
          <w:bCs/>
          <w:color w:val="016676"/>
          <w:sz w:val="20"/>
          <w:szCs w:val="20"/>
        </w:rPr>
        <w:t>NOTE 1: SIGNIFICANT ACCOUNTING POLICIES</w:t>
      </w:r>
      <w:r>
        <w:rPr>
          <w:rFonts w:ascii="IBM Plex Sans" w:eastAsia="Times New Roman" w:hAnsi="IBM Plex Sans"/>
          <w:b/>
          <w:bCs/>
          <w:i/>
          <w:iCs/>
          <w:color w:val="283030"/>
          <w:sz w:val="20"/>
          <w:szCs w:val="20"/>
        </w:rPr>
        <w:t xml:space="preserve"> </w:t>
      </w:r>
    </w:p>
    <w:p w:rsidR="00000000" w:rsidRDefault="00F5481A">
      <w:pPr>
        <w:ind w:firstLine="360"/>
        <w:divId w:val="427192142"/>
        <w:rPr>
          <w:rFonts w:eastAsia="Times New Roman"/>
        </w:rPr>
      </w:pPr>
      <w:r>
        <w:rPr>
          <w:rFonts w:ascii="IBM Plex Sans" w:eastAsia="Times New Roman" w:hAnsi="IBM Plex Sans"/>
          <w:b/>
          <w:bCs/>
          <w:color w:val="016676"/>
          <w:sz w:val="20"/>
          <w:szCs w:val="20"/>
        </w:rPr>
        <w:t>Organization</w:t>
      </w:r>
      <w:r>
        <w:rPr>
          <w:rFonts w:ascii="IBM Plex Sans" w:eastAsia="Times New Roman" w:hAnsi="IBM Plex Sans"/>
          <w:b/>
          <w:bCs/>
          <w:color w:val="283030"/>
          <w:sz w:val="20"/>
          <w:szCs w:val="20"/>
        </w:rPr>
        <w:t xml:space="preserve"> </w:t>
      </w:r>
      <w:r>
        <w:rPr>
          <w:rFonts w:ascii="IBM Plex Sans" w:eastAsia="Times New Roman" w:hAnsi="IBM Plex Sans"/>
          <w:color w:val="283030"/>
          <w:sz w:val="20"/>
          <w:szCs w:val="20"/>
        </w:rPr>
        <w:t>— L3Harris Technologies, Inc., together with its subsidiaries, is a Trusted Disruptor for the global aerospace and defense industry. With customers’ mission-critical needs in mind, we del</w:t>
      </w:r>
      <w:r>
        <w:rPr>
          <w:rFonts w:ascii="IBM Plex Sans" w:eastAsia="Times New Roman" w:hAnsi="IBM Plex Sans"/>
          <w:color w:val="283030"/>
          <w:sz w:val="20"/>
          <w:szCs w:val="20"/>
        </w:rPr>
        <w:t>iver end-to-end technology solutions connecting the space, air, land, sea and cyber domains. We support government and commercial customers in more than 100 countries, with our largest customers being various departments and agencies of the U.S. Government</w:t>
      </w:r>
      <w:r>
        <w:rPr>
          <w:rFonts w:ascii="IBM Plex Sans" w:eastAsia="Times New Roman" w:hAnsi="IBM Plex Sans"/>
          <w:color w:val="283030"/>
          <w:sz w:val="20"/>
          <w:szCs w:val="20"/>
        </w:rPr>
        <w:t xml:space="preserve"> and their prime contractors. Our products, systems and services have defense and civil government applications, as well as commercial applications. As of December 30, 2022, we had approximately 46,000 employees, including approximately 20,000 engineers an</w:t>
      </w:r>
      <w:r>
        <w:rPr>
          <w:rFonts w:ascii="IBM Plex Sans" w:eastAsia="Times New Roman" w:hAnsi="IBM Plex Sans"/>
          <w:color w:val="283030"/>
          <w:sz w:val="20"/>
          <w:szCs w:val="20"/>
        </w:rPr>
        <w:t xml:space="preserve">d scientists. </w:t>
      </w:r>
    </w:p>
    <w:p w:rsidR="00000000" w:rsidRDefault="00F5481A">
      <w:pPr>
        <w:ind w:firstLine="360"/>
        <w:divId w:val="815533313"/>
        <w:rPr>
          <w:rFonts w:eastAsia="Times New Roman"/>
        </w:rPr>
      </w:pPr>
      <w:r>
        <w:rPr>
          <w:rFonts w:ascii="IBM Plex Sans" w:eastAsia="Times New Roman" w:hAnsi="IBM Plex Sans"/>
          <w:b/>
          <w:bCs/>
          <w:color w:val="016676"/>
          <w:sz w:val="20"/>
          <w:szCs w:val="20"/>
        </w:rPr>
        <w:t>Principles of Consolidation</w:t>
      </w:r>
      <w:r>
        <w:rPr>
          <w:rFonts w:ascii="IBM Plex Sans" w:eastAsia="Times New Roman" w:hAnsi="IBM Plex Sans"/>
          <w:color w:val="283030"/>
          <w:sz w:val="20"/>
          <w:szCs w:val="20"/>
        </w:rPr>
        <w:t xml:space="preserve"> — </w:t>
      </w:r>
      <w:r>
        <w:rPr>
          <w:rFonts w:ascii="IBM Plex Sans" w:eastAsia="Times New Roman" w:hAnsi="IBM Plex Sans"/>
          <w:color w:val="283030"/>
          <w:sz w:val="20"/>
          <w:szCs w:val="20"/>
        </w:rPr>
        <w:t>Our Consolidated Financial Statements include the accounts of L3Harris Technologies, Inc. and its consolidated subsidiaries. As used in these Notes to the Consolidated Financial Statements, the terms “L3Harris,” “Company,” “we,” “our” and “us” refer to L3H</w:t>
      </w:r>
      <w:r>
        <w:rPr>
          <w:rFonts w:ascii="IBM Plex Sans" w:eastAsia="Times New Roman" w:hAnsi="IBM Plex Sans"/>
          <w:color w:val="283030"/>
          <w:sz w:val="20"/>
          <w:szCs w:val="20"/>
        </w:rPr>
        <w:t xml:space="preserve">arris Technologies, Inc. and its consolidated subsidiaries. Intracompany transactions and accounts have been eliminated. </w:t>
      </w:r>
    </w:p>
    <w:p w:rsidR="00000000" w:rsidRDefault="00F5481A">
      <w:pPr>
        <w:ind w:firstLine="360"/>
        <w:divId w:val="2116554282"/>
        <w:rPr>
          <w:rFonts w:eastAsia="Times New Roman"/>
        </w:rPr>
      </w:pPr>
      <w:r>
        <w:rPr>
          <w:rFonts w:ascii="IBM Plex Sans" w:eastAsia="Times New Roman" w:hAnsi="IBM Plex Sans"/>
          <w:color w:val="283030"/>
          <w:sz w:val="20"/>
          <w:szCs w:val="20"/>
        </w:rPr>
        <w:t>Amounts contained in this Report may not always add to totals due to rounding.</w:t>
      </w:r>
    </w:p>
    <w:p w:rsidR="00000000" w:rsidRDefault="00F5481A">
      <w:pPr>
        <w:ind w:firstLine="360"/>
        <w:divId w:val="2013796419"/>
        <w:rPr>
          <w:rFonts w:eastAsia="Times New Roman"/>
        </w:rPr>
      </w:pPr>
      <w:r>
        <w:rPr>
          <w:rFonts w:ascii="IBM Plex Sans" w:eastAsia="Times New Roman" w:hAnsi="IBM Plex Sans"/>
          <w:b/>
          <w:bCs/>
          <w:color w:val="016676"/>
          <w:sz w:val="20"/>
          <w:szCs w:val="20"/>
        </w:rPr>
        <w:t>Fiscal Year</w:t>
      </w:r>
      <w:r>
        <w:rPr>
          <w:rFonts w:ascii="IBM Plex Sans" w:eastAsia="Times New Roman" w:hAnsi="IBM Plex Sans"/>
          <w:b/>
          <w:bCs/>
          <w:color w:val="283030"/>
          <w:sz w:val="20"/>
          <w:szCs w:val="20"/>
        </w:rPr>
        <w:t xml:space="preserve"> </w:t>
      </w:r>
      <w:r>
        <w:rPr>
          <w:rFonts w:ascii="IBM Plex Sans" w:eastAsia="Times New Roman" w:hAnsi="IBM Plex Sans"/>
          <w:color w:val="283030"/>
          <w:sz w:val="20"/>
          <w:szCs w:val="20"/>
        </w:rPr>
        <w:t>— Our fiscal year ends on the Friday neares</w:t>
      </w:r>
      <w:r>
        <w:rPr>
          <w:rFonts w:ascii="IBM Plex Sans" w:eastAsia="Times New Roman" w:hAnsi="IBM Plex Sans"/>
          <w:color w:val="283030"/>
          <w:sz w:val="20"/>
          <w:szCs w:val="20"/>
        </w:rPr>
        <w:t xml:space="preserve">t December 31. Fiscal 2022, fiscal 2021 and fiscal 2020 each included 52 weeks. </w:t>
      </w:r>
    </w:p>
    <w:p w:rsidR="00000000" w:rsidRDefault="00F5481A">
      <w:pPr>
        <w:ind w:firstLine="360"/>
        <w:divId w:val="1447457020"/>
        <w:rPr>
          <w:rFonts w:eastAsia="Times New Roman"/>
        </w:rPr>
      </w:pPr>
      <w:r>
        <w:rPr>
          <w:rFonts w:ascii="IBM Plex Sans" w:eastAsia="Times New Roman" w:hAnsi="IBM Plex Sans"/>
          <w:b/>
          <w:bCs/>
          <w:color w:val="016676"/>
          <w:sz w:val="20"/>
          <w:szCs w:val="20"/>
        </w:rPr>
        <w:t xml:space="preserve">Organizational Structure and Change in Accounting Policy </w:t>
      </w:r>
      <w:r>
        <w:rPr>
          <w:rFonts w:ascii="IBM Plex Sans" w:eastAsia="Times New Roman" w:hAnsi="IBM Plex Sans"/>
          <w:color w:val="283030"/>
          <w:sz w:val="20"/>
          <w:szCs w:val="20"/>
        </w:rPr>
        <w:t>— We implemented a new organizational structure effective January 1, 2022, resulting in changes to our operating segme</w:t>
      </w:r>
      <w:r>
        <w:rPr>
          <w:rFonts w:ascii="IBM Plex Sans" w:eastAsia="Times New Roman" w:hAnsi="IBM Plex Sans"/>
          <w:color w:val="283030"/>
          <w:sz w:val="20"/>
          <w:szCs w:val="20"/>
        </w:rPr>
        <w:t>nts, which are also our reportable segments and are referred to as our business segments. The new structure streamlined our business segments from four to three business segments. Our former Aviation Systems segment was eliminated as a business segment.</w:t>
      </w:r>
    </w:p>
    <w:p w:rsidR="00000000" w:rsidRDefault="00F5481A">
      <w:pPr>
        <w:ind w:firstLine="360"/>
        <w:divId w:val="363218007"/>
        <w:rPr>
          <w:rFonts w:eastAsia="Times New Roman"/>
        </w:rPr>
      </w:pPr>
      <w:r>
        <w:rPr>
          <w:rFonts w:ascii="IBM Plex Sans" w:eastAsia="Times New Roman" w:hAnsi="IBM Plex Sans"/>
          <w:color w:val="283030"/>
          <w:sz w:val="20"/>
          <w:szCs w:val="20"/>
        </w:rPr>
        <w:t>We</w:t>
      </w:r>
      <w:r>
        <w:rPr>
          <w:rFonts w:ascii="IBM Plex Sans" w:eastAsia="Times New Roman" w:hAnsi="IBM Plex Sans"/>
          <w:color w:val="283030"/>
          <w:sz w:val="20"/>
          <w:szCs w:val="20"/>
        </w:rPr>
        <w:t xml:space="preserve"> updated our business segment reporting and accounting policies for pension and OPEB income or expense to better align our presentation of business segment information with our industry peers. Our business segment operating results include pension and OPEB</w:t>
      </w:r>
      <w:r>
        <w:rPr>
          <w:rFonts w:ascii="IBM Plex Sans" w:eastAsia="Times New Roman" w:hAnsi="IBM Plex Sans"/>
          <w:color w:val="283030"/>
          <w:sz w:val="20"/>
          <w:szCs w:val="20"/>
        </w:rPr>
        <w:t xml:space="preserve"> cost under CAS, as CAS pension and OPEB cost is allocable to and allowable under contracts with the U.S. Government. We no longer assign or allocate FAS pension and OPEB income or expense to our business segments. GAAP requires pension and OPEB income or </w:t>
      </w:r>
      <w:r>
        <w:rPr>
          <w:rFonts w:ascii="IBM Plex Sans" w:eastAsia="Times New Roman" w:hAnsi="IBM Plex Sans"/>
          <w:color w:val="283030"/>
          <w:sz w:val="20"/>
          <w:szCs w:val="20"/>
        </w:rPr>
        <w:t>expense to be recognized on a FAS basis. Therefore, we present a “FAS/CAS operating adjustment” outside of business segment results, representing the difference between the service cost component of FAS pension and OPEB income or expense and total CAS pens</w:t>
      </w:r>
      <w:r>
        <w:rPr>
          <w:rFonts w:ascii="IBM Plex Sans" w:eastAsia="Times New Roman" w:hAnsi="IBM Plex Sans"/>
          <w:color w:val="283030"/>
          <w:sz w:val="20"/>
          <w:szCs w:val="20"/>
        </w:rPr>
        <w:t>ion and OPEB cost or expense. Non-service cost components of FAS pension and OPEB income or expense are included as a component of the Non-operating income, net line item in our Consolidated Statement of Operations.</w:t>
      </w:r>
    </w:p>
    <w:p w:rsidR="00000000" w:rsidRDefault="00F5481A">
      <w:pPr>
        <w:ind w:firstLine="360"/>
        <w:divId w:val="1579171749"/>
        <w:rPr>
          <w:rFonts w:eastAsia="Times New Roman"/>
        </w:rPr>
      </w:pPr>
      <w:r>
        <w:rPr>
          <w:rFonts w:ascii="IBM Plex Sans" w:eastAsia="Times New Roman" w:hAnsi="IBM Plex Sans"/>
          <w:color w:val="283030"/>
          <w:sz w:val="20"/>
          <w:szCs w:val="20"/>
        </w:rPr>
        <w:t xml:space="preserve">During the quarter ended April 3, 2020, </w:t>
      </w:r>
      <w:r>
        <w:rPr>
          <w:rFonts w:ascii="IBM Plex Sans" w:eastAsia="Times New Roman" w:hAnsi="IBM Plex Sans"/>
          <w:color w:val="283030"/>
          <w:sz w:val="20"/>
          <w:szCs w:val="20"/>
        </w:rPr>
        <w:t xml:space="preserve">we adjusted our segment reporting to better align our businesses and transferred two businesses between our IMS and SAS segments. </w:t>
      </w:r>
    </w:p>
    <w:p w:rsidR="00000000" w:rsidRDefault="00F5481A">
      <w:pPr>
        <w:ind w:firstLine="360"/>
        <w:divId w:val="811486730"/>
        <w:rPr>
          <w:rFonts w:eastAsia="Times New Roman"/>
        </w:rPr>
      </w:pPr>
      <w:r>
        <w:rPr>
          <w:rFonts w:ascii="IBM Plex Sans" w:eastAsia="Times New Roman" w:hAnsi="IBM Plex Sans"/>
          <w:color w:val="283030"/>
          <w:sz w:val="20"/>
          <w:szCs w:val="20"/>
        </w:rPr>
        <w:t>The historical results, discussion and presentation of our business segments as set forth in the accompanying Consolidated Fi</w:t>
      </w:r>
      <w:r>
        <w:rPr>
          <w:rFonts w:ascii="IBM Plex Sans" w:eastAsia="Times New Roman" w:hAnsi="IBM Plex Sans"/>
          <w:color w:val="283030"/>
          <w:sz w:val="20"/>
          <w:szCs w:val="20"/>
        </w:rPr>
        <w:t>nancial Statements and these Notes reflect the impact of these changes for all periods presented in order to present segment information on a comparable basis. There is no impact on our previously reported consolidated statements of operations, balance she</w:t>
      </w:r>
      <w:r>
        <w:rPr>
          <w:rFonts w:ascii="IBM Plex Sans" w:eastAsia="Times New Roman" w:hAnsi="IBM Plex Sans"/>
          <w:color w:val="283030"/>
          <w:sz w:val="20"/>
          <w:szCs w:val="20"/>
        </w:rPr>
        <w:t xml:space="preserve">ets, statements of cash flows or statements of equity resulting from these changes. See </w:t>
      </w:r>
      <w:r>
        <w:rPr>
          <w:rFonts w:ascii="IBM Plex Sans" w:eastAsia="Times New Roman" w:hAnsi="IBM Plex Sans"/>
          <w:i/>
          <w:iCs/>
          <w:color w:val="283030"/>
          <w:sz w:val="20"/>
          <w:szCs w:val="20"/>
        </w:rPr>
        <w:t>Note 24: Business Segments</w:t>
      </w:r>
      <w:r>
        <w:rPr>
          <w:rFonts w:ascii="IBM Plex Sans" w:eastAsia="Times New Roman" w:hAnsi="IBM Plex Sans"/>
          <w:color w:val="283030"/>
          <w:sz w:val="20"/>
          <w:szCs w:val="20"/>
        </w:rPr>
        <w:t xml:space="preserve"> in these Notes for information regarding our segment structure and pension presentation effective in fiscal 2022.</w:t>
      </w:r>
    </w:p>
    <w:p w:rsidR="00000000" w:rsidRDefault="00F5481A">
      <w:pPr>
        <w:ind w:firstLine="360"/>
        <w:divId w:val="2124297774"/>
        <w:rPr>
          <w:rFonts w:eastAsia="Times New Roman"/>
        </w:rPr>
      </w:pPr>
      <w:r>
        <w:rPr>
          <w:rFonts w:ascii="IBM Plex Sans" w:eastAsia="Times New Roman" w:hAnsi="IBM Plex Sans"/>
          <w:b/>
          <w:bCs/>
          <w:color w:val="016676"/>
          <w:sz w:val="20"/>
          <w:szCs w:val="20"/>
        </w:rPr>
        <w:t>Divestitures</w:t>
      </w:r>
      <w:r>
        <w:rPr>
          <w:rFonts w:ascii="IBM Plex Sans" w:eastAsia="Times New Roman" w:hAnsi="IBM Plex Sans"/>
          <w:color w:val="283030"/>
          <w:sz w:val="20"/>
          <w:szCs w:val="20"/>
        </w:rPr>
        <w:t xml:space="preserve"> — See </w:t>
      </w:r>
      <w:r>
        <w:rPr>
          <w:rFonts w:ascii="IBM Plex Sans" w:eastAsia="Times New Roman" w:hAnsi="IBM Plex Sans"/>
          <w:i/>
          <w:iCs/>
          <w:color w:val="283030"/>
          <w:sz w:val="20"/>
          <w:szCs w:val="20"/>
        </w:rPr>
        <w:t xml:space="preserve">Note 4: </w:t>
      </w:r>
      <w:r>
        <w:rPr>
          <w:rFonts w:ascii="IBM Plex Sans" w:eastAsia="Times New Roman" w:hAnsi="IBM Plex Sans"/>
          <w:i/>
          <w:iCs/>
          <w:color w:val="283030"/>
          <w:sz w:val="20"/>
          <w:szCs w:val="20"/>
        </w:rPr>
        <w:t>Business Divestitures and Asset Sales</w:t>
      </w:r>
      <w:r>
        <w:rPr>
          <w:rFonts w:ascii="IBM Plex Sans" w:eastAsia="Times New Roman" w:hAnsi="IBM Plex Sans"/>
          <w:color w:val="283030"/>
          <w:sz w:val="20"/>
          <w:szCs w:val="20"/>
        </w:rPr>
        <w:t xml:space="preserve"> in these Notes for information regarding the divestitures and other asset sales by us in fiscal 2022, 2021 and 2020.</w:t>
      </w:r>
    </w:p>
    <w:p w:rsidR="00000000" w:rsidRDefault="00F5481A">
      <w:pPr>
        <w:ind w:firstLine="360"/>
        <w:divId w:val="225845150"/>
        <w:rPr>
          <w:rFonts w:eastAsia="Times New Roman"/>
        </w:rPr>
      </w:pPr>
      <w:r>
        <w:rPr>
          <w:rFonts w:ascii="IBM Plex Sans" w:eastAsia="Times New Roman" w:hAnsi="IBM Plex Sans"/>
          <w:b/>
          <w:bCs/>
          <w:color w:val="016676"/>
          <w:sz w:val="20"/>
          <w:szCs w:val="20"/>
        </w:rPr>
        <w:t>Use of Estimates</w:t>
      </w:r>
      <w:r>
        <w:rPr>
          <w:rFonts w:ascii="IBM Plex Sans" w:eastAsia="Times New Roman" w:hAnsi="IBM Plex Sans"/>
          <w:color w:val="283030"/>
          <w:sz w:val="20"/>
          <w:szCs w:val="20"/>
        </w:rPr>
        <w:t> — The preparation of financial statements in accordance with GAAP requires us to mak</w:t>
      </w:r>
      <w:r>
        <w:rPr>
          <w:rFonts w:ascii="IBM Plex Sans" w:eastAsia="Times New Roman" w:hAnsi="IBM Plex Sans"/>
          <w:color w:val="283030"/>
          <w:sz w:val="20"/>
          <w:szCs w:val="20"/>
        </w:rPr>
        <w:t>e estimates and assumptions that affect the amounts reported in the accompanying Consolidated Financial Statements and these Notes and related disclosures. These estimates and assumptions are based on experience and other information available prior to iss</w:t>
      </w:r>
      <w:r>
        <w:rPr>
          <w:rFonts w:ascii="IBM Plex Sans" w:eastAsia="Times New Roman" w:hAnsi="IBM Plex Sans"/>
          <w:color w:val="283030"/>
          <w:sz w:val="20"/>
          <w:szCs w:val="20"/>
        </w:rPr>
        <w:t>uance of the accompanying Consolidated Financial Statements and these Notes. Materially different results can occur as circumstances change and additional information becomes known.</w:t>
      </w:r>
    </w:p>
    <w:p w:rsidR="00000000" w:rsidRDefault="00F5481A">
      <w:pPr>
        <w:ind w:firstLine="360"/>
        <w:divId w:val="127821695"/>
        <w:rPr>
          <w:rFonts w:eastAsia="Times New Roman"/>
        </w:rPr>
      </w:pPr>
      <w:r>
        <w:rPr>
          <w:rFonts w:ascii="IBM Plex Sans" w:eastAsia="Times New Roman" w:hAnsi="IBM Plex Sans"/>
          <w:b/>
          <w:bCs/>
          <w:color w:val="016676"/>
          <w:sz w:val="20"/>
          <w:szCs w:val="20"/>
        </w:rPr>
        <w:t>Reclassifications</w:t>
      </w:r>
      <w:r>
        <w:rPr>
          <w:rFonts w:ascii="IBM Plex Sans" w:eastAsia="Times New Roman" w:hAnsi="IBM Plex Sans"/>
          <w:b/>
          <w:bCs/>
          <w:color w:val="283030"/>
          <w:sz w:val="20"/>
          <w:szCs w:val="20"/>
        </w:rPr>
        <w:t xml:space="preserve"> </w:t>
      </w:r>
      <w:r>
        <w:rPr>
          <w:rFonts w:ascii="IBM Plex Sans" w:eastAsia="Times New Roman" w:hAnsi="IBM Plex Sans"/>
          <w:color w:val="283030"/>
          <w:sz w:val="20"/>
          <w:szCs w:val="20"/>
        </w:rPr>
        <w:t>—</w:t>
      </w:r>
      <w:r>
        <w:rPr>
          <w:rFonts w:ascii="IBM Plex Sans" w:eastAsia="Times New Roman" w:hAnsi="IBM Plex Sans"/>
          <w:b/>
          <w:bCs/>
          <w:color w:val="283030"/>
          <w:sz w:val="20"/>
          <w:szCs w:val="20"/>
        </w:rPr>
        <w:t xml:space="preserve"> </w:t>
      </w:r>
      <w:r>
        <w:rPr>
          <w:rFonts w:ascii="IBM Plex Sans" w:eastAsia="Times New Roman" w:hAnsi="IBM Plex Sans"/>
          <w:color w:val="283030"/>
          <w:sz w:val="20"/>
          <w:szCs w:val="20"/>
        </w:rPr>
        <w:t xml:space="preserve">The classification of certain prior year amounts have </w:t>
      </w:r>
      <w:r>
        <w:rPr>
          <w:rFonts w:ascii="IBM Plex Sans" w:eastAsia="Times New Roman" w:hAnsi="IBM Plex Sans"/>
          <w:color w:val="283030"/>
          <w:sz w:val="20"/>
          <w:szCs w:val="20"/>
        </w:rPr>
        <w:t>been adjusted in our Consolidated Financial Statements and these Notes to conform to current year classifications.</w:t>
      </w:r>
    </w:p>
    <w:p w:rsidR="00000000" w:rsidRDefault="00F5481A">
      <w:pPr>
        <w:ind w:firstLine="360"/>
        <w:divId w:val="664211120"/>
        <w:rPr>
          <w:rFonts w:eastAsia="Times New Roman"/>
        </w:rPr>
      </w:pPr>
      <w:r>
        <w:rPr>
          <w:rFonts w:ascii="IBM Plex Sans" w:eastAsia="Times New Roman" w:hAnsi="IBM Plex Sans"/>
          <w:b/>
          <w:bCs/>
          <w:color w:val="016676"/>
          <w:sz w:val="20"/>
          <w:szCs w:val="20"/>
        </w:rPr>
        <w:t>Supplemental Cash Flow Information</w:t>
      </w:r>
      <w:r>
        <w:rPr>
          <w:rFonts w:ascii="IBM Plex Sans" w:eastAsia="Times New Roman" w:hAnsi="IBM Plex Sans"/>
          <w:color w:val="283030"/>
          <w:sz w:val="20"/>
          <w:szCs w:val="20"/>
        </w:rPr>
        <w:t xml:space="preserve"> — Non-cash investing and financing activities during fiscal 2022 and 2021 included a $20 million and $120 </w:t>
      </w:r>
      <w:r>
        <w:rPr>
          <w:rFonts w:ascii="IBM Plex Sans" w:eastAsia="Times New Roman" w:hAnsi="IBM Plex Sans"/>
          <w:color w:val="283030"/>
          <w:sz w:val="20"/>
          <w:szCs w:val="20"/>
        </w:rPr>
        <w:t>million, respectively, right-of-use (“ROU”) asset we obtained in exchange for a corresponding finance lease liability. These non-cash investing and financing activities are excluded from the “Additions of property, plant and equipment” and “Net proceeds fr</w:t>
      </w:r>
      <w:r>
        <w:rPr>
          <w:rFonts w:ascii="IBM Plex Sans" w:eastAsia="Times New Roman" w:hAnsi="IBM Plex Sans"/>
          <w:color w:val="283030"/>
          <w:sz w:val="20"/>
          <w:szCs w:val="20"/>
        </w:rPr>
        <w:t xml:space="preserve">om borrowings” line items in our Consolidated Statement of Cash Flows. Right-of-use assets for finance leases are included in the “Property, plant and equipment, </w:t>
      </w:r>
    </w:p>
    <w:p w:rsidR="00000000" w:rsidRDefault="00F5481A">
      <w:pPr>
        <w:ind w:firstLine="360"/>
        <w:jc w:val="center"/>
        <w:divId w:val="1901866954"/>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65</w:t>
      </w:r>
    </w:p>
    <w:p w:rsidR="00000000" w:rsidRDefault="00F5481A">
      <w:pPr>
        <w:rPr>
          <w:rFonts w:eastAsia="Times New Roman"/>
        </w:rPr>
      </w:pPr>
      <w:r>
        <w:rPr>
          <w:rFonts w:eastAsia="Times New Roman"/>
        </w:rPr>
        <w:pict>
          <v:rect id="_x0000_i1096" style="width:0;height:1.5pt" o:hralign="center" o:hrstd="t" o:hr="t" fillcolor="#a0a0a0" stroked="f"/>
        </w:pict>
      </w:r>
    </w:p>
    <w:p w:rsidR="00000000" w:rsidRDefault="00F5481A">
      <w:pPr>
        <w:ind w:firstLine="360"/>
        <w:divId w:val="939412663"/>
        <w:rPr>
          <w:rFonts w:eastAsia="Times New Roman"/>
        </w:rPr>
      </w:pPr>
    </w:p>
    <w:p w:rsidR="00000000" w:rsidRDefault="00F5481A">
      <w:pPr>
        <w:divId w:val="933709331"/>
        <w:rPr>
          <w:rFonts w:eastAsia="Times New Roman"/>
        </w:rPr>
      </w:pPr>
      <w:r>
        <w:rPr>
          <w:rFonts w:ascii="IBM Plex Sans" w:eastAsia="Times New Roman" w:hAnsi="IBM Plex Sans"/>
          <w:color w:val="283030"/>
          <w:sz w:val="20"/>
          <w:szCs w:val="20"/>
        </w:rPr>
        <w:t>net” line item and the corresponding finance lease liabilities are included in the “Current portion of long-term debt, net” and “Long-term debt, net” line items in our Consolidated Balance Sheet.</w:t>
      </w:r>
    </w:p>
    <w:p w:rsidR="00000000" w:rsidRDefault="00F5481A">
      <w:pPr>
        <w:ind w:firstLine="360"/>
        <w:divId w:val="1625576162"/>
        <w:rPr>
          <w:rFonts w:eastAsia="Times New Roman"/>
        </w:rPr>
      </w:pPr>
      <w:r>
        <w:rPr>
          <w:rFonts w:ascii="IBM Plex Sans" w:eastAsia="Times New Roman" w:hAnsi="IBM Plex Sans"/>
          <w:color w:val="283030"/>
          <w:sz w:val="20"/>
          <w:szCs w:val="20"/>
        </w:rPr>
        <w:t>Non-cash investing and</w:t>
      </w:r>
      <w:r>
        <w:rPr>
          <w:rFonts w:ascii="IBM Plex Sans" w:eastAsia="Times New Roman" w:hAnsi="IBM Plex Sans"/>
          <w:color w:val="283030"/>
          <w:sz w:val="20"/>
          <w:szCs w:val="20"/>
        </w:rPr>
        <w:t xml:space="preserve"> financing activities during fiscal 2022 and 2021 included a $123 million and $260 million right-of-use asset we obtained in exchange for a corresponding operating lease liability. These non-cash investing and financing activities are excluded from the “Ot</w:t>
      </w:r>
      <w:r>
        <w:rPr>
          <w:rFonts w:ascii="IBM Plex Sans" w:eastAsia="Times New Roman" w:hAnsi="IBM Plex Sans"/>
          <w:color w:val="283030"/>
          <w:sz w:val="20"/>
          <w:szCs w:val="20"/>
        </w:rPr>
        <w:t xml:space="preserve">her investing” and “Other financing” line items in our Consolidated Statement of Cash Flows. Right-of-use assets for operating leases are included in the “Operating lease right-of-use assets” line item and the corresponding operating lease liabilities are </w:t>
      </w:r>
      <w:r>
        <w:rPr>
          <w:rFonts w:ascii="IBM Plex Sans" w:eastAsia="Times New Roman" w:hAnsi="IBM Plex Sans"/>
          <w:color w:val="283030"/>
          <w:sz w:val="20"/>
          <w:szCs w:val="20"/>
        </w:rPr>
        <w:t>included in the “Other accrued items” and “Operating lease liabilities” line items in our Consolidated Balance Sheet.</w:t>
      </w:r>
    </w:p>
    <w:p w:rsidR="00000000" w:rsidRDefault="00F5481A">
      <w:pPr>
        <w:ind w:firstLine="360"/>
        <w:divId w:val="1003554602"/>
        <w:rPr>
          <w:rFonts w:eastAsia="Times New Roman"/>
        </w:rPr>
      </w:pPr>
      <w:r>
        <w:rPr>
          <w:rFonts w:ascii="IBM Plex Sans" w:eastAsia="Times New Roman" w:hAnsi="IBM Plex Sans"/>
          <w:color w:val="283030"/>
          <w:sz w:val="20"/>
          <w:szCs w:val="20"/>
        </w:rPr>
        <w:t>There were no material non-cash investing or financing activities during fiscal 2020.</w:t>
      </w:r>
    </w:p>
    <w:p w:rsidR="00000000" w:rsidRDefault="00F5481A">
      <w:pPr>
        <w:ind w:firstLine="360"/>
        <w:divId w:val="1636519137"/>
        <w:rPr>
          <w:rFonts w:eastAsia="Times New Roman"/>
        </w:rPr>
      </w:pPr>
      <w:r>
        <w:rPr>
          <w:rFonts w:ascii="IBM Plex Sans" w:eastAsia="Times New Roman" w:hAnsi="IBM Plex Sans"/>
          <w:b/>
          <w:bCs/>
          <w:color w:val="016676"/>
          <w:sz w:val="20"/>
          <w:szCs w:val="20"/>
        </w:rPr>
        <w:t>Cash and Cash Equivalents</w:t>
      </w:r>
      <w:r>
        <w:rPr>
          <w:rFonts w:ascii="IBM Plex Sans" w:eastAsia="Times New Roman" w:hAnsi="IBM Plex Sans"/>
          <w:color w:val="283030"/>
          <w:sz w:val="20"/>
          <w:szCs w:val="20"/>
        </w:rPr>
        <w:t> — Cash and cash equivalent</w:t>
      </w:r>
      <w:r>
        <w:rPr>
          <w:rFonts w:ascii="IBM Plex Sans" w:eastAsia="Times New Roman" w:hAnsi="IBM Plex Sans"/>
          <w:color w:val="283030"/>
          <w:sz w:val="20"/>
          <w:szCs w:val="20"/>
        </w:rPr>
        <w:t>s include cash at banks and temporary cash investments with a maturity of three or fewer months when purchased. These investments include accrued interest and are carried at the lower of cost or market.</w:t>
      </w:r>
    </w:p>
    <w:p w:rsidR="00000000" w:rsidRDefault="00F5481A">
      <w:pPr>
        <w:ind w:firstLine="360"/>
        <w:divId w:val="49307677"/>
        <w:rPr>
          <w:rFonts w:eastAsia="Times New Roman"/>
        </w:rPr>
      </w:pPr>
      <w:r>
        <w:rPr>
          <w:rFonts w:ascii="IBM Plex Sans" w:eastAsia="Times New Roman" w:hAnsi="IBM Plex Sans"/>
          <w:b/>
          <w:bCs/>
          <w:color w:val="016676"/>
          <w:sz w:val="20"/>
          <w:szCs w:val="20"/>
        </w:rPr>
        <w:t>Fair Value of Financial Instruments</w:t>
      </w:r>
      <w:r>
        <w:rPr>
          <w:rFonts w:ascii="IBM Plex Sans" w:eastAsia="Times New Roman" w:hAnsi="IBM Plex Sans"/>
          <w:color w:val="016676"/>
          <w:sz w:val="20"/>
          <w:szCs w:val="20"/>
        </w:rPr>
        <w:t xml:space="preserve"> </w:t>
      </w:r>
      <w:r>
        <w:rPr>
          <w:rFonts w:ascii="IBM Plex Sans" w:eastAsia="Times New Roman" w:hAnsi="IBM Plex Sans"/>
          <w:color w:val="283030"/>
          <w:sz w:val="20"/>
          <w:szCs w:val="20"/>
        </w:rPr>
        <w:t xml:space="preserve">— </w:t>
      </w:r>
      <w:r>
        <w:rPr>
          <w:rFonts w:ascii="IBM Plex Sans" w:eastAsia="Times New Roman" w:hAnsi="IBM Plex Sans"/>
          <w:color w:val="283030"/>
          <w:sz w:val="20"/>
          <w:szCs w:val="20"/>
        </w:rPr>
        <w:t>The carrying amounts reflected in our Consolidated Balance Sheet for cash and cash equivalents, accounts receivable, non-current receivables, notes receivable, accounts payable, short-term debt and long-term variable-rate debt approximate their fair values</w:t>
      </w:r>
      <w:r>
        <w:rPr>
          <w:rFonts w:ascii="IBM Plex Sans" w:eastAsia="Times New Roman" w:hAnsi="IBM Plex Sans"/>
          <w:color w:val="283030"/>
          <w:sz w:val="20"/>
          <w:szCs w:val="20"/>
        </w:rPr>
        <w:t xml:space="preserve">. Fair values for long-term fixed-rate debt are primarily based on quoted market prices for those or similar instruments. See </w:t>
      </w:r>
      <w:r>
        <w:rPr>
          <w:rFonts w:ascii="IBM Plex Sans" w:eastAsia="Times New Roman" w:hAnsi="IBM Plex Sans"/>
          <w:i/>
          <w:iCs/>
          <w:color w:val="283030"/>
          <w:sz w:val="20"/>
          <w:szCs w:val="20"/>
        </w:rPr>
        <w:t>Note 13: Debt</w:t>
      </w:r>
      <w:r>
        <w:rPr>
          <w:rFonts w:ascii="IBM Plex Sans" w:eastAsia="Times New Roman" w:hAnsi="IBM Plex Sans"/>
          <w:color w:val="283030"/>
          <w:sz w:val="20"/>
          <w:szCs w:val="20"/>
        </w:rPr>
        <w:t xml:space="preserve"> in these Notes for additional information regarding fair values for our long-term fixed-rate debt. A discussion of f</w:t>
      </w:r>
      <w:r>
        <w:rPr>
          <w:rFonts w:ascii="IBM Plex Sans" w:eastAsia="Times New Roman" w:hAnsi="IBM Plex Sans"/>
          <w:color w:val="283030"/>
          <w:sz w:val="20"/>
          <w:szCs w:val="20"/>
        </w:rPr>
        <w:t xml:space="preserve">air values for our derivative financial instruments is included under the caption “Financial Instruments and Risk Management” in this </w:t>
      </w:r>
      <w:r>
        <w:rPr>
          <w:rFonts w:ascii="IBM Plex Sans" w:eastAsia="Times New Roman" w:hAnsi="IBM Plex Sans"/>
          <w:i/>
          <w:iCs/>
          <w:color w:val="283030"/>
          <w:sz w:val="20"/>
          <w:szCs w:val="20"/>
        </w:rPr>
        <w:t>Note 1: Significant Accounting Policies.</w:t>
      </w:r>
    </w:p>
    <w:p w:rsidR="00000000" w:rsidRDefault="00F5481A">
      <w:pPr>
        <w:ind w:firstLine="360"/>
        <w:divId w:val="1424689361"/>
        <w:rPr>
          <w:rFonts w:eastAsia="Times New Roman"/>
        </w:rPr>
      </w:pPr>
      <w:r>
        <w:rPr>
          <w:rFonts w:ascii="IBM Plex Sans" w:eastAsia="Times New Roman" w:hAnsi="IBM Plex Sans"/>
          <w:b/>
          <w:bCs/>
          <w:color w:val="016676"/>
          <w:sz w:val="20"/>
          <w:szCs w:val="20"/>
        </w:rPr>
        <w:t>Fair Value Measurements</w:t>
      </w:r>
      <w:r>
        <w:rPr>
          <w:rFonts w:ascii="IBM Plex Sans" w:eastAsia="Times New Roman" w:hAnsi="IBM Plex Sans"/>
          <w:color w:val="283030"/>
          <w:sz w:val="20"/>
          <w:szCs w:val="20"/>
        </w:rPr>
        <w:t xml:space="preserve"> — Fair value is defined as the price that would be receiv</w:t>
      </w:r>
      <w:r>
        <w:rPr>
          <w:rFonts w:ascii="IBM Plex Sans" w:eastAsia="Times New Roman" w:hAnsi="IBM Plex Sans"/>
          <w:color w:val="283030"/>
          <w:sz w:val="20"/>
          <w:szCs w:val="20"/>
        </w:rPr>
        <w:t>ed to sell an asset or paid to transfer a liability in the principal market (or most advantageous market, in the absence of a principal market) for the asset or liability in an orderly transaction between market participants at the measurement date. Entiti</w:t>
      </w:r>
      <w:r>
        <w:rPr>
          <w:rFonts w:ascii="IBM Plex Sans" w:eastAsia="Times New Roman" w:hAnsi="IBM Plex Sans"/>
          <w:color w:val="283030"/>
          <w:sz w:val="20"/>
          <w:szCs w:val="20"/>
        </w:rPr>
        <w:t>es are required to maximize the use of observable inputs and minimize the use of unobservable inputs in measuring fair value, and to utilize a three-level fair value hierarchy that prioritizes the inputs used to measure fair value. The three levels of inpu</w:t>
      </w:r>
      <w:r>
        <w:rPr>
          <w:rFonts w:ascii="IBM Plex Sans" w:eastAsia="Times New Roman" w:hAnsi="IBM Plex Sans"/>
          <w:color w:val="283030"/>
          <w:sz w:val="20"/>
          <w:szCs w:val="20"/>
        </w:rPr>
        <w:t>ts used to measure fair value are as follows:</w:t>
      </w:r>
    </w:p>
    <w:p w:rsidR="00000000" w:rsidRDefault="00F5481A">
      <w:pPr>
        <w:ind w:hanging="360"/>
        <w:divId w:val="1181777874"/>
        <w:rPr>
          <w:rFonts w:eastAsia="Times New Roman"/>
        </w:rPr>
      </w:pPr>
      <w:r>
        <w:rPr>
          <w:rFonts w:ascii="IBM Plex Sans" w:eastAsia="Times New Roman" w:hAnsi="IBM Plex Sans"/>
          <w:color w:val="283030"/>
          <w:sz w:val="20"/>
          <w:szCs w:val="20"/>
        </w:rPr>
        <w:t>•Level 1 — Quoted prices in active markets for identical assets or liabilities.</w:t>
      </w:r>
    </w:p>
    <w:p w:rsidR="00000000" w:rsidRDefault="00F5481A">
      <w:pPr>
        <w:ind w:hanging="360"/>
        <w:divId w:val="1117024919"/>
        <w:rPr>
          <w:rFonts w:eastAsia="Times New Roman"/>
        </w:rPr>
      </w:pPr>
      <w:r>
        <w:rPr>
          <w:rFonts w:ascii="IBM Plex Sans" w:eastAsia="Times New Roman" w:hAnsi="IBM Plex Sans"/>
          <w:color w:val="283030"/>
          <w:sz w:val="20"/>
          <w:szCs w:val="20"/>
        </w:rPr>
        <w:t>•Level 2 — Observable inputs other than quoted prices included within Level 1, including quoted prices for similar assets or liabi</w:t>
      </w:r>
      <w:r>
        <w:rPr>
          <w:rFonts w:ascii="IBM Plex Sans" w:eastAsia="Times New Roman" w:hAnsi="IBM Plex Sans"/>
          <w:color w:val="283030"/>
          <w:sz w:val="20"/>
          <w:szCs w:val="20"/>
        </w:rPr>
        <w:t>lities in active markets; quoted prices for identical or similar assets or liabilities in markets that are not active; and inputs other than quoted prices that are observable or are derived principally from, or corroborated by, observable market data by co</w:t>
      </w:r>
      <w:r>
        <w:rPr>
          <w:rFonts w:ascii="IBM Plex Sans" w:eastAsia="Times New Roman" w:hAnsi="IBM Plex Sans"/>
          <w:color w:val="283030"/>
          <w:sz w:val="20"/>
          <w:szCs w:val="20"/>
        </w:rPr>
        <w:t>rrelation or other means.</w:t>
      </w:r>
    </w:p>
    <w:p w:rsidR="00000000" w:rsidRDefault="00F5481A">
      <w:pPr>
        <w:ind w:hanging="360"/>
        <w:divId w:val="825897789"/>
        <w:rPr>
          <w:rFonts w:eastAsia="Times New Roman"/>
        </w:rPr>
      </w:pPr>
      <w:r>
        <w:rPr>
          <w:rFonts w:ascii="IBM Plex Sans" w:eastAsia="Times New Roman" w:hAnsi="IBM Plex Sans"/>
          <w:color w:val="283030"/>
          <w:sz w:val="20"/>
          <w:szCs w:val="20"/>
        </w:rPr>
        <w:t xml:space="preserve">•Level 3 — Unobservable inputs that are supported by little or no market activity, are significant to the fair value of the assets or liabilities and reflect our own assumptions about the assumptions market participants would use </w:t>
      </w:r>
      <w:r>
        <w:rPr>
          <w:rFonts w:ascii="IBM Plex Sans" w:eastAsia="Times New Roman" w:hAnsi="IBM Plex Sans"/>
          <w:color w:val="283030"/>
          <w:sz w:val="20"/>
          <w:szCs w:val="20"/>
        </w:rPr>
        <w:t>in pricing the asset or liability developed using the best information available in the circumstances.</w:t>
      </w:r>
    </w:p>
    <w:p w:rsidR="00000000" w:rsidRDefault="00F5481A">
      <w:pPr>
        <w:ind w:firstLine="360"/>
        <w:divId w:val="939146436"/>
        <w:rPr>
          <w:rFonts w:eastAsia="Times New Roman"/>
        </w:rPr>
      </w:pPr>
      <w:r>
        <w:rPr>
          <w:rFonts w:ascii="IBM Plex Sans" w:eastAsia="Times New Roman" w:hAnsi="IBM Plex Sans"/>
          <w:color w:val="283030"/>
          <w:sz w:val="20"/>
          <w:szCs w:val="20"/>
        </w:rPr>
        <w:t>In certain instances, fair value is estimated using quoted market prices obtained from external pricing services. In obtaining such data from the pricing</w:t>
      </w:r>
      <w:r>
        <w:rPr>
          <w:rFonts w:ascii="IBM Plex Sans" w:eastAsia="Times New Roman" w:hAnsi="IBM Plex Sans"/>
          <w:color w:val="283030"/>
          <w:sz w:val="20"/>
          <w:szCs w:val="20"/>
        </w:rPr>
        <w:t xml:space="preserve"> service, we have evaluated the methodologies used to develop the estimate of fair value in order to assess whether such valuations are representative of fair value, including NAV. Additionally, in certain circumstances, the NAV reported by an asset manage</w:t>
      </w:r>
      <w:r>
        <w:rPr>
          <w:rFonts w:ascii="IBM Plex Sans" w:eastAsia="Times New Roman" w:hAnsi="IBM Plex Sans"/>
          <w:color w:val="283030"/>
          <w:sz w:val="20"/>
          <w:szCs w:val="20"/>
        </w:rPr>
        <w:t>r may be adjusted when sufficient evidence indicates NAV is not representative of fair value.</w:t>
      </w:r>
    </w:p>
    <w:p w:rsidR="00000000" w:rsidRDefault="00F5481A">
      <w:pPr>
        <w:ind w:firstLine="360"/>
        <w:divId w:val="927689368"/>
        <w:rPr>
          <w:rFonts w:eastAsia="Times New Roman"/>
        </w:rPr>
      </w:pPr>
      <w:r>
        <w:rPr>
          <w:rFonts w:ascii="IBM Plex Sans" w:eastAsia="Times New Roman" w:hAnsi="IBM Plex Sans"/>
          <w:b/>
          <w:bCs/>
          <w:color w:val="016676"/>
          <w:sz w:val="20"/>
          <w:szCs w:val="20"/>
        </w:rPr>
        <w:t>Accounts Receivable</w:t>
      </w:r>
      <w:r>
        <w:rPr>
          <w:rFonts w:ascii="IBM Plex Sans" w:eastAsia="Times New Roman" w:hAnsi="IBM Plex Sans"/>
          <w:color w:val="283030"/>
          <w:sz w:val="20"/>
          <w:szCs w:val="20"/>
        </w:rPr>
        <w:t> — We record receivables at net realizable value and they generally do not bear interest. This value includes an allowance for estimated uncoll</w:t>
      </w:r>
      <w:r>
        <w:rPr>
          <w:rFonts w:ascii="IBM Plex Sans" w:eastAsia="Times New Roman" w:hAnsi="IBM Plex Sans"/>
          <w:color w:val="283030"/>
          <w:sz w:val="20"/>
          <w:szCs w:val="20"/>
        </w:rPr>
        <w:t>ectible accounts to reflect any losses anticipated on the accounts receivable balances which is charged to the provision for doubtful accounts. We calculate this allowance at inception based on expected loss over the life of the receivable. We consider his</w:t>
      </w:r>
      <w:r>
        <w:rPr>
          <w:rFonts w:ascii="IBM Plex Sans" w:eastAsia="Times New Roman" w:hAnsi="IBM Plex Sans"/>
          <w:color w:val="283030"/>
          <w:sz w:val="20"/>
          <w:szCs w:val="20"/>
        </w:rPr>
        <w:t>torical write-offs by customer, level of past due accounts and economic status of the customers. A receivable is considered delinquent if it is unpaid after the term of the related invoice has expired. Write-offs are recorded at the time a customer receiva</w:t>
      </w:r>
      <w:r>
        <w:rPr>
          <w:rFonts w:ascii="IBM Plex Sans" w:eastAsia="Times New Roman" w:hAnsi="IBM Plex Sans"/>
          <w:color w:val="283030"/>
          <w:sz w:val="20"/>
          <w:szCs w:val="20"/>
        </w:rPr>
        <w:t xml:space="preserve">ble is deemed uncollectible. See </w:t>
      </w:r>
      <w:r>
        <w:rPr>
          <w:rFonts w:ascii="IBM Plex Sans" w:eastAsia="Times New Roman" w:hAnsi="IBM Plex Sans"/>
          <w:i/>
          <w:iCs/>
          <w:color w:val="283030"/>
          <w:sz w:val="20"/>
          <w:szCs w:val="20"/>
        </w:rPr>
        <w:t>Note 5: Receivables, Net</w:t>
      </w:r>
      <w:r>
        <w:rPr>
          <w:rFonts w:ascii="IBM Plex Sans" w:eastAsia="Times New Roman" w:hAnsi="IBM Plex Sans"/>
          <w:color w:val="283030"/>
          <w:sz w:val="20"/>
          <w:szCs w:val="20"/>
        </w:rPr>
        <w:t xml:space="preserve"> in these Notes for additional information regarding accounts receivable.</w:t>
      </w:r>
    </w:p>
    <w:p w:rsidR="00000000" w:rsidRDefault="00F5481A">
      <w:pPr>
        <w:ind w:firstLine="360"/>
        <w:divId w:val="2005085636"/>
        <w:rPr>
          <w:rFonts w:eastAsia="Times New Roman"/>
        </w:rPr>
      </w:pPr>
      <w:r>
        <w:rPr>
          <w:rFonts w:ascii="IBM Plex Sans" w:eastAsia="Times New Roman" w:hAnsi="IBM Plex Sans"/>
          <w:b/>
          <w:bCs/>
          <w:color w:val="016676"/>
          <w:sz w:val="20"/>
          <w:szCs w:val="20"/>
        </w:rPr>
        <w:t>Contract Assets and Liabilities</w:t>
      </w:r>
      <w:r>
        <w:rPr>
          <w:rFonts w:ascii="IBM Plex Sans" w:eastAsia="Times New Roman" w:hAnsi="IBM Plex Sans"/>
          <w:b/>
          <w:bCs/>
          <w:color w:val="283030"/>
          <w:sz w:val="20"/>
          <w:szCs w:val="20"/>
        </w:rPr>
        <w:t xml:space="preserve"> </w:t>
      </w:r>
      <w:r>
        <w:rPr>
          <w:rFonts w:ascii="IBM Plex Sans" w:eastAsia="Times New Roman" w:hAnsi="IBM Plex Sans"/>
          <w:color w:val="283030"/>
          <w:sz w:val="20"/>
          <w:szCs w:val="20"/>
        </w:rPr>
        <w:t>— The timing of revenue recognition, customer billings and cash collections results in accoun</w:t>
      </w:r>
      <w:r>
        <w:rPr>
          <w:rFonts w:ascii="IBM Plex Sans" w:eastAsia="Times New Roman" w:hAnsi="IBM Plex Sans"/>
          <w:color w:val="283030"/>
          <w:sz w:val="20"/>
          <w:szCs w:val="20"/>
        </w:rPr>
        <w:t>ts receivable, contract assets and contract liabilities at the end of each reporting period. Contract assets include unbilled amounts typically resulting from revenue recognized exceeding amounts billed to customers for contracts utilizing the POC cost-to-</w:t>
      </w:r>
      <w:r>
        <w:rPr>
          <w:rFonts w:ascii="IBM Plex Sans" w:eastAsia="Times New Roman" w:hAnsi="IBM Plex Sans"/>
          <w:color w:val="283030"/>
          <w:sz w:val="20"/>
          <w:szCs w:val="20"/>
        </w:rPr>
        <w:t>cost revenue recognition method. We bill customers as work progresses in accordance with agreed-upon contractual terms, either at periodic intervals, upon achievement of contractual milestones or upon deliveries and, in certain arrangements, the customer m</w:t>
      </w:r>
      <w:r>
        <w:rPr>
          <w:rFonts w:ascii="IBM Plex Sans" w:eastAsia="Times New Roman" w:hAnsi="IBM Plex Sans"/>
          <w:color w:val="283030"/>
          <w:sz w:val="20"/>
          <w:szCs w:val="20"/>
        </w:rPr>
        <w:t xml:space="preserve">ay withhold payment of a portion of the contract price until contract completion. Contract liabilities include advance payments and billings in excess of </w:t>
      </w:r>
    </w:p>
    <w:p w:rsidR="00000000" w:rsidRDefault="00F5481A">
      <w:pPr>
        <w:ind w:firstLine="360"/>
        <w:jc w:val="center"/>
        <w:divId w:val="1428772383"/>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66</w:t>
      </w:r>
    </w:p>
    <w:p w:rsidR="00000000" w:rsidRDefault="00F5481A">
      <w:pPr>
        <w:rPr>
          <w:rFonts w:eastAsia="Times New Roman"/>
        </w:rPr>
      </w:pPr>
      <w:r>
        <w:rPr>
          <w:rFonts w:eastAsia="Times New Roman"/>
        </w:rPr>
        <w:pict>
          <v:rect id="_x0000_i1097" style="width:0;height:1.5pt" o:hralign="center" o:hrstd="t" o:hr="t" fillcolor="#a0a0a0" stroked="f"/>
        </w:pict>
      </w:r>
    </w:p>
    <w:p w:rsidR="00000000" w:rsidRDefault="00F5481A">
      <w:pPr>
        <w:ind w:firstLine="360"/>
        <w:divId w:val="84690117"/>
        <w:rPr>
          <w:rFonts w:eastAsia="Times New Roman"/>
        </w:rPr>
      </w:pPr>
    </w:p>
    <w:p w:rsidR="00000000" w:rsidRDefault="00F5481A">
      <w:pPr>
        <w:divId w:val="944265049"/>
        <w:rPr>
          <w:rFonts w:eastAsia="Times New Roman"/>
        </w:rPr>
      </w:pPr>
      <w:r>
        <w:rPr>
          <w:rFonts w:ascii="IBM Plex Sans" w:eastAsia="Times New Roman" w:hAnsi="IBM Plex Sans"/>
          <w:color w:val="283030"/>
          <w:sz w:val="20"/>
          <w:szCs w:val="20"/>
        </w:rPr>
        <w:t>revenue recognized, including deferred revenue. Contract assets and liabilities are reported on a contract-by-contract basis at the end of each reporting period. The non-current portion of contract liabilities is included within the “Other long-t</w:t>
      </w:r>
      <w:r>
        <w:rPr>
          <w:rFonts w:ascii="IBM Plex Sans" w:eastAsia="Times New Roman" w:hAnsi="IBM Plex Sans"/>
          <w:color w:val="283030"/>
          <w:sz w:val="20"/>
          <w:szCs w:val="20"/>
        </w:rPr>
        <w:t>erm liabilities” line item in our Consolidated Balance Sheet.</w:t>
      </w:r>
    </w:p>
    <w:p w:rsidR="00000000" w:rsidRDefault="00F5481A">
      <w:pPr>
        <w:ind w:firstLine="360"/>
        <w:divId w:val="385027571"/>
        <w:rPr>
          <w:rFonts w:eastAsia="Times New Roman"/>
        </w:rPr>
      </w:pPr>
      <w:r>
        <w:rPr>
          <w:rFonts w:ascii="IBM Plex Sans" w:eastAsia="Times New Roman" w:hAnsi="IBM Plex Sans"/>
          <w:color w:val="283030"/>
          <w:sz w:val="20"/>
          <w:szCs w:val="20"/>
        </w:rPr>
        <w:t>Contract assets related to amounts withheld by customers until contract completion are not considered a significant financing component of our contracts because the intent is to protect the cust</w:t>
      </w:r>
      <w:r>
        <w:rPr>
          <w:rFonts w:ascii="IBM Plex Sans" w:eastAsia="Times New Roman" w:hAnsi="IBM Plex Sans"/>
          <w:color w:val="283030"/>
          <w:sz w:val="20"/>
          <w:szCs w:val="20"/>
        </w:rPr>
        <w:t>omers from our failure to satisfactorily complete our performance obligations. Payments received from customers in advance of revenue recognition are not considered a significant financing component of our contracts because they are utilized to pay for con</w:t>
      </w:r>
      <w:r>
        <w:rPr>
          <w:rFonts w:ascii="IBM Plex Sans" w:eastAsia="Times New Roman" w:hAnsi="IBM Plex Sans"/>
          <w:color w:val="283030"/>
          <w:sz w:val="20"/>
          <w:szCs w:val="20"/>
        </w:rPr>
        <w:t xml:space="preserve">tract costs within a one-year period or are requested by us to ensure the customers meet their payment obligations. See </w:t>
      </w:r>
      <w:r>
        <w:rPr>
          <w:rFonts w:ascii="IBM Plex Sans" w:eastAsia="Times New Roman" w:hAnsi="IBM Plex Sans"/>
          <w:i/>
          <w:iCs/>
          <w:color w:val="283030"/>
          <w:sz w:val="20"/>
          <w:szCs w:val="20"/>
        </w:rPr>
        <w:t>Note 6: Contract Assets and Contract Liabilities</w:t>
      </w:r>
      <w:r>
        <w:rPr>
          <w:rFonts w:ascii="IBM Plex Sans" w:eastAsia="Times New Roman" w:hAnsi="IBM Plex Sans"/>
          <w:color w:val="283030"/>
          <w:sz w:val="20"/>
          <w:szCs w:val="20"/>
        </w:rPr>
        <w:t xml:space="preserve"> in these Notes for additional information.</w:t>
      </w:r>
    </w:p>
    <w:p w:rsidR="00000000" w:rsidRDefault="00F5481A">
      <w:pPr>
        <w:ind w:firstLine="360"/>
        <w:divId w:val="687025583"/>
        <w:rPr>
          <w:rFonts w:eastAsia="Times New Roman"/>
        </w:rPr>
      </w:pPr>
      <w:r>
        <w:rPr>
          <w:rFonts w:ascii="IBM Plex Sans" w:eastAsia="Times New Roman" w:hAnsi="IBM Plex Sans"/>
          <w:b/>
          <w:bCs/>
          <w:color w:val="016676"/>
          <w:sz w:val="20"/>
          <w:szCs w:val="20"/>
        </w:rPr>
        <w:t>Inventories</w:t>
      </w:r>
      <w:r>
        <w:rPr>
          <w:rFonts w:ascii="IBM Plex Sans" w:eastAsia="Times New Roman" w:hAnsi="IBM Plex Sans"/>
          <w:color w:val="016676"/>
          <w:sz w:val="20"/>
          <w:szCs w:val="20"/>
        </w:rPr>
        <w:t> </w:t>
      </w:r>
      <w:r>
        <w:rPr>
          <w:rFonts w:ascii="IBM Plex Sans" w:eastAsia="Times New Roman" w:hAnsi="IBM Plex Sans"/>
          <w:color w:val="283030"/>
          <w:sz w:val="20"/>
          <w:szCs w:val="20"/>
        </w:rPr>
        <w:t xml:space="preserve">— Inventories are valued at the </w:t>
      </w:r>
      <w:r>
        <w:rPr>
          <w:rFonts w:ascii="IBM Plex Sans" w:eastAsia="Times New Roman" w:hAnsi="IBM Plex Sans"/>
          <w:color w:val="283030"/>
          <w:sz w:val="20"/>
          <w:szCs w:val="20"/>
        </w:rPr>
        <w:t>lower of cost (determined by average and first-in, first-out methods) or net realizable value. We regularly review inventory quantities on hand and record a provision for excess and obsolete inventory primarily based on our estimated forecast of product de</w:t>
      </w:r>
      <w:r>
        <w:rPr>
          <w:rFonts w:ascii="IBM Plex Sans" w:eastAsia="Times New Roman" w:hAnsi="IBM Plex Sans"/>
          <w:color w:val="283030"/>
          <w:sz w:val="20"/>
          <w:szCs w:val="20"/>
        </w:rPr>
        <w:t xml:space="preserve">mand, anticipated end of product life and production requirements. See </w:t>
      </w:r>
      <w:r>
        <w:rPr>
          <w:rFonts w:ascii="IBM Plex Sans" w:eastAsia="Times New Roman" w:hAnsi="IBM Plex Sans"/>
          <w:i/>
          <w:iCs/>
          <w:color w:val="283030"/>
          <w:sz w:val="20"/>
          <w:szCs w:val="20"/>
        </w:rPr>
        <w:t>Note 7: Inventories</w:t>
      </w:r>
      <w:r>
        <w:rPr>
          <w:rFonts w:ascii="IBM Plex Sans" w:eastAsia="Times New Roman" w:hAnsi="IBM Plex Sans"/>
          <w:color w:val="283030"/>
          <w:sz w:val="20"/>
          <w:szCs w:val="20"/>
        </w:rPr>
        <w:t xml:space="preserve"> in these Notes for additional information regarding inventories.</w:t>
      </w:r>
    </w:p>
    <w:p w:rsidR="00000000" w:rsidRDefault="00F5481A">
      <w:pPr>
        <w:ind w:firstLine="360"/>
        <w:divId w:val="382288015"/>
        <w:rPr>
          <w:rFonts w:eastAsia="Times New Roman"/>
        </w:rPr>
      </w:pPr>
      <w:r>
        <w:rPr>
          <w:rFonts w:ascii="IBM Plex Sans" w:eastAsia="Times New Roman" w:hAnsi="IBM Plex Sans"/>
          <w:b/>
          <w:bCs/>
          <w:color w:val="016676"/>
          <w:sz w:val="20"/>
          <w:szCs w:val="20"/>
        </w:rPr>
        <w:t>Costs to Obtain or Fulfill a Contract</w:t>
      </w:r>
      <w:r>
        <w:rPr>
          <w:rFonts w:ascii="IBM Plex Sans" w:eastAsia="Times New Roman" w:hAnsi="IBM Plex Sans"/>
          <w:b/>
          <w:bCs/>
          <w:color w:val="283030"/>
          <w:sz w:val="20"/>
          <w:szCs w:val="20"/>
        </w:rPr>
        <w:t xml:space="preserve"> </w:t>
      </w:r>
      <w:r>
        <w:rPr>
          <w:rFonts w:ascii="IBM Plex Sans" w:eastAsia="Times New Roman" w:hAnsi="IBM Plex Sans"/>
          <w:color w:val="283030"/>
          <w:sz w:val="20"/>
          <w:szCs w:val="20"/>
        </w:rPr>
        <w:t>— Costs to obtain a contract are incremental direct costs incu</w:t>
      </w:r>
      <w:r>
        <w:rPr>
          <w:rFonts w:ascii="IBM Plex Sans" w:eastAsia="Times New Roman" w:hAnsi="IBM Plex Sans"/>
          <w:color w:val="283030"/>
          <w:sz w:val="20"/>
          <w:szCs w:val="20"/>
        </w:rPr>
        <w:t>rred to obtain a contract with a customer, including sales commissions and dealer fees, and are capitalized if material. Costs to fulfill a contract include costs directly related to a contract or a specific anticipated contract (for example, mobilization,</w:t>
      </w:r>
      <w:r>
        <w:rPr>
          <w:rFonts w:ascii="IBM Plex Sans" w:eastAsia="Times New Roman" w:hAnsi="IBM Plex Sans"/>
          <w:color w:val="283030"/>
          <w:sz w:val="20"/>
          <w:szCs w:val="20"/>
        </w:rPr>
        <w:t xml:space="preserve"> set-up and certain design costs) that generate or enhance our ability to satisfy our performance obligations under these contracts. These costs are capitalized to the extent they are expected to be recovered from the associated contract. Capitalized costs</w:t>
      </w:r>
      <w:r>
        <w:rPr>
          <w:rFonts w:ascii="IBM Plex Sans" w:eastAsia="Times New Roman" w:hAnsi="IBM Plex Sans"/>
          <w:color w:val="283030"/>
          <w:sz w:val="20"/>
          <w:szCs w:val="20"/>
        </w:rPr>
        <w:t xml:space="preserve"> to obtain or fulfill a contract are amortized to expense over the expected period of benefit for contracts with terms greater than one year on a systematic basis that is consistent with the pattern of transfer of the associated goods and services to the c</w:t>
      </w:r>
      <w:r>
        <w:rPr>
          <w:rFonts w:ascii="IBM Plex Sans" w:eastAsia="Times New Roman" w:hAnsi="IBM Plex Sans"/>
          <w:color w:val="283030"/>
          <w:sz w:val="20"/>
          <w:szCs w:val="20"/>
        </w:rPr>
        <w:t>ustomer. As a practical expedient, capitalized costs to obtain or fulfill a contract with a term of one year or less are expensed as incurred. Capitalized costs to obtain or fulfill a contract included in the “Other current assets” and “Other non-current a</w:t>
      </w:r>
      <w:r>
        <w:rPr>
          <w:rFonts w:ascii="IBM Plex Sans" w:eastAsia="Times New Roman" w:hAnsi="IBM Plex Sans"/>
          <w:color w:val="283030"/>
          <w:sz w:val="20"/>
          <w:szCs w:val="20"/>
        </w:rPr>
        <w:t>ssets” line items in our Consolidated Balance Sheet were $16 million and $25 million, respectively, at December 30, 2022 and $11 million and $26 million, respectively, at December 31, 2021.</w:t>
      </w:r>
    </w:p>
    <w:p w:rsidR="00000000" w:rsidRDefault="00F5481A">
      <w:pPr>
        <w:ind w:firstLine="360"/>
        <w:divId w:val="1064183874"/>
        <w:rPr>
          <w:rFonts w:eastAsia="Times New Roman"/>
        </w:rPr>
      </w:pPr>
      <w:r>
        <w:rPr>
          <w:rFonts w:ascii="IBM Plex Sans" w:eastAsia="Times New Roman" w:hAnsi="IBM Plex Sans"/>
          <w:b/>
          <w:bCs/>
          <w:color w:val="016676"/>
          <w:sz w:val="20"/>
          <w:szCs w:val="20"/>
        </w:rPr>
        <w:t>Property, Plant and Equipment</w:t>
      </w:r>
      <w:r>
        <w:rPr>
          <w:rFonts w:ascii="IBM Plex Sans" w:eastAsia="Times New Roman" w:hAnsi="IBM Plex Sans"/>
          <w:color w:val="016676"/>
          <w:sz w:val="20"/>
          <w:szCs w:val="20"/>
        </w:rPr>
        <w:t> </w:t>
      </w:r>
      <w:r>
        <w:rPr>
          <w:rFonts w:ascii="IBM Plex Sans" w:eastAsia="Times New Roman" w:hAnsi="IBM Plex Sans"/>
          <w:color w:val="283030"/>
          <w:sz w:val="20"/>
          <w:szCs w:val="20"/>
        </w:rPr>
        <w:t xml:space="preserve">— Property, plant and equipment are </w:t>
      </w:r>
      <w:r>
        <w:rPr>
          <w:rFonts w:ascii="IBM Plex Sans" w:eastAsia="Times New Roman" w:hAnsi="IBM Plex Sans"/>
          <w:color w:val="283030"/>
          <w:sz w:val="20"/>
          <w:szCs w:val="20"/>
        </w:rPr>
        <w:t>carried on the basis of cost and include software capitalized for internal use. Depreciation of buildings, machinery and equipment is computed by the straight-line and accelerated methods. The estimated useful lives of buildings, including leasehold improv</w:t>
      </w:r>
      <w:r>
        <w:rPr>
          <w:rFonts w:ascii="IBM Plex Sans" w:eastAsia="Times New Roman" w:hAnsi="IBM Plex Sans"/>
          <w:color w:val="283030"/>
          <w:sz w:val="20"/>
          <w:szCs w:val="20"/>
        </w:rPr>
        <w:t>ements, generally range between 2 and 45 years. The estimated useful lives of machinery and equipment generally range between 2 and 10 years. Amortization of internal-use software begins when the software is put into service and is based on the expected us</w:t>
      </w:r>
      <w:r>
        <w:rPr>
          <w:rFonts w:ascii="IBM Plex Sans" w:eastAsia="Times New Roman" w:hAnsi="IBM Plex Sans"/>
          <w:color w:val="283030"/>
          <w:sz w:val="20"/>
          <w:szCs w:val="20"/>
        </w:rPr>
        <w:t xml:space="preserve">eful life of the software. The useful lives over which we amortize internal-use software generally range between 3 and 10 years. See </w:t>
      </w:r>
      <w:r>
        <w:rPr>
          <w:rFonts w:ascii="IBM Plex Sans" w:eastAsia="Times New Roman" w:hAnsi="IBM Plex Sans"/>
          <w:i/>
          <w:iCs/>
          <w:color w:val="283030"/>
          <w:sz w:val="20"/>
          <w:szCs w:val="20"/>
        </w:rPr>
        <w:t>Note 8: Property, Plant and Equipment, Net</w:t>
      </w:r>
      <w:r>
        <w:rPr>
          <w:rFonts w:ascii="IBM Plex Sans" w:eastAsia="Times New Roman" w:hAnsi="IBM Plex Sans"/>
          <w:color w:val="283030"/>
          <w:sz w:val="20"/>
          <w:szCs w:val="20"/>
        </w:rPr>
        <w:t xml:space="preserve"> </w:t>
      </w:r>
      <w:r>
        <w:rPr>
          <w:rFonts w:ascii="IBM Plex Sans" w:eastAsia="Times New Roman" w:hAnsi="IBM Plex Sans"/>
          <w:color w:val="283030"/>
          <w:sz w:val="20"/>
          <w:szCs w:val="20"/>
        </w:rPr>
        <w:t>in these Notes for additional information regarding property, plant and equipment.</w:t>
      </w:r>
    </w:p>
    <w:p w:rsidR="00000000" w:rsidRDefault="00F5481A">
      <w:pPr>
        <w:ind w:firstLine="360"/>
        <w:divId w:val="2005164342"/>
        <w:rPr>
          <w:rFonts w:eastAsia="Times New Roman"/>
        </w:rPr>
      </w:pPr>
      <w:r>
        <w:rPr>
          <w:rFonts w:ascii="IBM Plex Sans" w:eastAsia="Times New Roman" w:hAnsi="IBM Plex Sans"/>
          <w:b/>
          <w:bCs/>
          <w:color w:val="016676"/>
          <w:sz w:val="20"/>
          <w:szCs w:val="20"/>
        </w:rPr>
        <w:t>Goodwill</w:t>
      </w:r>
      <w:r>
        <w:rPr>
          <w:rFonts w:ascii="IBM Plex Sans" w:eastAsia="Times New Roman" w:hAnsi="IBM Plex Sans"/>
          <w:color w:val="283030"/>
          <w:sz w:val="20"/>
          <w:szCs w:val="20"/>
        </w:rPr>
        <w:t> — We follow the acquisition method of accounting to record the assets and liabilities of acquired businesses at their estimated fair value at the date of acquisitio</w:t>
      </w:r>
      <w:r>
        <w:rPr>
          <w:rFonts w:ascii="IBM Plex Sans" w:eastAsia="Times New Roman" w:hAnsi="IBM Plex Sans"/>
          <w:color w:val="283030"/>
          <w:sz w:val="20"/>
          <w:szCs w:val="20"/>
        </w:rPr>
        <w:t>n. We initially record goodwill for the amount the consideration transferred exceeds the acquisition-date fair value of net identifiable assets acquired.</w:t>
      </w:r>
    </w:p>
    <w:p w:rsidR="00000000" w:rsidRDefault="00F5481A">
      <w:pPr>
        <w:ind w:firstLine="360"/>
        <w:divId w:val="138815257"/>
        <w:rPr>
          <w:rFonts w:eastAsia="Times New Roman"/>
        </w:rPr>
      </w:pPr>
      <w:r>
        <w:rPr>
          <w:rFonts w:ascii="IBM Plex Sans" w:eastAsia="Times New Roman" w:hAnsi="IBM Plex Sans"/>
          <w:color w:val="283030"/>
          <w:sz w:val="20"/>
          <w:szCs w:val="20"/>
        </w:rPr>
        <w:t>We test goodwill for impairment at a level within the Company referred to as the reporting unit, which</w:t>
      </w:r>
      <w:r>
        <w:rPr>
          <w:rFonts w:ascii="IBM Plex Sans" w:eastAsia="Times New Roman" w:hAnsi="IBM Plex Sans"/>
          <w:color w:val="283030"/>
          <w:sz w:val="20"/>
          <w:szCs w:val="20"/>
        </w:rPr>
        <w:t xml:space="preserve"> is our business segment level or one level below the business segment. We test our goodwill for impairment annually as of the first day of our fourth fiscal quarter, or under certain circumstances more frequently, such as when events or circumstances indi</w:t>
      </w:r>
      <w:r>
        <w:rPr>
          <w:rFonts w:ascii="IBM Plex Sans" w:eastAsia="Times New Roman" w:hAnsi="IBM Plex Sans"/>
          <w:color w:val="283030"/>
          <w:sz w:val="20"/>
          <w:szCs w:val="20"/>
        </w:rPr>
        <w:t>cate there may be impairment. Such events or circumstances may include a significant deterioration in overall economic conditions, changes in the business climate of our industry, a decline in our market capitalization, operating performance indicators, co</w:t>
      </w:r>
      <w:r>
        <w:rPr>
          <w:rFonts w:ascii="IBM Plex Sans" w:eastAsia="Times New Roman" w:hAnsi="IBM Plex Sans"/>
          <w:color w:val="283030"/>
          <w:sz w:val="20"/>
          <w:szCs w:val="20"/>
        </w:rPr>
        <w:t xml:space="preserve">mpetition, reorganizations of our business or the disposal of all or a portion of a reporting unit. </w:t>
      </w:r>
    </w:p>
    <w:p w:rsidR="00000000" w:rsidRDefault="00F5481A">
      <w:pPr>
        <w:ind w:firstLine="360"/>
        <w:divId w:val="1963880319"/>
        <w:rPr>
          <w:rFonts w:eastAsia="Times New Roman"/>
        </w:rPr>
      </w:pPr>
      <w:r>
        <w:rPr>
          <w:rFonts w:ascii="IBM Plex Sans" w:eastAsia="Times New Roman" w:hAnsi="IBM Plex Sans"/>
          <w:color w:val="283030"/>
          <w:sz w:val="20"/>
          <w:szCs w:val="20"/>
        </w:rPr>
        <w:t>To test goodwill for impairment, we may perform both qualitative and quantitative assessments. If we elect to perform a qualitative assessment for a certai</w:t>
      </w:r>
      <w:r>
        <w:rPr>
          <w:rFonts w:ascii="IBM Plex Sans" w:eastAsia="Times New Roman" w:hAnsi="IBM Plex Sans"/>
          <w:color w:val="283030"/>
          <w:sz w:val="20"/>
          <w:szCs w:val="20"/>
        </w:rPr>
        <w:t xml:space="preserve">n reporting unit, we evaluate events and circumstances impacting the reporting unit to determine the probability that goodwill is impaired. If we perform a quantitative assessment for a certain reporting unit, we calculate the fair value of that reporting </w:t>
      </w:r>
      <w:r>
        <w:rPr>
          <w:rFonts w:ascii="IBM Plex Sans" w:eastAsia="Times New Roman" w:hAnsi="IBM Plex Sans"/>
          <w:color w:val="283030"/>
          <w:sz w:val="20"/>
          <w:szCs w:val="20"/>
        </w:rPr>
        <w:t>unit and compare the fair value to the reporting unit’s net book value. We estimate fair values of our reporting units based on projected cash flows, and sales and/or earnings multiples applied to the latest twelve months’ sales and earnings of our reporti</w:t>
      </w:r>
      <w:r>
        <w:rPr>
          <w:rFonts w:ascii="IBM Plex Sans" w:eastAsia="Times New Roman" w:hAnsi="IBM Plex Sans"/>
          <w:color w:val="283030"/>
          <w:sz w:val="20"/>
          <w:szCs w:val="20"/>
        </w:rPr>
        <w:t>ng units. Projected cash flows are based on our best estimate of future sales, operating costs and balance sheet metrics reflecting our view of the financial and market conditions of the underlying business; and the resulting cash flows are discounted usin</w:t>
      </w:r>
      <w:r>
        <w:rPr>
          <w:rFonts w:ascii="IBM Plex Sans" w:eastAsia="Times New Roman" w:hAnsi="IBM Plex Sans"/>
          <w:color w:val="283030"/>
          <w:sz w:val="20"/>
          <w:szCs w:val="20"/>
        </w:rPr>
        <w:t>g an appropriate discount rate that reflects the risk in the forecasted cash flows. The sales and earnings multiples applied to the sales and earnings of our reporting units are based on current multiples of sales and earnings for similar businesses, and b</w:t>
      </w:r>
      <w:r>
        <w:rPr>
          <w:rFonts w:ascii="IBM Plex Sans" w:eastAsia="Times New Roman" w:hAnsi="IBM Plex Sans"/>
          <w:color w:val="283030"/>
          <w:sz w:val="20"/>
          <w:szCs w:val="20"/>
        </w:rPr>
        <w:t xml:space="preserve">ased on sales and earnings multiples paid for recent acquisitions of similar businesses made in the marketplace. We then assess whether any implied control premium, based on a comparison of fair value </w:t>
      </w:r>
    </w:p>
    <w:p w:rsidR="00000000" w:rsidRDefault="00F5481A">
      <w:pPr>
        <w:ind w:firstLine="360"/>
        <w:jc w:val="center"/>
        <w:divId w:val="275521921"/>
        <w:rPr>
          <w:rFonts w:eastAsia="Times New Roman"/>
        </w:rPr>
      </w:pPr>
      <w:r>
        <w:rPr>
          <w:rFonts w:ascii="Arial" w:eastAsia="Times New Roman" w:hAnsi="Arial" w:cs="Arial"/>
          <w:b/>
          <w:bCs/>
          <w:color w:val="016676"/>
        </w:rPr>
        <w:t>______________________________________________________</w:t>
      </w:r>
      <w:r>
        <w:rPr>
          <w:rFonts w:ascii="Arial" w:eastAsia="Times New Roman" w:hAnsi="Arial" w:cs="Arial"/>
          <w:b/>
          <w:bCs/>
          <w:color w:val="016676"/>
        </w:rPr>
        <w:t>_______________</w:t>
      </w:r>
      <w:r>
        <w:rPr>
          <w:rFonts w:ascii="Arial" w:eastAsia="Times New Roman" w:hAnsi="Arial" w:cs="Arial"/>
          <w:b/>
          <w:bCs/>
          <w:color w:val="233D6F"/>
        </w:rPr>
        <w:br/>
      </w:r>
      <w:r>
        <w:rPr>
          <w:rFonts w:ascii="IBM Plex Sans" w:eastAsia="Times New Roman" w:hAnsi="IBM Plex Sans"/>
          <w:color w:val="283030"/>
          <w:sz w:val="20"/>
          <w:szCs w:val="20"/>
        </w:rPr>
        <w:t>67</w:t>
      </w:r>
    </w:p>
    <w:p w:rsidR="00000000" w:rsidRDefault="00F5481A">
      <w:pPr>
        <w:rPr>
          <w:rFonts w:eastAsia="Times New Roman"/>
        </w:rPr>
      </w:pPr>
      <w:r>
        <w:rPr>
          <w:rFonts w:eastAsia="Times New Roman"/>
        </w:rPr>
        <w:pict>
          <v:rect id="_x0000_i1098" style="width:0;height:1.5pt" o:hralign="center" o:hrstd="t" o:hr="t" fillcolor="#a0a0a0" stroked="f"/>
        </w:pict>
      </w:r>
    </w:p>
    <w:p w:rsidR="00000000" w:rsidRDefault="00F5481A">
      <w:pPr>
        <w:ind w:firstLine="360"/>
        <w:divId w:val="869495497"/>
        <w:rPr>
          <w:rFonts w:eastAsia="Times New Roman"/>
        </w:rPr>
      </w:pPr>
    </w:p>
    <w:p w:rsidR="00000000" w:rsidRDefault="00F5481A">
      <w:pPr>
        <w:divId w:val="606471166"/>
        <w:rPr>
          <w:rFonts w:eastAsia="Times New Roman"/>
        </w:rPr>
      </w:pPr>
      <w:r>
        <w:rPr>
          <w:rFonts w:ascii="IBM Plex Sans" w:eastAsia="Times New Roman" w:hAnsi="IBM Plex Sans"/>
          <w:color w:val="283030"/>
          <w:sz w:val="20"/>
          <w:szCs w:val="20"/>
        </w:rPr>
        <w:t>based purely on our stock price and outstanding shares with fair value determined by using all of the above-described models, is reasonable.</w:t>
      </w:r>
    </w:p>
    <w:p w:rsidR="00000000" w:rsidRDefault="00F5481A">
      <w:pPr>
        <w:ind w:firstLine="360"/>
        <w:divId w:val="1111313889"/>
        <w:rPr>
          <w:rFonts w:eastAsia="Times New Roman"/>
        </w:rPr>
      </w:pPr>
      <w:r>
        <w:rPr>
          <w:rFonts w:ascii="IBM Plex Sans" w:eastAsia="Times New Roman" w:hAnsi="IBM Plex Sans"/>
          <w:color w:val="283030"/>
          <w:sz w:val="20"/>
          <w:szCs w:val="20"/>
        </w:rPr>
        <w:t>If we determine it is more-likely-than-not that the fair value of the reporting unit is less than its carrying amou</w:t>
      </w:r>
      <w:r>
        <w:rPr>
          <w:rFonts w:ascii="IBM Plex Sans" w:eastAsia="Times New Roman" w:hAnsi="IBM Plex Sans"/>
          <w:color w:val="283030"/>
          <w:sz w:val="20"/>
          <w:szCs w:val="20"/>
        </w:rPr>
        <w:t xml:space="preserve">nt, we measure any loss from an impairment by comparing the fair value of each reporting unit to its carrying amount, including goodwill. If the carrying amount of a reporting unit exceeds its fair value, goodwill is considered impaired, and an impairment </w:t>
      </w:r>
      <w:r>
        <w:rPr>
          <w:rFonts w:ascii="IBM Plex Sans" w:eastAsia="Times New Roman" w:hAnsi="IBM Plex Sans"/>
          <w:color w:val="283030"/>
          <w:sz w:val="20"/>
          <w:szCs w:val="20"/>
        </w:rPr>
        <w:t xml:space="preserve">loss is recognized in an amount equal to that excess. See </w:t>
      </w:r>
      <w:r>
        <w:rPr>
          <w:rFonts w:ascii="IBM Plex Sans" w:eastAsia="Times New Roman" w:hAnsi="IBM Plex Sans"/>
          <w:i/>
          <w:iCs/>
          <w:color w:val="283030"/>
          <w:sz w:val="20"/>
          <w:szCs w:val="20"/>
        </w:rPr>
        <w:t xml:space="preserve">Note 4: Business Divestitures and Asset Sales </w:t>
      </w:r>
      <w:r>
        <w:rPr>
          <w:rFonts w:ascii="IBM Plex Sans" w:eastAsia="Times New Roman" w:hAnsi="IBM Plex Sans"/>
          <w:color w:val="283030"/>
          <w:sz w:val="20"/>
          <w:szCs w:val="20"/>
        </w:rPr>
        <w:t>and</w:t>
      </w:r>
      <w:r>
        <w:rPr>
          <w:rFonts w:ascii="IBM Plex Sans" w:eastAsia="Times New Roman" w:hAnsi="IBM Plex Sans"/>
          <w:i/>
          <w:iCs/>
          <w:color w:val="283030"/>
          <w:sz w:val="20"/>
          <w:szCs w:val="20"/>
        </w:rPr>
        <w:t xml:space="preserve"> Note 9: Goodwill</w:t>
      </w:r>
      <w:r>
        <w:rPr>
          <w:rFonts w:ascii="IBM Plex Sans" w:eastAsia="Times New Roman" w:hAnsi="IBM Plex Sans"/>
          <w:color w:val="283030"/>
          <w:sz w:val="20"/>
          <w:szCs w:val="20"/>
        </w:rPr>
        <w:t xml:space="preserve"> in these Notes for additional information regarding goodwill. </w:t>
      </w:r>
    </w:p>
    <w:p w:rsidR="00000000" w:rsidRDefault="00F5481A">
      <w:pPr>
        <w:ind w:firstLine="360"/>
        <w:divId w:val="1612473632"/>
        <w:rPr>
          <w:rFonts w:eastAsia="Times New Roman"/>
        </w:rPr>
      </w:pPr>
      <w:r>
        <w:rPr>
          <w:rFonts w:ascii="IBM Plex Sans" w:eastAsia="Times New Roman" w:hAnsi="IBM Plex Sans"/>
          <w:b/>
          <w:bCs/>
          <w:color w:val="016676"/>
          <w:sz w:val="20"/>
          <w:szCs w:val="20"/>
        </w:rPr>
        <w:t>Long-Lived Assets, Including Intangible Assets</w:t>
      </w:r>
      <w:r>
        <w:rPr>
          <w:rFonts w:ascii="IBM Plex Sans" w:eastAsia="Times New Roman" w:hAnsi="IBM Plex Sans"/>
          <w:color w:val="016676"/>
          <w:sz w:val="20"/>
          <w:szCs w:val="20"/>
        </w:rPr>
        <w:t> </w:t>
      </w:r>
      <w:r>
        <w:rPr>
          <w:rFonts w:ascii="IBM Plex Sans" w:eastAsia="Times New Roman" w:hAnsi="IBM Plex Sans"/>
          <w:color w:val="283030"/>
          <w:sz w:val="20"/>
          <w:szCs w:val="20"/>
        </w:rPr>
        <w:t xml:space="preserve">— Long-lived assets, </w:t>
      </w:r>
      <w:r>
        <w:rPr>
          <w:rFonts w:ascii="IBM Plex Sans" w:eastAsia="Times New Roman" w:hAnsi="IBM Plex Sans"/>
          <w:color w:val="283030"/>
          <w:sz w:val="20"/>
          <w:szCs w:val="20"/>
        </w:rPr>
        <w:t xml:space="preserve">including finite-lived intangible assets, are amortized to expense over their useful lives either according to the underlying economic benefit as reflected by future net cash inflows or on a straight-line basis depending on the nature of the asset. </w:t>
      </w:r>
    </w:p>
    <w:p w:rsidR="00000000" w:rsidRDefault="00F5481A">
      <w:pPr>
        <w:ind w:firstLine="360"/>
        <w:divId w:val="458452123"/>
        <w:rPr>
          <w:rFonts w:eastAsia="Times New Roman"/>
        </w:rPr>
      </w:pPr>
      <w:r>
        <w:rPr>
          <w:rFonts w:ascii="IBM Plex Sans" w:eastAsia="Times New Roman" w:hAnsi="IBM Plex Sans"/>
          <w:color w:val="283030"/>
          <w:sz w:val="20"/>
          <w:szCs w:val="20"/>
        </w:rPr>
        <w:t>We ass</w:t>
      </w:r>
      <w:r>
        <w:rPr>
          <w:rFonts w:ascii="IBM Plex Sans" w:eastAsia="Times New Roman" w:hAnsi="IBM Plex Sans"/>
          <w:color w:val="283030"/>
          <w:sz w:val="20"/>
          <w:szCs w:val="20"/>
        </w:rPr>
        <w:t>ess the recoverability of the carrying value of our long-lived assets, including finite-lived intangible assets, whenever events or changes in circumstances indicate the carrying amount of the assets may not be recoverable. We evaluate the recoverability o</w:t>
      </w:r>
      <w:r>
        <w:rPr>
          <w:rFonts w:ascii="IBM Plex Sans" w:eastAsia="Times New Roman" w:hAnsi="IBM Plex Sans"/>
          <w:color w:val="283030"/>
          <w:sz w:val="20"/>
          <w:szCs w:val="20"/>
        </w:rPr>
        <w:t>f such assets based on the expectations of undiscounted cash flows from such assets. If the sum of the expected future undiscounted cash flows were less than the carrying amount of the asset, a loss would be recognized for the difference between the fair v</w:t>
      </w:r>
      <w:r>
        <w:rPr>
          <w:rFonts w:ascii="IBM Plex Sans" w:eastAsia="Times New Roman" w:hAnsi="IBM Plex Sans"/>
          <w:color w:val="283030"/>
          <w:sz w:val="20"/>
          <w:szCs w:val="20"/>
        </w:rPr>
        <w:t>alue and the carrying amount. Indefinite-lived intangible assets are not amortized, but are tested annually for impairment, or under certain circumstances more frequently, such as when events and circumstances indicate there may be an impairment. This test</w:t>
      </w:r>
      <w:r>
        <w:rPr>
          <w:rFonts w:ascii="IBM Plex Sans" w:eastAsia="Times New Roman" w:hAnsi="IBM Plex Sans"/>
          <w:color w:val="283030"/>
          <w:sz w:val="20"/>
          <w:szCs w:val="20"/>
        </w:rPr>
        <w:t xml:space="preserve">ing compares the fair value of the asset to its carrying amount, and, when appropriate, the carrying amount of these assets is reduced to its fair value. See </w:t>
      </w:r>
      <w:r>
        <w:rPr>
          <w:rFonts w:ascii="IBM Plex Sans" w:eastAsia="Times New Roman" w:hAnsi="IBM Plex Sans"/>
          <w:i/>
          <w:iCs/>
          <w:color w:val="283030"/>
          <w:sz w:val="20"/>
          <w:szCs w:val="20"/>
        </w:rPr>
        <w:t>Note 8: Property, Plant and Equipment, Net</w:t>
      </w:r>
      <w:r>
        <w:rPr>
          <w:rFonts w:ascii="IBM Plex Sans" w:eastAsia="Times New Roman" w:hAnsi="IBM Plex Sans"/>
          <w:color w:val="283030"/>
          <w:sz w:val="20"/>
          <w:szCs w:val="20"/>
        </w:rPr>
        <w:t xml:space="preserve"> and </w:t>
      </w:r>
      <w:r>
        <w:rPr>
          <w:rFonts w:ascii="IBM Plex Sans" w:eastAsia="Times New Roman" w:hAnsi="IBM Plex Sans"/>
          <w:i/>
          <w:iCs/>
          <w:color w:val="283030"/>
          <w:sz w:val="20"/>
          <w:szCs w:val="20"/>
        </w:rPr>
        <w:t>Note 10: Intangible Assets</w:t>
      </w:r>
      <w:r>
        <w:rPr>
          <w:rFonts w:ascii="IBM Plex Sans" w:eastAsia="Times New Roman" w:hAnsi="IBM Plex Sans"/>
          <w:color w:val="283030"/>
          <w:sz w:val="20"/>
          <w:szCs w:val="20"/>
        </w:rPr>
        <w:t xml:space="preserve"> in these Notes for addit</w:t>
      </w:r>
      <w:r>
        <w:rPr>
          <w:rFonts w:ascii="IBM Plex Sans" w:eastAsia="Times New Roman" w:hAnsi="IBM Plex Sans"/>
          <w:color w:val="283030"/>
          <w:sz w:val="20"/>
          <w:szCs w:val="20"/>
        </w:rPr>
        <w:t>ional information regarding long-lived assets and intangible assets.</w:t>
      </w:r>
    </w:p>
    <w:p w:rsidR="00000000" w:rsidRDefault="00F5481A">
      <w:pPr>
        <w:ind w:firstLine="360"/>
        <w:divId w:val="342902483"/>
        <w:rPr>
          <w:rFonts w:eastAsia="Times New Roman"/>
        </w:rPr>
      </w:pPr>
      <w:r>
        <w:rPr>
          <w:rFonts w:ascii="IBM Plex Sans" w:eastAsia="Times New Roman" w:hAnsi="IBM Plex Sans"/>
          <w:b/>
          <w:bCs/>
          <w:color w:val="016676"/>
          <w:sz w:val="20"/>
          <w:szCs w:val="20"/>
        </w:rPr>
        <w:t>Leases</w:t>
      </w:r>
      <w:r>
        <w:rPr>
          <w:rFonts w:ascii="IBM Plex Sans" w:eastAsia="Times New Roman" w:hAnsi="IBM Plex Sans"/>
          <w:color w:val="283030"/>
          <w:sz w:val="20"/>
          <w:szCs w:val="20"/>
        </w:rPr>
        <w:t xml:space="preserve"> — We recognize ROU assets and lease liabilities in our Consolidated Balance Sheet for operating and finance leases under which we are the lessee. As a practical expedient, leases w</w:t>
      </w:r>
      <w:r>
        <w:rPr>
          <w:rFonts w:ascii="IBM Plex Sans" w:eastAsia="Times New Roman" w:hAnsi="IBM Plex Sans"/>
          <w:color w:val="283030"/>
          <w:sz w:val="20"/>
          <w:szCs w:val="20"/>
        </w:rPr>
        <w:t>ith a term of twelve months or less (including reasonably certain extension periods) and leases with expected lease payments of less than $250 thousand are expensed as incurred.</w:t>
      </w:r>
    </w:p>
    <w:p w:rsidR="00000000" w:rsidRDefault="00F5481A">
      <w:pPr>
        <w:ind w:firstLine="360"/>
        <w:divId w:val="830560207"/>
        <w:rPr>
          <w:rFonts w:eastAsia="Times New Roman"/>
        </w:rPr>
      </w:pPr>
      <w:r>
        <w:rPr>
          <w:rFonts w:ascii="IBM Plex Sans" w:eastAsia="Times New Roman" w:hAnsi="IBM Plex Sans"/>
          <w:color w:val="283030"/>
          <w:sz w:val="20"/>
          <w:szCs w:val="20"/>
        </w:rPr>
        <w:t>Operating lease assets and finance lease assets are included in the “Operating</w:t>
      </w:r>
      <w:r>
        <w:rPr>
          <w:rFonts w:ascii="IBM Plex Sans" w:eastAsia="Times New Roman" w:hAnsi="IBM Plex Sans"/>
          <w:color w:val="283030"/>
          <w:sz w:val="20"/>
          <w:szCs w:val="20"/>
        </w:rPr>
        <w:t xml:space="preserve"> lease right-of-use assets” and “Property, plant and equipment, net” line items, respectively, in our Consolidated Balance Sheet. Operating lease liabilities and finance lease liabilities for obligations due within twelve months are included in the “Other </w:t>
      </w:r>
      <w:r>
        <w:rPr>
          <w:rFonts w:ascii="IBM Plex Sans" w:eastAsia="Times New Roman" w:hAnsi="IBM Plex Sans"/>
          <w:color w:val="283030"/>
          <w:sz w:val="20"/>
          <w:szCs w:val="20"/>
        </w:rPr>
        <w:t>accrued items” line item in our Consolidated Balance Sheet. Operating lease liabilities and finance lease liabilities for obligations due longer than twelve months are included in the “Operating lease liabilities” and “Other long-term liabilities” line ite</w:t>
      </w:r>
      <w:r>
        <w:rPr>
          <w:rFonts w:ascii="IBM Plex Sans" w:eastAsia="Times New Roman" w:hAnsi="IBM Plex Sans"/>
          <w:color w:val="283030"/>
          <w:sz w:val="20"/>
          <w:szCs w:val="20"/>
        </w:rPr>
        <w:t>ms, respectively, in our Consolidated Balance Sheet.         </w:t>
      </w:r>
    </w:p>
    <w:p w:rsidR="00000000" w:rsidRDefault="00F5481A">
      <w:pPr>
        <w:ind w:firstLine="360"/>
        <w:divId w:val="1319381882"/>
        <w:rPr>
          <w:rFonts w:eastAsia="Times New Roman"/>
        </w:rPr>
      </w:pPr>
      <w:r>
        <w:rPr>
          <w:rFonts w:ascii="IBM Plex Sans" w:eastAsia="Times New Roman" w:hAnsi="IBM Plex Sans"/>
          <w:color w:val="283030"/>
          <w:sz w:val="20"/>
          <w:szCs w:val="20"/>
        </w:rPr>
        <w:t xml:space="preserve">ROU assets and lease liabilities are recognized based on the present value of future lease payments. Lease payments primarily include base rent. We have some lease payments that are based on an </w:t>
      </w:r>
      <w:r>
        <w:rPr>
          <w:rFonts w:ascii="IBM Plex Sans" w:eastAsia="Times New Roman" w:hAnsi="IBM Plex Sans"/>
          <w:color w:val="283030"/>
          <w:sz w:val="20"/>
          <w:szCs w:val="20"/>
        </w:rPr>
        <w:t>index and changes to the index are treated as variable lease payments and recognized in the period in which the obligation for those payments is incurred. Our lease payments also include non-lease components such as real estate taxes and common-area mainte</w:t>
      </w:r>
      <w:r>
        <w:rPr>
          <w:rFonts w:ascii="IBM Plex Sans" w:eastAsia="Times New Roman" w:hAnsi="IBM Plex Sans"/>
          <w:color w:val="283030"/>
          <w:sz w:val="20"/>
          <w:szCs w:val="20"/>
        </w:rPr>
        <w:t>nance costs. As a practical expedient, we account for lease and non-lease components as a single component. For certain leases, the non-lease components are variable and are therefore excluded from lease payments to determine the ROU asset. The present val</w:t>
      </w:r>
      <w:r>
        <w:rPr>
          <w:rFonts w:ascii="IBM Plex Sans" w:eastAsia="Times New Roman" w:hAnsi="IBM Plex Sans"/>
          <w:color w:val="283030"/>
          <w:sz w:val="20"/>
          <w:szCs w:val="20"/>
        </w:rPr>
        <w:t>ue of future lease payments is determined using our incremental borrowing rate at lease commencement over the expected lease term. We use our incremental borrowing rate because our leases do not provide an implicit lease rate. The expected lease term repre</w:t>
      </w:r>
      <w:r>
        <w:rPr>
          <w:rFonts w:ascii="IBM Plex Sans" w:eastAsia="Times New Roman" w:hAnsi="IBM Plex Sans"/>
          <w:color w:val="283030"/>
          <w:sz w:val="20"/>
          <w:szCs w:val="20"/>
        </w:rPr>
        <w:t xml:space="preserve">sents the number of years we expect to lease the property, including options to extend or terminate the lease when it is reasonably certain that we will exercise the option. </w:t>
      </w:r>
    </w:p>
    <w:p w:rsidR="00000000" w:rsidRDefault="00F5481A">
      <w:pPr>
        <w:ind w:firstLine="360"/>
        <w:divId w:val="1800682435"/>
        <w:rPr>
          <w:rFonts w:eastAsia="Times New Roman"/>
        </w:rPr>
      </w:pPr>
      <w:r>
        <w:rPr>
          <w:rFonts w:ascii="IBM Plex Sans" w:eastAsia="Times New Roman" w:hAnsi="IBM Plex Sans"/>
          <w:color w:val="283030"/>
          <w:sz w:val="20"/>
          <w:szCs w:val="20"/>
        </w:rPr>
        <w:t>Operating lease expense is recognized as an operating cost on a straight-line bas</w:t>
      </w:r>
      <w:r>
        <w:rPr>
          <w:rFonts w:ascii="IBM Plex Sans" w:eastAsia="Times New Roman" w:hAnsi="IBM Plex Sans"/>
          <w:color w:val="283030"/>
          <w:sz w:val="20"/>
          <w:szCs w:val="20"/>
        </w:rPr>
        <w:t xml:space="preserve">is over the expected lease term in our Consolidated Statement of Operations. For finance leases, the asset is amortized on a straight-line basis over the lease term, and interest on the lease liability is recognized in interest expense. </w:t>
      </w:r>
    </w:p>
    <w:p w:rsidR="00000000" w:rsidRDefault="00F5481A">
      <w:pPr>
        <w:ind w:firstLine="360"/>
        <w:divId w:val="1405910091"/>
        <w:rPr>
          <w:rFonts w:eastAsia="Times New Roman"/>
        </w:rPr>
      </w:pPr>
      <w:r>
        <w:rPr>
          <w:rFonts w:ascii="IBM Plex Sans" w:eastAsia="Times New Roman" w:hAnsi="IBM Plex Sans"/>
          <w:color w:val="283030"/>
          <w:sz w:val="20"/>
          <w:szCs w:val="20"/>
        </w:rPr>
        <w:t>We are a lessor fo</w:t>
      </w:r>
      <w:r>
        <w:rPr>
          <w:rFonts w:ascii="IBM Plex Sans" w:eastAsia="Times New Roman" w:hAnsi="IBM Plex Sans"/>
          <w:color w:val="283030"/>
          <w:sz w:val="20"/>
          <w:szCs w:val="20"/>
        </w:rPr>
        <w:t>r certain flight simulators and aircraft which meet the criteria for operating lease classification. Lease income associated with these leases was not material in fiscal 2022, 2021 or 2020.</w:t>
      </w:r>
    </w:p>
    <w:p w:rsidR="00000000" w:rsidRDefault="00F5481A">
      <w:pPr>
        <w:ind w:firstLine="360"/>
        <w:divId w:val="1971934997"/>
        <w:rPr>
          <w:rFonts w:eastAsia="Times New Roman"/>
        </w:rPr>
      </w:pPr>
      <w:r>
        <w:rPr>
          <w:rFonts w:ascii="IBM Plex Sans" w:eastAsia="Times New Roman" w:hAnsi="IBM Plex Sans"/>
          <w:color w:val="283030"/>
          <w:sz w:val="20"/>
          <w:szCs w:val="20"/>
        </w:rPr>
        <w:t xml:space="preserve">See </w:t>
      </w:r>
      <w:r>
        <w:rPr>
          <w:rFonts w:ascii="IBM Plex Sans" w:eastAsia="Times New Roman" w:hAnsi="IBM Plex Sans"/>
          <w:i/>
          <w:iCs/>
          <w:color w:val="283030"/>
          <w:sz w:val="20"/>
          <w:szCs w:val="20"/>
        </w:rPr>
        <w:t>Note 18: Lease Commitments</w:t>
      </w:r>
      <w:r>
        <w:rPr>
          <w:rFonts w:ascii="IBM Plex Sans" w:eastAsia="Times New Roman" w:hAnsi="IBM Plex Sans"/>
          <w:color w:val="283030"/>
          <w:sz w:val="20"/>
          <w:szCs w:val="20"/>
        </w:rPr>
        <w:t xml:space="preserve"> in these Notes for additional infor</w:t>
      </w:r>
      <w:r>
        <w:rPr>
          <w:rFonts w:ascii="IBM Plex Sans" w:eastAsia="Times New Roman" w:hAnsi="IBM Plex Sans"/>
          <w:color w:val="283030"/>
          <w:sz w:val="20"/>
          <w:szCs w:val="20"/>
        </w:rPr>
        <w:t>mation regarding leases.</w:t>
      </w:r>
    </w:p>
    <w:p w:rsidR="00000000" w:rsidRDefault="00F5481A">
      <w:pPr>
        <w:ind w:firstLine="360"/>
        <w:divId w:val="1531337980"/>
        <w:rPr>
          <w:rFonts w:eastAsia="Times New Roman"/>
        </w:rPr>
      </w:pPr>
      <w:r>
        <w:rPr>
          <w:rFonts w:ascii="IBM Plex Sans" w:eastAsia="Times New Roman" w:hAnsi="IBM Plex Sans"/>
          <w:b/>
          <w:bCs/>
          <w:color w:val="016676"/>
          <w:sz w:val="20"/>
          <w:szCs w:val="20"/>
        </w:rPr>
        <w:t>Other Assets and Liabilities</w:t>
      </w:r>
      <w:r>
        <w:rPr>
          <w:rFonts w:ascii="IBM Plex Sans" w:eastAsia="Times New Roman" w:hAnsi="IBM Plex Sans"/>
          <w:color w:val="283030"/>
          <w:sz w:val="20"/>
          <w:szCs w:val="20"/>
        </w:rPr>
        <w:t> — No assets within the “Other current assets” or “Other non-current assets” line items in our Consolidated Balance Sheet exceeded 5% of our total current assets or total assets, respectively, at Decembe</w:t>
      </w:r>
      <w:r>
        <w:rPr>
          <w:rFonts w:ascii="IBM Plex Sans" w:eastAsia="Times New Roman" w:hAnsi="IBM Plex Sans"/>
          <w:color w:val="283030"/>
          <w:sz w:val="20"/>
          <w:szCs w:val="20"/>
        </w:rPr>
        <w:t>r 30, 2022 or December 31, 2021. No accrued liabilities or expenses within the “Other accrued items” or “Other long-term liabilities” line items in our Consolidated Balance Sheet exceeded 5% of our total current liabilities or total liabilities, respective</w:t>
      </w:r>
      <w:r>
        <w:rPr>
          <w:rFonts w:ascii="IBM Plex Sans" w:eastAsia="Times New Roman" w:hAnsi="IBM Plex Sans"/>
          <w:color w:val="283030"/>
          <w:sz w:val="20"/>
          <w:szCs w:val="20"/>
        </w:rPr>
        <w:t>ly, at December 30, 2022 or December 31, 2021.</w:t>
      </w:r>
    </w:p>
    <w:p w:rsidR="00000000" w:rsidRDefault="00F5481A">
      <w:pPr>
        <w:ind w:firstLine="360"/>
        <w:jc w:val="center"/>
        <w:divId w:val="1386105059"/>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68</w:t>
      </w:r>
    </w:p>
    <w:p w:rsidR="00000000" w:rsidRDefault="00F5481A">
      <w:pPr>
        <w:rPr>
          <w:rFonts w:eastAsia="Times New Roman"/>
        </w:rPr>
      </w:pPr>
      <w:r>
        <w:rPr>
          <w:rFonts w:eastAsia="Times New Roman"/>
        </w:rPr>
        <w:pict>
          <v:rect id="_x0000_i1099" style="width:0;height:1.5pt" o:hralign="center" o:hrstd="t" o:hr="t" fillcolor="#a0a0a0" stroked="f"/>
        </w:pict>
      </w:r>
    </w:p>
    <w:p w:rsidR="00000000" w:rsidRDefault="00F5481A">
      <w:pPr>
        <w:ind w:firstLine="360"/>
        <w:divId w:val="2005669149"/>
        <w:rPr>
          <w:rFonts w:eastAsia="Times New Roman"/>
        </w:rPr>
      </w:pPr>
    </w:p>
    <w:p w:rsidR="00000000" w:rsidRDefault="00F5481A">
      <w:pPr>
        <w:ind w:firstLine="360"/>
        <w:divId w:val="1415512367"/>
        <w:rPr>
          <w:rFonts w:eastAsia="Times New Roman"/>
        </w:rPr>
      </w:pPr>
      <w:r>
        <w:rPr>
          <w:rFonts w:ascii="IBM Plex Sans" w:eastAsia="Times New Roman" w:hAnsi="IBM Plex Sans"/>
          <w:b/>
          <w:bCs/>
          <w:color w:val="016676"/>
          <w:sz w:val="20"/>
          <w:szCs w:val="20"/>
        </w:rPr>
        <w:t>Income Taxes</w:t>
      </w:r>
      <w:r>
        <w:rPr>
          <w:rFonts w:ascii="IBM Plex Sans" w:eastAsia="Times New Roman" w:hAnsi="IBM Plex Sans"/>
          <w:color w:val="283030"/>
          <w:sz w:val="20"/>
          <w:szCs w:val="20"/>
        </w:rPr>
        <w:t xml:space="preserve"> — </w:t>
      </w:r>
      <w:r>
        <w:rPr>
          <w:rFonts w:ascii="IBM Plex Sans" w:eastAsia="Times New Roman" w:hAnsi="IBM Plex Sans"/>
          <w:color w:val="283030"/>
          <w:sz w:val="20"/>
          <w:szCs w:val="20"/>
        </w:rPr>
        <w:t>We follow the asset and liability method of accounting for income taxes, required by ASC 740. We record deferred tax assets and liabilities for differences between the tax basis of assets and liabilities and amounts reported in our Consolidated Balance She</w:t>
      </w:r>
      <w:r>
        <w:rPr>
          <w:rFonts w:ascii="IBM Plex Sans" w:eastAsia="Times New Roman" w:hAnsi="IBM Plex Sans"/>
          <w:color w:val="283030"/>
          <w:sz w:val="20"/>
          <w:szCs w:val="20"/>
        </w:rPr>
        <w:t xml:space="preserve">et, as well as operating loss and tax credit carryforwards. We follow very specific and detailed guidelines in each tax jurisdiction regarding the recoverability of any tax assets recorded on the balance sheet and provide necessary valuation allowances as </w:t>
      </w:r>
      <w:r>
        <w:rPr>
          <w:rFonts w:ascii="IBM Plex Sans" w:eastAsia="Times New Roman" w:hAnsi="IBM Plex Sans"/>
          <w:color w:val="283030"/>
          <w:sz w:val="20"/>
          <w:szCs w:val="20"/>
        </w:rPr>
        <w:t xml:space="preserve">required. We regularly review our deferred tax assets for recoverability based on historical taxable income, projected future taxable income, the expected timing of the reversals of existing temporary differences and tax planning strategies. </w:t>
      </w:r>
    </w:p>
    <w:p w:rsidR="00000000" w:rsidRDefault="00F5481A">
      <w:pPr>
        <w:ind w:firstLine="360"/>
        <w:divId w:val="12071159"/>
        <w:rPr>
          <w:rFonts w:eastAsia="Times New Roman"/>
        </w:rPr>
      </w:pPr>
      <w:r>
        <w:rPr>
          <w:rFonts w:ascii="IBM Plex Sans" w:eastAsia="Times New Roman" w:hAnsi="IBM Plex Sans"/>
          <w:color w:val="283030"/>
          <w:sz w:val="20"/>
          <w:szCs w:val="20"/>
        </w:rPr>
        <w:t>The implement</w:t>
      </w:r>
      <w:r>
        <w:rPr>
          <w:rFonts w:ascii="IBM Plex Sans" w:eastAsia="Times New Roman" w:hAnsi="IBM Plex Sans"/>
          <w:color w:val="283030"/>
          <w:sz w:val="20"/>
          <w:szCs w:val="20"/>
        </w:rPr>
        <w:t xml:space="preserve">ation of a modified territorial tax system by the TCJA subjects us to tax on our Global Intangible Low-Taxed Income (“GILTI”) starting with fiscal 2019. The Financial Accounting Standards Board has permitted companies to make an accounting policy decision </w:t>
      </w:r>
      <w:r>
        <w:rPr>
          <w:rFonts w:ascii="IBM Plex Sans" w:eastAsia="Times New Roman" w:hAnsi="IBM Plex Sans"/>
          <w:color w:val="283030"/>
          <w:sz w:val="20"/>
          <w:szCs w:val="20"/>
        </w:rPr>
        <w:t>to either (1) treat taxes due on future GILTI inclusions in U.S. taxable income as a current-period expense when incurred (“period cost method”) or (2) factor such amounts into the measurement of its deferred taxes (“deferred method”). We have elected to u</w:t>
      </w:r>
      <w:r>
        <w:rPr>
          <w:rFonts w:ascii="IBM Plex Sans" w:eastAsia="Times New Roman" w:hAnsi="IBM Plex Sans"/>
          <w:color w:val="283030"/>
          <w:sz w:val="20"/>
          <w:szCs w:val="20"/>
        </w:rPr>
        <w:t>se the period cost method.</w:t>
      </w:r>
    </w:p>
    <w:p w:rsidR="00000000" w:rsidRDefault="00F5481A">
      <w:pPr>
        <w:ind w:firstLine="360"/>
        <w:divId w:val="288436185"/>
        <w:rPr>
          <w:rFonts w:eastAsia="Times New Roman"/>
        </w:rPr>
      </w:pPr>
      <w:r>
        <w:rPr>
          <w:rFonts w:ascii="IBM Plex Sans" w:eastAsia="Times New Roman" w:hAnsi="IBM Plex Sans"/>
          <w:color w:val="283030"/>
          <w:sz w:val="20"/>
          <w:szCs w:val="20"/>
        </w:rPr>
        <w:t xml:space="preserve">See </w:t>
      </w:r>
      <w:r>
        <w:rPr>
          <w:rFonts w:ascii="IBM Plex Sans" w:eastAsia="Times New Roman" w:hAnsi="IBM Plex Sans"/>
          <w:i/>
          <w:iCs/>
          <w:color w:val="283030"/>
          <w:sz w:val="20"/>
          <w:szCs w:val="20"/>
        </w:rPr>
        <w:t>Note 22: Income Taxes</w:t>
      </w:r>
      <w:r>
        <w:rPr>
          <w:rFonts w:ascii="IBM Plex Sans" w:eastAsia="Times New Roman" w:hAnsi="IBM Plex Sans"/>
          <w:color w:val="283030"/>
          <w:sz w:val="20"/>
          <w:szCs w:val="20"/>
        </w:rPr>
        <w:t xml:space="preserve"> in these Notes for additional information regarding income taxes.</w:t>
      </w:r>
    </w:p>
    <w:p w:rsidR="00000000" w:rsidRDefault="00F5481A">
      <w:pPr>
        <w:ind w:firstLine="360"/>
        <w:divId w:val="1047798526"/>
        <w:rPr>
          <w:rFonts w:eastAsia="Times New Roman"/>
        </w:rPr>
      </w:pPr>
      <w:r>
        <w:rPr>
          <w:rFonts w:ascii="IBM Plex Sans" w:eastAsia="Times New Roman" w:hAnsi="IBM Plex Sans"/>
          <w:b/>
          <w:bCs/>
          <w:color w:val="016676"/>
          <w:sz w:val="20"/>
          <w:szCs w:val="20"/>
        </w:rPr>
        <w:t>Standard Warranties</w:t>
      </w:r>
      <w:r>
        <w:rPr>
          <w:rFonts w:ascii="IBM Plex Sans" w:eastAsia="Times New Roman" w:hAnsi="IBM Plex Sans"/>
          <w:color w:val="283030"/>
          <w:sz w:val="20"/>
          <w:szCs w:val="20"/>
        </w:rPr>
        <w:t> — We record estimated standard warranty costs in the period that control of the related products transfers to the cus</w:t>
      </w:r>
      <w:r>
        <w:rPr>
          <w:rFonts w:ascii="IBM Plex Sans" w:eastAsia="Times New Roman" w:hAnsi="IBM Plex Sans"/>
          <w:color w:val="283030"/>
          <w:sz w:val="20"/>
          <w:szCs w:val="20"/>
        </w:rPr>
        <w:t xml:space="preserve">tomer. Factors that affect the estimated cost for warranties include the terms of the contract, the type and complexity of the delivered product, the number of installed units, historical experience and management’s assumptions regarding anticipated rates </w:t>
      </w:r>
      <w:r>
        <w:rPr>
          <w:rFonts w:ascii="IBM Plex Sans" w:eastAsia="Times New Roman" w:hAnsi="IBM Plex Sans"/>
          <w:color w:val="283030"/>
          <w:sz w:val="20"/>
          <w:szCs w:val="20"/>
        </w:rPr>
        <w:t>of warranty claims and cost per claim. Our standard warranties start from the shipment, delivery or customer acceptance date and continue as follows:</w:t>
      </w:r>
    </w:p>
    <w:tbl>
      <w:tblPr>
        <w:tblW w:w="3548" w:type="pct"/>
        <w:jc w:val="center"/>
        <w:tblCellMar>
          <w:top w:w="15" w:type="dxa"/>
          <w:left w:w="15" w:type="dxa"/>
          <w:bottom w:w="15" w:type="dxa"/>
          <w:right w:w="15" w:type="dxa"/>
        </w:tblCellMar>
        <w:tblLook w:val="04A0" w:firstRow="1" w:lastRow="0" w:firstColumn="1" w:lastColumn="0" w:noHBand="0" w:noVBand="1"/>
      </w:tblPr>
      <w:tblGrid>
        <w:gridCol w:w="39"/>
        <w:gridCol w:w="3171"/>
        <w:gridCol w:w="37"/>
        <w:gridCol w:w="37"/>
        <w:gridCol w:w="104"/>
        <w:gridCol w:w="36"/>
        <w:gridCol w:w="37"/>
        <w:gridCol w:w="2397"/>
        <w:gridCol w:w="36"/>
      </w:tblGrid>
      <w:tr w:rsidR="00000000">
        <w:trPr>
          <w:divId w:val="1252549960"/>
          <w:jc w:val="center"/>
        </w:trPr>
        <w:tc>
          <w:tcPr>
            <w:tcW w:w="50" w:type="pct"/>
            <w:vAlign w:val="center"/>
            <w:hideMark/>
          </w:tcPr>
          <w:p w:rsidR="00000000" w:rsidRDefault="00F5481A">
            <w:pPr>
              <w:ind w:firstLine="360"/>
              <w:rPr>
                <w:rFonts w:eastAsia="Times New Roman"/>
              </w:rPr>
            </w:pPr>
          </w:p>
        </w:tc>
        <w:tc>
          <w:tcPr>
            <w:tcW w:w="274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40"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2090"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1252549960"/>
          <w:jc w:val="center"/>
        </w:trPr>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Segment</w:t>
            </w: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Average Warranty Period</w:t>
            </w:r>
          </w:p>
        </w:tc>
      </w:tr>
      <w:tr w:rsidR="00000000">
        <w:trPr>
          <w:divId w:val="1252549960"/>
          <w:jc w:val="center"/>
        </w:trPr>
        <w:tc>
          <w:tcPr>
            <w:tcW w:w="0" w:type="auto"/>
            <w:gridSpan w:val="3"/>
            <w:tcBorders>
              <w:top w:val="single" w:sz="8" w:space="0" w:color="000000"/>
            </w:tcBorders>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Integrated Mission Systems</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tcBorders>
              <w:top w:val="single" w:sz="8" w:space="0" w:color="000000"/>
            </w:tcBorders>
            <w:shd w:val="clear" w:color="auto" w:fill="D7EFF1"/>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On</w:t>
            </w:r>
            <w:r>
              <w:rPr>
                <w:rFonts w:ascii="IBM Plex Sans" w:eastAsia="Times New Roman" w:hAnsi="IBM Plex Sans"/>
                <w:color w:val="283030"/>
                <w:sz w:val="20"/>
                <w:szCs w:val="20"/>
              </w:rPr>
              <w:t>e</w:t>
            </w:r>
            <w:r>
              <w:rPr>
                <w:rFonts w:ascii="IBM Plex Sans" w:eastAsia="Times New Roman" w:hAnsi="IBM Plex Sans"/>
                <w:color w:val="283030"/>
                <w:sz w:val="20"/>
                <w:szCs w:val="20"/>
              </w:rPr>
              <w:t xml:space="preserve"> to </w:t>
            </w:r>
            <w:r>
              <w:rPr>
                <w:rFonts w:ascii="IBM Plex Sans" w:eastAsia="Times New Roman" w:hAnsi="IBM Plex Sans"/>
                <w:color w:val="283030"/>
                <w:sz w:val="20"/>
                <w:szCs w:val="20"/>
              </w:rPr>
              <w:t>three years</w:t>
            </w:r>
          </w:p>
        </w:tc>
      </w:tr>
      <w:tr w:rsidR="00000000">
        <w:trPr>
          <w:divId w:val="1252549960"/>
          <w:jc w:val="center"/>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Space &amp; Airborne Systems</w:t>
            </w: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On</w:t>
            </w:r>
            <w:r>
              <w:rPr>
                <w:rFonts w:ascii="IBM Plex Sans" w:eastAsia="Times New Roman" w:hAnsi="IBM Plex Sans"/>
                <w:color w:val="283030"/>
                <w:sz w:val="20"/>
                <w:szCs w:val="20"/>
              </w:rPr>
              <w:t>e</w:t>
            </w:r>
            <w:r>
              <w:rPr>
                <w:rFonts w:ascii="IBM Plex Sans" w:eastAsia="Times New Roman" w:hAnsi="IBM Plex Sans"/>
                <w:color w:val="283030"/>
                <w:sz w:val="20"/>
                <w:szCs w:val="20"/>
              </w:rPr>
              <w:t xml:space="preserve"> to three years</w:t>
            </w:r>
          </w:p>
        </w:tc>
      </w:tr>
      <w:tr w:rsidR="00000000">
        <w:trPr>
          <w:divId w:val="1252549960"/>
          <w:jc w:val="center"/>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Communication Systems</w:t>
            </w: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On</w:t>
            </w:r>
            <w:r>
              <w:rPr>
                <w:rFonts w:ascii="IBM Plex Sans" w:eastAsia="Times New Roman" w:hAnsi="IBM Plex Sans"/>
                <w:color w:val="283030"/>
                <w:sz w:val="20"/>
                <w:szCs w:val="20"/>
              </w:rPr>
              <w:t>e</w:t>
            </w:r>
            <w:r>
              <w:rPr>
                <w:rFonts w:ascii="IBM Plex Sans" w:eastAsia="Times New Roman" w:hAnsi="IBM Plex Sans"/>
                <w:color w:val="283030"/>
                <w:sz w:val="20"/>
                <w:szCs w:val="20"/>
              </w:rPr>
              <w:t xml:space="preserve"> to five years</w:t>
            </w:r>
          </w:p>
        </w:tc>
      </w:tr>
    </w:tbl>
    <w:p w:rsidR="00000000" w:rsidRDefault="00F5481A">
      <w:pPr>
        <w:ind w:firstLine="360"/>
        <w:divId w:val="681200922"/>
        <w:rPr>
          <w:rFonts w:eastAsia="Times New Roman"/>
        </w:rPr>
      </w:pPr>
      <w:r>
        <w:rPr>
          <w:rFonts w:ascii="IBM Plex Sans" w:eastAsia="Times New Roman" w:hAnsi="IBM Plex Sans"/>
          <w:color w:val="283030"/>
          <w:sz w:val="20"/>
          <w:szCs w:val="20"/>
        </w:rPr>
        <w:t xml:space="preserve">Because our products are manufactured, in many cases, to customer specifications and their acceptance is based on meeting those specifications, we historically have experienced minimal warranty costs. Factors that affect our warranty liability include the </w:t>
      </w:r>
      <w:r>
        <w:rPr>
          <w:rFonts w:ascii="IBM Plex Sans" w:eastAsia="Times New Roman" w:hAnsi="IBM Plex Sans"/>
          <w:color w:val="283030"/>
          <w:sz w:val="20"/>
          <w:szCs w:val="20"/>
        </w:rPr>
        <w:t>number of installed units, historical experience, anticipated delays in delivery of products to end customers, in-country support for international sales and our assumptions regarding anticipated rates of warranty claims and cost per claim. We assess the a</w:t>
      </w:r>
      <w:r>
        <w:rPr>
          <w:rFonts w:ascii="IBM Plex Sans" w:eastAsia="Times New Roman" w:hAnsi="IBM Plex Sans"/>
          <w:color w:val="283030"/>
          <w:sz w:val="20"/>
          <w:szCs w:val="20"/>
        </w:rPr>
        <w:t xml:space="preserve">dequacy of our recorded warranty liabilities every quarter and make adjustments to the liability as necessary. See </w:t>
      </w:r>
      <w:r>
        <w:rPr>
          <w:rFonts w:ascii="IBM Plex Sans" w:eastAsia="Times New Roman" w:hAnsi="IBM Plex Sans"/>
          <w:i/>
          <w:iCs/>
          <w:color w:val="283030"/>
          <w:sz w:val="20"/>
          <w:szCs w:val="20"/>
        </w:rPr>
        <w:t>Note 11: Accrued Warranties</w:t>
      </w:r>
      <w:r>
        <w:rPr>
          <w:rFonts w:ascii="IBM Plex Sans" w:eastAsia="Times New Roman" w:hAnsi="IBM Plex Sans"/>
          <w:color w:val="283030"/>
          <w:sz w:val="20"/>
          <w:szCs w:val="20"/>
        </w:rPr>
        <w:t xml:space="preserve"> in these Notes for additional information regarding warranties.</w:t>
      </w:r>
    </w:p>
    <w:p w:rsidR="00000000" w:rsidRDefault="00F5481A">
      <w:pPr>
        <w:ind w:firstLine="360"/>
        <w:divId w:val="1897623699"/>
        <w:rPr>
          <w:rFonts w:eastAsia="Times New Roman"/>
        </w:rPr>
      </w:pPr>
      <w:r>
        <w:rPr>
          <w:rFonts w:ascii="IBM Plex Sans" w:eastAsia="Times New Roman" w:hAnsi="IBM Plex Sans"/>
          <w:b/>
          <w:bCs/>
          <w:color w:val="016676"/>
          <w:sz w:val="20"/>
          <w:szCs w:val="20"/>
        </w:rPr>
        <w:t>Foreign Currency Translation</w:t>
      </w:r>
      <w:r>
        <w:rPr>
          <w:rFonts w:ascii="IBM Plex Sans" w:eastAsia="Times New Roman" w:hAnsi="IBM Plex Sans"/>
          <w:color w:val="016676"/>
          <w:sz w:val="20"/>
          <w:szCs w:val="20"/>
        </w:rPr>
        <w:t> </w:t>
      </w:r>
      <w:r>
        <w:rPr>
          <w:rFonts w:ascii="IBM Plex Sans" w:eastAsia="Times New Roman" w:hAnsi="IBM Plex Sans"/>
          <w:color w:val="283030"/>
          <w:sz w:val="20"/>
          <w:szCs w:val="20"/>
        </w:rPr>
        <w:t>— The functional cur</w:t>
      </w:r>
      <w:r>
        <w:rPr>
          <w:rFonts w:ascii="IBM Plex Sans" w:eastAsia="Times New Roman" w:hAnsi="IBM Plex Sans"/>
          <w:color w:val="283030"/>
          <w:sz w:val="20"/>
          <w:szCs w:val="20"/>
        </w:rPr>
        <w:t>rency for most international subsidiaries is the local currency. Assets and liabilities are translated at current rates of exchange and income and expense items are translated at the weighted average exchange rate for the year. The resulting translation ad</w:t>
      </w:r>
      <w:r>
        <w:rPr>
          <w:rFonts w:ascii="IBM Plex Sans" w:eastAsia="Times New Roman" w:hAnsi="IBM Plex Sans"/>
          <w:color w:val="283030"/>
          <w:sz w:val="20"/>
          <w:szCs w:val="20"/>
        </w:rPr>
        <w:t xml:space="preserve">justments are recorded as a separate component of shareholders’ equity. </w:t>
      </w:r>
    </w:p>
    <w:p w:rsidR="00000000" w:rsidRDefault="00F5481A">
      <w:pPr>
        <w:ind w:firstLine="360"/>
        <w:divId w:val="1347367979"/>
        <w:rPr>
          <w:rFonts w:eastAsia="Times New Roman"/>
        </w:rPr>
      </w:pPr>
      <w:r>
        <w:rPr>
          <w:rFonts w:ascii="IBM Plex Sans" w:eastAsia="Times New Roman" w:hAnsi="IBM Plex Sans"/>
          <w:b/>
          <w:bCs/>
          <w:color w:val="016676"/>
          <w:sz w:val="20"/>
          <w:szCs w:val="20"/>
        </w:rPr>
        <w:t>Stock Options and Other Share-Based Compensation</w:t>
      </w:r>
      <w:r>
        <w:rPr>
          <w:rFonts w:ascii="IBM Plex Sans" w:eastAsia="Times New Roman" w:hAnsi="IBM Plex Sans"/>
          <w:color w:val="016676"/>
          <w:sz w:val="20"/>
          <w:szCs w:val="20"/>
        </w:rPr>
        <w:t> </w:t>
      </w:r>
      <w:r>
        <w:rPr>
          <w:rFonts w:ascii="IBM Plex Sans" w:eastAsia="Times New Roman" w:hAnsi="IBM Plex Sans"/>
          <w:color w:val="283030"/>
          <w:sz w:val="20"/>
          <w:szCs w:val="20"/>
        </w:rPr>
        <w:t xml:space="preserve">— </w:t>
      </w:r>
      <w:r>
        <w:rPr>
          <w:rFonts w:ascii="IBM Plex Sans" w:eastAsia="Times New Roman" w:hAnsi="IBM Plex Sans"/>
          <w:color w:val="283030"/>
          <w:sz w:val="20"/>
          <w:szCs w:val="20"/>
        </w:rPr>
        <w:t>We measure compensation cost for all share-based payments (including employee stock options) at fair value and recognize cost over the vesting period, with forfeitures recognized as they occur. It is our practice to issue shares when options are exercised.</w:t>
      </w:r>
      <w:r>
        <w:rPr>
          <w:rFonts w:ascii="IBM Plex Sans" w:eastAsia="Times New Roman" w:hAnsi="IBM Plex Sans"/>
          <w:color w:val="283030"/>
          <w:sz w:val="20"/>
          <w:szCs w:val="20"/>
        </w:rPr>
        <w:t xml:space="preserve"> See </w:t>
      </w:r>
      <w:r>
        <w:rPr>
          <w:rFonts w:ascii="IBM Plex Sans" w:eastAsia="Times New Roman" w:hAnsi="IBM Plex Sans"/>
          <w:i/>
          <w:iCs/>
          <w:color w:val="283030"/>
          <w:sz w:val="20"/>
          <w:szCs w:val="20"/>
        </w:rPr>
        <w:t>Note 15: Stock Options and Other Share-Based Compensation</w:t>
      </w:r>
      <w:r>
        <w:rPr>
          <w:rFonts w:ascii="IBM Plex Sans" w:eastAsia="Times New Roman" w:hAnsi="IBM Plex Sans"/>
          <w:color w:val="283030"/>
          <w:sz w:val="20"/>
          <w:szCs w:val="20"/>
        </w:rPr>
        <w:t xml:space="preserve"> in these Notes for additional information regarding share-based compensation.</w:t>
      </w:r>
    </w:p>
    <w:p w:rsidR="00000000" w:rsidRDefault="00F5481A">
      <w:pPr>
        <w:ind w:firstLine="360"/>
        <w:divId w:val="1997224836"/>
        <w:rPr>
          <w:rFonts w:eastAsia="Times New Roman"/>
        </w:rPr>
      </w:pPr>
      <w:r>
        <w:rPr>
          <w:rFonts w:ascii="IBM Plex Sans" w:eastAsia="Times New Roman" w:hAnsi="IBM Plex Sans"/>
          <w:b/>
          <w:bCs/>
          <w:color w:val="016676"/>
          <w:sz w:val="20"/>
          <w:szCs w:val="20"/>
        </w:rPr>
        <w:t>Revenue Recognition</w:t>
      </w:r>
      <w:r>
        <w:rPr>
          <w:rFonts w:ascii="IBM Plex Sans" w:eastAsia="Times New Roman" w:hAnsi="IBM Plex Sans"/>
          <w:color w:val="016676"/>
          <w:sz w:val="20"/>
          <w:szCs w:val="20"/>
        </w:rPr>
        <w:t> </w:t>
      </w:r>
      <w:r>
        <w:rPr>
          <w:rFonts w:ascii="IBM Plex Sans" w:eastAsia="Times New Roman" w:hAnsi="IBM Plex Sans"/>
          <w:color w:val="283030"/>
          <w:sz w:val="20"/>
          <w:szCs w:val="20"/>
        </w:rPr>
        <w:t>— We account for a contract when it has approval and commitment from all parties, the rights an</w:t>
      </w:r>
      <w:r>
        <w:rPr>
          <w:rFonts w:ascii="IBM Plex Sans" w:eastAsia="Times New Roman" w:hAnsi="IBM Plex Sans"/>
          <w:color w:val="283030"/>
          <w:sz w:val="20"/>
          <w:szCs w:val="20"/>
        </w:rPr>
        <w:t>d payment terms of the parties can be identified, the contract has commercial substance and the collectability of the consideration, or transaction price, is probable. Our contracts are often subsequently modified to include changes in specifications, requ</w:t>
      </w:r>
      <w:r>
        <w:rPr>
          <w:rFonts w:ascii="IBM Plex Sans" w:eastAsia="Times New Roman" w:hAnsi="IBM Plex Sans"/>
          <w:color w:val="283030"/>
          <w:sz w:val="20"/>
          <w:szCs w:val="20"/>
        </w:rPr>
        <w:t>irements or price that may create new or change existing enforceable rights and obligations. We do not account for contract modifications (including unexercised options) or follow-on contracts until they meet the requirements noted above to account for a c</w:t>
      </w:r>
      <w:r>
        <w:rPr>
          <w:rFonts w:ascii="IBM Plex Sans" w:eastAsia="Times New Roman" w:hAnsi="IBM Plex Sans"/>
          <w:color w:val="283030"/>
          <w:sz w:val="20"/>
          <w:szCs w:val="20"/>
        </w:rPr>
        <w:t>ontract.</w:t>
      </w:r>
    </w:p>
    <w:p w:rsidR="00000000" w:rsidRDefault="00F5481A">
      <w:pPr>
        <w:ind w:firstLine="360"/>
        <w:divId w:val="1397627883"/>
        <w:rPr>
          <w:rFonts w:eastAsia="Times New Roman"/>
        </w:rPr>
      </w:pPr>
      <w:r>
        <w:rPr>
          <w:rFonts w:ascii="IBM Plex Sans" w:eastAsia="Times New Roman" w:hAnsi="IBM Plex Sans"/>
          <w:color w:val="283030"/>
          <w:sz w:val="20"/>
          <w:szCs w:val="20"/>
        </w:rPr>
        <w:t>At the inception of each contract, we evaluate the promised goods and services to determine whether the contract should be accounted for as having one or more performance obligations. A performance obligation is a promise to transfer a distinct go</w:t>
      </w:r>
      <w:r>
        <w:rPr>
          <w:rFonts w:ascii="IBM Plex Sans" w:eastAsia="Times New Roman" w:hAnsi="IBM Plex Sans"/>
          <w:color w:val="283030"/>
          <w:sz w:val="20"/>
          <w:szCs w:val="20"/>
        </w:rPr>
        <w:t>od or service to a customer and represents the unit of accounting for revenue recognition. A substantial majority of our revenue is derived from long-term development and production contracts involving the design, development, manufacture or modification o</w:t>
      </w:r>
      <w:r>
        <w:rPr>
          <w:rFonts w:ascii="IBM Plex Sans" w:eastAsia="Times New Roman" w:hAnsi="IBM Plex Sans"/>
          <w:color w:val="283030"/>
          <w:sz w:val="20"/>
          <w:szCs w:val="20"/>
        </w:rPr>
        <w:t>f aerospace and defense products and related services according to the customers’ specifications. Due to the highly interdependent and interrelated nature of the underlying goods and services and the significant service of integration that we provide, whic</w:t>
      </w:r>
      <w:r>
        <w:rPr>
          <w:rFonts w:ascii="IBM Plex Sans" w:eastAsia="Times New Roman" w:hAnsi="IBM Plex Sans"/>
          <w:color w:val="283030"/>
          <w:sz w:val="20"/>
          <w:szCs w:val="20"/>
        </w:rPr>
        <w:t xml:space="preserve">h often result in the delivery of multiple units, we account for these contracts as one performance obligation. For contracts that include </w:t>
      </w:r>
    </w:p>
    <w:p w:rsidR="00000000" w:rsidRDefault="00F5481A">
      <w:pPr>
        <w:ind w:firstLine="360"/>
        <w:jc w:val="center"/>
        <w:divId w:val="552928342"/>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69</w:t>
      </w:r>
    </w:p>
    <w:p w:rsidR="00000000" w:rsidRDefault="00F5481A">
      <w:pPr>
        <w:rPr>
          <w:rFonts w:eastAsia="Times New Roman"/>
        </w:rPr>
      </w:pPr>
      <w:r>
        <w:rPr>
          <w:rFonts w:eastAsia="Times New Roman"/>
        </w:rPr>
        <w:pict>
          <v:rect id="_x0000_i1100" style="width:0;height:1.5pt" o:hralign="center" o:hrstd="t" o:hr="t" fillcolor="#a0a0a0" stroked="f"/>
        </w:pict>
      </w:r>
    </w:p>
    <w:p w:rsidR="00000000" w:rsidRDefault="00F5481A">
      <w:pPr>
        <w:ind w:firstLine="360"/>
        <w:divId w:val="219168945"/>
        <w:rPr>
          <w:rFonts w:eastAsia="Times New Roman"/>
        </w:rPr>
      </w:pPr>
    </w:p>
    <w:p w:rsidR="00000000" w:rsidRDefault="00F5481A">
      <w:pPr>
        <w:divId w:val="915439594"/>
        <w:rPr>
          <w:rFonts w:eastAsia="Times New Roman"/>
        </w:rPr>
      </w:pPr>
      <w:r>
        <w:rPr>
          <w:rFonts w:ascii="IBM Plex Sans" w:eastAsia="Times New Roman" w:hAnsi="IBM Plex Sans"/>
          <w:color w:val="283030"/>
          <w:sz w:val="20"/>
          <w:szCs w:val="20"/>
        </w:rPr>
        <w:t>both development/production and follow-on support services (for example, operations and maintenance), we generally consider the follow-on services distinct in the context of the contract and account for them as separate performance obligations. Additionall</w:t>
      </w:r>
      <w:r>
        <w:rPr>
          <w:rFonts w:ascii="IBM Plex Sans" w:eastAsia="Times New Roman" w:hAnsi="IBM Plex Sans"/>
          <w:color w:val="283030"/>
          <w:sz w:val="20"/>
          <w:szCs w:val="20"/>
        </w:rPr>
        <w:t>y, a significant amount of our revenue is derived from contracts to provide multiple distinct goods to a customer where the goods can readily be sold to other customers based on their commercial nature and, accordingly, these goods are accounted for as sep</w:t>
      </w:r>
      <w:r>
        <w:rPr>
          <w:rFonts w:ascii="IBM Plex Sans" w:eastAsia="Times New Roman" w:hAnsi="IBM Plex Sans"/>
          <w:color w:val="283030"/>
          <w:sz w:val="20"/>
          <w:szCs w:val="20"/>
        </w:rPr>
        <w:t>arate performance obligations. Shipping and handling costs incurred after control of a product has transferred to the customer (for example, in free on board shipping arrangements) are treated as fulfillment costs and, therefore, are not accounted for as s</w:t>
      </w:r>
      <w:r>
        <w:rPr>
          <w:rFonts w:ascii="IBM Plex Sans" w:eastAsia="Times New Roman" w:hAnsi="IBM Plex Sans"/>
          <w:color w:val="283030"/>
          <w:sz w:val="20"/>
          <w:szCs w:val="20"/>
        </w:rPr>
        <w:t>eparate performance obligations. Also, we record taxes collected from customers and remitted to governmental authorities on a net basis in that they are excluded from revenue.</w:t>
      </w:r>
    </w:p>
    <w:p w:rsidR="00000000" w:rsidRDefault="00F5481A">
      <w:pPr>
        <w:ind w:firstLine="360"/>
        <w:divId w:val="1458455278"/>
        <w:rPr>
          <w:rFonts w:eastAsia="Times New Roman"/>
        </w:rPr>
      </w:pPr>
      <w:r>
        <w:rPr>
          <w:rFonts w:ascii="IBM Plex Sans" w:eastAsia="Times New Roman" w:hAnsi="IBM Plex Sans"/>
          <w:color w:val="283030"/>
          <w:sz w:val="20"/>
          <w:szCs w:val="20"/>
        </w:rPr>
        <w:t>As noted above, our contracts are often subsequently modified to include changes</w:t>
      </w:r>
      <w:r>
        <w:rPr>
          <w:rFonts w:ascii="IBM Plex Sans" w:eastAsia="Times New Roman" w:hAnsi="IBM Plex Sans"/>
          <w:color w:val="283030"/>
          <w:sz w:val="20"/>
          <w:szCs w:val="20"/>
        </w:rPr>
        <w:t xml:space="preserve"> in specifications, requirements or price. Depending on the nature of the modification, we consider whether to account for the modification as an adjustment to the existing contract or as a separate contract. Often, the deliverables in our contract modific</w:t>
      </w:r>
      <w:r>
        <w:rPr>
          <w:rFonts w:ascii="IBM Plex Sans" w:eastAsia="Times New Roman" w:hAnsi="IBM Plex Sans"/>
          <w:color w:val="283030"/>
          <w:sz w:val="20"/>
          <w:szCs w:val="20"/>
        </w:rPr>
        <w:t>ations are not distinct from the existing contract due to the significant integration and interrelated tasks provided in the context of the contract. Therefore, such modifications are accounted for as if they are part of the existing contract, and we may b</w:t>
      </w:r>
      <w:r>
        <w:rPr>
          <w:rFonts w:ascii="IBM Plex Sans" w:eastAsia="Times New Roman" w:hAnsi="IBM Plex Sans"/>
          <w:color w:val="283030"/>
          <w:sz w:val="20"/>
          <w:szCs w:val="20"/>
        </w:rPr>
        <w:t>e required to recognize a cumulative catch-up adjustment to revenue at the date of the contract modification.</w:t>
      </w:r>
    </w:p>
    <w:p w:rsidR="00000000" w:rsidRDefault="00F5481A">
      <w:pPr>
        <w:ind w:firstLine="360"/>
        <w:divId w:val="1068500754"/>
        <w:rPr>
          <w:rFonts w:eastAsia="Times New Roman"/>
        </w:rPr>
      </w:pPr>
      <w:r>
        <w:rPr>
          <w:rFonts w:ascii="IBM Plex Sans" w:eastAsia="Times New Roman" w:hAnsi="IBM Plex Sans"/>
          <w:color w:val="283030"/>
          <w:sz w:val="20"/>
          <w:szCs w:val="20"/>
        </w:rPr>
        <w:t>We determine the transaction price for each contract based on our best estimate of the consideration we expect to receive, which includes assumpti</w:t>
      </w:r>
      <w:r>
        <w:rPr>
          <w:rFonts w:ascii="IBM Plex Sans" w:eastAsia="Times New Roman" w:hAnsi="IBM Plex Sans"/>
          <w:color w:val="283030"/>
          <w:sz w:val="20"/>
          <w:szCs w:val="20"/>
        </w:rPr>
        <w:t>ons regarding variable consideration, such as award and incentive fees. These variable amounts are generally awarded upon achievement of certain negotiated performance metrics, program milestones or cost targets and can be based upon customer discretion. W</w:t>
      </w:r>
      <w:r>
        <w:rPr>
          <w:rFonts w:ascii="IBM Plex Sans" w:eastAsia="Times New Roman" w:hAnsi="IBM Plex Sans"/>
          <w:color w:val="283030"/>
          <w:sz w:val="20"/>
          <w:szCs w:val="20"/>
        </w:rPr>
        <w:t>e include such estimated amounts in the transaction price to the extent it is probable that a significant reversal of cumulative revenue recognized will not occur when the uncertainty associated with the variable consideration is resolved. We estimate vari</w:t>
      </w:r>
      <w:r>
        <w:rPr>
          <w:rFonts w:ascii="IBM Plex Sans" w:eastAsia="Times New Roman" w:hAnsi="IBM Plex Sans"/>
          <w:color w:val="283030"/>
          <w:sz w:val="20"/>
          <w:szCs w:val="20"/>
        </w:rPr>
        <w:t>able consideration primarily using the most likely amount method.</w:t>
      </w:r>
    </w:p>
    <w:p w:rsidR="00000000" w:rsidRDefault="00F5481A">
      <w:pPr>
        <w:ind w:firstLine="360"/>
        <w:divId w:val="1305895270"/>
        <w:rPr>
          <w:rFonts w:eastAsia="Times New Roman"/>
        </w:rPr>
      </w:pPr>
      <w:r>
        <w:rPr>
          <w:rFonts w:ascii="IBM Plex Sans" w:eastAsia="Times New Roman" w:hAnsi="IBM Plex Sans"/>
          <w:color w:val="283030"/>
          <w:sz w:val="20"/>
          <w:szCs w:val="20"/>
        </w:rPr>
        <w:t>For contracts with multiple performance obligations, we allocate the transaction price to each performance obligation based on the relative standalone selling price of the good or service un</w:t>
      </w:r>
      <w:r>
        <w:rPr>
          <w:rFonts w:ascii="IBM Plex Sans" w:eastAsia="Times New Roman" w:hAnsi="IBM Plex Sans"/>
          <w:color w:val="283030"/>
          <w:sz w:val="20"/>
          <w:szCs w:val="20"/>
        </w:rPr>
        <w:t>derlying each performance obligation. The standalone selling price represents the amount for which we would sell the good or service to a customer on a standalone basis (i.e., not sold as a bundle with any other products or services). Our contracts with th</w:t>
      </w:r>
      <w:r>
        <w:rPr>
          <w:rFonts w:ascii="IBM Plex Sans" w:eastAsia="Times New Roman" w:hAnsi="IBM Plex Sans"/>
          <w:color w:val="283030"/>
          <w:sz w:val="20"/>
          <w:szCs w:val="20"/>
        </w:rPr>
        <w:t>e U.S. Government, including foreign military sales contracts, are subject to the FAR and the prices of our contract deliverables are typically based on our estimated or actual costs plus a reasonable profit margin. As a result, the standalone selling pric</w:t>
      </w:r>
      <w:r>
        <w:rPr>
          <w:rFonts w:ascii="IBM Plex Sans" w:eastAsia="Times New Roman" w:hAnsi="IBM Plex Sans"/>
          <w:color w:val="283030"/>
          <w:sz w:val="20"/>
          <w:szCs w:val="20"/>
        </w:rPr>
        <w:t>es of the goods and services in these contracts are typically equal to the selling prices stated in the contract, thereby eliminating the need to allocate (or reallocate) the transaction price to the multiple performance obligations. In our non-U.S. Govern</w:t>
      </w:r>
      <w:r>
        <w:rPr>
          <w:rFonts w:ascii="IBM Plex Sans" w:eastAsia="Times New Roman" w:hAnsi="IBM Plex Sans"/>
          <w:color w:val="283030"/>
          <w:sz w:val="20"/>
          <w:szCs w:val="20"/>
        </w:rPr>
        <w:t>ment contracts, we also generally use the expected cost plus a reasonable profit margin approach to determine standalone selling price. In addition, we determine standalone selling price for certain contracts that are commercial in nature based on observab</w:t>
      </w:r>
      <w:r>
        <w:rPr>
          <w:rFonts w:ascii="IBM Plex Sans" w:eastAsia="Times New Roman" w:hAnsi="IBM Plex Sans"/>
          <w:color w:val="283030"/>
          <w:sz w:val="20"/>
          <w:szCs w:val="20"/>
        </w:rPr>
        <w:t>le selling prices.</w:t>
      </w:r>
    </w:p>
    <w:p w:rsidR="00000000" w:rsidRDefault="00F5481A">
      <w:pPr>
        <w:ind w:firstLine="360"/>
        <w:divId w:val="536897813"/>
        <w:rPr>
          <w:rFonts w:eastAsia="Times New Roman"/>
        </w:rPr>
      </w:pPr>
      <w:r>
        <w:rPr>
          <w:rFonts w:ascii="IBM Plex Sans" w:eastAsia="Times New Roman" w:hAnsi="IBM Plex Sans"/>
          <w:color w:val="283030"/>
          <w:sz w:val="20"/>
          <w:szCs w:val="20"/>
        </w:rPr>
        <w:t>We recognize revenue for each performance obligation when (or as) the performance obligation is satisfied by transferring control of the promised goods or services underlying the performance obligation to the customer. The transfer of co</w:t>
      </w:r>
      <w:r>
        <w:rPr>
          <w:rFonts w:ascii="IBM Plex Sans" w:eastAsia="Times New Roman" w:hAnsi="IBM Plex Sans"/>
          <w:color w:val="283030"/>
          <w:sz w:val="20"/>
          <w:szCs w:val="20"/>
        </w:rPr>
        <w:t>ntrol can occur over time or at a point in time.</w:t>
      </w:r>
    </w:p>
    <w:p w:rsidR="00000000" w:rsidRDefault="00F5481A">
      <w:pPr>
        <w:ind w:firstLine="360"/>
        <w:divId w:val="1785346535"/>
        <w:rPr>
          <w:rFonts w:eastAsia="Times New Roman"/>
        </w:rPr>
      </w:pPr>
      <w:r>
        <w:rPr>
          <w:rFonts w:ascii="IBM Plex Sans" w:eastAsia="Times New Roman" w:hAnsi="IBM Plex Sans"/>
          <w:b/>
          <w:bCs/>
          <w:i/>
          <w:iCs/>
          <w:color w:val="016676"/>
          <w:sz w:val="20"/>
          <w:szCs w:val="20"/>
        </w:rPr>
        <w:t>Point-in-Time Revenue Recognition:</w:t>
      </w:r>
      <w:r>
        <w:rPr>
          <w:rFonts w:ascii="IBM Plex Sans" w:eastAsia="Times New Roman" w:hAnsi="IBM Plex Sans"/>
          <w:color w:val="283030"/>
          <w:sz w:val="20"/>
          <w:szCs w:val="20"/>
        </w:rPr>
        <w:t xml:space="preserve"> Our performance obligations are satisfied at a point in time unless they meet at least one of the following criteria, in which case they are satisfied over time:</w:t>
      </w:r>
    </w:p>
    <w:p w:rsidR="00000000" w:rsidRDefault="00F5481A">
      <w:pPr>
        <w:ind w:hanging="360"/>
        <w:divId w:val="1816989669"/>
        <w:rPr>
          <w:rFonts w:eastAsia="Times New Roman"/>
        </w:rPr>
      </w:pPr>
      <w:r>
        <w:rPr>
          <w:rFonts w:ascii="IBM Plex Sans" w:eastAsia="Times New Roman" w:hAnsi="IBM Plex Sans"/>
          <w:color w:val="283030"/>
          <w:sz w:val="20"/>
          <w:szCs w:val="20"/>
        </w:rPr>
        <w:t>•The custo</w:t>
      </w:r>
      <w:r>
        <w:rPr>
          <w:rFonts w:ascii="IBM Plex Sans" w:eastAsia="Times New Roman" w:hAnsi="IBM Plex Sans"/>
          <w:color w:val="283030"/>
          <w:sz w:val="20"/>
          <w:szCs w:val="20"/>
        </w:rPr>
        <w:t>mer simultaneously receives and consumes the benefits provided by our performance as we perform;</w:t>
      </w:r>
    </w:p>
    <w:p w:rsidR="00000000" w:rsidRDefault="00F5481A">
      <w:pPr>
        <w:ind w:hanging="360"/>
        <w:divId w:val="1037463209"/>
        <w:rPr>
          <w:rFonts w:eastAsia="Times New Roman"/>
        </w:rPr>
      </w:pPr>
      <w:r>
        <w:rPr>
          <w:rFonts w:ascii="IBM Plex Sans" w:eastAsia="Times New Roman" w:hAnsi="IBM Plex Sans"/>
          <w:color w:val="283030"/>
          <w:sz w:val="20"/>
          <w:szCs w:val="20"/>
        </w:rPr>
        <w:t>•Our performance creates or enhances an asset (for example, work in process) that the customer controls as the asset is created or enhanced; or</w:t>
      </w:r>
    </w:p>
    <w:p w:rsidR="00000000" w:rsidRDefault="00F5481A">
      <w:pPr>
        <w:ind w:hanging="360"/>
        <w:divId w:val="1978602446"/>
        <w:rPr>
          <w:rFonts w:eastAsia="Times New Roman"/>
        </w:rPr>
      </w:pPr>
      <w:r>
        <w:rPr>
          <w:rFonts w:ascii="IBM Plex Sans" w:eastAsia="Times New Roman" w:hAnsi="IBM Plex Sans"/>
          <w:color w:val="283030"/>
          <w:sz w:val="20"/>
          <w:szCs w:val="20"/>
        </w:rPr>
        <w:t>•Our performanc</w:t>
      </w:r>
      <w:r>
        <w:rPr>
          <w:rFonts w:ascii="IBM Plex Sans" w:eastAsia="Times New Roman" w:hAnsi="IBM Plex Sans"/>
          <w:color w:val="283030"/>
          <w:sz w:val="20"/>
          <w:szCs w:val="20"/>
        </w:rPr>
        <w:t>e does not create an asset with an alternative use to us and we have an enforceable right to payment for performance completed to date.</w:t>
      </w:r>
    </w:p>
    <w:p w:rsidR="00000000" w:rsidRDefault="00F5481A">
      <w:pPr>
        <w:ind w:firstLine="360"/>
        <w:divId w:val="1355577675"/>
        <w:rPr>
          <w:rFonts w:eastAsia="Times New Roman"/>
        </w:rPr>
      </w:pPr>
      <w:r>
        <w:rPr>
          <w:rFonts w:ascii="IBM Plex Sans" w:eastAsia="Times New Roman" w:hAnsi="IBM Plex Sans"/>
          <w:color w:val="283030"/>
          <w:sz w:val="20"/>
          <w:szCs w:val="20"/>
        </w:rPr>
        <w:t>As noted above, a significant amount of our revenue is derived from contracts to provide multiple distinct goods to a cu</w:t>
      </w:r>
      <w:r>
        <w:rPr>
          <w:rFonts w:ascii="IBM Plex Sans" w:eastAsia="Times New Roman" w:hAnsi="IBM Plex Sans"/>
          <w:color w:val="283030"/>
          <w:sz w:val="20"/>
          <w:szCs w:val="20"/>
        </w:rPr>
        <w:t xml:space="preserve">stomer that are commercial in nature and can readily be sold to other customers. These performance obligations do not meet any of the three criteria listed above to recognize revenue over time; therefore, we recognize revenue at a point in time, generally </w:t>
      </w:r>
      <w:r>
        <w:rPr>
          <w:rFonts w:ascii="IBM Plex Sans" w:eastAsia="Times New Roman" w:hAnsi="IBM Plex Sans"/>
          <w:color w:val="283030"/>
          <w:sz w:val="20"/>
          <w:szCs w:val="20"/>
        </w:rPr>
        <w:t>when the goods are received and accepted by the customer.</w:t>
      </w:r>
    </w:p>
    <w:p w:rsidR="00000000" w:rsidRDefault="00F5481A">
      <w:pPr>
        <w:ind w:firstLine="360"/>
        <w:divId w:val="1478373334"/>
        <w:rPr>
          <w:rFonts w:eastAsia="Times New Roman"/>
        </w:rPr>
      </w:pPr>
      <w:r>
        <w:rPr>
          <w:rFonts w:ascii="IBM Plex Sans" w:eastAsia="Times New Roman" w:hAnsi="IBM Plex Sans"/>
          <w:b/>
          <w:bCs/>
          <w:i/>
          <w:iCs/>
          <w:color w:val="016676"/>
          <w:sz w:val="20"/>
          <w:szCs w:val="20"/>
        </w:rPr>
        <w:t>Over-Time Revenue Recognition:</w:t>
      </w:r>
      <w:r>
        <w:rPr>
          <w:rFonts w:ascii="IBM Plex Sans" w:eastAsia="Times New Roman" w:hAnsi="IBM Plex Sans"/>
          <w:i/>
          <w:iCs/>
          <w:color w:val="283030"/>
          <w:sz w:val="20"/>
          <w:szCs w:val="20"/>
        </w:rPr>
        <w:t xml:space="preserve"> </w:t>
      </w:r>
      <w:r>
        <w:rPr>
          <w:rFonts w:ascii="IBM Plex Sans" w:eastAsia="Times New Roman" w:hAnsi="IBM Plex Sans"/>
          <w:color w:val="283030"/>
          <w:sz w:val="20"/>
          <w:szCs w:val="20"/>
        </w:rPr>
        <w:t>For U.S. Government development and production contracts, there is a continuous transfer of control of the asset to the customer as it is being produced based on FAR c</w:t>
      </w:r>
      <w:r>
        <w:rPr>
          <w:rFonts w:ascii="IBM Plex Sans" w:eastAsia="Times New Roman" w:hAnsi="IBM Plex Sans"/>
          <w:color w:val="283030"/>
          <w:sz w:val="20"/>
          <w:szCs w:val="20"/>
        </w:rPr>
        <w:t xml:space="preserve">lauses in the contract that provide the customer with lien rights to work in process and allow the customer to unilaterally terminate the contract for convenience, pay us for costs incurred plus a reasonable profit and take control of any work in process. </w:t>
      </w:r>
      <w:r>
        <w:rPr>
          <w:rFonts w:ascii="IBM Plex Sans" w:eastAsia="Times New Roman" w:hAnsi="IBM Plex Sans"/>
          <w:color w:val="283030"/>
          <w:sz w:val="20"/>
          <w:szCs w:val="20"/>
        </w:rPr>
        <w:t xml:space="preserve">This also typically applies to our contracts with prime contractors for U.S. Government </w:t>
      </w:r>
    </w:p>
    <w:p w:rsidR="00000000" w:rsidRDefault="00F5481A">
      <w:pPr>
        <w:ind w:firstLine="360"/>
        <w:jc w:val="center"/>
        <w:divId w:val="1077633676"/>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70</w:t>
      </w:r>
    </w:p>
    <w:p w:rsidR="00000000" w:rsidRDefault="00F5481A">
      <w:pPr>
        <w:rPr>
          <w:rFonts w:eastAsia="Times New Roman"/>
        </w:rPr>
      </w:pPr>
      <w:r>
        <w:rPr>
          <w:rFonts w:eastAsia="Times New Roman"/>
        </w:rPr>
        <w:pict>
          <v:rect id="_x0000_i1101" style="width:0;height:1.5pt" o:hralign="center" o:hrstd="t" o:hr="t" fillcolor="#a0a0a0" stroked="f"/>
        </w:pict>
      </w:r>
    </w:p>
    <w:p w:rsidR="00000000" w:rsidRDefault="00F5481A">
      <w:pPr>
        <w:ind w:firstLine="360"/>
        <w:divId w:val="147597495"/>
        <w:rPr>
          <w:rFonts w:eastAsia="Times New Roman"/>
        </w:rPr>
      </w:pPr>
    </w:p>
    <w:p w:rsidR="00000000" w:rsidRDefault="00F5481A">
      <w:pPr>
        <w:divId w:val="479469163"/>
        <w:rPr>
          <w:rFonts w:eastAsia="Times New Roman"/>
        </w:rPr>
      </w:pPr>
      <w:r>
        <w:rPr>
          <w:rFonts w:ascii="IBM Plex Sans" w:eastAsia="Times New Roman" w:hAnsi="IBM Plex Sans"/>
          <w:color w:val="283030"/>
          <w:sz w:val="20"/>
          <w:szCs w:val="20"/>
        </w:rPr>
        <w:t>development and production contracts, when the above-described FAR clauses are flowed down to us by the prime contractors.</w:t>
      </w:r>
    </w:p>
    <w:p w:rsidR="00000000" w:rsidRDefault="00F5481A">
      <w:pPr>
        <w:ind w:firstLine="360"/>
        <w:divId w:val="2019038470"/>
        <w:rPr>
          <w:rFonts w:eastAsia="Times New Roman"/>
        </w:rPr>
      </w:pPr>
      <w:r>
        <w:rPr>
          <w:rFonts w:ascii="IBM Plex Sans" w:eastAsia="Times New Roman" w:hAnsi="IBM Plex Sans"/>
          <w:color w:val="283030"/>
          <w:sz w:val="20"/>
          <w:szCs w:val="20"/>
        </w:rPr>
        <w:t xml:space="preserve">Our non-U.S. Government development and production contracts, including international direct commercial contracts and U.S. contracts </w:t>
      </w:r>
      <w:r>
        <w:rPr>
          <w:rFonts w:ascii="IBM Plex Sans" w:eastAsia="Times New Roman" w:hAnsi="IBM Plex Sans"/>
          <w:color w:val="283030"/>
          <w:sz w:val="20"/>
          <w:szCs w:val="20"/>
        </w:rPr>
        <w:t xml:space="preserve">with state and local agencies, utilities, commercial and transportation organizations, often do not include the FAR clauses described above. However, over-time revenue recognition is typically supported either through our performance creating or enhancing </w:t>
      </w:r>
      <w:r>
        <w:rPr>
          <w:rFonts w:ascii="IBM Plex Sans" w:eastAsia="Times New Roman" w:hAnsi="IBM Plex Sans"/>
          <w:color w:val="283030"/>
          <w:sz w:val="20"/>
          <w:szCs w:val="20"/>
        </w:rPr>
        <w:t>an asset that the customer controls as it is created or enhanced or based on other contractual provisions or relevant laws that provide us with an enforceable right to payment for our work performed to date plus a reasonable profit if our customer were per</w:t>
      </w:r>
      <w:r>
        <w:rPr>
          <w:rFonts w:ascii="IBM Plex Sans" w:eastAsia="Times New Roman" w:hAnsi="IBM Plex Sans"/>
          <w:color w:val="283030"/>
          <w:sz w:val="20"/>
          <w:szCs w:val="20"/>
        </w:rPr>
        <w:t>mitted to and did terminate the contract for reasons other than our failure to perform as promised.</w:t>
      </w:r>
    </w:p>
    <w:p w:rsidR="00000000" w:rsidRDefault="00F5481A">
      <w:pPr>
        <w:ind w:firstLine="360"/>
        <w:divId w:val="392168572"/>
        <w:rPr>
          <w:rFonts w:eastAsia="Times New Roman"/>
        </w:rPr>
      </w:pPr>
      <w:r>
        <w:rPr>
          <w:rFonts w:ascii="IBM Plex Sans" w:eastAsia="Times New Roman" w:hAnsi="IBM Plex Sans"/>
          <w:color w:val="283030"/>
          <w:sz w:val="20"/>
          <w:szCs w:val="20"/>
        </w:rPr>
        <w:t>Revenue for our development and production contracts is recognized over time, typically using the POC cost-to-cost method, whereby we measure our progress t</w:t>
      </w:r>
      <w:r>
        <w:rPr>
          <w:rFonts w:ascii="IBM Plex Sans" w:eastAsia="Times New Roman" w:hAnsi="IBM Plex Sans"/>
          <w:color w:val="283030"/>
          <w:sz w:val="20"/>
          <w:szCs w:val="20"/>
        </w:rPr>
        <w:t>owards completion of the performance obligation based on the ratio of costs incurred to date to estimated costs at completion under the contract. Because costs incurred represent work performed, we believe this method best depicts transfer of control of th</w:t>
      </w:r>
      <w:r>
        <w:rPr>
          <w:rFonts w:ascii="IBM Plex Sans" w:eastAsia="Times New Roman" w:hAnsi="IBM Plex Sans"/>
          <w:color w:val="283030"/>
          <w:sz w:val="20"/>
          <w:szCs w:val="20"/>
        </w:rPr>
        <w:t>e asset to the customer.</w:t>
      </w:r>
    </w:p>
    <w:p w:rsidR="00000000" w:rsidRDefault="00F5481A">
      <w:pPr>
        <w:ind w:firstLine="360"/>
        <w:divId w:val="87039895"/>
        <w:rPr>
          <w:rFonts w:eastAsia="Times New Roman"/>
        </w:rPr>
      </w:pPr>
      <w:r>
        <w:rPr>
          <w:rFonts w:ascii="IBM Plex Sans" w:eastAsia="Times New Roman" w:hAnsi="IBM Plex Sans"/>
          <w:color w:val="283030"/>
          <w:sz w:val="20"/>
          <w:szCs w:val="20"/>
        </w:rPr>
        <w:t>For performance obligations to provide services that are satisfied over time, we recognize revenue either on a straight-line basis, the POC cost-to-cost method or based on the right-to-invoice method (i.e., based on our right to bi</w:t>
      </w:r>
      <w:r>
        <w:rPr>
          <w:rFonts w:ascii="IBM Plex Sans" w:eastAsia="Times New Roman" w:hAnsi="IBM Plex Sans"/>
          <w:color w:val="283030"/>
          <w:sz w:val="20"/>
          <w:szCs w:val="20"/>
        </w:rPr>
        <w:t>ll the customer), depending on which method best depicts transfer of control to the customer.</w:t>
      </w:r>
    </w:p>
    <w:p w:rsidR="00000000" w:rsidRDefault="00F5481A">
      <w:pPr>
        <w:ind w:firstLine="360"/>
        <w:divId w:val="26220343"/>
        <w:rPr>
          <w:rFonts w:eastAsia="Times New Roman"/>
        </w:rPr>
      </w:pPr>
      <w:r>
        <w:rPr>
          <w:rFonts w:ascii="IBM Plex Sans" w:eastAsia="Times New Roman" w:hAnsi="IBM Plex Sans"/>
          <w:b/>
          <w:bCs/>
          <w:i/>
          <w:iCs/>
          <w:color w:val="016676"/>
          <w:sz w:val="20"/>
          <w:szCs w:val="20"/>
        </w:rPr>
        <w:t>Contract Estimates:</w:t>
      </w:r>
      <w:r>
        <w:rPr>
          <w:rFonts w:ascii="IBM Plex Sans" w:eastAsia="Times New Roman" w:hAnsi="IBM Plex Sans"/>
          <w:i/>
          <w:iCs/>
          <w:color w:val="283030"/>
          <w:sz w:val="20"/>
          <w:szCs w:val="20"/>
        </w:rPr>
        <w:t xml:space="preserve"> </w:t>
      </w:r>
      <w:r>
        <w:rPr>
          <w:rFonts w:ascii="IBM Plex Sans" w:eastAsia="Times New Roman" w:hAnsi="IBM Plex Sans"/>
          <w:color w:val="283030"/>
          <w:sz w:val="20"/>
          <w:szCs w:val="20"/>
        </w:rPr>
        <w:t>Under the POC cost-to-cost method of revenue recognition, a single estimated profit margin is used to recognize profit for each performance ob</w:t>
      </w:r>
      <w:r>
        <w:rPr>
          <w:rFonts w:ascii="IBM Plex Sans" w:eastAsia="Times New Roman" w:hAnsi="IBM Plex Sans"/>
          <w:color w:val="283030"/>
          <w:sz w:val="20"/>
          <w:szCs w:val="20"/>
        </w:rPr>
        <w:t xml:space="preserve">ligation over its period of performance. Recognition of profit on a contract requires estimates of the total cost at completion and transaction price and the measurement of progress towards completion. Due to the long-term nature of many of our contracts, </w:t>
      </w:r>
      <w:r>
        <w:rPr>
          <w:rFonts w:ascii="IBM Plex Sans" w:eastAsia="Times New Roman" w:hAnsi="IBM Plex Sans"/>
          <w:color w:val="283030"/>
          <w:sz w:val="20"/>
          <w:szCs w:val="20"/>
        </w:rPr>
        <w:t>developing the estimated total cost at completion and total transaction price often requires judgment. Factors that must be considered in estimating the cost of the work to be completed include the nature and complexity of the work to be performed, subcont</w:t>
      </w:r>
      <w:r>
        <w:rPr>
          <w:rFonts w:ascii="IBM Plex Sans" w:eastAsia="Times New Roman" w:hAnsi="IBM Plex Sans"/>
          <w:color w:val="283030"/>
          <w:sz w:val="20"/>
          <w:szCs w:val="20"/>
        </w:rPr>
        <w:t>ractor performance and the risk and impact of delayed performance. Factors that must be considered in estimating the total transaction price include contractual cost or performance incentives (such as incentive fees, award fees and penalties) and other for</w:t>
      </w:r>
      <w:r>
        <w:rPr>
          <w:rFonts w:ascii="IBM Plex Sans" w:eastAsia="Times New Roman" w:hAnsi="IBM Plex Sans"/>
          <w:color w:val="283030"/>
          <w:sz w:val="20"/>
          <w:szCs w:val="20"/>
        </w:rPr>
        <w:t xml:space="preserve">ms of variable consideration, as well as our historical experience and our expectation for performance on the contract. At the outset of each contract, we gauge its complexity and perceived risks and establish an estimated total cost at completion in line </w:t>
      </w:r>
      <w:r>
        <w:rPr>
          <w:rFonts w:ascii="IBM Plex Sans" w:eastAsia="Times New Roman" w:hAnsi="IBM Plex Sans"/>
          <w:color w:val="283030"/>
          <w:sz w:val="20"/>
          <w:szCs w:val="20"/>
        </w:rPr>
        <w:t>with these expectations. After establishing the estimated total cost at completion, we follow a standard EAC process in which we review the progress and performance on our ongoing contracts at least quarterly and, in many cases, more frequently. If we succ</w:t>
      </w:r>
      <w:r>
        <w:rPr>
          <w:rFonts w:ascii="IBM Plex Sans" w:eastAsia="Times New Roman" w:hAnsi="IBM Plex Sans"/>
          <w:color w:val="283030"/>
          <w:sz w:val="20"/>
          <w:szCs w:val="20"/>
        </w:rPr>
        <w:t>essfully retire risks associated with the technical, schedule and cost aspects of a contract, we may lower our estimated total cost at completion commensurate with the retirement of these risks. Conversely, if we are not successful in retiring these risks,</w:t>
      </w:r>
      <w:r>
        <w:rPr>
          <w:rFonts w:ascii="IBM Plex Sans" w:eastAsia="Times New Roman" w:hAnsi="IBM Plex Sans"/>
          <w:color w:val="283030"/>
          <w:sz w:val="20"/>
          <w:szCs w:val="20"/>
        </w:rPr>
        <w:t xml:space="preserve"> we may increase our estimated total cost at completion. Additionally, as the contract progresses, our estimates of total transaction price may increase or decrease if, for example, we receive award fees that are higher or lower than expected. When adjustm</w:t>
      </w:r>
      <w:r>
        <w:rPr>
          <w:rFonts w:ascii="IBM Plex Sans" w:eastAsia="Times New Roman" w:hAnsi="IBM Plex Sans"/>
          <w:color w:val="283030"/>
          <w:sz w:val="20"/>
          <w:szCs w:val="20"/>
        </w:rPr>
        <w:t>ents in estimated total costs at completion or in estimated total transaction price are determined, the related impact on operating income is recognized using the cumulative catch-up method, which recognizes in the current period the cumulative effect of s</w:t>
      </w:r>
      <w:r>
        <w:rPr>
          <w:rFonts w:ascii="IBM Plex Sans" w:eastAsia="Times New Roman" w:hAnsi="IBM Plex Sans"/>
          <w:color w:val="283030"/>
          <w:sz w:val="20"/>
          <w:szCs w:val="20"/>
        </w:rPr>
        <w:t>uch adjustments for all prior periods. Any anticipated losses on these contracts are fully recognized in the period in which the losses become evident.</w:t>
      </w:r>
    </w:p>
    <w:p w:rsidR="00000000" w:rsidRDefault="00F5481A">
      <w:pPr>
        <w:ind w:firstLine="360"/>
        <w:divId w:val="839350387"/>
        <w:rPr>
          <w:rFonts w:eastAsia="Times New Roman"/>
        </w:rPr>
      </w:pPr>
      <w:r>
        <w:rPr>
          <w:rFonts w:ascii="IBM Plex Sans" w:eastAsia="Times New Roman" w:hAnsi="IBM Plex Sans"/>
          <w:color w:val="283030"/>
          <w:sz w:val="20"/>
          <w:szCs w:val="20"/>
        </w:rPr>
        <w:t>Net EAC adjustments had the following impact to earnings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58"/>
        <w:gridCol w:w="4162"/>
        <w:gridCol w:w="36"/>
        <w:gridCol w:w="133"/>
        <w:gridCol w:w="1109"/>
        <w:gridCol w:w="36"/>
        <w:gridCol w:w="36"/>
        <w:gridCol w:w="36"/>
        <w:gridCol w:w="36"/>
        <w:gridCol w:w="133"/>
        <w:gridCol w:w="1109"/>
        <w:gridCol w:w="36"/>
        <w:gridCol w:w="36"/>
        <w:gridCol w:w="36"/>
        <w:gridCol w:w="36"/>
        <w:gridCol w:w="133"/>
        <w:gridCol w:w="1109"/>
        <w:gridCol w:w="36"/>
      </w:tblGrid>
      <w:tr w:rsidR="00000000">
        <w:trPr>
          <w:divId w:val="1433670990"/>
        </w:trPr>
        <w:tc>
          <w:tcPr>
            <w:tcW w:w="50" w:type="pct"/>
            <w:vAlign w:val="center"/>
            <w:hideMark/>
          </w:tcPr>
          <w:p w:rsidR="00000000" w:rsidRDefault="00F5481A">
            <w:pPr>
              <w:ind w:firstLine="360"/>
              <w:rPr>
                <w:rFonts w:eastAsia="Times New Roman"/>
              </w:rPr>
            </w:pPr>
          </w:p>
        </w:tc>
        <w:tc>
          <w:tcPr>
            <w:tcW w:w="2581"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1433670990"/>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Fiscal Year Ended</w:t>
            </w:r>
          </w:p>
        </w:tc>
      </w:tr>
      <w:tr w:rsidR="00000000">
        <w:trPr>
          <w:divId w:val="1433670990"/>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January 1, 2021</w:t>
            </w:r>
          </w:p>
        </w:tc>
      </w:tr>
      <w:tr w:rsidR="00000000">
        <w:trPr>
          <w:divId w:val="1433670990"/>
          <w:trHeight w:val="6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433670990"/>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Net EAC adjustments, before income taxes</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36 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304 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400 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433670990"/>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Net EAC adjustments, net of income taxes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228 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433670990"/>
        </w:trPr>
        <w:tc>
          <w:tcPr>
            <w:tcW w:w="0" w:type="auto"/>
            <w:gridSpan w:val="3"/>
            <w:shd w:val="clear" w:color="auto" w:fill="D7EFF1"/>
            <w:tcMar>
              <w:top w:w="30" w:type="dxa"/>
              <w:left w:w="380" w:type="dxa"/>
              <w:bottom w:w="30" w:type="dxa"/>
              <w:right w:w="20" w:type="dxa"/>
            </w:tcMar>
            <w:hideMark/>
          </w:tcPr>
          <w:p w:rsidR="00000000" w:rsidRDefault="00F5481A">
            <w:pPr>
              <w:spacing w:after="100"/>
              <w:ind w:hanging="180"/>
              <w:rPr>
                <w:rFonts w:eastAsia="Times New Roman"/>
              </w:rPr>
            </w:pPr>
            <w:r>
              <w:rPr>
                <w:rFonts w:ascii="IBM Plex Sans" w:eastAsia="Times New Roman" w:hAnsi="IBM Plex Sans"/>
                <w:color w:val="283030"/>
                <w:sz w:val="20"/>
                <w:szCs w:val="20"/>
              </w:rPr>
              <w:t>Net EAC adjustments, net of income taxes, per diluted share</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0.14 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433670990"/>
        </w:trPr>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bl>
    <w:p w:rsidR="00000000" w:rsidRDefault="00F5481A">
      <w:pPr>
        <w:ind w:firstLine="360"/>
        <w:divId w:val="1910728671"/>
        <w:rPr>
          <w:rFonts w:eastAsia="Times New Roman"/>
        </w:rPr>
      </w:pPr>
      <w:r>
        <w:rPr>
          <w:rFonts w:ascii="IBM Plex Sans" w:eastAsia="Times New Roman" w:hAnsi="IBM Plex Sans"/>
          <w:color w:val="283030"/>
          <w:sz w:val="20"/>
          <w:szCs w:val="20"/>
        </w:rPr>
        <w:t>Revenue recognized from performance obligations satisfied in prior periods was $110 million, $402 million and $493 million in fiscal 2022, 2021 and 2020, respectively.</w:t>
      </w:r>
    </w:p>
    <w:p w:rsidR="00000000" w:rsidRDefault="00F5481A">
      <w:pPr>
        <w:ind w:firstLine="360"/>
        <w:divId w:val="145754962"/>
        <w:rPr>
          <w:rFonts w:eastAsia="Times New Roman"/>
        </w:rPr>
      </w:pPr>
      <w:r>
        <w:rPr>
          <w:rFonts w:ascii="IBM Plex Sans" w:eastAsia="Times New Roman" w:hAnsi="IBM Plex Sans"/>
          <w:b/>
          <w:bCs/>
          <w:i/>
          <w:iCs/>
          <w:color w:val="016676"/>
          <w:sz w:val="20"/>
          <w:szCs w:val="20"/>
        </w:rPr>
        <w:t>Bill-and-Hold Arrangements:</w:t>
      </w:r>
      <w:r>
        <w:rPr>
          <w:rFonts w:ascii="IBM Plex Sans" w:eastAsia="Times New Roman" w:hAnsi="IBM Plex Sans"/>
          <w:b/>
          <w:bCs/>
          <w:i/>
          <w:iCs/>
          <w:color w:val="283030"/>
          <w:sz w:val="20"/>
          <w:szCs w:val="20"/>
        </w:rPr>
        <w:t xml:space="preserve"> </w:t>
      </w:r>
      <w:r>
        <w:rPr>
          <w:rFonts w:ascii="IBM Plex Sans" w:eastAsia="Times New Roman" w:hAnsi="IBM Plex Sans"/>
          <w:color w:val="283030"/>
          <w:sz w:val="20"/>
          <w:szCs w:val="20"/>
        </w:rPr>
        <w:t>For certain contracts, the finished product may temporarily be stored at our location under a bill-and-hold arrangement. Revenue is recognized on bill-and-hold arrangements at the point in time when the customer obtains control of the product and all of th</w:t>
      </w:r>
      <w:r>
        <w:rPr>
          <w:rFonts w:ascii="IBM Plex Sans" w:eastAsia="Times New Roman" w:hAnsi="IBM Plex Sans"/>
          <w:color w:val="283030"/>
          <w:sz w:val="20"/>
          <w:szCs w:val="20"/>
        </w:rPr>
        <w:t>e following criteria have been met: the arrangement is substantive (for example, the customer has requested the arrangement); the product is identified separately as belonging to the customer; the product is ready for physical transfer to the customer; and</w:t>
      </w:r>
      <w:r>
        <w:rPr>
          <w:rFonts w:ascii="IBM Plex Sans" w:eastAsia="Times New Roman" w:hAnsi="IBM Plex Sans"/>
          <w:color w:val="283030"/>
          <w:sz w:val="20"/>
          <w:szCs w:val="20"/>
        </w:rPr>
        <w:t xml:space="preserve"> we do not have the ability to use the product or direct it to another customer. In determining when the customer obtains control of the product, we consider certain indicators, including whether we have a present right to payment from </w:t>
      </w:r>
    </w:p>
    <w:p w:rsidR="00000000" w:rsidRDefault="00F5481A">
      <w:pPr>
        <w:ind w:firstLine="360"/>
        <w:jc w:val="center"/>
        <w:divId w:val="1339499108"/>
        <w:rPr>
          <w:rFonts w:eastAsia="Times New Roman"/>
        </w:rPr>
      </w:pPr>
      <w:r>
        <w:rPr>
          <w:rFonts w:ascii="Arial" w:eastAsia="Times New Roman" w:hAnsi="Arial" w:cs="Arial"/>
          <w:b/>
          <w:bCs/>
          <w:color w:val="016676"/>
        </w:rPr>
        <w:t>___________________</w:t>
      </w:r>
      <w:r>
        <w:rPr>
          <w:rFonts w:ascii="Arial" w:eastAsia="Times New Roman" w:hAnsi="Arial" w:cs="Arial"/>
          <w:b/>
          <w:bCs/>
          <w:color w:val="016676"/>
        </w:rPr>
        <w:t>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71</w:t>
      </w:r>
    </w:p>
    <w:p w:rsidR="00000000" w:rsidRDefault="00F5481A">
      <w:pPr>
        <w:rPr>
          <w:rFonts w:eastAsia="Times New Roman"/>
        </w:rPr>
      </w:pPr>
      <w:r>
        <w:rPr>
          <w:rFonts w:eastAsia="Times New Roman"/>
        </w:rPr>
        <w:pict>
          <v:rect id="_x0000_i1102" style="width:0;height:1.5pt" o:hralign="center" o:hrstd="t" o:hr="t" fillcolor="#a0a0a0" stroked="f"/>
        </w:pict>
      </w:r>
    </w:p>
    <w:p w:rsidR="00000000" w:rsidRDefault="00F5481A">
      <w:pPr>
        <w:ind w:firstLine="360"/>
        <w:divId w:val="574171090"/>
        <w:rPr>
          <w:rFonts w:eastAsia="Times New Roman"/>
        </w:rPr>
      </w:pPr>
    </w:p>
    <w:p w:rsidR="00000000" w:rsidRDefault="00F5481A">
      <w:pPr>
        <w:divId w:val="713581924"/>
        <w:rPr>
          <w:rFonts w:eastAsia="Times New Roman"/>
        </w:rPr>
      </w:pPr>
      <w:r>
        <w:rPr>
          <w:rFonts w:ascii="IBM Plex Sans" w:eastAsia="Times New Roman" w:hAnsi="IBM Plex Sans"/>
          <w:color w:val="283030"/>
          <w:sz w:val="20"/>
          <w:szCs w:val="20"/>
        </w:rPr>
        <w:t>the customer, whether title and/or significant risks and rewards of ownership have transferred to the customer and whether customer acceptance has been received (in</w:t>
      </w:r>
      <w:r>
        <w:rPr>
          <w:rFonts w:ascii="IBM Plex Sans" w:eastAsia="Times New Roman" w:hAnsi="IBM Plex Sans"/>
          <w:color w:val="283030"/>
          <w:sz w:val="20"/>
          <w:szCs w:val="20"/>
        </w:rPr>
        <w:t xml:space="preserve"> the case of arrangements with customer acceptance provisions).</w:t>
      </w:r>
    </w:p>
    <w:p w:rsidR="00000000" w:rsidRDefault="00F5481A">
      <w:pPr>
        <w:ind w:firstLine="360"/>
        <w:divId w:val="1154882397"/>
        <w:rPr>
          <w:rFonts w:eastAsia="Times New Roman"/>
        </w:rPr>
      </w:pPr>
      <w:r>
        <w:rPr>
          <w:rFonts w:ascii="IBM Plex Sans" w:eastAsia="Times New Roman" w:hAnsi="IBM Plex Sans"/>
          <w:b/>
          <w:bCs/>
          <w:i/>
          <w:iCs/>
          <w:color w:val="016676"/>
          <w:sz w:val="20"/>
          <w:szCs w:val="20"/>
        </w:rPr>
        <w:t>Backlog:</w:t>
      </w:r>
      <w:r>
        <w:rPr>
          <w:rFonts w:ascii="IBM Plex Sans" w:eastAsia="Times New Roman" w:hAnsi="IBM Plex Sans"/>
          <w:b/>
          <w:bCs/>
          <w:color w:val="283030"/>
          <w:sz w:val="20"/>
          <w:szCs w:val="20"/>
        </w:rPr>
        <w:t xml:space="preserve"> </w:t>
      </w:r>
      <w:r>
        <w:rPr>
          <w:rFonts w:ascii="IBM Plex Sans" w:eastAsia="Times New Roman" w:hAnsi="IBM Plex Sans"/>
          <w:color w:val="283030"/>
          <w:sz w:val="20"/>
          <w:szCs w:val="20"/>
        </w:rPr>
        <w:t>Backlog, which is the equivalent of our remaining performance obligations, represents the future revenue we expect to recognize as we perform on our current contracts. Backlog compris</w:t>
      </w:r>
      <w:r>
        <w:rPr>
          <w:rFonts w:ascii="IBM Plex Sans" w:eastAsia="Times New Roman" w:hAnsi="IBM Plex Sans"/>
          <w:color w:val="283030"/>
          <w:sz w:val="20"/>
          <w:szCs w:val="20"/>
        </w:rPr>
        <w:t>es both funded backlog (i.e., firm orders for which funding is authorized and appropriated) and unfunded backlog. Backlog excludes unexercised contract options and potential orders under ordering-type contracts, such as IDIQ contracts.</w:t>
      </w:r>
    </w:p>
    <w:p w:rsidR="00000000" w:rsidRDefault="00F5481A">
      <w:pPr>
        <w:ind w:firstLine="360"/>
        <w:divId w:val="1398087381"/>
        <w:rPr>
          <w:rFonts w:eastAsia="Times New Roman"/>
        </w:rPr>
      </w:pPr>
      <w:r>
        <w:rPr>
          <w:rFonts w:ascii="IBM Plex Sans" w:eastAsia="Times New Roman" w:hAnsi="IBM Plex Sans"/>
          <w:b/>
          <w:bCs/>
          <w:color w:val="016676"/>
          <w:sz w:val="20"/>
          <w:szCs w:val="20"/>
        </w:rPr>
        <w:t>Pension and Postreti</w:t>
      </w:r>
      <w:r>
        <w:rPr>
          <w:rFonts w:ascii="IBM Plex Sans" w:eastAsia="Times New Roman" w:hAnsi="IBM Plex Sans"/>
          <w:b/>
          <w:bCs/>
          <w:color w:val="016676"/>
          <w:sz w:val="20"/>
          <w:szCs w:val="20"/>
        </w:rPr>
        <w:t>rement Benefits</w:t>
      </w:r>
      <w:r>
        <w:rPr>
          <w:rFonts w:ascii="IBM Plex Sans" w:eastAsia="Times New Roman" w:hAnsi="IBM Plex Sans"/>
          <w:color w:val="283030"/>
          <w:sz w:val="20"/>
          <w:szCs w:val="20"/>
        </w:rPr>
        <w:t xml:space="preserve"> — Defined benefit plans that we sponsor are accounted for as defined benefit pension and other postretirement defined benefit plans (collectively referred to as “defined benefit plans”). Accordingly, the funded or unfunded position of each </w:t>
      </w:r>
      <w:r>
        <w:rPr>
          <w:rFonts w:ascii="IBM Plex Sans" w:eastAsia="Times New Roman" w:hAnsi="IBM Plex Sans"/>
          <w:color w:val="283030"/>
          <w:sz w:val="20"/>
          <w:szCs w:val="20"/>
        </w:rPr>
        <w:t>defined benefit plan is recorded in our Consolidated Balance Sheet. Actuarial gains and losses and prior service costs or credits that have not yet been recognized through income are recorded in the “Accumulated other comprehensive loss” line item within e</w:t>
      </w:r>
      <w:r>
        <w:rPr>
          <w:rFonts w:ascii="IBM Plex Sans" w:eastAsia="Times New Roman" w:hAnsi="IBM Plex Sans"/>
          <w:color w:val="283030"/>
          <w:sz w:val="20"/>
          <w:szCs w:val="20"/>
        </w:rPr>
        <w:t>quity in our Consolidated Balance Sheet, net of taxes, until they are amortized as a component of net periodic benefit income. The determination of benefit obligations and the recognition of expenses related to defined benefit plans are dependent on variou</w:t>
      </w:r>
      <w:r>
        <w:rPr>
          <w:rFonts w:ascii="IBM Plex Sans" w:eastAsia="Times New Roman" w:hAnsi="IBM Plex Sans"/>
          <w:color w:val="283030"/>
          <w:sz w:val="20"/>
          <w:szCs w:val="20"/>
        </w:rPr>
        <w:t>s assumptions. The major assumptions primarily relate to discount rates, long-term expected rates of return on plan assets, the rate of future compensation increases, mortality, termination and health care cost trend rates. We develop each assumption using</w:t>
      </w:r>
      <w:r>
        <w:rPr>
          <w:rFonts w:ascii="IBM Plex Sans" w:eastAsia="Times New Roman" w:hAnsi="IBM Plex Sans"/>
          <w:color w:val="283030"/>
          <w:sz w:val="20"/>
          <w:szCs w:val="20"/>
        </w:rPr>
        <w:t xml:space="preserve"> relevant Company experience in conjunction with market-related data. Actuarial assumptions are reviewed annually with third-party consultants and adjusted as appropriate. For the recognition of net periodic benefit income, the calculation of the long-term</w:t>
      </w:r>
      <w:r>
        <w:rPr>
          <w:rFonts w:ascii="IBM Plex Sans" w:eastAsia="Times New Roman" w:hAnsi="IBM Plex Sans"/>
          <w:color w:val="283030"/>
          <w:sz w:val="20"/>
          <w:szCs w:val="20"/>
        </w:rPr>
        <w:t xml:space="preserve"> expected return on plan assets is generally derived using a market-related value of plan assets based on yearly average asset values at the measurement date over the last five years, to be phased in over five years. Actual results that differ from our ass</w:t>
      </w:r>
      <w:r>
        <w:rPr>
          <w:rFonts w:ascii="IBM Plex Sans" w:eastAsia="Times New Roman" w:hAnsi="IBM Plex Sans"/>
          <w:color w:val="283030"/>
          <w:sz w:val="20"/>
          <w:szCs w:val="20"/>
        </w:rPr>
        <w:t>umptions are accumulated and generally amortized for each plan to the extent required over the estimated future life expectancy or, if applicable, the future working lifetime of the plan’s active participants. The fair value of plan assets is determined ba</w:t>
      </w:r>
      <w:r>
        <w:rPr>
          <w:rFonts w:ascii="IBM Plex Sans" w:eastAsia="Times New Roman" w:hAnsi="IBM Plex Sans"/>
          <w:color w:val="283030"/>
          <w:sz w:val="20"/>
          <w:szCs w:val="20"/>
        </w:rPr>
        <w:t xml:space="preserve">sed on market prices or estimated fair value at the measurement date. The measurement date for valuing defined benefit plan assets and obligations is the end of the month closest to our fiscal year end. </w:t>
      </w:r>
    </w:p>
    <w:p w:rsidR="00000000" w:rsidRDefault="00F5481A">
      <w:pPr>
        <w:ind w:firstLine="360"/>
        <w:divId w:val="1873614064"/>
        <w:rPr>
          <w:rFonts w:eastAsia="Times New Roman"/>
        </w:rPr>
      </w:pPr>
      <w:r>
        <w:rPr>
          <w:rFonts w:ascii="IBM Plex Sans" w:eastAsia="Times New Roman" w:hAnsi="IBM Plex Sans"/>
          <w:color w:val="283030"/>
          <w:sz w:val="20"/>
          <w:szCs w:val="20"/>
        </w:rPr>
        <w:t>We record the service cost component of net periodic</w:t>
      </w:r>
      <w:r>
        <w:rPr>
          <w:rFonts w:ascii="IBM Plex Sans" w:eastAsia="Times New Roman" w:hAnsi="IBM Plex Sans"/>
          <w:color w:val="283030"/>
          <w:sz w:val="20"/>
          <w:szCs w:val="20"/>
        </w:rPr>
        <w:t xml:space="preserve"> benefit income in the “Cost of product sales and services” and “Engineering, selling and administrative expenses” line items in our Consolidated Statement of Operations. The non-service cost components of net periodic benefit income are included in the “N</w:t>
      </w:r>
      <w:r>
        <w:rPr>
          <w:rFonts w:ascii="IBM Plex Sans" w:eastAsia="Times New Roman" w:hAnsi="IBM Plex Sans"/>
          <w:color w:val="283030"/>
          <w:sz w:val="20"/>
          <w:szCs w:val="20"/>
        </w:rPr>
        <w:t xml:space="preserve">on-operating income” line item in our Consolidated Statement of Operations. </w:t>
      </w:r>
    </w:p>
    <w:p w:rsidR="00000000" w:rsidRDefault="00F5481A">
      <w:pPr>
        <w:ind w:firstLine="360"/>
        <w:divId w:val="1172993778"/>
        <w:rPr>
          <w:rFonts w:eastAsia="Times New Roman"/>
        </w:rPr>
      </w:pPr>
      <w:r>
        <w:rPr>
          <w:rFonts w:ascii="IBM Plex Sans" w:eastAsia="Times New Roman" w:hAnsi="IBM Plex Sans"/>
          <w:color w:val="283030"/>
          <w:sz w:val="20"/>
          <w:szCs w:val="20"/>
        </w:rPr>
        <w:t>We also provide retirement benefits to many of our U.S.-based employees through defined contribution retirement plans, including 401(k) plans and certain non-qualified deferred co</w:t>
      </w:r>
      <w:r>
        <w:rPr>
          <w:rFonts w:ascii="IBM Plex Sans" w:eastAsia="Times New Roman" w:hAnsi="IBM Plex Sans"/>
          <w:color w:val="283030"/>
          <w:sz w:val="20"/>
          <w:szCs w:val="20"/>
        </w:rPr>
        <w:t>mpensation plans. The defined contribution retirement plans have matching and savings elements. Company contributions to the retirement plans are based on employees’ savings with no other funding requirements. We may make additional contributions to the re</w:t>
      </w:r>
      <w:r>
        <w:rPr>
          <w:rFonts w:ascii="IBM Plex Sans" w:eastAsia="Times New Roman" w:hAnsi="IBM Plex Sans"/>
          <w:color w:val="283030"/>
          <w:sz w:val="20"/>
          <w:szCs w:val="20"/>
        </w:rPr>
        <w:t xml:space="preserve">tirement plans at our discretion. Retirement and postretirement benefits also include unfunded limited healthcare plans for U.S.-based retirees and employees on long-term disability. We estimate benefits for these plans using actuarial valuations that are </w:t>
      </w:r>
      <w:r>
        <w:rPr>
          <w:rFonts w:ascii="IBM Plex Sans" w:eastAsia="Times New Roman" w:hAnsi="IBM Plex Sans"/>
          <w:color w:val="283030"/>
          <w:sz w:val="20"/>
          <w:szCs w:val="20"/>
        </w:rPr>
        <w:t>based, in part, on certain key assumptions we make, including the discount rate, the expected long-term rate of return on plan assets, the rate of future compensation increases, healthcare cost trend rates and employee turnover and mortality, each appropri</w:t>
      </w:r>
      <w:r>
        <w:rPr>
          <w:rFonts w:ascii="IBM Plex Sans" w:eastAsia="Times New Roman" w:hAnsi="IBM Plex Sans"/>
          <w:color w:val="283030"/>
          <w:sz w:val="20"/>
          <w:szCs w:val="20"/>
        </w:rPr>
        <w:t xml:space="preserve">ately based on the nature of the plans. We accrue the cost of these benefits during an employee’s active service life, except in the case of our healthcare plans for disabled employees, the costs of which we accrue when the disabling event occurs. </w:t>
      </w:r>
    </w:p>
    <w:p w:rsidR="00000000" w:rsidRDefault="00F5481A">
      <w:pPr>
        <w:ind w:firstLine="360"/>
        <w:divId w:val="1307784682"/>
        <w:rPr>
          <w:rFonts w:eastAsia="Times New Roman"/>
        </w:rPr>
      </w:pPr>
      <w:r>
        <w:rPr>
          <w:rFonts w:ascii="IBM Plex Sans" w:eastAsia="Times New Roman" w:hAnsi="IBM Plex Sans"/>
          <w:color w:val="283030"/>
          <w:sz w:val="20"/>
          <w:szCs w:val="20"/>
        </w:rPr>
        <w:t xml:space="preserve">See </w:t>
      </w:r>
      <w:r>
        <w:rPr>
          <w:rFonts w:ascii="IBM Plex Sans" w:eastAsia="Times New Roman" w:hAnsi="IBM Plex Sans"/>
          <w:i/>
          <w:iCs/>
          <w:color w:val="283030"/>
          <w:sz w:val="20"/>
          <w:szCs w:val="20"/>
        </w:rPr>
        <w:t>Not</w:t>
      </w:r>
      <w:r>
        <w:rPr>
          <w:rFonts w:ascii="IBM Plex Sans" w:eastAsia="Times New Roman" w:hAnsi="IBM Plex Sans"/>
          <w:i/>
          <w:iCs/>
          <w:color w:val="283030"/>
          <w:sz w:val="20"/>
          <w:szCs w:val="20"/>
        </w:rPr>
        <w:t xml:space="preserve">e 14: Pension and Other Postretirement Benefits </w:t>
      </w:r>
      <w:r>
        <w:rPr>
          <w:rFonts w:ascii="IBM Plex Sans" w:eastAsia="Times New Roman" w:hAnsi="IBM Plex Sans"/>
          <w:color w:val="283030"/>
          <w:sz w:val="20"/>
          <w:szCs w:val="20"/>
        </w:rPr>
        <w:t>in these Notes for additional information regarding our defined benefit plans.</w:t>
      </w:r>
    </w:p>
    <w:p w:rsidR="00000000" w:rsidRDefault="00F5481A">
      <w:pPr>
        <w:ind w:firstLine="360"/>
        <w:divId w:val="1658916762"/>
        <w:rPr>
          <w:rFonts w:eastAsia="Times New Roman"/>
        </w:rPr>
      </w:pPr>
      <w:r>
        <w:rPr>
          <w:rFonts w:ascii="IBM Plex Sans" w:eastAsia="Times New Roman" w:hAnsi="IBM Plex Sans"/>
          <w:b/>
          <w:bCs/>
          <w:color w:val="016676"/>
          <w:sz w:val="20"/>
          <w:szCs w:val="20"/>
        </w:rPr>
        <w:t>Environmental Expenditures</w:t>
      </w:r>
      <w:r>
        <w:rPr>
          <w:rFonts w:ascii="IBM Plex Sans" w:eastAsia="Times New Roman" w:hAnsi="IBM Plex Sans"/>
          <w:color w:val="283030"/>
          <w:sz w:val="20"/>
          <w:szCs w:val="20"/>
        </w:rPr>
        <w:t xml:space="preserve"> — </w:t>
      </w:r>
      <w:r>
        <w:rPr>
          <w:rFonts w:ascii="IBM Plex Sans" w:eastAsia="Times New Roman" w:hAnsi="IBM Plex Sans"/>
          <w:color w:val="283030"/>
          <w:sz w:val="20"/>
          <w:szCs w:val="20"/>
        </w:rPr>
        <w:t xml:space="preserve">We capitalize environmental expenditures that increase the life or efficiency of property or that reduce or prevent environmental contamination. We accrue environmental expenses resulting from existing conditions that relate to past or current operations. </w:t>
      </w:r>
      <w:r>
        <w:rPr>
          <w:rFonts w:ascii="IBM Plex Sans" w:eastAsia="Times New Roman" w:hAnsi="IBM Plex Sans"/>
          <w:color w:val="283030"/>
          <w:sz w:val="20"/>
          <w:szCs w:val="20"/>
        </w:rPr>
        <w:t xml:space="preserve">Our accruals for environmental expenses are recorded on a site-by-site basis when it is probable a liability has been incurred and the amount of the liability can be reasonably estimated, based on current law and existing technologies available to us. Our </w:t>
      </w:r>
      <w:r>
        <w:rPr>
          <w:rFonts w:ascii="IBM Plex Sans" w:eastAsia="Times New Roman" w:hAnsi="IBM Plex Sans"/>
          <w:color w:val="283030"/>
          <w:sz w:val="20"/>
          <w:szCs w:val="20"/>
        </w:rPr>
        <w:t>accruals for environmental expenses represent the best estimates related to the investigation and remediation of environmental media such as water, soil, soil vapor, air and structures, as well as related legal fees, and are reviewed periodically, at least</w:t>
      </w:r>
      <w:r>
        <w:rPr>
          <w:rFonts w:ascii="IBM Plex Sans" w:eastAsia="Times New Roman" w:hAnsi="IBM Plex Sans"/>
          <w:color w:val="283030"/>
          <w:sz w:val="20"/>
          <w:szCs w:val="20"/>
        </w:rPr>
        <w:t xml:space="preserve"> annually at the year-end balance sheet date, and updated for progress of investigation and remediation efforts and changes in facts and legal circumstances. If the timing and amount of future cash payments for environmental liabilities are fixed or reliab</w:t>
      </w:r>
      <w:r>
        <w:rPr>
          <w:rFonts w:ascii="IBM Plex Sans" w:eastAsia="Times New Roman" w:hAnsi="IBM Plex Sans"/>
          <w:color w:val="283030"/>
          <w:sz w:val="20"/>
          <w:szCs w:val="20"/>
        </w:rPr>
        <w:t xml:space="preserve">ly determinable, we generally discount such cash flows in estimating our accrual. </w:t>
      </w:r>
    </w:p>
    <w:p w:rsidR="00000000" w:rsidRDefault="00F5481A">
      <w:pPr>
        <w:ind w:firstLine="360"/>
        <w:jc w:val="center"/>
        <w:divId w:val="162009694"/>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72</w:t>
      </w:r>
    </w:p>
    <w:p w:rsidR="00000000" w:rsidRDefault="00F5481A">
      <w:pPr>
        <w:rPr>
          <w:rFonts w:eastAsia="Times New Roman"/>
        </w:rPr>
      </w:pPr>
      <w:r>
        <w:rPr>
          <w:rFonts w:eastAsia="Times New Roman"/>
        </w:rPr>
        <w:pict>
          <v:rect id="_x0000_i1103" style="width:0;height:1.5pt" o:hralign="center" o:hrstd="t" o:hr="t" fillcolor="#a0a0a0" stroked="f"/>
        </w:pict>
      </w:r>
    </w:p>
    <w:p w:rsidR="00000000" w:rsidRDefault="00F5481A">
      <w:pPr>
        <w:ind w:firstLine="360"/>
        <w:divId w:val="698513185"/>
        <w:rPr>
          <w:rFonts w:eastAsia="Times New Roman"/>
        </w:rPr>
      </w:pPr>
    </w:p>
    <w:p w:rsidR="00000000" w:rsidRDefault="00F5481A">
      <w:pPr>
        <w:ind w:firstLine="360"/>
        <w:divId w:val="862093125"/>
        <w:rPr>
          <w:rFonts w:eastAsia="Times New Roman"/>
        </w:rPr>
      </w:pPr>
      <w:r>
        <w:rPr>
          <w:rFonts w:ascii="IBM Plex Sans" w:eastAsia="Times New Roman" w:hAnsi="IBM Plex Sans"/>
          <w:color w:val="283030"/>
          <w:sz w:val="20"/>
          <w:szCs w:val="20"/>
        </w:rPr>
        <w:t>As of December 30, 2022, we were named, and continue to be nam</w:t>
      </w:r>
      <w:r>
        <w:rPr>
          <w:rFonts w:ascii="IBM Plex Sans" w:eastAsia="Times New Roman" w:hAnsi="IBM Plex Sans"/>
          <w:color w:val="283030"/>
          <w:sz w:val="20"/>
          <w:szCs w:val="20"/>
        </w:rPr>
        <w:t>ed, as a potentially responsible party at 82 sites where future liabilities could exist. These sites included 8 sites owned by us, 63 sites associated with our former and current locations or operations and 11 hazardous waste treatment, storage or disposal</w:t>
      </w:r>
      <w:r>
        <w:rPr>
          <w:rFonts w:ascii="IBM Plex Sans" w:eastAsia="Times New Roman" w:hAnsi="IBM Plex Sans"/>
          <w:color w:val="283030"/>
          <w:sz w:val="20"/>
          <w:szCs w:val="20"/>
        </w:rPr>
        <w:t xml:space="preserve"> facility sites not owned by us that contain hazardous substances allegedly attributable to us from past operations.</w:t>
      </w:r>
    </w:p>
    <w:p w:rsidR="00000000" w:rsidRDefault="00F5481A">
      <w:pPr>
        <w:ind w:firstLine="360"/>
        <w:divId w:val="727992105"/>
        <w:rPr>
          <w:rFonts w:eastAsia="Times New Roman"/>
        </w:rPr>
      </w:pPr>
      <w:r>
        <w:rPr>
          <w:rFonts w:ascii="IBM Plex Sans" w:eastAsia="Times New Roman" w:hAnsi="IBM Plex Sans"/>
          <w:color w:val="283030"/>
          <w:sz w:val="20"/>
          <w:szCs w:val="20"/>
        </w:rPr>
        <w:t>Based on an assessment of relevant factors, we estimated that our</w:t>
      </w:r>
      <w:r>
        <w:rPr>
          <w:rFonts w:ascii="IBM Plex Sans" w:eastAsia="Times New Roman" w:hAnsi="IBM Plex Sans"/>
          <w:color w:val="283030"/>
          <w:sz w:val="20"/>
          <w:szCs w:val="20"/>
        </w:rPr>
        <w:t xml:space="preserve"> </w:t>
      </w:r>
      <w:r>
        <w:rPr>
          <w:rFonts w:ascii="IBM Plex Sans" w:eastAsia="Times New Roman" w:hAnsi="IBM Plex Sans"/>
          <w:color w:val="283030"/>
          <w:sz w:val="20"/>
          <w:szCs w:val="20"/>
        </w:rPr>
        <w:t>liability under applicable environmental statutes and regulation</w:t>
      </w:r>
      <w:r>
        <w:rPr>
          <w:rFonts w:ascii="IBM Plex Sans" w:eastAsia="Times New Roman" w:hAnsi="IBM Plex Sans"/>
          <w:color w:val="283030"/>
          <w:sz w:val="20"/>
          <w:szCs w:val="20"/>
        </w:rPr>
        <w:t>s</w:t>
      </w:r>
      <w:r>
        <w:rPr>
          <w:rFonts w:ascii="IBM Plex Sans" w:eastAsia="Times New Roman" w:hAnsi="IBM Plex Sans"/>
          <w:color w:val="283030"/>
          <w:sz w:val="20"/>
          <w:szCs w:val="20"/>
        </w:rPr>
        <w:t xml:space="preserve"> for ide</w:t>
      </w:r>
      <w:r>
        <w:rPr>
          <w:rFonts w:ascii="IBM Plex Sans" w:eastAsia="Times New Roman" w:hAnsi="IBM Plex Sans"/>
          <w:color w:val="283030"/>
          <w:sz w:val="20"/>
          <w:szCs w:val="20"/>
        </w:rPr>
        <w:t>ntified sites was $113 million. The current portion of our estimated environmental liability is included in the “Other accrued items” line item and the non-current portion is included in the “Other long-term liabilities” line item in our Consolidated Balan</w:t>
      </w:r>
      <w:r>
        <w:rPr>
          <w:rFonts w:ascii="IBM Plex Sans" w:eastAsia="Times New Roman" w:hAnsi="IBM Plex Sans"/>
          <w:color w:val="283030"/>
          <w:sz w:val="20"/>
          <w:szCs w:val="20"/>
        </w:rPr>
        <w:t>ce Sheet.</w:t>
      </w:r>
    </w:p>
    <w:p w:rsidR="00000000" w:rsidRDefault="00F5481A">
      <w:pPr>
        <w:ind w:firstLine="360"/>
        <w:divId w:val="92361573"/>
        <w:rPr>
          <w:rFonts w:eastAsia="Times New Roman"/>
        </w:rPr>
      </w:pPr>
      <w:r>
        <w:rPr>
          <w:rFonts w:ascii="IBM Plex Sans" w:eastAsia="Times New Roman" w:hAnsi="IBM Plex Sans"/>
          <w:color w:val="283030"/>
          <w:sz w:val="20"/>
          <w:szCs w:val="20"/>
        </w:rPr>
        <w:t xml:space="preserve">The relevant factors we considered in estimating our potential liabilities under applicable environmental statutes and regulations included some or all of the following as to each site: incomplete information regarding particular sites and other </w:t>
      </w:r>
      <w:r>
        <w:rPr>
          <w:rFonts w:ascii="IBM Plex Sans" w:eastAsia="Times New Roman" w:hAnsi="IBM Plex Sans"/>
          <w:color w:val="283030"/>
          <w:sz w:val="20"/>
          <w:szCs w:val="20"/>
        </w:rPr>
        <w:t>potentially responsible parties; uncertainty regarding the extent of investigation or remediation; our share, if any, of liability for such conditions; the selection of alternative remedial approaches; changes in environmental standards and regulatory requ</w:t>
      </w:r>
      <w:r>
        <w:rPr>
          <w:rFonts w:ascii="IBM Plex Sans" w:eastAsia="Times New Roman" w:hAnsi="IBM Plex Sans"/>
          <w:color w:val="283030"/>
          <w:sz w:val="20"/>
          <w:szCs w:val="20"/>
        </w:rPr>
        <w:t>irements; probable insurance proceeds; cost-sharing agreements with other parties; and potential indemnification from successor and predecessor owners of these sites. We do not believe that any uncertainties regarding these relevant factors will materially</w:t>
      </w:r>
      <w:r>
        <w:rPr>
          <w:rFonts w:ascii="IBM Plex Sans" w:eastAsia="Times New Roman" w:hAnsi="IBM Plex Sans"/>
          <w:color w:val="283030"/>
          <w:sz w:val="20"/>
          <w:szCs w:val="20"/>
        </w:rPr>
        <w:t xml:space="preserve"> affect our potential liability under applicable environmental statutes and regulations. We believe the total amount accrued is appropriate based on existing facts and circumstances, although we note the total amount accrued may increase or decrease in fut</w:t>
      </w:r>
      <w:r>
        <w:rPr>
          <w:rFonts w:ascii="IBM Plex Sans" w:eastAsia="Times New Roman" w:hAnsi="IBM Plex Sans"/>
          <w:color w:val="283030"/>
          <w:sz w:val="20"/>
          <w:szCs w:val="20"/>
        </w:rPr>
        <w:t>ure years.</w:t>
      </w:r>
    </w:p>
    <w:p w:rsidR="00000000" w:rsidRDefault="00F5481A">
      <w:pPr>
        <w:ind w:firstLine="360"/>
        <w:divId w:val="1830294001"/>
        <w:rPr>
          <w:rFonts w:eastAsia="Times New Roman"/>
        </w:rPr>
      </w:pPr>
      <w:r>
        <w:rPr>
          <w:rFonts w:ascii="IBM Plex Sans" w:eastAsia="Times New Roman" w:hAnsi="IBM Plex Sans"/>
          <w:b/>
          <w:bCs/>
          <w:color w:val="016676"/>
          <w:sz w:val="20"/>
          <w:szCs w:val="20"/>
        </w:rPr>
        <w:t>Financial Guarantees and Commercial Commitments</w:t>
      </w:r>
      <w:r>
        <w:rPr>
          <w:rFonts w:ascii="IBM Plex Sans" w:eastAsia="Times New Roman" w:hAnsi="IBM Plex Sans"/>
          <w:color w:val="016676"/>
          <w:sz w:val="20"/>
          <w:szCs w:val="20"/>
        </w:rPr>
        <w:t> </w:t>
      </w:r>
      <w:r>
        <w:rPr>
          <w:rFonts w:ascii="IBM Plex Sans" w:eastAsia="Times New Roman" w:hAnsi="IBM Plex Sans"/>
          <w:color w:val="283030"/>
          <w:sz w:val="20"/>
          <w:szCs w:val="20"/>
        </w:rPr>
        <w:t>— Financial guarantees are contingent commitments issued to guarantee the performance of a customer to a third party in borrowing arrangements, such as commercial paper issuances, bond financings a</w:t>
      </w:r>
      <w:r>
        <w:rPr>
          <w:rFonts w:ascii="IBM Plex Sans" w:eastAsia="Times New Roman" w:hAnsi="IBM Plex Sans"/>
          <w:color w:val="283030"/>
          <w:sz w:val="20"/>
          <w:szCs w:val="20"/>
        </w:rPr>
        <w:t>nd similar transactions.</w:t>
      </w:r>
    </w:p>
    <w:p w:rsidR="00000000" w:rsidRDefault="00F5481A">
      <w:pPr>
        <w:ind w:firstLine="360"/>
        <w:divId w:val="1188329269"/>
        <w:rPr>
          <w:rFonts w:eastAsia="Times New Roman"/>
        </w:rPr>
      </w:pPr>
      <w:r>
        <w:rPr>
          <w:rFonts w:ascii="IBM Plex Sans" w:eastAsia="Times New Roman" w:hAnsi="IBM Plex Sans"/>
          <w:color w:val="283030"/>
          <w:sz w:val="20"/>
          <w:szCs w:val="20"/>
        </w:rPr>
        <w:t>We have entered into commercial commitments in the normal course of business including surety bonds, standby letter of credit agreements and other arrangements with financial institutions and customers primarily related to the guar</w:t>
      </w:r>
      <w:r>
        <w:rPr>
          <w:rFonts w:ascii="IBM Plex Sans" w:eastAsia="Times New Roman" w:hAnsi="IBM Plex Sans"/>
          <w:color w:val="283030"/>
          <w:sz w:val="20"/>
          <w:szCs w:val="20"/>
        </w:rPr>
        <w:t xml:space="preserve">antee of future performance on certain contracts to provide products and services to customers and to obtain insurance policies with our insurance carriers. </w:t>
      </w:r>
    </w:p>
    <w:p w:rsidR="00000000" w:rsidRDefault="00F5481A">
      <w:pPr>
        <w:ind w:firstLine="360"/>
        <w:divId w:val="1616447533"/>
        <w:rPr>
          <w:rFonts w:eastAsia="Times New Roman"/>
        </w:rPr>
      </w:pPr>
      <w:r>
        <w:rPr>
          <w:rFonts w:ascii="IBM Plex Sans" w:eastAsia="Times New Roman" w:hAnsi="IBM Plex Sans"/>
          <w:color w:val="283030"/>
          <w:sz w:val="20"/>
          <w:szCs w:val="20"/>
        </w:rPr>
        <w:t>As of December </w:t>
      </w:r>
      <w:r>
        <w:rPr>
          <w:rFonts w:ascii="IBM Plex Sans" w:eastAsia="Times New Roman" w:hAnsi="IBM Plex Sans"/>
          <w:color w:val="283030"/>
          <w:sz w:val="20"/>
          <w:szCs w:val="20"/>
        </w:rPr>
        <w:t xml:space="preserve">30, 2022, we had commercial commitments on outstanding surety bonds of $545 million and standby letters of credit of $707 million. There were no other such financial guarantees and commercial commitments accrued for in our Consolidated Balance Sheet. </w:t>
      </w:r>
    </w:p>
    <w:p w:rsidR="00000000" w:rsidRDefault="00F5481A">
      <w:pPr>
        <w:ind w:firstLine="360"/>
        <w:divId w:val="1124228020"/>
        <w:rPr>
          <w:rFonts w:eastAsia="Times New Roman"/>
        </w:rPr>
      </w:pPr>
      <w:r>
        <w:rPr>
          <w:rFonts w:ascii="IBM Plex Sans" w:eastAsia="Times New Roman" w:hAnsi="IBM Plex Sans"/>
          <w:b/>
          <w:bCs/>
          <w:color w:val="016676"/>
          <w:sz w:val="20"/>
          <w:szCs w:val="20"/>
        </w:rPr>
        <w:t>Fina</w:t>
      </w:r>
      <w:r>
        <w:rPr>
          <w:rFonts w:ascii="IBM Plex Sans" w:eastAsia="Times New Roman" w:hAnsi="IBM Plex Sans"/>
          <w:b/>
          <w:bCs/>
          <w:color w:val="016676"/>
          <w:sz w:val="20"/>
          <w:szCs w:val="20"/>
        </w:rPr>
        <w:t>ncial Instruments and Risk Management</w:t>
      </w:r>
      <w:r>
        <w:rPr>
          <w:rFonts w:ascii="IBM Plex Sans" w:eastAsia="Times New Roman" w:hAnsi="IBM Plex Sans"/>
          <w:color w:val="016676"/>
          <w:sz w:val="20"/>
          <w:szCs w:val="20"/>
        </w:rPr>
        <w:t> </w:t>
      </w:r>
      <w:r>
        <w:rPr>
          <w:rFonts w:ascii="IBM Plex Sans" w:eastAsia="Times New Roman" w:hAnsi="IBM Plex Sans"/>
          <w:color w:val="283030"/>
          <w:sz w:val="20"/>
          <w:szCs w:val="20"/>
        </w:rPr>
        <w:t>— In the normal course of business, we are exposed to global market risks, including the effect of changes in foreign currency exchange rates and changes in interest rates. We use derivative instruments to manage our e</w:t>
      </w:r>
      <w:r>
        <w:rPr>
          <w:rFonts w:ascii="IBM Plex Sans" w:eastAsia="Times New Roman" w:hAnsi="IBM Plex Sans"/>
          <w:color w:val="283030"/>
          <w:sz w:val="20"/>
          <w:szCs w:val="20"/>
        </w:rPr>
        <w:t>xposure to such risks and formally document all relationships between hedging instruments and hedged items, as well as the risk-management objective and strategy for undertaking hedge transactions. We may also enter into derivative instruments that are not</w:t>
      </w:r>
      <w:r>
        <w:rPr>
          <w:rFonts w:ascii="IBM Plex Sans" w:eastAsia="Times New Roman" w:hAnsi="IBM Plex Sans"/>
          <w:color w:val="283030"/>
          <w:sz w:val="20"/>
          <w:szCs w:val="20"/>
        </w:rPr>
        <w:t xml:space="preserve"> designated as hedges and do not qualify for hedge accounting. We recognize all derivatives in our Consolidated Balance Sheet at fair value. Derivatives that are not hedges are adjusted to fair value through income. If the derivative is a hedge, depending </w:t>
      </w:r>
      <w:r>
        <w:rPr>
          <w:rFonts w:ascii="IBM Plex Sans" w:eastAsia="Times New Roman" w:hAnsi="IBM Plex Sans"/>
          <w:color w:val="283030"/>
          <w:sz w:val="20"/>
          <w:szCs w:val="20"/>
        </w:rPr>
        <w:t>on the nature of the hedge, changes in the fair value of the derivative are either offset against the change in fair value of assets, liabilities or firm commitments through earnings or recognized in other comprehensive income until the hedged item is reco</w:t>
      </w:r>
      <w:r>
        <w:rPr>
          <w:rFonts w:ascii="IBM Plex Sans" w:eastAsia="Times New Roman" w:hAnsi="IBM Plex Sans"/>
          <w:color w:val="283030"/>
          <w:sz w:val="20"/>
          <w:szCs w:val="20"/>
        </w:rPr>
        <w:t xml:space="preserve">gnized in earnings. We do not hold or issue derivatives for speculative trading purposes. See </w:t>
      </w:r>
      <w:r>
        <w:rPr>
          <w:rFonts w:ascii="IBM Plex Sans" w:eastAsia="Times New Roman" w:hAnsi="IBM Plex Sans"/>
          <w:i/>
          <w:iCs/>
          <w:color w:val="283030"/>
          <w:sz w:val="20"/>
          <w:szCs w:val="20"/>
        </w:rPr>
        <w:t>Note 19: Derivative Instruments and Hedging Activities</w:t>
      </w:r>
      <w:r>
        <w:rPr>
          <w:rFonts w:ascii="IBM Plex Sans" w:eastAsia="Times New Roman" w:hAnsi="IBM Plex Sans"/>
          <w:color w:val="283030"/>
          <w:sz w:val="20"/>
          <w:szCs w:val="20"/>
        </w:rPr>
        <w:t xml:space="preserve"> in these Notes for additional information regarding our use of derivative instruments.</w:t>
      </w:r>
    </w:p>
    <w:p w:rsidR="00000000" w:rsidRDefault="00F5481A">
      <w:pPr>
        <w:ind w:firstLine="360"/>
        <w:divId w:val="965506556"/>
        <w:rPr>
          <w:rFonts w:eastAsia="Times New Roman"/>
        </w:rPr>
      </w:pPr>
      <w:r>
        <w:rPr>
          <w:rFonts w:ascii="IBM Plex Sans" w:eastAsia="Times New Roman" w:hAnsi="IBM Plex Sans"/>
          <w:b/>
          <w:bCs/>
          <w:color w:val="016676"/>
          <w:sz w:val="20"/>
          <w:szCs w:val="20"/>
        </w:rPr>
        <w:t>Income From Continui</w:t>
      </w:r>
      <w:r>
        <w:rPr>
          <w:rFonts w:ascii="IBM Plex Sans" w:eastAsia="Times New Roman" w:hAnsi="IBM Plex Sans"/>
          <w:b/>
          <w:bCs/>
          <w:color w:val="016676"/>
          <w:sz w:val="20"/>
          <w:szCs w:val="20"/>
        </w:rPr>
        <w:t>ng Operations Per Share</w:t>
      </w:r>
      <w:r>
        <w:rPr>
          <w:rFonts w:ascii="IBM Plex Sans" w:eastAsia="Times New Roman" w:hAnsi="IBM Plex Sans"/>
          <w:color w:val="283030"/>
          <w:sz w:val="20"/>
          <w:szCs w:val="20"/>
        </w:rPr>
        <w:t> — For all periods presented in our Consolidated Financial Statements and these Notes, income from continuing operations per share (“EPS”) is computed using the two-class method. The two-class method of computing EPS is an earnings a</w:t>
      </w:r>
      <w:r>
        <w:rPr>
          <w:rFonts w:ascii="IBM Plex Sans" w:eastAsia="Times New Roman" w:hAnsi="IBM Plex Sans"/>
          <w:color w:val="283030"/>
          <w:sz w:val="20"/>
          <w:szCs w:val="20"/>
        </w:rPr>
        <w:t>llocation formula that determines EPS for common stock and any participating securities according to dividends paid and participation rights in undistributed earnings. Under the two-class method, income from continuing operations per common share is comput</w:t>
      </w:r>
      <w:r>
        <w:rPr>
          <w:rFonts w:ascii="IBM Plex Sans" w:eastAsia="Times New Roman" w:hAnsi="IBM Plex Sans"/>
          <w:color w:val="283030"/>
          <w:sz w:val="20"/>
          <w:szCs w:val="20"/>
        </w:rPr>
        <w:t>ed by dividing the sum of earnings distributed to common shareholders and undistributed earnings allocated to common shareholders by the weighted-average number of common shares outstanding for the period. Income from continuing operations per diluted comm</w:t>
      </w:r>
      <w:r>
        <w:rPr>
          <w:rFonts w:ascii="IBM Plex Sans" w:eastAsia="Times New Roman" w:hAnsi="IBM Plex Sans"/>
          <w:color w:val="283030"/>
          <w:sz w:val="20"/>
          <w:szCs w:val="20"/>
        </w:rPr>
        <w:t>on share is computed using the more dilutive of the two-class method or the treasury stock method. In applying the two-class method, undistributed earnings are allocated to both common shares and participating securities based on the weighted-average share</w:t>
      </w:r>
      <w:r>
        <w:rPr>
          <w:rFonts w:ascii="IBM Plex Sans" w:eastAsia="Times New Roman" w:hAnsi="IBM Plex Sans"/>
          <w:color w:val="283030"/>
          <w:sz w:val="20"/>
          <w:szCs w:val="20"/>
        </w:rPr>
        <w:t xml:space="preserve">s outstanding during the period. See </w:t>
      </w:r>
      <w:r>
        <w:rPr>
          <w:rFonts w:ascii="IBM Plex Sans" w:eastAsia="Times New Roman" w:hAnsi="IBM Plex Sans"/>
          <w:i/>
          <w:iCs/>
          <w:color w:val="283030"/>
          <w:sz w:val="20"/>
          <w:szCs w:val="20"/>
        </w:rPr>
        <w:t>Note 16: Earnings Per Share</w:t>
      </w:r>
      <w:r>
        <w:rPr>
          <w:rFonts w:ascii="IBM Plex Sans" w:eastAsia="Times New Roman" w:hAnsi="IBM Plex Sans"/>
          <w:color w:val="283030"/>
          <w:sz w:val="20"/>
          <w:szCs w:val="20"/>
        </w:rPr>
        <w:t xml:space="preserve"> in these Notes for additional information regarding weighted-average shares outstanding.</w:t>
      </w:r>
    </w:p>
    <w:p w:rsidR="00000000" w:rsidRDefault="00F5481A">
      <w:pPr>
        <w:ind w:firstLine="360"/>
        <w:divId w:val="1856309691"/>
        <w:rPr>
          <w:rFonts w:eastAsia="Times New Roman"/>
        </w:rPr>
      </w:pPr>
      <w:r>
        <w:rPr>
          <w:rFonts w:ascii="IBM Plex Sans" w:eastAsia="Times New Roman" w:hAnsi="IBM Plex Sans"/>
          <w:b/>
          <w:bCs/>
          <w:color w:val="016676"/>
          <w:sz w:val="20"/>
          <w:szCs w:val="20"/>
        </w:rPr>
        <w:t>Business Segments</w:t>
      </w:r>
      <w:r>
        <w:rPr>
          <w:rFonts w:ascii="IBM Plex Sans" w:eastAsia="Times New Roman" w:hAnsi="IBM Plex Sans"/>
          <w:color w:val="016676"/>
          <w:sz w:val="20"/>
          <w:szCs w:val="20"/>
        </w:rPr>
        <w:t> </w:t>
      </w:r>
      <w:r>
        <w:rPr>
          <w:rFonts w:ascii="IBM Plex Sans" w:eastAsia="Times New Roman" w:hAnsi="IBM Plex Sans"/>
          <w:color w:val="283030"/>
          <w:sz w:val="20"/>
          <w:szCs w:val="20"/>
        </w:rPr>
        <w:t>— We evaluate each business segment’s performance based on its operating income or l</w:t>
      </w:r>
      <w:r>
        <w:rPr>
          <w:rFonts w:ascii="IBM Plex Sans" w:eastAsia="Times New Roman" w:hAnsi="IBM Plex Sans"/>
          <w:color w:val="283030"/>
          <w:sz w:val="20"/>
          <w:szCs w:val="20"/>
        </w:rPr>
        <w:t xml:space="preserve">oss, which we define as profit or loss from operations before income taxes, excluding FAS/CAS operating adjustment, interest income and expense, royalties and related intellectual property expenses, equity method </w:t>
      </w:r>
    </w:p>
    <w:p w:rsidR="00000000" w:rsidRDefault="00F5481A">
      <w:pPr>
        <w:ind w:firstLine="360"/>
        <w:jc w:val="center"/>
        <w:divId w:val="1151943944"/>
        <w:rPr>
          <w:rFonts w:eastAsia="Times New Roman"/>
        </w:rPr>
      </w:pPr>
      <w:r>
        <w:rPr>
          <w:rFonts w:ascii="Arial" w:eastAsia="Times New Roman" w:hAnsi="Arial" w:cs="Arial"/>
          <w:b/>
          <w:bCs/>
          <w:color w:val="016676"/>
        </w:rPr>
        <w:t>__________________________________________</w:t>
      </w:r>
      <w:r>
        <w:rPr>
          <w:rFonts w:ascii="Arial" w:eastAsia="Times New Roman" w:hAnsi="Arial" w:cs="Arial"/>
          <w:b/>
          <w:bCs/>
          <w:color w:val="016676"/>
        </w:rPr>
        <w:t>___________________________</w:t>
      </w:r>
      <w:r>
        <w:rPr>
          <w:rFonts w:ascii="Arial" w:eastAsia="Times New Roman" w:hAnsi="Arial" w:cs="Arial"/>
          <w:b/>
          <w:bCs/>
          <w:color w:val="233D6F"/>
        </w:rPr>
        <w:br/>
      </w:r>
      <w:r>
        <w:rPr>
          <w:rFonts w:ascii="IBM Plex Sans" w:eastAsia="Times New Roman" w:hAnsi="IBM Plex Sans"/>
          <w:color w:val="283030"/>
          <w:sz w:val="20"/>
          <w:szCs w:val="20"/>
        </w:rPr>
        <w:t>73</w:t>
      </w:r>
    </w:p>
    <w:p w:rsidR="00000000" w:rsidRDefault="00F5481A">
      <w:pPr>
        <w:rPr>
          <w:rFonts w:eastAsia="Times New Roman"/>
        </w:rPr>
      </w:pPr>
      <w:r>
        <w:rPr>
          <w:rFonts w:eastAsia="Times New Roman"/>
        </w:rPr>
        <w:pict>
          <v:rect id="_x0000_i1104" style="width:0;height:1.5pt" o:hralign="center" o:hrstd="t" o:hr="t" fillcolor="#a0a0a0" stroked="f"/>
        </w:pict>
      </w:r>
    </w:p>
    <w:p w:rsidR="00000000" w:rsidRDefault="00F5481A">
      <w:pPr>
        <w:ind w:firstLine="360"/>
        <w:divId w:val="788092370"/>
        <w:rPr>
          <w:rFonts w:eastAsia="Times New Roman"/>
        </w:rPr>
      </w:pPr>
    </w:p>
    <w:p w:rsidR="00000000" w:rsidRDefault="00F5481A">
      <w:pPr>
        <w:divId w:val="866137437"/>
        <w:rPr>
          <w:rFonts w:eastAsia="Times New Roman"/>
        </w:rPr>
      </w:pPr>
      <w:r>
        <w:rPr>
          <w:rFonts w:ascii="IBM Plex Sans" w:eastAsia="Times New Roman" w:hAnsi="IBM Plex Sans"/>
          <w:color w:val="283030"/>
          <w:sz w:val="20"/>
          <w:szCs w:val="20"/>
        </w:rPr>
        <w:t xml:space="preserve">investment income or loss and gains or losses from securities and other investments. Intersegment sales are generally transferred at cost to the buying segment, and the sourcing segment </w:t>
      </w:r>
      <w:r>
        <w:rPr>
          <w:rFonts w:ascii="IBM Plex Sans" w:eastAsia="Times New Roman" w:hAnsi="IBM Plex Sans"/>
          <w:color w:val="283030"/>
          <w:sz w:val="20"/>
          <w:szCs w:val="20"/>
        </w:rPr>
        <w:t xml:space="preserve">recognizes a profit that is eliminated. The “Corporate eliminations” line item in </w:t>
      </w:r>
      <w:r>
        <w:rPr>
          <w:rFonts w:ascii="IBM Plex Sans" w:eastAsia="Times New Roman" w:hAnsi="IBM Plex Sans"/>
          <w:i/>
          <w:iCs/>
          <w:color w:val="283030"/>
          <w:sz w:val="20"/>
          <w:szCs w:val="20"/>
        </w:rPr>
        <w:t>Note 24: Business Segments</w:t>
      </w:r>
      <w:r>
        <w:rPr>
          <w:rFonts w:ascii="IBM Plex Sans" w:eastAsia="Times New Roman" w:hAnsi="IBM Plex Sans"/>
          <w:color w:val="283030"/>
          <w:sz w:val="20"/>
          <w:szCs w:val="20"/>
        </w:rPr>
        <w:t xml:space="preserve"> in these Notes represents the elimination of intersegment sales. Corporate expenses are primarily allocated to our business segments using an alloc</w:t>
      </w:r>
      <w:r>
        <w:rPr>
          <w:rFonts w:ascii="IBM Plex Sans" w:eastAsia="Times New Roman" w:hAnsi="IBM Plex Sans"/>
          <w:color w:val="283030"/>
          <w:sz w:val="20"/>
          <w:szCs w:val="20"/>
        </w:rPr>
        <w:t xml:space="preserve">ation methodology prescribed by U.S. Government regulations for government contractors. The “Unallocated corporate department expense, net” line item in </w:t>
      </w:r>
      <w:r>
        <w:rPr>
          <w:rFonts w:ascii="IBM Plex Sans" w:eastAsia="Times New Roman" w:hAnsi="IBM Plex Sans"/>
          <w:i/>
          <w:iCs/>
          <w:color w:val="283030"/>
          <w:sz w:val="20"/>
          <w:szCs w:val="20"/>
        </w:rPr>
        <w:t>Note 24: Business Segments</w:t>
      </w:r>
      <w:r>
        <w:rPr>
          <w:rFonts w:ascii="IBM Plex Sans" w:eastAsia="Times New Roman" w:hAnsi="IBM Plex Sans"/>
          <w:color w:val="283030"/>
          <w:sz w:val="20"/>
          <w:szCs w:val="20"/>
        </w:rPr>
        <w:t xml:space="preserve"> in these Notes represents the portion of corporate expenses not allocated to</w:t>
      </w:r>
      <w:r>
        <w:rPr>
          <w:rFonts w:ascii="IBM Plex Sans" w:eastAsia="Times New Roman" w:hAnsi="IBM Plex Sans"/>
          <w:color w:val="283030"/>
          <w:sz w:val="20"/>
          <w:szCs w:val="20"/>
        </w:rPr>
        <w:t xml:space="preserve"> our business segments or elimination of intersegment profits. The “FAS/CAS operating adjustment” line item in </w:t>
      </w:r>
      <w:r>
        <w:rPr>
          <w:rFonts w:ascii="IBM Plex Sans" w:eastAsia="Times New Roman" w:hAnsi="IBM Plex Sans"/>
          <w:i/>
          <w:iCs/>
          <w:color w:val="283030"/>
          <w:sz w:val="20"/>
          <w:szCs w:val="20"/>
        </w:rPr>
        <w:t>Note 24: Business Segments</w:t>
      </w:r>
      <w:r>
        <w:rPr>
          <w:rFonts w:ascii="IBM Plex Sans" w:eastAsia="Times New Roman" w:hAnsi="IBM Plex Sans"/>
          <w:color w:val="283030"/>
          <w:sz w:val="20"/>
          <w:szCs w:val="20"/>
        </w:rPr>
        <w:t xml:space="preserve"> in these Notes represents the difference between the service cost component of FAS pension and OPEB income or expense </w:t>
      </w:r>
      <w:r>
        <w:rPr>
          <w:rFonts w:ascii="IBM Plex Sans" w:eastAsia="Times New Roman" w:hAnsi="IBM Plex Sans"/>
          <w:color w:val="283030"/>
          <w:sz w:val="20"/>
          <w:szCs w:val="20"/>
        </w:rPr>
        <w:t>and total CAS pension and OPEB income or expense. Non-service cost components of FAS pension and OPEB income or expense are included in the “Non-operating income, net” line item in our Consolidated Statement of Operations. The non-service cost components o</w:t>
      </w:r>
      <w:r>
        <w:rPr>
          <w:rFonts w:ascii="IBM Plex Sans" w:eastAsia="Times New Roman" w:hAnsi="IBM Plex Sans"/>
          <w:color w:val="283030"/>
          <w:sz w:val="20"/>
          <w:szCs w:val="20"/>
        </w:rPr>
        <w:t>f net periodic pension and postretirement benefit income includes interest cost, expected return on plan assets, amortization of net actuarial gain or loss and effect of curtailments or settlements under our pension and postretirement benefit plans.</w:t>
      </w:r>
      <w:r>
        <w:rPr>
          <w:rFonts w:ascii="IBM Plex Sans" w:eastAsia="Times New Roman" w:hAnsi="IBM Plex Sans"/>
          <w:i/>
          <w:iCs/>
          <w:color w:val="283030"/>
          <w:sz w:val="20"/>
          <w:szCs w:val="20"/>
        </w:rPr>
        <w:t xml:space="preserve"> </w:t>
      </w:r>
    </w:p>
    <w:p w:rsidR="00000000" w:rsidRDefault="00F5481A">
      <w:pPr>
        <w:divId w:val="951012978"/>
        <w:rPr>
          <w:rFonts w:eastAsia="Times New Roman"/>
        </w:rPr>
      </w:pPr>
      <w:r>
        <w:rPr>
          <w:rFonts w:ascii="IBM Plex Sans SemiBold" w:eastAsia="Times New Roman" w:hAnsi="IBM Plex Sans SemiBold"/>
          <w:b/>
          <w:bCs/>
          <w:color w:val="016676"/>
          <w:sz w:val="20"/>
          <w:szCs w:val="20"/>
        </w:rPr>
        <w:t xml:space="preserve">NOTE </w:t>
      </w:r>
      <w:r>
        <w:rPr>
          <w:rFonts w:ascii="IBM Plex Sans SemiBold" w:eastAsia="Times New Roman" w:hAnsi="IBM Plex Sans SemiBold"/>
          <w:b/>
          <w:bCs/>
          <w:color w:val="016676"/>
          <w:sz w:val="20"/>
          <w:szCs w:val="20"/>
        </w:rPr>
        <w:t xml:space="preserve">2: ACCOUNTING CHANGES OR RECENT ACCOUNTING PRONOUNCEMENTS </w:t>
      </w:r>
    </w:p>
    <w:p w:rsidR="00000000" w:rsidRDefault="00F5481A">
      <w:pPr>
        <w:ind w:firstLine="360"/>
        <w:divId w:val="363482682"/>
        <w:rPr>
          <w:rFonts w:eastAsia="Times New Roman"/>
        </w:rPr>
      </w:pPr>
      <w:r>
        <w:rPr>
          <w:rFonts w:ascii="IBM Plex Sans" w:eastAsia="Times New Roman" w:hAnsi="IBM Plex Sans"/>
          <w:color w:val="283030"/>
          <w:sz w:val="20"/>
          <w:szCs w:val="20"/>
        </w:rPr>
        <w:t>Accounting standards updates adopted and/or issued, but not effective until after December 30, 2022, are not expected to have a material effect on our Consolidated Financial Statements, and there have been no new accounting changes or recent accounting pro</w:t>
      </w:r>
      <w:r>
        <w:rPr>
          <w:rFonts w:ascii="IBM Plex Sans" w:eastAsia="Times New Roman" w:hAnsi="IBM Plex Sans"/>
          <w:color w:val="283030"/>
          <w:sz w:val="20"/>
          <w:szCs w:val="20"/>
        </w:rPr>
        <w:t xml:space="preserve">nouncements which became effective during fiscal 2022 that materially impacted our Consolidated Financial Statements. </w:t>
      </w:r>
    </w:p>
    <w:p w:rsidR="00000000" w:rsidRDefault="00F5481A">
      <w:pPr>
        <w:divId w:val="679553028"/>
        <w:rPr>
          <w:rFonts w:eastAsia="Times New Roman"/>
        </w:rPr>
      </w:pPr>
      <w:r>
        <w:rPr>
          <w:rFonts w:ascii="IBM Plex Sans SemiBold" w:eastAsia="Times New Roman" w:hAnsi="IBM Plex Sans SemiBold"/>
          <w:b/>
          <w:bCs/>
          <w:color w:val="016676"/>
          <w:sz w:val="20"/>
          <w:szCs w:val="20"/>
        </w:rPr>
        <w:t>NOTE 3: ACQUISITIONS</w:t>
      </w:r>
    </w:p>
    <w:p w:rsidR="00000000" w:rsidRDefault="00F5481A">
      <w:pPr>
        <w:ind w:hanging="270"/>
        <w:divId w:val="643388817"/>
        <w:rPr>
          <w:rFonts w:eastAsia="Times New Roman"/>
        </w:rPr>
      </w:pPr>
      <w:r>
        <w:rPr>
          <w:rFonts w:ascii="IBM Plex Sans SemiBold" w:eastAsia="Times New Roman" w:hAnsi="IBM Plex Sans SemiBold"/>
          <w:b/>
          <w:bCs/>
          <w:color w:val="016676"/>
          <w:sz w:val="20"/>
          <w:szCs w:val="20"/>
        </w:rPr>
        <w:t>Acquisition of TDL Product Line</w:t>
      </w:r>
    </w:p>
    <w:p w:rsidR="00000000" w:rsidRDefault="00F5481A">
      <w:pPr>
        <w:ind w:firstLine="360"/>
        <w:divId w:val="1214275607"/>
        <w:rPr>
          <w:rFonts w:eastAsia="Times New Roman"/>
        </w:rPr>
      </w:pPr>
      <w:r>
        <w:rPr>
          <w:rFonts w:ascii="IBM Plex Sans" w:eastAsia="Times New Roman" w:hAnsi="IBM Plex Sans"/>
          <w:color w:val="283030"/>
          <w:sz w:val="20"/>
          <w:szCs w:val="20"/>
        </w:rPr>
        <w:t>On October 3, 2022, we entered into a definitive agreement to acquire the TDL produc</w:t>
      </w:r>
      <w:r>
        <w:rPr>
          <w:rFonts w:ascii="IBM Plex Sans" w:eastAsia="Times New Roman" w:hAnsi="IBM Plex Sans"/>
          <w:color w:val="283030"/>
          <w:sz w:val="20"/>
          <w:szCs w:val="20"/>
        </w:rPr>
        <w:t>t line for a purchase price of approximately $1.96 billion, subject to customary adjustments. The acquisition was completed subsequent to fiscal 2022 year-end on January 3, 2023. We used third-party debt borrowings under the Term Loan 2025 to finance the a</w:t>
      </w:r>
      <w:r>
        <w:rPr>
          <w:rFonts w:ascii="IBM Plex Sans" w:eastAsia="Times New Roman" w:hAnsi="IBM Plex Sans"/>
          <w:color w:val="283030"/>
          <w:sz w:val="20"/>
          <w:szCs w:val="20"/>
        </w:rPr>
        <w:t>cquisition. The purchase of the TDL product line will enhance our networking capability and provide immediate access to the ubiquitous Link 16 waveform, better positioning us to enable the DoD’s integrated architecture goal in JADC2. The TDL product line w</w:t>
      </w:r>
      <w:r>
        <w:rPr>
          <w:rFonts w:ascii="IBM Plex Sans" w:eastAsia="Times New Roman" w:hAnsi="IBM Plex Sans"/>
          <w:color w:val="283030"/>
          <w:sz w:val="20"/>
          <w:szCs w:val="20"/>
        </w:rPr>
        <w:t>ill be reported within our CS segment.</w:t>
      </w:r>
    </w:p>
    <w:p w:rsidR="00000000" w:rsidRDefault="00F5481A">
      <w:pPr>
        <w:ind w:hanging="270"/>
        <w:divId w:val="137963785"/>
        <w:rPr>
          <w:rFonts w:eastAsia="Times New Roman"/>
        </w:rPr>
      </w:pPr>
      <w:r>
        <w:rPr>
          <w:rFonts w:ascii="IBM Plex Sans SemiBold" w:eastAsia="Times New Roman" w:hAnsi="IBM Plex Sans SemiBold"/>
          <w:b/>
          <w:bCs/>
          <w:color w:val="016676"/>
          <w:sz w:val="20"/>
          <w:szCs w:val="20"/>
        </w:rPr>
        <w:t>Pending Acquisition of AJRD</w:t>
      </w:r>
    </w:p>
    <w:p w:rsidR="00000000" w:rsidRDefault="00F5481A">
      <w:pPr>
        <w:ind w:firstLine="360"/>
        <w:divId w:val="1452016480"/>
        <w:rPr>
          <w:rFonts w:eastAsia="Times New Roman"/>
        </w:rPr>
      </w:pPr>
      <w:r>
        <w:rPr>
          <w:rFonts w:ascii="IBM Plex Sans" w:eastAsia="Times New Roman" w:hAnsi="IBM Plex Sans"/>
          <w:color w:val="283030"/>
          <w:sz w:val="20"/>
          <w:szCs w:val="20"/>
        </w:rPr>
        <w:t>On December 17, 2022, we entered into a definitive agreement to acquire AJRD in an all-cash transaction of approximately $4.7 billion. AJRD is a provider of propulsion systems and energetic</w:t>
      </w:r>
      <w:r>
        <w:rPr>
          <w:rFonts w:ascii="IBM Plex Sans" w:eastAsia="Times New Roman" w:hAnsi="IBM Plex Sans"/>
          <w:color w:val="283030"/>
          <w:sz w:val="20"/>
          <w:szCs w:val="20"/>
        </w:rPr>
        <w:t xml:space="preserve">s for tactical and strategic missiles, missile defense systems and hypersonic applications. AJRD also provides liquid-fuel engines and propulsion and power systems for in-space crew and cargo transports. </w:t>
      </w:r>
      <w:r>
        <w:rPr>
          <w:rFonts w:ascii="IBM Plex Sans" w:eastAsia="Times New Roman" w:hAnsi="IBM Plex Sans"/>
          <w:color w:val="172430"/>
          <w:sz w:val="20"/>
          <w:szCs w:val="20"/>
        </w:rPr>
        <w:t>Upon closure of the acquisition, we anticipate creat</w:t>
      </w:r>
      <w:r>
        <w:rPr>
          <w:rFonts w:ascii="IBM Plex Sans" w:eastAsia="Times New Roman" w:hAnsi="IBM Plex Sans"/>
          <w:color w:val="172430"/>
          <w:sz w:val="20"/>
          <w:szCs w:val="20"/>
        </w:rPr>
        <w:t xml:space="preserve">ing a new business segment. The </w:t>
      </w:r>
      <w:r>
        <w:rPr>
          <w:rFonts w:ascii="IBM Plex Sans" w:eastAsia="Times New Roman" w:hAnsi="IBM Plex Sans"/>
          <w:color w:val="283030"/>
          <w:sz w:val="20"/>
          <w:szCs w:val="20"/>
        </w:rPr>
        <w:t>acquisition is expected to close in fiscal 2023, pending required regulatory approvals and clearances and other customary closing conditions.</w:t>
      </w:r>
    </w:p>
    <w:p w:rsidR="00000000" w:rsidRDefault="00F5481A">
      <w:pPr>
        <w:divId w:val="1973438740"/>
        <w:rPr>
          <w:rFonts w:eastAsia="Times New Roman"/>
        </w:rPr>
      </w:pPr>
      <w:r>
        <w:rPr>
          <w:rFonts w:ascii="IBM Plex Sans SemiBold" w:eastAsia="Times New Roman" w:hAnsi="IBM Plex Sans SemiBold"/>
          <w:b/>
          <w:bCs/>
          <w:color w:val="016676"/>
          <w:sz w:val="20"/>
          <w:szCs w:val="20"/>
        </w:rPr>
        <w:t xml:space="preserve">NOTE 4: BUSINESS DIVESTITURES AND ASSET SALES </w:t>
      </w:r>
    </w:p>
    <w:p w:rsidR="00000000" w:rsidRDefault="00F5481A">
      <w:pPr>
        <w:ind w:hanging="270"/>
        <w:divId w:val="347290747"/>
        <w:rPr>
          <w:rFonts w:eastAsia="Times New Roman"/>
        </w:rPr>
      </w:pPr>
      <w:r>
        <w:rPr>
          <w:rFonts w:ascii="IBM Plex Sans SemiBold" w:eastAsia="Times New Roman" w:hAnsi="IBM Plex Sans SemiBold"/>
          <w:b/>
          <w:bCs/>
          <w:color w:val="016676"/>
          <w:sz w:val="20"/>
          <w:szCs w:val="20"/>
        </w:rPr>
        <w:t>Completed Divestitures and Asset Sa</w:t>
      </w:r>
      <w:r>
        <w:rPr>
          <w:rFonts w:ascii="IBM Plex Sans SemiBold" w:eastAsia="Times New Roman" w:hAnsi="IBM Plex Sans SemiBold"/>
          <w:b/>
          <w:bCs/>
          <w:color w:val="016676"/>
          <w:sz w:val="20"/>
          <w:szCs w:val="20"/>
        </w:rPr>
        <w:t>les — Fiscal 2022</w:t>
      </w:r>
    </w:p>
    <w:p w:rsidR="00000000" w:rsidRDefault="00F5481A">
      <w:pPr>
        <w:ind w:firstLine="360"/>
        <w:divId w:val="1374043238"/>
        <w:rPr>
          <w:rFonts w:eastAsia="Times New Roman"/>
        </w:rPr>
      </w:pPr>
      <w:r>
        <w:rPr>
          <w:rFonts w:ascii="IBM Plex Sans" w:eastAsia="Times New Roman" w:hAnsi="IBM Plex Sans"/>
          <w:color w:val="283030"/>
          <w:sz w:val="20"/>
          <w:szCs w:val="20"/>
        </w:rPr>
        <w:t>During fiscal 2022, we completed the divestiture of our Space &amp; Navigation business and asset sale of CyTerra, both from our IMS business segment for combined net cash proceeds of $23 million and recognized a pre-tax gain of $8 million as</w:t>
      </w:r>
      <w:r>
        <w:rPr>
          <w:rFonts w:ascii="IBM Plex Sans" w:eastAsia="Times New Roman" w:hAnsi="IBM Plex Sans"/>
          <w:color w:val="283030"/>
          <w:sz w:val="20"/>
          <w:szCs w:val="20"/>
        </w:rPr>
        <w:t xml:space="preserve">sociated with the asset sale included in the “Engineering, selling and administrative expenses” line of our Consolidated Statement of Operations for fiscal 2022. </w:t>
      </w:r>
    </w:p>
    <w:p w:rsidR="00000000" w:rsidRDefault="00F5481A">
      <w:pPr>
        <w:ind w:firstLine="360"/>
        <w:jc w:val="center"/>
        <w:divId w:val="842548559"/>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74</w:t>
      </w:r>
    </w:p>
    <w:p w:rsidR="00000000" w:rsidRDefault="00F5481A">
      <w:pPr>
        <w:rPr>
          <w:rFonts w:eastAsia="Times New Roman"/>
        </w:rPr>
      </w:pPr>
      <w:r>
        <w:rPr>
          <w:rFonts w:eastAsia="Times New Roman"/>
        </w:rPr>
        <w:pict>
          <v:rect id="_x0000_i1105" style="width:0;height:1.5pt" o:hralign="center" o:hrstd="t" o:hr="t" fillcolor="#a0a0a0" stroked="f"/>
        </w:pict>
      </w:r>
    </w:p>
    <w:p w:rsidR="00000000" w:rsidRDefault="00F5481A">
      <w:pPr>
        <w:ind w:firstLine="360"/>
        <w:divId w:val="859050999"/>
        <w:rPr>
          <w:rFonts w:eastAsia="Times New Roman"/>
        </w:rPr>
      </w:pPr>
    </w:p>
    <w:p w:rsidR="00000000" w:rsidRDefault="00F5481A">
      <w:pPr>
        <w:divId w:val="1011638475"/>
        <w:rPr>
          <w:rFonts w:eastAsia="Times New Roman"/>
        </w:rPr>
      </w:pPr>
      <w:r>
        <w:rPr>
          <w:rFonts w:ascii="IBM Plex Sans SemiBold" w:eastAsia="Times New Roman" w:hAnsi="IBM Plex Sans SemiBold"/>
          <w:b/>
          <w:bCs/>
          <w:color w:val="016676"/>
          <w:sz w:val="20"/>
          <w:szCs w:val="20"/>
        </w:rPr>
        <w:t>Completed Divestitures and Asset Sales — Fiscal 2021 and Fiscal 2020</w:t>
      </w:r>
    </w:p>
    <w:p w:rsidR="00000000" w:rsidRDefault="00F5481A">
      <w:pPr>
        <w:ind w:firstLine="360"/>
        <w:divId w:val="1712534294"/>
        <w:rPr>
          <w:rFonts w:eastAsia="Times New Roman"/>
        </w:rPr>
      </w:pPr>
      <w:r>
        <w:rPr>
          <w:rFonts w:ascii="IBM Plex Sans" w:eastAsia="Times New Roman" w:hAnsi="IBM Plex Sans"/>
          <w:color w:val="283030"/>
          <w:sz w:val="20"/>
          <w:szCs w:val="20"/>
        </w:rPr>
        <w:t>The following table presents information regarding business divestitures completed during fiscal 2021 and fiscal 2020:</w:t>
      </w:r>
    </w:p>
    <w:tbl>
      <w:tblPr>
        <w:tblW w:w="5000" w:type="pct"/>
        <w:tblCellMar>
          <w:top w:w="15" w:type="dxa"/>
          <w:left w:w="15" w:type="dxa"/>
          <w:bottom w:w="15" w:type="dxa"/>
          <w:right w:w="15" w:type="dxa"/>
        </w:tblCellMar>
        <w:tblLook w:val="04A0" w:firstRow="1" w:lastRow="0" w:firstColumn="1" w:lastColumn="0" w:noHBand="0" w:noVBand="1"/>
      </w:tblPr>
      <w:tblGrid>
        <w:gridCol w:w="40"/>
        <w:gridCol w:w="2007"/>
        <w:gridCol w:w="38"/>
        <w:gridCol w:w="38"/>
        <w:gridCol w:w="2592"/>
        <w:gridCol w:w="37"/>
        <w:gridCol w:w="36"/>
        <w:gridCol w:w="36"/>
        <w:gridCol w:w="36"/>
        <w:gridCol w:w="53"/>
        <w:gridCol w:w="1317"/>
        <w:gridCol w:w="37"/>
        <w:gridCol w:w="36"/>
        <w:gridCol w:w="36"/>
        <w:gridCol w:w="36"/>
        <w:gridCol w:w="132"/>
        <w:gridCol w:w="668"/>
        <w:gridCol w:w="36"/>
        <w:gridCol w:w="36"/>
        <w:gridCol w:w="36"/>
        <w:gridCol w:w="36"/>
        <w:gridCol w:w="133"/>
        <w:gridCol w:w="782"/>
        <w:gridCol w:w="36"/>
        <w:gridCol w:w="36"/>
      </w:tblGrid>
      <w:tr w:rsidR="00000000">
        <w:trPr>
          <w:divId w:val="1058357909"/>
        </w:trPr>
        <w:tc>
          <w:tcPr>
            <w:tcW w:w="50" w:type="pct"/>
            <w:vAlign w:val="center"/>
            <w:hideMark/>
          </w:tcPr>
          <w:p w:rsidR="00000000" w:rsidRDefault="00F5481A">
            <w:pPr>
              <w:ind w:firstLine="360"/>
              <w:rPr>
                <w:rFonts w:eastAsia="Times New Roman"/>
              </w:rPr>
            </w:pPr>
          </w:p>
        </w:tc>
        <w:tc>
          <w:tcPr>
            <w:tcW w:w="1274"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162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864"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47"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2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1058357909"/>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Mar>
              <w:top w:w="30" w:type="dxa"/>
              <w:left w:w="20" w:type="dxa"/>
              <w:bottom w:w="30" w:type="dxa"/>
              <w:right w:w="20" w:type="dxa"/>
            </w:tcMar>
            <w:vAlign w:val="bottom"/>
            <w:hideMark/>
          </w:tcPr>
          <w:p w:rsidR="00000000" w:rsidRDefault="00F5481A">
            <w:pPr>
              <w:spacing w:after="100"/>
              <w:divId w:val="1821380905"/>
              <w:rPr>
                <w:rFonts w:eastAsia="Times New Roman"/>
              </w:rPr>
            </w:pPr>
            <w:r>
              <w:rPr>
                <w:rFonts w:ascii="IBM Plex Sans" w:eastAsia="Times New Roman" w:hAnsi="IBM Plex Sans"/>
                <w:b/>
                <w:bCs/>
                <w:color w:val="283030"/>
                <w:sz w:val="16"/>
                <w:szCs w:val="16"/>
              </w:rPr>
              <w:t>Business Segmen</w:t>
            </w:r>
            <w:r>
              <w:rPr>
                <w:rFonts w:ascii="IBM Plex Sans" w:eastAsia="Times New Roman" w:hAnsi="IBM Plex Sans"/>
                <w:b/>
                <w:bCs/>
                <w:color w:val="283030"/>
                <w:sz w:val="16"/>
                <w:szCs w:val="16"/>
              </w:rPr>
              <w:t>t</w:t>
            </w:r>
            <w:r>
              <w:rPr>
                <w:rFonts w:ascii="IBM Plex Sans" w:eastAsia="Times New Roman" w:hAnsi="IBM Plex Sans"/>
                <w:b/>
                <w:bCs/>
                <w:color w:val="283030"/>
                <w:sz w:val="10"/>
                <w:szCs w:val="10"/>
              </w:rPr>
              <w:t>(1</w:t>
            </w:r>
            <w:r>
              <w:rPr>
                <w:rFonts w:ascii="IBM Plex Sans" w:eastAsia="Times New Roman" w:hAnsi="IBM Plex Sans"/>
                <w:b/>
                <w:bCs/>
                <w:color w:val="283030"/>
                <w:sz w:val="10"/>
                <w:szCs w:val="10"/>
              </w:rPr>
              <w:t>)</w:t>
            </w: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Date of Divestiture</w:t>
            </w: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Sale Price</w:t>
            </w: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divId w:val="1869294717"/>
              <w:rPr>
                <w:rFonts w:eastAsia="Times New Roman"/>
              </w:rPr>
            </w:pPr>
            <w:r>
              <w:rPr>
                <w:rFonts w:ascii="IBM Plex Sans" w:eastAsia="Times New Roman" w:hAnsi="IBM Plex Sans"/>
                <w:b/>
                <w:bCs/>
                <w:color w:val="283030"/>
                <w:sz w:val="16"/>
                <w:szCs w:val="16"/>
              </w:rPr>
              <w:t>Net Cash Proceed</w:t>
            </w:r>
            <w:r>
              <w:rPr>
                <w:rFonts w:ascii="IBM Plex Sans" w:eastAsia="Times New Roman" w:hAnsi="IBM Plex Sans"/>
                <w:b/>
                <w:bCs/>
                <w:color w:val="283030"/>
                <w:sz w:val="16"/>
                <w:szCs w:val="16"/>
              </w:rPr>
              <w:t>s</w:t>
            </w:r>
            <w:r>
              <w:rPr>
                <w:rFonts w:ascii="IBM Plex Sans" w:eastAsia="Times New Roman" w:hAnsi="IBM Plex Sans"/>
                <w:b/>
                <w:bCs/>
                <w:color w:val="283030"/>
                <w:sz w:val="10"/>
                <w:szCs w:val="10"/>
              </w:rPr>
              <w:t>(2</w:t>
            </w:r>
            <w:r>
              <w:rPr>
                <w:rFonts w:ascii="IBM Plex Sans" w:eastAsia="Times New Roman" w:hAnsi="IBM Plex Sans"/>
                <w:b/>
                <w:bCs/>
                <w:color w:val="283030"/>
                <w:sz w:val="10"/>
                <w:szCs w:val="10"/>
              </w:rPr>
              <w:t>)</w:t>
            </w:r>
          </w:p>
        </w:tc>
        <w:tc>
          <w:tcPr>
            <w:tcW w:w="0" w:type="auto"/>
            <w:vAlign w:val="center"/>
            <w:hideMark/>
          </w:tcPr>
          <w:p w:rsidR="00000000" w:rsidRDefault="00F5481A">
            <w:pPr>
              <w:spacing w:after="100"/>
              <w:rPr>
                <w:rFonts w:eastAsia="Times New Roman"/>
              </w:rPr>
            </w:pPr>
          </w:p>
        </w:tc>
      </w:tr>
      <w:tr w:rsidR="00000000">
        <w:trPr>
          <w:divId w:val="1058357909"/>
          <w:trHeight w:val="60"/>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1058357909"/>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i/>
                <w:iCs/>
                <w:color w:val="283030"/>
                <w:sz w:val="20"/>
                <w:szCs w:val="20"/>
              </w:rPr>
              <w:t>Fiscal 2021</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1058357909"/>
        </w:trPr>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divId w:val="1478567919"/>
              <w:rPr>
                <w:rFonts w:eastAsia="Times New Roman"/>
              </w:rPr>
            </w:pPr>
            <w:r>
              <w:rPr>
                <w:rFonts w:ascii="IBM Plex Sans" w:eastAsia="Times New Roman" w:hAnsi="IBM Plex Sans"/>
                <w:color w:val="283030"/>
                <w:sz w:val="20"/>
                <w:szCs w:val="20"/>
              </w:rPr>
              <w:t>Narda-MITEQ busines</w:t>
            </w:r>
            <w:r>
              <w:rPr>
                <w:rFonts w:ascii="IBM Plex Sans" w:eastAsia="Times New Roman" w:hAnsi="IBM Plex Sans"/>
                <w:color w:val="283030"/>
                <w:sz w:val="20"/>
                <w:szCs w:val="20"/>
              </w:rPr>
              <w:t>s</w:t>
            </w:r>
            <w:r>
              <w:rPr>
                <w:rFonts w:ascii="IBM Plex Sans" w:eastAsia="Times New Roman" w:hAnsi="IBM Plex Sans"/>
                <w:color w:val="283030"/>
                <w:sz w:val="13"/>
                <w:szCs w:val="13"/>
              </w:rPr>
              <w:t>(3</w:t>
            </w:r>
            <w:r>
              <w:rPr>
                <w:rFonts w:ascii="IBM Plex Sans" w:eastAsia="Times New Roman" w:hAnsi="IBM Plex Sans"/>
                <w:color w:val="283030"/>
                <w:sz w:val="13"/>
                <w:szCs w:val="13"/>
              </w:rPr>
              <w:t>)</w:t>
            </w: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Other non-reportable businesse</w:t>
            </w:r>
            <w:r>
              <w:rPr>
                <w:rFonts w:ascii="IBM Plex Sans" w:eastAsia="Times New Roman" w:hAnsi="IBM Plex Sans"/>
                <w:color w:val="283030"/>
                <w:sz w:val="20"/>
                <w:szCs w:val="20"/>
              </w:rPr>
              <w:t>s</w:t>
            </w:r>
            <w:r>
              <w:rPr>
                <w:rFonts w:ascii="IBM Plex Sans" w:eastAsia="Times New Roman" w:hAnsi="IBM Plex Sans"/>
                <w:color w:val="283030"/>
                <w:sz w:val="13"/>
                <w:szCs w:val="13"/>
              </w:rPr>
              <w:t>(12</w:t>
            </w:r>
            <w:r>
              <w:rPr>
                <w:rFonts w:ascii="IBM Plex Sans" w:eastAsia="Times New Roman" w:hAnsi="IBM Plex Sans"/>
                <w:color w:val="28303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December 6, 2021</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r>
      <w:tr w:rsidR="00000000">
        <w:trPr>
          <w:divId w:val="1058357909"/>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divId w:val="141625346"/>
              <w:rPr>
                <w:rFonts w:eastAsia="Times New Roman"/>
              </w:rPr>
            </w:pPr>
            <w:r>
              <w:rPr>
                <w:rFonts w:ascii="IBM Plex Sans" w:eastAsia="Times New Roman" w:hAnsi="IBM Plex Sans"/>
                <w:color w:val="283030"/>
                <w:sz w:val="20"/>
                <w:szCs w:val="20"/>
              </w:rPr>
              <w:t>ESSCO busines</w:t>
            </w:r>
            <w:r>
              <w:rPr>
                <w:rFonts w:ascii="IBM Plex Sans" w:eastAsia="Times New Roman" w:hAnsi="IBM Plex Sans"/>
                <w:color w:val="283030"/>
                <w:sz w:val="20"/>
                <w:szCs w:val="20"/>
              </w:rPr>
              <w:t>s</w:t>
            </w:r>
            <w:r>
              <w:rPr>
                <w:rFonts w:ascii="IBM Plex Sans" w:eastAsia="Times New Roman" w:hAnsi="IBM Plex Sans"/>
                <w:color w:val="283030"/>
                <w:sz w:val="13"/>
                <w:szCs w:val="13"/>
              </w:rPr>
              <w:t>(4</w:t>
            </w:r>
            <w:r>
              <w:rPr>
                <w:rFonts w:ascii="IBM Plex Sans" w:eastAsia="Times New Roman" w:hAnsi="IBM Plex Sans"/>
                <w:color w:val="283030"/>
                <w:sz w:val="13"/>
                <w:szCs w:val="13"/>
              </w:rPr>
              <w:t>)</w:t>
            </w: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Other non-reportable businesse</w:t>
            </w:r>
            <w:r>
              <w:rPr>
                <w:rFonts w:ascii="IBM Plex Sans" w:eastAsia="Times New Roman" w:hAnsi="IBM Plex Sans"/>
                <w:color w:val="283030"/>
                <w:sz w:val="20"/>
                <w:szCs w:val="20"/>
              </w:rPr>
              <w:t>s</w:t>
            </w:r>
            <w:r>
              <w:rPr>
                <w:rFonts w:ascii="IBM Plex Sans" w:eastAsia="Times New Roman" w:hAnsi="IBM Plex Sans"/>
                <w:color w:val="283030"/>
                <w:sz w:val="13"/>
                <w:szCs w:val="13"/>
              </w:rPr>
              <w:t>(12</w:t>
            </w:r>
            <w:r>
              <w:rPr>
                <w:rFonts w:ascii="IBM Plex Sans" w:eastAsia="Times New Roman" w:hAnsi="IBM Plex Sans"/>
                <w:color w:val="283030"/>
                <w:sz w:val="13"/>
                <w:szCs w:val="13"/>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November 26, 2021</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55 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r>
      <w:tr w:rsidR="00000000">
        <w:trPr>
          <w:divId w:val="1058357909"/>
        </w:trPr>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divId w:val="1293361740"/>
              <w:rPr>
                <w:rFonts w:eastAsia="Times New Roman"/>
              </w:rPr>
            </w:pPr>
            <w:r>
              <w:rPr>
                <w:rFonts w:ascii="IBM Plex Sans" w:eastAsia="Times New Roman" w:hAnsi="IBM Plex Sans"/>
                <w:color w:val="283030"/>
                <w:sz w:val="20"/>
                <w:szCs w:val="20"/>
              </w:rPr>
              <w:t>Electron Devices busines</w:t>
            </w:r>
            <w:r>
              <w:rPr>
                <w:rFonts w:ascii="IBM Plex Sans" w:eastAsia="Times New Roman" w:hAnsi="IBM Plex Sans"/>
                <w:color w:val="283030"/>
                <w:sz w:val="20"/>
                <w:szCs w:val="20"/>
              </w:rPr>
              <w:t>s</w:t>
            </w:r>
            <w:r>
              <w:rPr>
                <w:rFonts w:ascii="IBM Plex Sans" w:eastAsia="Times New Roman" w:hAnsi="IBM Plex Sans"/>
                <w:color w:val="283030"/>
                <w:sz w:val="13"/>
                <w:szCs w:val="13"/>
              </w:rPr>
              <w:t>(5</w:t>
            </w:r>
            <w:r>
              <w:rPr>
                <w:rFonts w:ascii="IBM Plex Sans" w:eastAsia="Times New Roman" w:hAnsi="IBM Plex Sans"/>
                <w:color w:val="283030"/>
                <w:sz w:val="13"/>
                <w:szCs w:val="13"/>
              </w:rPr>
              <w:t>)</w:t>
            </w: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Other non-reportable businesse</w:t>
            </w:r>
            <w:r>
              <w:rPr>
                <w:rFonts w:ascii="IBM Plex Sans" w:eastAsia="Times New Roman" w:hAnsi="IBM Plex Sans"/>
                <w:color w:val="283030"/>
                <w:sz w:val="20"/>
                <w:szCs w:val="20"/>
              </w:rPr>
              <w:t>s</w:t>
            </w:r>
            <w:r>
              <w:rPr>
                <w:rFonts w:ascii="IBM Plex Sans" w:eastAsia="Times New Roman" w:hAnsi="IBM Plex Sans"/>
                <w:color w:val="283030"/>
                <w:sz w:val="13"/>
                <w:szCs w:val="13"/>
              </w:rPr>
              <w:t>(12</w:t>
            </w:r>
            <w:r>
              <w:rPr>
                <w:rFonts w:ascii="IBM Plex Sans" w:eastAsia="Times New Roman" w:hAnsi="IBM Plex Sans"/>
                <w:color w:val="28303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October 1, 2021</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173 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r>
      <w:tr w:rsidR="00000000">
        <w:trPr>
          <w:divId w:val="1058357909"/>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divId w:val="1064528479"/>
              <w:rPr>
                <w:rFonts w:eastAsia="Times New Roman"/>
              </w:rPr>
            </w:pPr>
            <w:r>
              <w:rPr>
                <w:rFonts w:ascii="IBM Plex Sans" w:eastAsia="Times New Roman" w:hAnsi="IBM Plex Sans"/>
                <w:color w:val="283030"/>
                <w:sz w:val="20"/>
                <w:szCs w:val="20"/>
              </w:rPr>
              <w:t>VSE disposal grou</w:t>
            </w:r>
            <w:r>
              <w:rPr>
                <w:rFonts w:ascii="IBM Plex Sans" w:eastAsia="Times New Roman" w:hAnsi="IBM Plex Sans"/>
                <w:color w:val="283030"/>
                <w:sz w:val="20"/>
                <w:szCs w:val="20"/>
              </w:rPr>
              <w:t>p</w:t>
            </w:r>
            <w:r>
              <w:rPr>
                <w:rFonts w:ascii="IBM Plex Sans" w:eastAsia="Times New Roman" w:hAnsi="IBM Plex Sans"/>
                <w:color w:val="283030"/>
                <w:sz w:val="13"/>
                <w:szCs w:val="13"/>
              </w:rPr>
              <w:t>(6</w:t>
            </w:r>
            <w:r>
              <w:rPr>
                <w:rFonts w:ascii="IBM Plex Sans" w:eastAsia="Times New Roman" w:hAnsi="IBM Plex Sans"/>
                <w:color w:val="283030"/>
                <w:sz w:val="13"/>
                <w:szCs w:val="13"/>
              </w:rPr>
              <w:t>)</w:t>
            </w: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Other non-reportable businesse</w:t>
            </w:r>
            <w:r>
              <w:rPr>
                <w:rFonts w:ascii="IBM Plex Sans" w:eastAsia="Times New Roman" w:hAnsi="IBM Plex Sans"/>
                <w:color w:val="283030"/>
                <w:sz w:val="20"/>
                <w:szCs w:val="20"/>
              </w:rPr>
              <w:t>s</w:t>
            </w:r>
            <w:r>
              <w:rPr>
                <w:rFonts w:ascii="IBM Plex Sans" w:eastAsia="Times New Roman" w:hAnsi="IBM Plex Sans"/>
                <w:color w:val="283030"/>
                <w:sz w:val="13"/>
                <w:szCs w:val="13"/>
              </w:rPr>
              <w:t>(12</w:t>
            </w:r>
            <w:r>
              <w:rPr>
                <w:rFonts w:ascii="IBM Plex Sans" w:eastAsia="Times New Roman" w:hAnsi="IBM Plex Sans"/>
                <w:color w:val="283030"/>
                <w:sz w:val="13"/>
                <w:szCs w:val="13"/>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July 30, 2021</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r>
      <w:tr w:rsidR="00000000">
        <w:trPr>
          <w:divId w:val="1058357909"/>
        </w:trPr>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divId w:val="1665160143"/>
              <w:rPr>
                <w:rFonts w:eastAsia="Times New Roman"/>
              </w:rPr>
            </w:pPr>
            <w:r>
              <w:rPr>
                <w:rFonts w:ascii="IBM Plex Sans" w:eastAsia="Times New Roman" w:hAnsi="IBM Plex Sans"/>
                <w:color w:val="283030"/>
                <w:sz w:val="20"/>
                <w:szCs w:val="20"/>
              </w:rPr>
              <w:t>CPS busines</w:t>
            </w:r>
            <w:r>
              <w:rPr>
                <w:rFonts w:ascii="IBM Plex Sans" w:eastAsia="Times New Roman" w:hAnsi="IBM Plex Sans"/>
                <w:color w:val="283030"/>
                <w:sz w:val="20"/>
                <w:szCs w:val="20"/>
              </w:rPr>
              <w:t>s</w:t>
            </w:r>
            <w:r>
              <w:rPr>
                <w:rFonts w:ascii="IBM Plex Sans" w:eastAsia="Times New Roman" w:hAnsi="IBM Plex Sans"/>
                <w:color w:val="283030"/>
                <w:sz w:val="13"/>
                <w:szCs w:val="13"/>
              </w:rPr>
              <w:t>(7</w:t>
            </w:r>
            <w:r>
              <w:rPr>
                <w:rFonts w:ascii="IBM Plex Sans" w:eastAsia="Times New Roman" w:hAnsi="IBM Plex Sans"/>
                <w:color w:val="283030"/>
                <w:sz w:val="13"/>
                <w:szCs w:val="13"/>
              </w:rPr>
              <w:t>)</w:t>
            </w: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Other non-reportable businesse</w:t>
            </w:r>
            <w:r>
              <w:rPr>
                <w:rFonts w:ascii="IBM Plex Sans" w:eastAsia="Times New Roman" w:hAnsi="IBM Plex Sans"/>
                <w:color w:val="283030"/>
                <w:sz w:val="20"/>
                <w:szCs w:val="20"/>
              </w:rPr>
              <w:t>s</w:t>
            </w:r>
            <w:r>
              <w:rPr>
                <w:rFonts w:ascii="IBM Plex Sans" w:eastAsia="Times New Roman" w:hAnsi="IBM Plex Sans"/>
                <w:color w:val="283030"/>
                <w:sz w:val="13"/>
                <w:szCs w:val="13"/>
              </w:rPr>
              <w:t>(12</w:t>
            </w:r>
            <w:r>
              <w:rPr>
                <w:rFonts w:ascii="IBM Plex Sans" w:eastAsia="Times New Roman" w:hAnsi="IBM Plex Sans"/>
                <w:color w:val="28303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July 2, 2021</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398 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347 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r>
      <w:tr w:rsidR="00000000">
        <w:trPr>
          <w:divId w:val="1058357909"/>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divId w:val="1344631347"/>
              <w:rPr>
                <w:rFonts w:eastAsia="Times New Roman"/>
              </w:rPr>
            </w:pPr>
            <w:r>
              <w:rPr>
                <w:rFonts w:ascii="IBM Plex Sans" w:eastAsia="Times New Roman" w:hAnsi="IBM Plex Sans"/>
                <w:color w:val="283030"/>
                <w:sz w:val="20"/>
                <w:szCs w:val="20"/>
              </w:rPr>
              <w:t>Military training busines</w:t>
            </w:r>
            <w:r>
              <w:rPr>
                <w:rFonts w:ascii="IBM Plex Sans" w:eastAsia="Times New Roman" w:hAnsi="IBM Plex Sans"/>
                <w:color w:val="283030"/>
                <w:sz w:val="20"/>
                <w:szCs w:val="20"/>
              </w:rPr>
              <w:t>s</w:t>
            </w:r>
            <w:r>
              <w:rPr>
                <w:rFonts w:ascii="IBM Plex Sans" w:eastAsia="Times New Roman" w:hAnsi="IBM Plex Sans"/>
                <w:color w:val="283030"/>
                <w:sz w:val="13"/>
                <w:szCs w:val="13"/>
              </w:rPr>
              <w:t>(8</w:t>
            </w:r>
            <w:r>
              <w:rPr>
                <w:rFonts w:ascii="IBM Plex Sans" w:eastAsia="Times New Roman" w:hAnsi="IBM Plex Sans"/>
                <w:color w:val="283030"/>
                <w:sz w:val="13"/>
                <w:szCs w:val="13"/>
              </w:rPr>
              <w:t>)</w:t>
            </w: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Other non-reportable businesse</w:t>
            </w:r>
            <w:r>
              <w:rPr>
                <w:rFonts w:ascii="IBM Plex Sans" w:eastAsia="Times New Roman" w:hAnsi="IBM Plex Sans"/>
                <w:color w:val="283030"/>
                <w:sz w:val="20"/>
                <w:szCs w:val="20"/>
              </w:rPr>
              <w:t>s</w:t>
            </w:r>
            <w:r>
              <w:rPr>
                <w:rFonts w:ascii="IBM Plex Sans" w:eastAsia="Times New Roman" w:hAnsi="IBM Plex Sans"/>
                <w:color w:val="283030"/>
                <w:sz w:val="13"/>
                <w:szCs w:val="13"/>
              </w:rPr>
              <w:t>(12</w:t>
            </w:r>
            <w:r>
              <w:rPr>
                <w:rFonts w:ascii="IBM Plex Sans" w:eastAsia="Times New Roman" w:hAnsi="IBM Plex Sans"/>
                <w:color w:val="283030"/>
                <w:sz w:val="13"/>
                <w:szCs w:val="13"/>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July 2, 2021</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1,050 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1,059 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r>
      <w:tr w:rsidR="00000000">
        <w:trPr>
          <w:divId w:val="1058357909"/>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1058357909"/>
        </w:trPr>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1,783 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1,727 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r>
      <w:tr w:rsidR="00000000">
        <w:trPr>
          <w:divId w:val="1058357909"/>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i/>
                <w:iCs/>
                <w:color w:val="283030"/>
                <w:sz w:val="20"/>
                <w:szCs w:val="20"/>
              </w:rPr>
              <w:t>Fiscal 2020</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double" w:sz="6" w:space="0" w:color="000000"/>
            </w:tcBorders>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double" w:sz="6" w:space="0" w:color="000000"/>
            </w:tcBorders>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1058357909"/>
        </w:trPr>
        <w:tc>
          <w:tcPr>
            <w:tcW w:w="0" w:type="auto"/>
            <w:gridSpan w:val="3"/>
            <w:shd w:val="clear" w:color="auto" w:fill="FFFFFF"/>
            <w:tcMar>
              <w:top w:w="30" w:type="dxa"/>
              <w:left w:w="20" w:type="dxa"/>
              <w:bottom w:w="30" w:type="dxa"/>
              <w:right w:w="20" w:type="dxa"/>
            </w:tcMar>
            <w:hideMark/>
          </w:tcPr>
          <w:p w:rsidR="00000000" w:rsidRDefault="00F5481A">
            <w:pPr>
              <w:spacing w:after="100"/>
              <w:divId w:val="1074162929"/>
              <w:rPr>
                <w:rFonts w:eastAsia="Times New Roman"/>
              </w:rPr>
            </w:pPr>
            <w:r>
              <w:rPr>
                <w:rFonts w:ascii="IBM Plex Sans" w:eastAsia="Times New Roman" w:hAnsi="IBM Plex Sans"/>
                <w:color w:val="283030"/>
                <w:sz w:val="20"/>
                <w:szCs w:val="20"/>
              </w:rPr>
              <w:t>EOTech busines</w:t>
            </w:r>
            <w:r>
              <w:rPr>
                <w:rFonts w:ascii="IBM Plex Sans" w:eastAsia="Times New Roman" w:hAnsi="IBM Plex Sans"/>
                <w:color w:val="283030"/>
                <w:sz w:val="20"/>
                <w:szCs w:val="20"/>
              </w:rPr>
              <w:t>s</w:t>
            </w:r>
            <w:r>
              <w:rPr>
                <w:rFonts w:ascii="IBM Plex Sans" w:eastAsia="Times New Roman" w:hAnsi="IBM Plex Sans"/>
                <w:color w:val="283030"/>
                <w:sz w:val="13"/>
                <w:szCs w:val="13"/>
              </w:rPr>
              <w:t>(9</w:t>
            </w:r>
            <w:r>
              <w:rPr>
                <w:rFonts w:ascii="IBM Plex Sans" w:eastAsia="Times New Roman" w:hAnsi="IBM Plex Sans"/>
                <w:color w:val="283030"/>
                <w:sz w:val="13"/>
                <w:szCs w:val="13"/>
              </w:rPr>
              <w:t>)</w:t>
            </w: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ind w:hanging="180"/>
              <w:jc w:val="center"/>
              <w:rPr>
                <w:rFonts w:eastAsia="Times New Roman"/>
              </w:rPr>
            </w:pPr>
            <w:r>
              <w:rPr>
                <w:rFonts w:ascii="IBM Plex Sans" w:eastAsia="Times New Roman" w:hAnsi="IBM Plex Sans"/>
                <w:color w:val="283030"/>
                <w:sz w:val="20"/>
                <w:szCs w:val="20"/>
              </w:rPr>
              <w:t>Communication Systems</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ind w:hanging="18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July 31, 2020</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r>
      <w:tr w:rsidR="00000000">
        <w:trPr>
          <w:divId w:val="1058357909"/>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ind w:hanging="180"/>
              <w:divId w:val="180362946"/>
              <w:rPr>
                <w:rFonts w:eastAsia="Times New Roman"/>
              </w:rPr>
            </w:pPr>
            <w:r>
              <w:rPr>
                <w:rFonts w:ascii="IBM Plex Sans" w:eastAsia="Times New Roman" w:hAnsi="IBM Plex Sans"/>
                <w:color w:val="283030"/>
                <w:sz w:val="20"/>
                <w:szCs w:val="20"/>
              </w:rPr>
              <w:t>Applied Kilovolts busines</w:t>
            </w:r>
            <w:r>
              <w:rPr>
                <w:rFonts w:ascii="IBM Plex Sans" w:eastAsia="Times New Roman" w:hAnsi="IBM Plex Sans"/>
                <w:color w:val="283030"/>
                <w:sz w:val="20"/>
                <w:szCs w:val="20"/>
              </w:rPr>
              <w:t>s</w:t>
            </w:r>
            <w:r>
              <w:rPr>
                <w:rFonts w:ascii="IBM Plex Sans" w:eastAsia="Times New Roman" w:hAnsi="IBM Plex Sans"/>
                <w:color w:val="283030"/>
                <w:sz w:val="13"/>
                <w:szCs w:val="13"/>
              </w:rPr>
              <w:t>(10</w:t>
            </w:r>
            <w:r>
              <w:rPr>
                <w:rFonts w:ascii="IBM Plex Sans" w:eastAsia="Times New Roman" w:hAnsi="IBM Plex Sans"/>
                <w:color w:val="283030"/>
                <w:sz w:val="13"/>
                <w:szCs w:val="13"/>
              </w:rPr>
              <w:t>)</w:t>
            </w: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Space &amp; Airborne Systems</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May 15, 2020</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r>
      <w:tr w:rsidR="00000000">
        <w:trPr>
          <w:divId w:val="1058357909"/>
        </w:trPr>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ind w:hanging="180"/>
              <w:divId w:val="61954556"/>
              <w:rPr>
                <w:rFonts w:eastAsia="Times New Roman"/>
              </w:rPr>
            </w:pPr>
            <w:r>
              <w:rPr>
                <w:rFonts w:ascii="IBM Plex Sans" w:eastAsia="Times New Roman" w:hAnsi="IBM Plex Sans"/>
                <w:color w:val="283030"/>
                <w:sz w:val="20"/>
                <w:szCs w:val="20"/>
              </w:rPr>
              <w:t>Airport security and automation busines</w:t>
            </w:r>
            <w:r>
              <w:rPr>
                <w:rFonts w:ascii="IBM Plex Sans" w:eastAsia="Times New Roman" w:hAnsi="IBM Plex Sans"/>
                <w:color w:val="283030"/>
                <w:sz w:val="20"/>
                <w:szCs w:val="20"/>
              </w:rPr>
              <w:t>s</w:t>
            </w:r>
            <w:r>
              <w:rPr>
                <w:rFonts w:ascii="IBM Plex Sans" w:eastAsia="Times New Roman" w:hAnsi="IBM Plex Sans"/>
                <w:color w:val="283030"/>
                <w:sz w:val="13"/>
                <w:szCs w:val="13"/>
              </w:rPr>
              <w:t>(11</w:t>
            </w:r>
            <w:r>
              <w:rPr>
                <w:rFonts w:ascii="IBM Plex Sans" w:eastAsia="Times New Roman" w:hAnsi="IBM Plex Sans"/>
                <w:color w:val="283030"/>
                <w:sz w:val="13"/>
                <w:szCs w:val="13"/>
              </w:rPr>
              <w:t>)</w:t>
            </w: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Other non-reportable businesse</w:t>
            </w:r>
            <w:r>
              <w:rPr>
                <w:rFonts w:ascii="IBM Plex Sans" w:eastAsia="Times New Roman" w:hAnsi="IBM Plex Sans"/>
                <w:color w:val="283030"/>
                <w:sz w:val="20"/>
                <w:szCs w:val="20"/>
              </w:rPr>
              <w:t>s</w:t>
            </w:r>
            <w:r>
              <w:rPr>
                <w:rFonts w:ascii="IBM Plex Sans" w:eastAsia="Times New Roman" w:hAnsi="IBM Plex Sans"/>
                <w:color w:val="283030"/>
                <w:sz w:val="13"/>
                <w:szCs w:val="13"/>
              </w:rPr>
              <w:t>(12</w:t>
            </w:r>
            <w:r>
              <w:rPr>
                <w:rFonts w:ascii="IBM Plex Sans" w:eastAsia="Times New Roman" w:hAnsi="IBM Plex Sans"/>
                <w:color w:val="28303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May 4, 2020</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1,000 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987 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r>
      <w:tr w:rsidR="00000000">
        <w:trPr>
          <w:divId w:val="1058357909"/>
        </w:trPr>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1,054 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1,039 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r>
      <w:tr w:rsidR="00000000">
        <w:trPr>
          <w:divId w:val="1058357909"/>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bl>
    <w:p w:rsidR="00000000" w:rsidRDefault="00F5481A">
      <w:pPr>
        <w:divId w:val="1816027123"/>
        <w:rPr>
          <w:rFonts w:eastAsia="Times New Roman"/>
        </w:rPr>
      </w:pPr>
      <w:r>
        <w:rPr>
          <w:rFonts w:ascii="IBM Plex Sans" w:eastAsia="Times New Roman" w:hAnsi="IBM Plex Sans"/>
          <w:color w:val="283030"/>
          <w:sz w:val="16"/>
          <w:szCs w:val="16"/>
        </w:rPr>
        <w:t>____</w:t>
      </w:r>
      <w:r>
        <w:rPr>
          <w:rFonts w:ascii="IBM Plex Sans" w:eastAsia="Times New Roman" w:hAnsi="IBM Plex Sans"/>
          <w:color w:val="283030"/>
          <w:sz w:val="16"/>
          <w:szCs w:val="16"/>
        </w:rPr>
        <w:t>___________</w:t>
      </w:r>
    </w:p>
    <w:p w:rsidR="00000000" w:rsidRDefault="00F5481A">
      <w:pPr>
        <w:ind w:hanging="360"/>
        <w:divId w:val="2127042319"/>
        <w:rPr>
          <w:rFonts w:eastAsia="Times New Roman"/>
        </w:rPr>
      </w:pPr>
      <w:r>
        <w:rPr>
          <w:rFonts w:ascii="IBM Plex Sans" w:eastAsia="Times New Roman" w:hAnsi="IBM Plex Sans"/>
          <w:color w:val="283030"/>
          <w:sz w:val="16"/>
          <w:szCs w:val="16"/>
        </w:rPr>
        <w:t>(1) Business segment in which the operating results of each divested business was reported through the date of divestiture.</w:t>
      </w:r>
    </w:p>
    <w:p w:rsidR="00000000" w:rsidRDefault="00F5481A">
      <w:pPr>
        <w:ind w:hanging="360"/>
        <w:divId w:val="855846099"/>
        <w:rPr>
          <w:rFonts w:eastAsia="Times New Roman"/>
        </w:rPr>
      </w:pPr>
      <w:r>
        <w:rPr>
          <w:rFonts w:ascii="IBM Plex Sans" w:eastAsia="Times New Roman" w:hAnsi="IBM Plex Sans"/>
          <w:color w:val="283030"/>
          <w:sz w:val="16"/>
          <w:szCs w:val="16"/>
        </w:rPr>
        <w:t>(2) Net cash proceeds after selling costs and purchase price adjustments.</w:t>
      </w:r>
    </w:p>
    <w:p w:rsidR="00000000" w:rsidRDefault="00F5481A">
      <w:pPr>
        <w:ind w:hanging="360"/>
        <w:divId w:val="583300613"/>
        <w:rPr>
          <w:rFonts w:eastAsia="Times New Roman"/>
        </w:rPr>
      </w:pPr>
      <w:r>
        <w:rPr>
          <w:rFonts w:ascii="IBM Plex Sans" w:eastAsia="Times New Roman" w:hAnsi="IBM Plex Sans"/>
          <w:color w:val="283030"/>
          <w:sz w:val="16"/>
          <w:szCs w:val="16"/>
        </w:rPr>
        <w:t>(3) The Narda-MITEQ business manufactured comp</w:t>
      </w:r>
      <w:r>
        <w:rPr>
          <w:rFonts w:ascii="IBM Plex Sans" w:eastAsia="Times New Roman" w:hAnsi="IBM Plex Sans"/>
          <w:color w:val="283030"/>
          <w:sz w:val="16"/>
          <w:szCs w:val="16"/>
        </w:rPr>
        <w:t>onent, SATCOM and radio frequency safety products for both military and commercial markets.</w:t>
      </w:r>
    </w:p>
    <w:p w:rsidR="00000000" w:rsidRDefault="00F5481A">
      <w:pPr>
        <w:ind w:hanging="360"/>
        <w:divId w:val="934095542"/>
        <w:rPr>
          <w:rFonts w:eastAsia="Times New Roman"/>
        </w:rPr>
      </w:pPr>
      <w:r>
        <w:rPr>
          <w:rFonts w:ascii="IBM Plex Sans" w:eastAsia="Times New Roman" w:hAnsi="IBM Plex Sans"/>
          <w:color w:val="283030"/>
          <w:sz w:val="16"/>
          <w:szCs w:val="16"/>
        </w:rPr>
        <w:t xml:space="preserve">(4) The ESSCO business manufactured metal space frame ground radomes and composite structures. </w:t>
      </w:r>
    </w:p>
    <w:p w:rsidR="00000000" w:rsidRDefault="00F5481A">
      <w:pPr>
        <w:ind w:hanging="360"/>
        <w:divId w:val="751203902"/>
        <w:rPr>
          <w:rFonts w:eastAsia="Times New Roman"/>
        </w:rPr>
      </w:pPr>
      <w:r>
        <w:rPr>
          <w:rFonts w:ascii="IBM Plex Sans" w:eastAsia="Times New Roman" w:hAnsi="IBM Plex Sans"/>
          <w:color w:val="283030"/>
          <w:sz w:val="16"/>
          <w:szCs w:val="16"/>
        </w:rPr>
        <w:t>(5) The Electron Devices and Narda Microwave-West divisions (“Electr</w:t>
      </w:r>
      <w:r>
        <w:rPr>
          <w:rFonts w:ascii="IBM Plex Sans" w:eastAsia="Times New Roman" w:hAnsi="IBM Plex Sans"/>
          <w:color w:val="283030"/>
          <w:sz w:val="16"/>
          <w:szCs w:val="16"/>
        </w:rPr>
        <w:t>on Devices business”) manufactured microwave devices for ground-based, airborne and SATCOM and radar.</w:t>
      </w:r>
    </w:p>
    <w:p w:rsidR="00000000" w:rsidRDefault="00F5481A">
      <w:pPr>
        <w:ind w:hanging="360"/>
        <w:divId w:val="1268198261"/>
        <w:rPr>
          <w:rFonts w:eastAsia="Times New Roman"/>
        </w:rPr>
      </w:pPr>
      <w:r>
        <w:rPr>
          <w:rFonts w:ascii="IBM Plex Sans" w:eastAsia="Times New Roman" w:hAnsi="IBM Plex Sans"/>
          <w:color w:val="283030"/>
          <w:sz w:val="16"/>
          <w:szCs w:val="16"/>
        </w:rPr>
        <w:t xml:space="preserve">(6) The VSE disposal group provided voice over internet protocol systems for air traffic management communications. </w:t>
      </w:r>
    </w:p>
    <w:p w:rsidR="00000000" w:rsidRDefault="00F5481A">
      <w:pPr>
        <w:ind w:hanging="360"/>
        <w:divId w:val="834150471"/>
        <w:rPr>
          <w:rFonts w:eastAsia="Times New Roman"/>
        </w:rPr>
      </w:pPr>
      <w:r>
        <w:rPr>
          <w:rFonts w:ascii="IBM Plex Sans" w:eastAsia="Times New Roman" w:hAnsi="IBM Plex Sans"/>
          <w:color w:val="283030"/>
          <w:sz w:val="16"/>
          <w:szCs w:val="16"/>
        </w:rPr>
        <w:t>(7) The CPS business engineered, desi</w:t>
      </w:r>
      <w:r>
        <w:rPr>
          <w:rFonts w:ascii="IBM Plex Sans" w:eastAsia="Times New Roman" w:hAnsi="IBM Plex Sans"/>
          <w:color w:val="283030"/>
          <w:sz w:val="16"/>
          <w:szCs w:val="16"/>
        </w:rPr>
        <w:t>gned and manufactured engines, transmissions, suspensions and turret drive systems for tracked and wheeled combat vehicle systems.</w:t>
      </w:r>
    </w:p>
    <w:p w:rsidR="00000000" w:rsidRDefault="00F5481A">
      <w:pPr>
        <w:ind w:hanging="360"/>
        <w:divId w:val="1331061401"/>
        <w:rPr>
          <w:rFonts w:eastAsia="Times New Roman"/>
        </w:rPr>
      </w:pPr>
      <w:r>
        <w:rPr>
          <w:rFonts w:ascii="IBM Plex Sans" w:eastAsia="Times New Roman" w:hAnsi="IBM Plex Sans"/>
          <w:color w:val="283030"/>
          <w:sz w:val="16"/>
          <w:szCs w:val="16"/>
        </w:rPr>
        <w:t>(8) The military training business provided flight simulation solutions and training services to the DoD and foreign military</w:t>
      </w:r>
      <w:r>
        <w:rPr>
          <w:rFonts w:ascii="IBM Plex Sans" w:eastAsia="Times New Roman" w:hAnsi="IBM Plex Sans"/>
          <w:color w:val="283030"/>
          <w:sz w:val="16"/>
          <w:szCs w:val="16"/>
        </w:rPr>
        <w:t xml:space="preserve"> agencies.</w:t>
      </w:r>
    </w:p>
    <w:p w:rsidR="00000000" w:rsidRDefault="00F5481A">
      <w:pPr>
        <w:ind w:hanging="360"/>
        <w:divId w:val="562372430"/>
        <w:rPr>
          <w:rFonts w:eastAsia="Times New Roman"/>
        </w:rPr>
      </w:pPr>
      <w:r>
        <w:rPr>
          <w:rFonts w:ascii="IBM Plex Sans" w:eastAsia="Times New Roman" w:hAnsi="IBM Plex Sans"/>
          <w:color w:val="283030"/>
          <w:sz w:val="16"/>
          <w:szCs w:val="16"/>
        </w:rPr>
        <w:t>(9) The EOTech business manufactured holographic sighting systems, magnified field optics and accessories for military, law enforcement and commercial markets around the world.</w:t>
      </w:r>
    </w:p>
    <w:p w:rsidR="00000000" w:rsidRDefault="00F5481A">
      <w:pPr>
        <w:ind w:hanging="360"/>
        <w:divId w:val="2082831488"/>
        <w:rPr>
          <w:rFonts w:eastAsia="Times New Roman"/>
        </w:rPr>
      </w:pPr>
      <w:r>
        <w:rPr>
          <w:rFonts w:ascii="IBM Plex Sans" w:eastAsia="Times New Roman" w:hAnsi="IBM Plex Sans"/>
          <w:color w:val="283030"/>
          <w:sz w:val="16"/>
          <w:szCs w:val="16"/>
        </w:rPr>
        <w:t>(10) The Applied Kilovolts and Analytical Instrumentation business (</w:t>
      </w:r>
      <w:r>
        <w:rPr>
          <w:rFonts w:ascii="IBM Plex Sans" w:eastAsia="Times New Roman" w:hAnsi="IBM Plex Sans"/>
          <w:color w:val="283030"/>
          <w:sz w:val="16"/>
          <w:szCs w:val="16"/>
        </w:rPr>
        <w:t>“Applied Kilovolts business”) manufactured high-voltage power supplies and ion detectors for customers in fields such as biotechnology, materials science, healthcare, forensics, environmental sciences and homeland security.</w:t>
      </w:r>
    </w:p>
    <w:p w:rsidR="00000000" w:rsidRDefault="00F5481A">
      <w:pPr>
        <w:ind w:hanging="360"/>
        <w:divId w:val="1793279437"/>
        <w:rPr>
          <w:rFonts w:eastAsia="Times New Roman"/>
        </w:rPr>
      </w:pPr>
      <w:r>
        <w:rPr>
          <w:rFonts w:ascii="IBM Plex Sans" w:eastAsia="Times New Roman" w:hAnsi="IBM Plex Sans"/>
          <w:color w:val="283030"/>
          <w:sz w:val="16"/>
          <w:szCs w:val="16"/>
        </w:rPr>
        <w:t>(11) The Security &amp; Detection Sy</w:t>
      </w:r>
      <w:r>
        <w:rPr>
          <w:rFonts w:ascii="IBM Plex Sans" w:eastAsia="Times New Roman" w:hAnsi="IBM Plex Sans"/>
          <w:color w:val="283030"/>
          <w:sz w:val="16"/>
          <w:szCs w:val="16"/>
        </w:rPr>
        <w:t>stems and MacDonald Humfrey Automation solutions business (“airport security and automation business”) provided solutions used by the aviation and transportation industries, regulatory and customs authorities, government and law enforcement agencies and co</w:t>
      </w:r>
      <w:r>
        <w:rPr>
          <w:rFonts w:ascii="IBM Plex Sans" w:eastAsia="Times New Roman" w:hAnsi="IBM Plex Sans"/>
          <w:color w:val="283030"/>
          <w:sz w:val="16"/>
          <w:szCs w:val="16"/>
        </w:rPr>
        <w:t xml:space="preserve">mmercial and other high-security facilities. </w:t>
      </w:r>
    </w:p>
    <w:p w:rsidR="00000000" w:rsidRDefault="00F5481A">
      <w:pPr>
        <w:divId w:val="1747074010"/>
        <w:rPr>
          <w:rFonts w:eastAsia="Times New Roman"/>
        </w:rPr>
      </w:pPr>
      <w:r>
        <w:rPr>
          <w:rFonts w:ascii="IBM Plex Sans" w:eastAsia="Times New Roman" w:hAnsi="IBM Plex Sans"/>
          <w:color w:val="283030"/>
          <w:sz w:val="16"/>
          <w:szCs w:val="16"/>
        </w:rPr>
        <w:t xml:space="preserve">(12) Formerly our Aviation Systems segment. </w:t>
      </w:r>
    </w:p>
    <w:p w:rsidR="00000000" w:rsidRDefault="00F5481A">
      <w:pPr>
        <w:divId w:val="1146583481"/>
        <w:rPr>
          <w:rFonts w:eastAsia="Times New Roman"/>
        </w:rPr>
      </w:pPr>
      <w:r>
        <w:rPr>
          <w:rFonts w:ascii="IBM Plex Sans SemiBold" w:eastAsia="Times New Roman" w:hAnsi="IBM Plex Sans SemiBold"/>
          <w:b/>
          <w:bCs/>
          <w:color w:val="016676"/>
          <w:sz w:val="20"/>
          <w:szCs w:val="20"/>
        </w:rPr>
        <w:t>Assets and Liabilities Held for Sale</w:t>
      </w:r>
    </w:p>
    <w:p w:rsidR="00000000" w:rsidRDefault="00F5481A">
      <w:pPr>
        <w:ind w:firstLine="360"/>
        <w:divId w:val="1312246384"/>
        <w:rPr>
          <w:rFonts w:eastAsia="Times New Roman"/>
        </w:rPr>
      </w:pPr>
      <w:r>
        <w:rPr>
          <w:rFonts w:ascii="IBM Plex Sans" w:eastAsia="Times New Roman" w:hAnsi="IBM Plex Sans"/>
          <w:color w:val="283030"/>
          <w:sz w:val="20"/>
          <w:szCs w:val="20"/>
        </w:rPr>
        <w:t>On December </w:t>
      </w:r>
      <w:r>
        <w:rPr>
          <w:rFonts w:ascii="IBM Plex Sans" w:eastAsia="Times New Roman" w:hAnsi="IBM Plex Sans"/>
          <w:color w:val="283030"/>
          <w:sz w:val="20"/>
          <w:szCs w:val="20"/>
        </w:rPr>
        <w:t>21, 2022, we entered into a definitive agreement to sell our VIS business for $70 million, subject to customary purchase price adjustments and closing conditions as set forth in the definitive agreement. VIS, which is part of our SAS segment, provides comm</w:t>
      </w:r>
      <w:r>
        <w:rPr>
          <w:rFonts w:ascii="IBM Plex Sans" w:eastAsia="Times New Roman" w:hAnsi="IBM Plex Sans"/>
          <w:color w:val="283030"/>
          <w:sz w:val="20"/>
          <w:szCs w:val="20"/>
        </w:rPr>
        <w:t>ercial geospatial software, technology and services used to extract and analyze reliable, accurate and actionable information from geospatial to terrestrial imagery. The transaction is expected to close mid-fiscal 2023, subject to regulatory approvals. The</w:t>
      </w:r>
      <w:r>
        <w:rPr>
          <w:rFonts w:ascii="IBM Plex Sans" w:eastAsia="Times New Roman" w:hAnsi="IBM Plex Sans"/>
          <w:color w:val="283030"/>
          <w:sz w:val="20"/>
          <w:szCs w:val="20"/>
        </w:rPr>
        <w:t xml:space="preserve"> carrying amounts of the assets and liabilities of the VIS business classified as held for sale in our Consolidated Balance Sheet as of December 30, 2022 were $47 million and $19 million, respectively. Assets at December 30, 2022 consisted primarily of $30</w:t>
      </w:r>
      <w:r>
        <w:rPr>
          <w:rFonts w:ascii="IBM Plex Sans" w:eastAsia="Times New Roman" w:hAnsi="IBM Plex Sans"/>
          <w:color w:val="283030"/>
          <w:sz w:val="20"/>
          <w:szCs w:val="20"/>
        </w:rPr>
        <w:t xml:space="preserve"> million and $10 million in goodwill and intangible assets, respectively. See </w:t>
      </w:r>
      <w:r>
        <w:rPr>
          <w:rFonts w:ascii="IBM Plex Sans" w:eastAsia="Times New Roman" w:hAnsi="IBM Plex Sans"/>
          <w:i/>
          <w:iCs/>
          <w:color w:val="283030"/>
          <w:sz w:val="20"/>
          <w:szCs w:val="20"/>
        </w:rPr>
        <w:t>Note 9: Goodwill</w:t>
      </w:r>
      <w:r>
        <w:rPr>
          <w:rFonts w:ascii="IBM Plex Sans" w:eastAsia="Times New Roman" w:hAnsi="IBM Plex Sans"/>
          <w:color w:val="283030"/>
          <w:sz w:val="20"/>
          <w:szCs w:val="20"/>
        </w:rPr>
        <w:t xml:space="preserve"> in these Notes for additional information.</w:t>
      </w:r>
    </w:p>
    <w:p w:rsidR="00000000" w:rsidRDefault="00F5481A">
      <w:pPr>
        <w:ind w:firstLine="360"/>
        <w:divId w:val="1229194584"/>
        <w:rPr>
          <w:rFonts w:eastAsia="Times New Roman"/>
        </w:rPr>
      </w:pPr>
      <w:r>
        <w:rPr>
          <w:rFonts w:ascii="IBM Plex Sans" w:eastAsia="Times New Roman" w:hAnsi="IBM Plex Sans"/>
          <w:color w:val="283030"/>
          <w:sz w:val="20"/>
          <w:szCs w:val="20"/>
        </w:rPr>
        <w:t xml:space="preserve">There were no </w:t>
      </w:r>
      <w:r>
        <w:rPr>
          <w:rFonts w:ascii="IBM Plex Sans" w:eastAsia="Times New Roman" w:hAnsi="IBM Plex Sans"/>
          <w:color w:val="283030"/>
          <w:sz w:val="20"/>
          <w:szCs w:val="20"/>
        </w:rPr>
        <w:t>assets or liabilities classified as held for sale at December 31, 2021.</w:t>
      </w:r>
    </w:p>
    <w:p w:rsidR="00000000" w:rsidRDefault="00F5481A">
      <w:pPr>
        <w:divId w:val="340091319"/>
        <w:rPr>
          <w:rFonts w:eastAsia="Times New Roman"/>
        </w:rPr>
      </w:pPr>
      <w:r>
        <w:rPr>
          <w:rFonts w:ascii="IBM Plex Sans SemiBold" w:eastAsia="Times New Roman" w:hAnsi="IBM Plex Sans SemiBold"/>
          <w:b/>
          <w:bCs/>
          <w:color w:val="016676"/>
          <w:sz w:val="20"/>
          <w:szCs w:val="20"/>
        </w:rPr>
        <w:t>Income Before Income Taxes Attributable to Businesses Divested</w:t>
      </w:r>
    </w:p>
    <w:p w:rsidR="00000000" w:rsidRDefault="00F5481A">
      <w:pPr>
        <w:ind w:firstLine="360"/>
        <w:divId w:val="1086073801"/>
        <w:rPr>
          <w:rFonts w:eastAsia="Times New Roman"/>
        </w:rPr>
      </w:pPr>
      <w:r>
        <w:rPr>
          <w:rFonts w:ascii="IBM Plex Sans" w:eastAsia="Times New Roman" w:hAnsi="IBM Plex Sans"/>
          <w:color w:val="283030"/>
          <w:sz w:val="20"/>
          <w:szCs w:val="20"/>
        </w:rPr>
        <w:t>There was no significant income before income taxes attributable to our Space &amp; Navigation business divested during fisca</w:t>
      </w:r>
      <w:r>
        <w:rPr>
          <w:rFonts w:ascii="IBM Plex Sans" w:eastAsia="Times New Roman" w:hAnsi="IBM Plex Sans"/>
          <w:color w:val="283030"/>
          <w:sz w:val="20"/>
          <w:szCs w:val="20"/>
        </w:rPr>
        <w:t>l 2022.</w:t>
      </w:r>
    </w:p>
    <w:p w:rsidR="00000000" w:rsidRDefault="00F5481A">
      <w:pPr>
        <w:ind w:firstLine="360"/>
        <w:jc w:val="center"/>
        <w:divId w:val="1665468559"/>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75</w:t>
      </w:r>
    </w:p>
    <w:p w:rsidR="00000000" w:rsidRDefault="00F5481A">
      <w:pPr>
        <w:rPr>
          <w:rFonts w:eastAsia="Times New Roman"/>
        </w:rPr>
      </w:pPr>
      <w:r>
        <w:rPr>
          <w:rFonts w:eastAsia="Times New Roman"/>
        </w:rPr>
        <w:pict>
          <v:rect id="_x0000_i1106" style="width:0;height:1.5pt" o:hralign="center" o:hrstd="t" o:hr="t" fillcolor="#a0a0a0" stroked="f"/>
        </w:pict>
      </w:r>
    </w:p>
    <w:p w:rsidR="00000000" w:rsidRDefault="00F5481A">
      <w:pPr>
        <w:ind w:firstLine="360"/>
        <w:divId w:val="48768617"/>
        <w:rPr>
          <w:rFonts w:eastAsia="Times New Roman"/>
        </w:rPr>
      </w:pPr>
    </w:p>
    <w:p w:rsidR="00000000" w:rsidRDefault="00F5481A">
      <w:pPr>
        <w:ind w:firstLine="360"/>
        <w:divId w:val="1850488885"/>
        <w:rPr>
          <w:rFonts w:eastAsia="Times New Roman"/>
        </w:rPr>
      </w:pPr>
      <w:r>
        <w:rPr>
          <w:rFonts w:ascii="IBM Plex Sans" w:eastAsia="Times New Roman" w:hAnsi="IBM Plex Sans"/>
          <w:color w:val="283030"/>
          <w:sz w:val="20"/>
          <w:szCs w:val="20"/>
        </w:rPr>
        <w:t>In fiscal 2021 and fiscal 2020, we had the following significant income before income taxes attributable to businesses divested in our C</w:t>
      </w:r>
      <w:r>
        <w:rPr>
          <w:rFonts w:ascii="IBM Plex Sans" w:eastAsia="Times New Roman" w:hAnsi="IBM Plex Sans"/>
          <w:color w:val="283030"/>
          <w:sz w:val="20"/>
          <w:szCs w:val="20"/>
        </w:rPr>
        <w:t>onsolidated Statement of Operations: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5488"/>
        <w:gridCol w:w="37"/>
        <w:gridCol w:w="36"/>
        <w:gridCol w:w="36"/>
        <w:gridCol w:w="133"/>
        <w:gridCol w:w="1112"/>
        <w:gridCol w:w="36"/>
        <w:gridCol w:w="36"/>
        <w:gridCol w:w="36"/>
        <w:gridCol w:w="36"/>
        <w:gridCol w:w="133"/>
        <w:gridCol w:w="1113"/>
        <w:gridCol w:w="36"/>
      </w:tblGrid>
      <w:tr w:rsidR="00000000">
        <w:trPr>
          <w:divId w:val="1850488885"/>
        </w:trPr>
        <w:tc>
          <w:tcPr>
            <w:tcW w:w="50" w:type="pct"/>
            <w:vAlign w:val="center"/>
            <w:hideMark/>
          </w:tcPr>
          <w:p w:rsidR="00000000" w:rsidRDefault="00F5481A">
            <w:pPr>
              <w:ind w:firstLine="360"/>
              <w:rPr>
                <w:rFonts w:eastAsia="Times New Roman"/>
              </w:rPr>
            </w:pPr>
          </w:p>
        </w:tc>
        <w:tc>
          <w:tcPr>
            <w:tcW w:w="337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1850488885"/>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Fiscal Year Ended</w:t>
            </w:r>
          </w:p>
        </w:tc>
      </w:tr>
      <w:tr w:rsidR="00000000">
        <w:trPr>
          <w:divId w:val="1850488885"/>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vAlign w:val="center"/>
            <w:hideMark/>
          </w:tcPr>
          <w:p w:rsidR="00000000" w:rsidRDefault="00F5481A">
            <w:pPr>
              <w:spacing w:after="100"/>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January 1, 2021</w:t>
            </w:r>
          </w:p>
        </w:tc>
      </w:tr>
      <w:tr w:rsidR="00000000">
        <w:trPr>
          <w:divId w:val="1850488885"/>
          <w:trHeight w:val="6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850488885"/>
        </w:trPr>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850488885"/>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divId w:val="1610428981"/>
              <w:rPr>
                <w:rFonts w:eastAsia="Times New Roman"/>
              </w:rPr>
            </w:pPr>
            <w:r>
              <w:rPr>
                <w:rFonts w:ascii="IBM Plex Sans" w:eastAsia="Times New Roman" w:hAnsi="IBM Plex Sans"/>
                <w:color w:val="283030"/>
                <w:sz w:val="20"/>
                <w:szCs w:val="20"/>
              </w:rPr>
              <w:t>Electron Devices business</w:t>
            </w:r>
          </w:p>
        </w:tc>
        <w:tc>
          <w:tcPr>
            <w:tcW w:w="0" w:type="auto"/>
            <w:vAlign w:val="center"/>
            <w:hideMark/>
          </w:tcPr>
          <w:p w:rsidR="00000000" w:rsidRDefault="00F5481A">
            <w:pPr>
              <w:spacing w:after="100"/>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850488885"/>
        </w:trPr>
        <w:tc>
          <w:tcPr>
            <w:tcW w:w="0" w:type="auto"/>
            <w:gridSpan w:val="3"/>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850488885"/>
        </w:trPr>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850488885"/>
        </w:trPr>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850488885"/>
        </w:trPr>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divId w:val="575867767"/>
              <w:rPr>
                <w:rFonts w:eastAsia="Times New Roman"/>
              </w:rPr>
            </w:pPr>
            <w:r>
              <w:rPr>
                <w:rFonts w:ascii="IBM Plex Sans" w:eastAsia="Times New Roman" w:hAnsi="IBM Plex Sans"/>
                <w:color w:val="283030"/>
                <w:sz w:val="20"/>
                <w:szCs w:val="20"/>
              </w:rPr>
              <w:t>CPS business</w:t>
            </w:r>
          </w:p>
        </w:tc>
        <w:tc>
          <w:tcPr>
            <w:tcW w:w="0" w:type="auto"/>
            <w:vAlign w:val="center"/>
            <w:hideMark/>
          </w:tcPr>
          <w:p w:rsidR="00000000" w:rsidRDefault="00F5481A">
            <w:pPr>
              <w:spacing w:after="100"/>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53 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850488885"/>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Military training business</w:t>
            </w:r>
          </w:p>
        </w:tc>
        <w:tc>
          <w:tcPr>
            <w:tcW w:w="0" w:type="auto"/>
            <w:vAlign w:val="center"/>
            <w:hideMark/>
          </w:tcPr>
          <w:p w:rsidR="00000000" w:rsidRDefault="00F5481A">
            <w:pPr>
              <w:spacing w:after="100"/>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35 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850488885"/>
        </w:trPr>
        <w:tc>
          <w:tcPr>
            <w:tcW w:w="0" w:type="auto"/>
            <w:gridSpan w:val="3"/>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850488885"/>
        </w:trPr>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850488885"/>
        </w:trPr>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850488885"/>
        </w:trPr>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850488885"/>
        </w:trPr>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bl>
    <w:p w:rsidR="00000000" w:rsidRDefault="00F5481A">
      <w:pPr>
        <w:divId w:val="1361665875"/>
        <w:rPr>
          <w:rFonts w:eastAsia="Times New Roman"/>
        </w:rPr>
      </w:pPr>
      <w:r>
        <w:rPr>
          <w:rFonts w:ascii="IBM Plex Sans SemiBold" w:eastAsia="Times New Roman" w:hAnsi="IBM Plex Sans SemiBold"/>
          <w:b/>
          <w:bCs/>
          <w:color w:val="016676"/>
          <w:sz w:val="20"/>
          <w:szCs w:val="20"/>
        </w:rPr>
        <w:t>Business Divestiture-Related Gains (Losses), net</w:t>
      </w:r>
    </w:p>
    <w:p w:rsidR="00000000" w:rsidRDefault="00F5481A">
      <w:pPr>
        <w:ind w:firstLine="360"/>
        <w:divId w:val="776412624"/>
        <w:rPr>
          <w:rFonts w:eastAsia="Times New Roman"/>
        </w:rPr>
      </w:pPr>
      <w:r>
        <w:rPr>
          <w:rFonts w:ascii="IBM Plex Sans" w:eastAsia="Times New Roman" w:hAnsi="IBM Plex Sans"/>
          <w:color w:val="283030"/>
          <w:sz w:val="20"/>
          <w:szCs w:val="20"/>
        </w:rPr>
        <w:t xml:space="preserve">In fiscal 2022, there were no significant business divestiture-related gains or losses. In fiscal 2021 and fiscal 2020, we had the following pre-tax gains (losses) associated with businesses divested, which </w:t>
      </w:r>
      <w:r>
        <w:rPr>
          <w:rFonts w:ascii="IBM Plex Sans" w:eastAsia="Times New Roman" w:hAnsi="IBM Plex Sans"/>
          <w:color w:val="283030"/>
          <w:sz w:val="20"/>
          <w:szCs w:val="20"/>
        </w:rPr>
        <w:t>are included in the “Business divestiture-related gains (losses), net” line item in our Consolidated Statement of Operations: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5384"/>
        <w:gridCol w:w="37"/>
        <w:gridCol w:w="36"/>
        <w:gridCol w:w="36"/>
        <w:gridCol w:w="133"/>
        <w:gridCol w:w="1092"/>
        <w:gridCol w:w="36"/>
        <w:gridCol w:w="36"/>
        <w:gridCol w:w="36"/>
        <w:gridCol w:w="36"/>
        <w:gridCol w:w="133"/>
        <w:gridCol w:w="1092"/>
        <w:gridCol w:w="36"/>
        <w:gridCol w:w="36"/>
        <w:gridCol w:w="36"/>
        <w:gridCol w:w="36"/>
        <w:gridCol w:w="36"/>
      </w:tblGrid>
      <w:tr w:rsidR="00000000">
        <w:trPr>
          <w:divId w:val="776412624"/>
        </w:trPr>
        <w:tc>
          <w:tcPr>
            <w:tcW w:w="50" w:type="pct"/>
            <w:vAlign w:val="center"/>
            <w:hideMark/>
          </w:tcPr>
          <w:p w:rsidR="00000000" w:rsidRDefault="00F5481A">
            <w:pPr>
              <w:ind w:firstLine="360"/>
              <w:rPr>
                <w:rFonts w:eastAsia="Times New Roman"/>
              </w:rPr>
            </w:pPr>
          </w:p>
        </w:tc>
        <w:tc>
          <w:tcPr>
            <w:tcW w:w="337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776412624"/>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Fiscal Year Ended</w:t>
            </w:r>
          </w:p>
        </w:tc>
        <w:tc>
          <w:tcPr>
            <w:tcW w:w="0" w:type="auto"/>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776412624"/>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vAlign w:val="center"/>
            <w:hideMark/>
          </w:tcPr>
          <w:p w:rsidR="00000000" w:rsidRDefault="00F5481A">
            <w:pPr>
              <w:spacing w:after="100"/>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January 1, 2021</w:t>
            </w:r>
          </w:p>
        </w:tc>
        <w:tc>
          <w:tcPr>
            <w:tcW w:w="0" w:type="auto"/>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776412624"/>
          <w:trHeight w:val="60"/>
        </w:trPr>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776412624"/>
        </w:trPr>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776412624"/>
        </w:trPr>
        <w:tc>
          <w:tcPr>
            <w:tcW w:w="0" w:type="auto"/>
            <w:gridSpan w:val="3"/>
            <w:shd w:val="clear" w:color="auto" w:fill="D7EFF1"/>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Narda-MITEQ business</w:t>
            </w:r>
          </w:p>
        </w:tc>
        <w:tc>
          <w:tcPr>
            <w:tcW w:w="0" w:type="auto"/>
            <w:vAlign w:val="center"/>
            <w:hideMark/>
          </w:tcPr>
          <w:p w:rsidR="00000000" w:rsidRDefault="00F5481A">
            <w:pPr>
              <w:spacing w:after="100"/>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776412624"/>
        </w:trPr>
        <w:tc>
          <w:tcPr>
            <w:tcW w:w="0" w:type="auto"/>
            <w:gridSpan w:val="3"/>
            <w:shd w:val="clear" w:color="auto" w:fill="FFFFFF"/>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ESSCO business</w:t>
            </w:r>
          </w:p>
        </w:tc>
        <w:tc>
          <w:tcPr>
            <w:tcW w:w="0" w:type="auto"/>
            <w:vAlign w:val="center"/>
            <w:hideMark/>
          </w:tcPr>
          <w:p w:rsidR="00000000" w:rsidRDefault="00F5481A">
            <w:pPr>
              <w:spacing w:after="100"/>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776412624"/>
        </w:trPr>
        <w:tc>
          <w:tcPr>
            <w:tcW w:w="0" w:type="auto"/>
            <w:gridSpan w:val="3"/>
            <w:shd w:val="clear" w:color="auto" w:fill="D7EFF1"/>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Electron Devices business</w:t>
            </w:r>
          </w:p>
        </w:tc>
        <w:tc>
          <w:tcPr>
            <w:tcW w:w="0" w:type="auto"/>
            <w:vAlign w:val="center"/>
            <w:hideMark/>
          </w:tcPr>
          <w:p w:rsidR="00000000" w:rsidRDefault="00F5481A">
            <w:pPr>
              <w:spacing w:after="100"/>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776412624"/>
        </w:trPr>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divId w:val="688263469"/>
              <w:rPr>
                <w:rFonts w:eastAsia="Times New Roman"/>
              </w:rPr>
            </w:pPr>
            <w:r>
              <w:rPr>
                <w:rFonts w:ascii="IBM Plex Sans" w:eastAsia="Times New Roman" w:hAnsi="IBM Plex Sans"/>
                <w:color w:val="283030"/>
                <w:sz w:val="20"/>
                <w:szCs w:val="20"/>
              </w:rPr>
              <w:t>VSE disposal grou</w:t>
            </w:r>
            <w:r>
              <w:rPr>
                <w:rFonts w:ascii="IBM Plex Sans" w:eastAsia="Times New Roman" w:hAnsi="IBM Plex Sans"/>
                <w:color w:val="283030"/>
                <w:sz w:val="20"/>
                <w:szCs w:val="20"/>
              </w:rPr>
              <w:t>p</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vAlign w:val="center"/>
            <w:hideMark/>
          </w:tcPr>
          <w:p w:rsidR="00000000" w:rsidRDefault="00F5481A">
            <w:pPr>
              <w:spacing w:after="100"/>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(29)</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776412624"/>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divId w:val="105317839"/>
              <w:rPr>
                <w:rFonts w:eastAsia="Times New Roman"/>
              </w:rPr>
            </w:pPr>
            <w:r>
              <w:rPr>
                <w:rFonts w:ascii="IBM Plex Sans" w:eastAsia="Times New Roman" w:hAnsi="IBM Plex Sans"/>
                <w:color w:val="283030"/>
                <w:sz w:val="20"/>
                <w:szCs w:val="20"/>
              </w:rPr>
              <w:t>CPS busines</w:t>
            </w:r>
            <w:r>
              <w:rPr>
                <w:rFonts w:ascii="IBM Plex Sans" w:eastAsia="Times New Roman" w:hAnsi="IBM Plex Sans"/>
                <w:color w:val="283030"/>
                <w:sz w:val="20"/>
                <w:szCs w:val="20"/>
              </w:rPr>
              <w:t>s</w:t>
            </w:r>
            <w:r>
              <w:rPr>
                <w:rFonts w:ascii="IBM Plex Sans" w:eastAsia="Times New Roman" w:hAnsi="IBM Plex Sans"/>
                <w:color w:val="283030"/>
                <w:sz w:val="13"/>
                <w:szCs w:val="13"/>
              </w:rPr>
              <w:t>(2</w:t>
            </w:r>
            <w:r>
              <w:rPr>
                <w:rFonts w:ascii="IBM Plex Sans" w:eastAsia="Times New Roman" w:hAnsi="IBM Plex Sans"/>
                <w:color w:val="283030"/>
                <w:sz w:val="13"/>
                <w:szCs w:val="13"/>
              </w:rPr>
              <w:t>)</w:t>
            </w:r>
          </w:p>
        </w:tc>
        <w:tc>
          <w:tcPr>
            <w:tcW w:w="0" w:type="auto"/>
            <w:vAlign w:val="center"/>
            <w:hideMark/>
          </w:tcPr>
          <w:p w:rsidR="00000000" w:rsidRDefault="00F5481A">
            <w:pPr>
              <w:spacing w:after="100"/>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(19)</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776412624"/>
        </w:trPr>
        <w:tc>
          <w:tcPr>
            <w:tcW w:w="0" w:type="auto"/>
            <w:gridSpan w:val="3"/>
            <w:shd w:val="clear" w:color="auto" w:fill="FFFFFF"/>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Military training business</w:t>
            </w:r>
          </w:p>
        </w:tc>
        <w:tc>
          <w:tcPr>
            <w:tcW w:w="0" w:type="auto"/>
            <w:vAlign w:val="center"/>
            <w:hideMark/>
          </w:tcPr>
          <w:p w:rsidR="00000000" w:rsidRDefault="00F5481A">
            <w:pPr>
              <w:spacing w:after="100"/>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776412624"/>
        </w:trPr>
        <w:tc>
          <w:tcPr>
            <w:tcW w:w="0" w:type="auto"/>
            <w:gridSpan w:val="3"/>
            <w:shd w:val="clear" w:color="auto" w:fill="D7EFF1"/>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EOTech</w:t>
            </w:r>
          </w:p>
        </w:tc>
        <w:tc>
          <w:tcPr>
            <w:tcW w:w="0" w:type="auto"/>
            <w:vAlign w:val="center"/>
            <w:hideMark/>
          </w:tcPr>
          <w:p w:rsidR="00000000" w:rsidRDefault="00F5481A">
            <w:pPr>
              <w:spacing w:after="100"/>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776412624"/>
        </w:trPr>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776412624"/>
        </w:trPr>
        <w:tc>
          <w:tcPr>
            <w:tcW w:w="0" w:type="auto"/>
            <w:gridSpan w:val="3"/>
            <w:shd w:val="clear" w:color="auto" w:fill="FFFFFF"/>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Airport security and automation business</w:t>
            </w:r>
          </w:p>
        </w:tc>
        <w:tc>
          <w:tcPr>
            <w:tcW w:w="0" w:type="auto"/>
            <w:vAlign w:val="center"/>
            <w:hideMark/>
          </w:tcPr>
          <w:p w:rsidR="00000000" w:rsidRDefault="00F5481A">
            <w:pPr>
              <w:spacing w:after="100"/>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(23)</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776412624"/>
        </w:trPr>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776412624"/>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divId w:val="1736202273"/>
              <w:rPr>
                <w:rFonts w:eastAsia="Times New Roman"/>
              </w:rPr>
            </w:pPr>
            <w:r>
              <w:rPr>
                <w:rFonts w:ascii="IBM Plex Sans" w:eastAsia="Times New Roman" w:hAnsi="IBM Plex Sans"/>
                <w:color w:val="283030"/>
                <w:sz w:val="20"/>
                <w:szCs w:val="20"/>
              </w:rPr>
              <w:t>Othe</w:t>
            </w:r>
            <w:r>
              <w:rPr>
                <w:rFonts w:ascii="IBM Plex Sans" w:eastAsia="Times New Roman" w:hAnsi="IBM Plex Sans"/>
                <w:color w:val="283030"/>
                <w:sz w:val="20"/>
                <w:szCs w:val="20"/>
              </w:rPr>
              <w:t>r</w:t>
            </w:r>
            <w:r>
              <w:rPr>
                <w:rFonts w:ascii="IBM Plex Sans" w:eastAsia="Times New Roman" w:hAnsi="IBM Plex Sans"/>
                <w:color w:val="283030"/>
                <w:sz w:val="13"/>
                <w:szCs w:val="13"/>
              </w:rPr>
              <w:t>(3</w:t>
            </w:r>
            <w:r>
              <w:rPr>
                <w:rFonts w:ascii="IBM Plex Sans" w:eastAsia="Times New Roman" w:hAnsi="IBM Plex Sans"/>
                <w:color w:val="283030"/>
                <w:sz w:val="13"/>
                <w:szCs w:val="13"/>
              </w:rPr>
              <w:t>)</w:t>
            </w:r>
          </w:p>
        </w:tc>
        <w:tc>
          <w:tcPr>
            <w:tcW w:w="0" w:type="auto"/>
            <w:vAlign w:val="center"/>
            <w:hideMark/>
          </w:tcPr>
          <w:p w:rsidR="00000000" w:rsidRDefault="00F5481A">
            <w:pPr>
              <w:spacing w:after="100"/>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776412624"/>
        </w:trPr>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776412624"/>
        </w:trPr>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Total Business divestiture-related gains (losses), net</w:t>
            </w:r>
          </w:p>
        </w:tc>
        <w:tc>
          <w:tcPr>
            <w:tcW w:w="0" w:type="auto"/>
            <w:vAlign w:val="center"/>
            <w:hideMark/>
          </w:tcPr>
          <w:p w:rsidR="00000000" w:rsidRDefault="00F5481A">
            <w:pPr>
              <w:spacing w:after="100"/>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bl>
    <w:p w:rsidR="00000000" w:rsidRDefault="00F5481A">
      <w:pPr>
        <w:divId w:val="1003777120"/>
        <w:rPr>
          <w:rFonts w:eastAsia="Times New Roman"/>
        </w:rPr>
      </w:pPr>
      <w:r>
        <w:rPr>
          <w:rFonts w:ascii="IBM Plex Sans" w:eastAsia="Times New Roman" w:hAnsi="IBM Plex Sans"/>
          <w:color w:val="283030"/>
          <w:sz w:val="16"/>
          <w:szCs w:val="16"/>
        </w:rPr>
        <w:t>_______________</w:t>
      </w:r>
    </w:p>
    <w:p w:rsidR="00000000" w:rsidRDefault="00F5481A">
      <w:pPr>
        <w:ind w:hanging="360"/>
        <w:divId w:val="1348629983"/>
        <w:rPr>
          <w:rFonts w:eastAsia="Times New Roman"/>
        </w:rPr>
      </w:pPr>
      <w:r>
        <w:rPr>
          <w:rFonts w:ascii="IBM Plex Sans" w:eastAsia="Times New Roman" w:hAnsi="IBM Plex Sans"/>
          <w:color w:val="283030"/>
          <w:sz w:val="16"/>
          <w:szCs w:val="16"/>
        </w:rPr>
        <w:t>(1)During the quarter ended July 3, 2020, upon classifying the VSE disposal group as held for sale, we recorded a non-cash impairment charge of $14 million, which is included in the “Impairment of goodwill and other assets” line item i</w:t>
      </w:r>
      <w:r>
        <w:rPr>
          <w:rFonts w:ascii="IBM Plex Sans" w:eastAsia="Times New Roman" w:hAnsi="IBM Plex Sans"/>
          <w:color w:val="283030"/>
          <w:sz w:val="16"/>
          <w:szCs w:val="16"/>
        </w:rPr>
        <w:t>n our Consolidated Statement of Operations for fiscal 2020. We recognized an $18 million non-cash remeasurement loss related to the VSE disposal group during fiscal 2020.</w:t>
      </w:r>
    </w:p>
    <w:p w:rsidR="00000000" w:rsidRDefault="00F5481A">
      <w:pPr>
        <w:ind w:hanging="360"/>
        <w:divId w:val="450636499"/>
        <w:rPr>
          <w:rFonts w:eastAsia="Times New Roman"/>
        </w:rPr>
      </w:pPr>
      <w:r>
        <w:rPr>
          <w:rFonts w:ascii="IBM Plex Sans" w:eastAsia="Times New Roman" w:hAnsi="IBM Plex Sans"/>
          <w:color w:val="283030"/>
          <w:sz w:val="16"/>
          <w:szCs w:val="16"/>
        </w:rPr>
        <w:t xml:space="preserve">(2)During the quarter ended April 2, 2021, upon classifying the CPS business as held </w:t>
      </w:r>
      <w:r>
        <w:rPr>
          <w:rFonts w:ascii="IBM Plex Sans" w:eastAsia="Times New Roman" w:hAnsi="IBM Plex Sans"/>
          <w:color w:val="283030"/>
          <w:sz w:val="16"/>
          <w:szCs w:val="16"/>
        </w:rPr>
        <w:t xml:space="preserve">for sale, we recorded a non-cash impairment charge of $62 million, which is included in the “Impairment of goodwill and other assets” line item in our Consolidated Statement of Operations for fiscal 2021. See </w:t>
      </w:r>
      <w:r>
        <w:rPr>
          <w:rFonts w:ascii="IBM Plex Sans" w:eastAsia="Times New Roman" w:hAnsi="IBM Plex Sans"/>
          <w:i/>
          <w:iCs/>
          <w:color w:val="283030"/>
          <w:sz w:val="16"/>
          <w:szCs w:val="16"/>
        </w:rPr>
        <w:t>Note 9: Goodwill</w:t>
      </w:r>
      <w:r>
        <w:rPr>
          <w:rFonts w:ascii="IBM Plex Sans" w:eastAsia="Times New Roman" w:hAnsi="IBM Plex Sans"/>
          <w:color w:val="283030"/>
          <w:sz w:val="16"/>
          <w:szCs w:val="16"/>
        </w:rPr>
        <w:t xml:space="preserve"> in these Notes for additional </w:t>
      </w:r>
      <w:r>
        <w:rPr>
          <w:rFonts w:ascii="IBM Plex Sans" w:eastAsia="Times New Roman" w:hAnsi="IBM Plex Sans"/>
          <w:color w:val="283030"/>
          <w:sz w:val="16"/>
          <w:szCs w:val="16"/>
        </w:rPr>
        <w:t>information.</w:t>
      </w:r>
    </w:p>
    <w:p w:rsidR="00000000" w:rsidRDefault="00F5481A">
      <w:pPr>
        <w:ind w:hanging="360"/>
        <w:divId w:val="50933094"/>
        <w:rPr>
          <w:rFonts w:eastAsia="Times New Roman"/>
        </w:rPr>
      </w:pPr>
      <w:r>
        <w:rPr>
          <w:rFonts w:ascii="IBM Plex Sans" w:eastAsia="Times New Roman" w:hAnsi="IBM Plex Sans"/>
          <w:color w:val="283030"/>
          <w:sz w:val="16"/>
          <w:szCs w:val="16"/>
        </w:rPr>
        <w:t>(3)Reflects adjustments to the gains and losses on completed divestitures not shown above, including for fiscal 2020, $12 million for finalization of purchase price adjustments and recognition of a non-cash adjustment related to working capita</w:t>
      </w:r>
      <w:r>
        <w:rPr>
          <w:rFonts w:ascii="IBM Plex Sans" w:eastAsia="Times New Roman" w:hAnsi="IBM Plex Sans"/>
          <w:color w:val="283030"/>
          <w:sz w:val="16"/>
          <w:szCs w:val="16"/>
        </w:rPr>
        <w:t xml:space="preserve">l, which decreased the $229 million gain initially recognized on the sale of the Harris Night Vision business divested on September 13, 2019. </w:t>
      </w:r>
    </w:p>
    <w:p w:rsidR="00000000" w:rsidRDefault="00F5481A">
      <w:pPr>
        <w:divId w:val="710768617"/>
        <w:rPr>
          <w:rFonts w:eastAsia="Times New Roman"/>
        </w:rPr>
      </w:pPr>
      <w:r>
        <w:rPr>
          <w:rFonts w:ascii="IBM Plex Sans SemiBold" w:eastAsia="Times New Roman" w:hAnsi="IBM Plex Sans SemiBold"/>
          <w:b/>
          <w:bCs/>
          <w:color w:val="016676"/>
          <w:sz w:val="20"/>
          <w:szCs w:val="20"/>
        </w:rPr>
        <w:t>Fair Value of Businesses and Goodwill Allocation</w:t>
      </w:r>
    </w:p>
    <w:p w:rsidR="00000000" w:rsidRDefault="00F5481A">
      <w:pPr>
        <w:ind w:firstLine="360"/>
        <w:divId w:val="1063062146"/>
        <w:rPr>
          <w:rFonts w:eastAsia="Times New Roman"/>
        </w:rPr>
      </w:pPr>
      <w:r>
        <w:rPr>
          <w:rFonts w:ascii="IBM Plex Sans" w:eastAsia="Times New Roman" w:hAnsi="IBM Plex Sans"/>
          <w:color w:val="283030"/>
          <w:sz w:val="20"/>
          <w:szCs w:val="20"/>
        </w:rPr>
        <w:t xml:space="preserve">For purposes of allocating goodwill to the disposal groups that </w:t>
      </w:r>
      <w:r>
        <w:rPr>
          <w:rFonts w:ascii="IBM Plex Sans" w:eastAsia="Times New Roman" w:hAnsi="IBM Plex Sans"/>
          <w:color w:val="283030"/>
          <w:sz w:val="20"/>
          <w:szCs w:val="20"/>
        </w:rPr>
        <w:t xml:space="preserve">represented a portion of a reporting unit, we determine the fair value of each disposal group based on the respective negotiated selling price (or estimated net cash proceeds, in the case of no negotiated selling price), and the fair value of the retained </w:t>
      </w:r>
      <w:r>
        <w:rPr>
          <w:rFonts w:ascii="IBM Plex Sans" w:eastAsia="Times New Roman" w:hAnsi="IBM Plex Sans"/>
          <w:color w:val="283030"/>
          <w:sz w:val="20"/>
          <w:szCs w:val="20"/>
        </w:rPr>
        <w:t>businesses of the respective reporting unit based on a combination of market-based valuation techniques, utilizing quoted market prices, comparable publicly reported transactions and projected discounted cash flows. These fair value determinations are cate</w:t>
      </w:r>
      <w:r>
        <w:rPr>
          <w:rFonts w:ascii="IBM Plex Sans" w:eastAsia="Times New Roman" w:hAnsi="IBM Plex Sans"/>
          <w:color w:val="283030"/>
          <w:sz w:val="20"/>
          <w:szCs w:val="20"/>
        </w:rPr>
        <w:t xml:space="preserve">gorized as Level 3 in the fair value hierarchy due to their use of internal projections and unobservable measurement inputs. See </w:t>
      </w:r>
      <w:r>
        <w:rPr>
          <w:rFonts w:ascii="IBM Plex Sans" w:eastAsia="Times New Roman" w:hAnsi="IBM Plex Sans"/>
          <w:i/>
          <w:iCs/>
          <w:color w:val="283030"/>
          <w:sz w:val="20"/>
          <w:szCs w:val="20"/>
        </w:rPr>
        <w:t>Note 1: Significant Accounting Policies</w:t>
      </w:r>
      <w:r>
        <w:rPr>
          <w:rFonts w:ascii="IBM Plex Sans" w:eastAsia="Times New Roman" w:hAnsi="IBM Plex Sans"/>
          <w:color w:val="283030"/>
          <w:sz w:val="20"/>
          <w:szCs w:val="20"/>
        </w:rPr>
        <w:t xml:space="preserve"> in these Notes for additional information regarding the fair value hierarchy and see </w:t>
      </w:r>
      <w:r>
        <w:rPr>
          <w:rFonts w:ascii="IBM Plex Sans" w:eastAsia="Times New Roman" w:hAnsi="IBM Plex Sans"/>
          <w:i/>
          <w:iCs/>
          <w:color w:val="283030"/>
          <w:sz w:val="20"/>
          <w:szCs w:val="20"/>
        </w:rPr>
        <w:t>No</w:t>
      </w:r>
      <w:r>
        <w:rPr>
          <w:rFonts w:ascii="IBM Plex Sans" w:eastAsia="Times New Roman" w:hAnsi="IBM Plex Sans"/>
          <w:i/>
          <w:iCs/>
          <w:color w:val="283030"/>
          <w:sz w:val="20"/>
          <w:szCs w:val="20"/>
        </w:rPr>
        <w:t>te 9: Goodwill</w:t>
      </w:r>
      <w:r>
        <w:rPr>
          <w:rFonts w:ascii="IBM Plex Sans" w:eastAsia="Times New Roman" w:hAnsi="IBM Plex Sans"/>
          <w:color w:val="283030"/>
          <w:sz w:val="20"/>
          <w:szCs w:val="20"/>
        </w:rPr>
        <w:t xml:space="preserve"> in these Notes for additional information regarding the impairment of goodwill related to our business divestitures.</w:t>
      </w:r>
    </w:p>
    <w:p w:rsidR="00000000" w:rsidRDefault="00F5481A">
      <w:pPr>
        <w:ind w:firstLine="360"/>
        <w:jc w:val="center"/>
        <w:divId w:val="710957597"/>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76</w:t>
      </w:r>
    </w:p>
    <w:p w:rsidR="00000000" w:rsidRDefault="00F5481A">
      <w:pPr>
        <w:rPr>
          <w:rFonts w:eastAsia="Times New Roman"/>
        </w:rPr>
      </w:pPr>
      <w:r>
        <w:rPr>
          <w:rFonts w:eastAsia="Times New Roman"/>
        </w:rPr>
        <w:pict>
          <v:rect id="_x0000_i1107" style="width:0;height:1.5pt" o:hralign="center" o:hrstd="t" o:hr="t" fillcolor="#a0a0a0" stroked="f"/>
        </w:pict>
      </w:r>
    </w:p>
    <w:p w:rsidR="00000000" w:rsidRDefault="00F5481A">
      <w:pPr>
        <w:ind w:firstLine="360"/>
        <w:divId w:val="1241479856"/>
        <w:rPr>
          <w:rFonts w:eastAsia="Times New Roman"/>
        </w:rPr>
      </w:pPr>
    </w:p>
    <w:p w:rsidR="00000000" w:rsidRDefault="00F5481A">
      <w:pPr>
        <w:divId w:val="1565987953"/>
        <w:rPr>
          <w:rFonts w:eastAsia="Times New Roman"/>
        </w:rPr>
      </w:pPr>
      <w:r>
        <w:rPr>
          <w:rFonts w:ascii="IBM Plex Sans SemiBold" w:eastAsia="Times New Roman" w:hAnsi="IBM Plex Sans SemiBold"/>
          <w:b/>
          <w:bCs/>
          <w:color w:val="016676"/>
          <w:sz w:val="20"/>
          <w:szCs w:val="20"/>
        </w:rPr>
        <w:t>NOTE 5: RECEIVABLES, NET</w:t>
      </w:r>
      <w:r>
        <w:rPr>
          <w:rFonts w:ascii="IBM Plex Sans" w:eastAsia="Times New Roman" w:hAnsi="IBM Plex Sans"/>
          <w:b/>
          <w:bCs/>
          <w:i/>
          <w:iCs/>
          <w:color w:val="283030"/>
          <w:sz w:val="20"/>
          <w:szCs w:val="20"/>
        </w:rPr>
        <w:t xml:space="preserve"> </w:t>
      </w:r>
    </w:p>
    <w:p w:rsidR="00000000" w:rsidRDefault="00F5481A">
      <w:pPr>
        <w:ind w:firstLine="360"/>
        <w:divId w:val="1252201700"/>
        <w:rPr>
          <w:rFonts w:eastAsia="Times New Roman"/>
        </w:rPr>
      </w:pPr>
      <w:r>
        <w:rPr>
          <w:rFonts w:ascii="IBM Plex Sans" w:eastAsia="Times New Roman" w:hAnsi="IBM Plex Sans"/>
          <w:color w:val="283030"/>
          <w:sz w:val="20"/>
          <w:szCs w:val="20"/>
        </w:rPr>
        <w:t>Receivables, net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39"/>
        <w:gridCol w:w="5537"/>
        <w:gridCol w:w="37"/>
        <w:gridCol w:w="133"/>
        <w:gridCol w:w="1123"/>
        <w:gridCol w:w="36"/>
        <w:gridCol w:w="36"/>
        <w:gridCol w:w="36"/>
        <w:gridCol w:w="36"/>
        <w:gridCol w:w="133"/>
        <w:gridCol w:w="1124"/>
        <w:gridCol w:w="36"/>
      </w:tblGrid>
      <w:tr w:rsidR="00000000">
        <w:trPr>
          <w:divId w:val="1635715895"/>
        </w:trPr>
        <w:tc>
          <w:tcPr>
            <w:tcW w:w="50" w:type="pct"/>
            <w:vAlign w:val="center"/>
            <w:hideMark/>
          </w:tcPr>
          <w:p w:rsidR="00000000" w:rsidRDefault="00F5481A">
            <w:pPr>
              <w:ind w:firstLine="360"/>
              <w:rPr>
                <w:rFonts w:eastAsia="Times New Roman"/>
              </w:rPr>
            </w:pPr>
          </w:p>
        </w:tc>
        <w:tc>
          <w:tcPr>
            <w:tcW w:w="337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1635715895"/>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r>
      <w:tr w:rsidR="00000000">
        <w:trPr>
          <w:divId w:val="1635715895"/>
          <w:trHeight w:val="6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635715895"/>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Accounts receivable</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1,291 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1,088 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35715895"/>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Less: allowances for collection losses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(40)</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(43)</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35715895"/>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Receivables, net</w:t>
            </w: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1,251 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1,045 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bl>
    <w:p w:rsidR="00000000" w:rsidRDefault="00F5481A">
      <w:pPr>
        <w:ind w:firstLine="360"/>
        <w:divId w:val="1361737996"/>
        <w:rPr>
          <w:rFonts w:eastAsia="Times New Roman"/>
        </w:rPr>
      </w:pPr>
      <w:r>
        <w:rPr>
          <w:rFonts w:ascii="IBM Plex Sans" w:eastAsia="Times New Roman" w:hAnsi="IBM Plex Sans"/>
          <w:color w:val="283030"/>
          <w:sz w:val="20"/>
          <w:szCs w:val="20"/>
        </w:rPr>
        <w:t xml:space="preserve">We have two RSAs with two </w:t>
      </w:r>
      <w:r>
        <w:rPr>
          <w:rFonts w:ascii="IBM Plex Sans" w:eastAsia="Times New Roman" w:hAnsi="IBM Plex Sans"/>
          <w:color w:val="283030"/>
          <w:sz w:val="20"/>
          <w:szCs w:val="20"/>
        </w:rPr>
        <w:t>separate third-party financial institutions that permit us to sell, on a non-recourse basis, up to $100 million each of outstanding receivables at any given time. From time to time, we have sold certain customer receivables under the RSAs, which we continu</w:t>
      </w:r>
      <w:r>
        <w:rPr>
          <w:rFonts w:ascii="IBM Plex Sans" w:eastAsia="Times New Roman" w:hAnsi="IBM Plex Sans"/>
          <w:color w:val="283030"/>
          <w:sz w:val="20"/>
          <w:szCs w:val="20"/>
        </w:rPr>
        <w:t>e to service and collect on behalf of the third-party financial institutions and which we account for as sales of receivables with sale proceeds included in net cash from operating activities. We did not have outstanding accounts receivable sold pursuant t</w:t>
      </w:r>
      <w:r>
        <w:rPr>
          <w:rFonts w:ascii="IBM Plex Sans" w:eastAsia="Times New Roman" w:hAnsi="IBM Plex Sans"/>
          <w:color w:val="283030"/>
          <w:sz w:val="20"/>
          <w:szCs w:val="20"/>
        </w:rPr>
        <w:t>o the RSAs at December 30, 2022. Outstanding accounts receivable sold pursuant to the RSAs were $99.9 million at December 31, 2021, for net cash proceeds of $99.8 million.</w:t>
      </w:r>
    </w:p>
    <w:p w:rsidR="00000000" w:rsidRDefault="00F5481A">
      <w:pPr>
        <w:divId w:val="1768964050"/>
        <w:rPr>
          <w:rFonts w:eastAsia="Times New Roman"/>
        </w:rPr>
      </w:pPr>
      <w:r>
        <w:rPr>
          <w:rFonts w:ascii="IBM Plex Sans SemiBold" w:eastAsia="Times New Roman" w:hAnsi="IBM Plex Sans SemiBold"/>
          <w:b/>
          <w:bCs/>
          <w:color w:val="016676"/>
          <w:sz w:val="20"/>
          <w:szCs w:val="20"/>
        </w:rPr>
        <w:t>NOTE 6: CONTRACT ASSETS AND CONTRACT LIABILITIES</w:t>
      </w:r>
      <w:r>
        <w:rPr>
          <w:rFonts w:ascii="IBM Plex Sans" w:eastAsia="Times New Roman" w:hAnsi="IBM Plex Sans"/>
          <w:b/>
          <w:bCs/>
          <w:i/>
          <w:iCs/>
          <w:color w:val="283030"/>
          <w:sz w:val="20"/>
          <w:szCs w:val="20"/>
        </w:rPr>
        <w:t xml:space="preserve"> </w:t>
      </w:r>
    </w:p>
    <w:p w:rsidR="00000000" w:rsidRDefault="00F5481A">
      <w:pPr>
        <w:ind w:firstLine="360"/>
        <w:divId w:val="1866483054"/>
        <w:rPr>
          <w:rFonts w:eastAsia="Times New Roman"/>
        </w:rPr>
      </w:pPr>
      <w:r>
        <w:rPr>
          <w:rFonts w:ascii="IBM Plex Sans" w:eastAsia="Times New Roman" w:hAnsi="IBM Plex Sans"/>
          <w:color w:val="283030"/>
          <w:sz w:val="20"/>
          <w:szCs w:val="20"/>
        </w:rPr>
        <w:t>Contract assets include unbilled amounts typically resulting from revenue recognized exceeding amounts billed to customers for contracts utilizing the POC cost-to-cost revenue recognition method. We bill customers as work progresses in accordance with agre</w:t>
      </w:r>
      <w:r>
        <w:rPr>
          <w:rFonts w:ascii="IBM Plex Sans" w:eastAsia="Times New Roman" w:hAnsi="IBM Plex Sans"/>
          <w:color w:val="283030"/>
          <w:sz w:val="20"/>
          <w:szCs w:val="20"/>
        </w:rPr>
        <w:t>ed-upon contractual terms, either at periodic intervals, upon achievement of contractual milestones or upon deliveries and, in certain arrangements, the customer may withhold payment of a small portion of the contract price until contract completion. Contr</w:t>
      </w:r>
      <w:r>
        <w:rPr>
          <w:rFonts w:ascii="IBM Plex Sans" w:eastAsia="Times New Roman" w:hAnsi="IBM Plex Sans"/>
          <w:color w:val="283030"/>
          <w:sz w:val="20"/>
          <w:szCs w:val="20"/>
        </w:rPr>
        <w:t>act liabilities include advance payments and billings in excess of revenue recognized, including deferred revenue associated with extended product warranties. Contract assets and liabilities are reported on a contract-by-contract basis at the end of each r</w:t>
      </w:r>
      <w:r>
        <w:rPr>
          <w:rFonts w:ascii="IBM Plex Sans" w:eastAsia="Times New Roman" w:hAnsi="IBM Plex Sans"/>
          <w:color w:val="283030"/>
          <w:sz w:val="20"/>
          <w:szCs w:val="20"/>
        </w:rPr>
        <w:t xml:space="preserve">eporting period. </w:t>
      </w:r>
    </w:p>
    <w:p w:rsidR="00000000" w:rsidRDefault="00F5481A">
      <w:pPr>
        <w:ind w:firstLine="360"/>
        <w:divId w:val="693264987"/>
        <w:rPr>
          <w:rFonts w:eastAsia="Times New Roman"/>
        </w:rPr>
      </w:pPr>
      <w:r>
        <w:rPr>
          <w:rFonts w:ascii="IBM Plex Sans" w:eastAsia="Times New Roman" w:hAnsi="IBM Plex Sans"/>
          <w:color w:val="283030"/>
          <w:sz w:val="20"/>
          <w:szCs w:val="20"/>
        </w:rPr>
        <w:t xml:space="preserve">Contract assets and liabilities in fiscal 2022 were impacted primarily by the timing of contractual billing milestones. </w:t>
      </w:r>
    </w:p>
    <w:p w:rsidR="00000000" w:rsidRDefault="00F5481A">
      <w:pPr>
        <w:ind w:firstLine="360"/>
        <w:jc w:val="both"/>
        <w:divId w:val="1833059754"/>
        <w:rPr>
          <w:rFonts w:eastAsia="Times New Roman"/>
        </w:rPr>
      </w:pPr>
      <w:r>
        <w:rPr>
          <w:rFonts w:ascii="IBM Plex Sans" w:eastAsia="Times New Roman" w:hAnsi="IBM Plex Sans"/>
          <w:color w:val="283030"/>
          <w:sz w:val="20"/>
          <w:szCs w:val="20"/>
        </w:rPr>
        <w:t>Contract assets and contract liabilities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38"/>
        <w:gridCol w:w="5488"/>
        <w:gridCol w:w="37"/>
        <w:gridCol w:w="133"/>
        <w:gridCol w:w="1112"/>
        <w:gridCol w:w="36"/>
        <w:gridCol w:w="36"/>
        <w:gridCol w:w="36"/>
        <w:gridCol w:w="36"/>
        <w:gridCol w:w="133"/>
        <w:gridCol w:w="1113"/>
        <w:gridCol w:w="36"/>
        <w:gridCol w:w="36"/>
        <w:gridCol w:w="36"/>
      </w:tblGrid>
      <w:tr w:rsidR="00000000">
        <w:trPr>
          <w:divId w:val="2040930706"/>
        </w:trPr>
        <w:tc>
          <w:tcPr>
            <w:tcW w:w="50" w:type="pct"/>
            <w:vAlign w:val="center"/>
            <w:hideMark/>
          </w:tcPr>
          <w:p w:rsidR="00000000" w:rsidRDefault="00F5481A">
            <w:pPr>
              <w:ind w:firstLine="360"/>
              <w:jc w:val="both"/>
              <w:rPr>
                <w:rFonts w:eastAsia="Times New Roman"/>
              </w:rPr>
            </w:pPr>
          </w:p>
        </w:tc>
        <w:tc>
          <w:tcPr>
            <w:tcW w:w="337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2040930706"/>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r>
      <w:tr w:rsidR="00000000">
        <w:trPr>
          <w:divId w:val="2040930706"/>
          <w:trHeight w:val="60"/>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2040930706"/>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Contract assets</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2,987 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3,021 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2040930706"/>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Contract liabilities, current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(1,400)</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(1,297)</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2040930706"/>
        </w:trPr>
        <w:tc>
          <w:tcPr>
            <w:tcW w:w="0" w:type="auto"/>
            <w:gridSpan w:val="3"/>
            <w:shd w:val="clear" w:color="auto" w:fill="D7EFF1"/>
            <w:tcMar>
              <w:top w:w="30" w:type="dxa"/>
              <w:left w:w="20" w:type="dxa"/>
              <w:bottom w:w="30" w:type="dxa"/>
              <w:right w:w="20" w:type="dxa"/>
            </w:tcMar>
            <w:hideMark/>
          </w:tcPr>
          <w:p w:rsidR="00000000" w:rsidRDefault="00F5481A">
            <w:pPr>
              <w:spacing w:after="100"/>
              <w:divId w:val="647855971"/>
              <w:rPr>
                <w:rFonts w:eastAsia="Times New Roman"/>
              </w:rPr>
            </w:pPr>
            <w:r>
              <w:rPr>
                <w:rFonts w:ascii="IBM Plex Sans" w:eastAsia="Times New Roman" w:hAnsi="IBM Plex Sans"/>
                <w:color w:val="283030"/>
                <w:sz w:val="20"/>
                <w:szCs w:val="20"/>
              </w:rPr>
              <w:t>Contract liabilities, non-curren</w:t>
            </w:r>
            <w:r>
              <w:rPr>
                <w:rFonts w:ascii="IBM Plex Sans" w:eastAsia="Times New Roman" w:hAnsi="IBM Plex Sans"/>
                <w:color w:val="283030"/>
                <w:sz w:val="20"/>
                <w:szCs w:val="20"/>
              </w:rPr>
              <w:t>t</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(117)</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(107)</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2040930706"/>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Net contract assets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1,470 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1,617 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bl>
    <w:p w:rsidR="00000000" w:rsidRDefault="00F5481A">
      <w:pPr>
        <w:divId w:val="1963488403"/>
        <w:rPr>
          <w:rFonts w:eastAsia="Times New Roman"/>
        </w:rPr>
      </w:pPr>
      <w:r>
        <w:rPr>
          <w:rFonts w:ascii="IBM Plex Sans" w:eastAsia="Times New Roman" w:hAnsi="IBM Plex Sans"/>
          <w:color w:val="283030"/>
          <w:sz w:val="16"/>
          <w:szCs w:val="16"/>
        </w:rPr>
        <w:t>_______________</w:t>
      </w:r>
    </w:p>
    <w:p w:rsidR="00000000" w:rsidRDefault="00F5481A">
      <w:pPr>
        <w:ind w:hanging="360"/>
        <w:divId w:val="1651442505"/>
        <w:rPr>
          <w:rFonts w:eastAsia="Times New Roman"/>
        </w:rPr>
      </w:pPr>
      <w:r>
        <w:rPr>
          <w:rFonts w:ascii="IBM Plex Sans" w:eastAsia="Times New Roman" w:hAnsi="IBM Plex Sans"/>
          <w:color w:val="283030"/>
          <w:sz w:val="16"/>
          <w:szCs w:val="16"/>
        </w:rPr>
        <w:t xml:space="preserve">(1)The non-current portion of contract liabilities is included as a component of the “Other long-term liabilities” </w:t>
      </w:r>
      <w:r>
        <w:rPr>
          <w:rFonts w:ascii="IBM Plex Sans" w:eastAsia="Times New Roman" w:hAnsi="IBM Plex Sans"/>
          <w:color w:val="283030"/>
          <w:sz w:val="16"/>
          <w:szCs w:val="16"/>
        </w:rPr>
        <w:t>line item in our Consolidated Balance Sheet.</w:t>
      </w:r>
    </w:p>
    <w:p w:rsidR="00000000" w:rsidRDefault="00F5481A">
      <w:pPr>
        <w:ind w:firstLine="360"/>
        <w:jc w:val="both"/>
        <w:divId w:val="150872259"/>
        <w:rPr>
          <w:rFonts w:eastAsia="Times New Roman"/>
        </w:rPr>
      </w:pPr>
      <w:r>
        <w:rPr>
          <w:rFonts w:ascii="IBM Plex Sans" w:eastAsia="Times New Roman" w:hAnsi="IBM Plex Sans"/>
          <w:color w:val="283030"/>
          <w:sz w:val="20"/>
          <w:szCs w:val="20"/>
        </w:rPr>
        <w:t>The components of contract assets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38"/>
        <w:gridCol w:w="5488"/>
        <w:gridCol w:w="36"/>
        <w:gridCol w:w="133"/>
        <w:gridCol w:w="1113"/>
        <w:gridCol w:w="36"/>
        <w:gridCol w:w="36"/>
        <w:gridCol w:w="36"/>
        <w:gridCol w:w="36"/>
        <w:gridCol w:w="133"/>
        <w:gridCol w:w="1113"/>
        <w:gridCol w:w="36"/>
        <w:gridCol w:w="36"/>
        <w:gridCol w:w="36"/>
      </w:tblGrid>
      <w:tr w:rsidR="00000000">
        <w:trPr>
          <w:divId w:val="1070159488"/>
        </w:trPr>
        <w:tc>
          <w:tcPr>
            <w:tcW w:w="50" w:type="pct"/>
            <w:vAlign w:val="center"/>
            <w:hideMark/>
          </w:tcPr>
          <w:p w:rsidR="00000000" w:rsidRDefault="00F5481A">
            <w:pPr>
              <w:ind w:firstLine="360"/>
              <w:jc w:val="both"/>
              <w:rPr>
                <w:rFonts w:eastAsia="Times New Roman"/>
              </w:rPr>
            </w:pPr>
          </w:p>
        </w:tc>
        <w:tc>
          <w:tcPr>
            <w:tcW w:w="337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1070159488"/>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r>
      <w:tr w:rsidR="00000000">
        <w:trPr>
          <w:divId w:val="1070159488"/>
          <w:trHeight w:val="60"/>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1070159488"/>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Unbilled contract receivables, gross</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4,629 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4,921 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1070159488"/>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Unliquidated progress payments and advances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(1,642)</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(1,900)</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1070159488"/>
        </w:trPr>
        <w:tc>
          <w:tcPr>
            <w:tcW w:w="0" w:type="auto"/>
            <w:gridSpan w:val="3"/>
            <w:shd w:val="clear" w:color="auto" w:fill="D7EFF1"/>
            <w:tcMar>
              <w:top w:w="30" w:type="dxa"/>
              <w:left w:w="3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Contract assets</w:t>
            </w: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2,987 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3,021 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bl>
    <w:p w:rsidR="00000000" w:rsidRDefault="00F5481A">
      <w:pPr>
        <w:ind w:firstLine="360"/>
        <w:divId w:val="323556404"/>
        <w:rPr>
          <w:rFonts w:eastAsia="Times New Roman"/>
        </w:rPr>
      </w:pPr>
      <w:r>
        <w:rPr>
          <w:rFonts w:ascii="IBM Plex Sans" w:eastAsia="Times New Roman" w:hAnsi="IBM Plex Sans"/>
          <w:color w:val="283030"/>
          <w:sz w:val="20"/>
          <w:szCs w:val="20"/>
        </w:rPr>
        <w:t>In fiscal 2022, 2021 and 2020, we recognized $1,057 million, $930 million and $974 million, respectively</w:t>
      </w:r>
      <w:r>
        <w:rPr>
          <w:rFonts w:ascii="IBM Plex Sans" w:eastAsia="Times New Roman" w:hAnsi="IBM Plex Sans"/>
          <w:b/>
          <w:bCs/>
          <w:color w:val="283030"/>
          <w:sz w:val="20"/>
          <w:szCs w:val="20"/>
        </w:rPr>
        <w:t xml:space="preserve">, </w:t>
      </w:r>
      <w:r>
        <w:rPr>
          <w:rFonts w:ascii="IBM Plex Sans" w:eastAsia="Times New Roman" w:hAnsi="IBM Plex Sans"/>
          <w:color w:val="283030"/>
          <w:sz w:val="20"/>
          <w:szCs w:val="20"/>
        </w:rPr>
        <w:t xml:space="preserve">of revenue related to contract liabilities that were outstanding at the end of the respective prior fiscal year. </w:t>
      </w:r>
    </w:p>
    <w:p w:rsidR="00000000" w:rsidRDefault="00F5481A">
      <w:pPr>
        <w:ind w:firstLine="360"/>
        <w:jc w:val="center"/>
        <w:divId w:val="516888148"/>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77</w:t>
      </w:r>
    </w:p>
    <w:p w:rsidR="00000000" w:rsidRDefault="00F5481A">
      <w:pPr>
        <w:rPr>
          <w:rFonts w:eastAsia="Times New Roman"/>
        </w:rPr>
      </w:pPr>
      <w:r>
        <w:rPr>
          <w:rFonts w:eastAsia="Times New Roman"/>
        </w:rPr>
        <w:pict>
          <v:rect id="_x0000_i1108" style="width:0;height:1.5pt" o:hralign="center" o:hrstd="t" o:hr="t" fillcolor="#a0a0a0" stroked="f"/>
        </w:pict>
      </w:r>
    </w:p>
    <w:p w:rsidR="00000000" w:rsidRDefault="00F5481A">
      <w:pPr>
        <w:ind w:firstLine="360"/>
        <w:divId w:val="1740059357"/>
        <w:rPr>
          <w:rFonts w:eastAsia="Times New Roman"/>
        </w:rPr>
      </w:pPr>
    </w:p>
    <w:p w:rsidR="00000000" w:rsidRDefault="00F5481A">
      <w:pPr>
        <w:divId w:val="1124930741"/>
        <w:rPr>
          <w:rFonts w:eastAsia="Times New Roman"/>
        </w:rPr>
      </w:pPr>
      <w:r>
        <w:rPr>
          <w:rFonts w:ascii="IBM Plex Sans SemiBold" w:eastAsia="Times New Roman" w:hAnsi="IBM Plex Sans SemiBold"/>
          <w:b/>
          <w:bCs/>
          <w:color w:val="016676"/>
          <w:sz w:val="20"/>
          <w:szCs w:val="20"/>
        </w:rPr>
        <w:t>NOTE 7: INVENTORIES</w:t>
      </w:r>
      <w:r>
        <w:rPr>
          <w:rFonts w:ascii="IBM Plex Sans" w:eastAsia="Times New Roman" w:hAnsi="IBM Plex Sans"/>
          <w:b/>
          <w:bCs/>
          <w:i/>
          <w:iCs/>
          <w:color w:val="283030"/>
          <w:sz w:val="20"/>
          <w:szCs w:val="20"/>
        </w:rPr>
        <w:t xml:space="preserve"> </w:t>
      </w:r>
    </w:p>
    <w:p w:rsidR="00000000" w:rsidRDefault="00F5481A">
      <w:pPr>
        <w:ind w:firstLine="360"/>
        <w:divId w:val="2079089509"/>
        <w:rPr>
          <w:rFonts w:eastAsia="Times New Roman"/>
        </w:rPr>
      </w:pPr>
      <w:r>
        <w:rPr>
          <w:rFonts w:ascii="IBM Plex Sans" w:eastAsia="Times New Roman" w:hAnsi="IBM Plex Sans"/>
          <w:color w:val="283030"/>
          <w:sz w:val="20"/>
          <w:szCs w:val="20"/>
        </w:rPr>
        <w:t>Inventories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39"/>
        <w:gridCol w:w="5487"/>
        <w:gridCol w:w="38"/>
        <w:gridCol w:w="133"/>
        <w:gridCol w:w="1112"/>
        <w:gridCol w:w="36"/>
        <w:gridCol w:w="36"/>
        <w:gridCol w:w="36"/>
        <w:gridCol w:w="36"/>
        <w:gridCol w:w="133"/>
        <w:gridCol w:w="1112"/>
        <w:gridCol w:w="36"/>
        <w:gridCol w:w="36"/>
        <w:gridCol w:w="36"/>
      </w:tblGrid>
      <w:tr w:rsidR="00000000">
        <w:trPr>
          <w:divId w:val="242686570"/>
        </w:trPr>
        <w:tc>
          <w:tcPr>
            <w:tcW w:w="50" w:type="pct"/>
            <w:vAlign w:val="center"/>
            <w:hideMark/>
          </w:tcPr>
          <w:p w:rsidR="00000000" w:rsidRDefault="00F5481A">
            <w:pPr>
              <w:ind w:firstLine="360"/>
              <w:rPr>
                <w:rFonts w:eastAsia="Times New Roman"/>
              </w:rPr>
            </w:pPr>
          </w:p>
        </w:tc>
        <w:tc>
          <w:tcPr>
            <w:tcW w:w="337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242686570"/>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r>
      <w:tr w:rsidR="00000000">
        <w:trPr>
          <w:divId w:val="242686570"/>
          <w:trHeight w:val="60"/>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242686570"/>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Finished products</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141 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242686570"/>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Work in process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396 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335 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242686570"/>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Materials and supplies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714 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506 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242686570"/>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Inventories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982 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bl>
    <w:p w:rsidR="00000000" w:rsidRDefault="00F5481A">
      <w:pPr>
        <w:divId w:val="1771848026"/>
        <w:rPr>
          <w:rFonts w:eastAsia="Times New Roman"/>
        </w:rPr>
      </w:pPr>
      <w:r>
        <w:rPr>
          <w:rFonts w:ascii="IBM Plex Sans SemiBold" w:eastAsia="Times New Roman" w:hAnsi="IBM Plex Sans SemiBold"/>
          <w:b/>
          <w:bCs/>
          <w:color w:val="016676"/>
          <w:sz w:val="20"/>
          <w:szCs w:val="20"/>
        </w:rPr>
        <w:t>NOTE 8: PROPERTY, PLANT AND EQUIPMENT, NET</w:t>
      </w:r>
      <w:r>
        <w:rPr>
          <w:rFonts w:ascii="IBM Plex Sans" w:eastAsia="Times New Roman" w:hAnsi="IBM Plex Sans"/>
          <w:b/>
          <w:bCs/>
          <w:i/>
          <w:iCs/>
          <w:color w:val="283030"/>
          <w:sz w:val="20"/>
          <w:szCs w:val="20"/>
        </w:rPr>
        <w:t xml:space="preserve"> </w:t>
      </w:r>
    </w:p>
    <w:p w:rsidR="00000000" w:rsidRDefault="00F5481A">
      <w:pPr>
        <w:ind w:firstLine="360"/>
        <w:divId w:val="1020542885"/>
        <w:rPr>
          <w:rFonts w:eastAsia="Times New Roman"/>
        </w:rPr>
      </w:pPr>
      <w:r>
        <w:rPr>
          <w:rFonts w:ascii="IBM Plex Sans" w:eastAsia="Times New Roman" w:hAnsi="IBM Plex Sans"/>
          <w:color w:val="283030"/>
          <w:sz w:val="20"/>
          <w:szCs w:val="20"/>
        </w:rPr>
        <w:t>Property, plant and equipment, net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39"/>
        <w:gridCol w:w="5537"/>
        <w:gridCol w:w="37"/>
        <w:gridCol w:w="133"/>
        <w:gridCol w:w="1123"/>
        <w:gridCol w:w="36"/>
        <w:gridCol w:w="36"/>
        <w:gridCol w:w="36"/>
        <w:gridCol w:w="36"/>
        <w:gridCol w:w="133"/>
        <w:gridCol w:w="1124"/>
        <w:gridCol w:w="36"/>
      </w:tblGrid>
      <w:tr w:rsidR="00000000">
        <w:trPr>
          <w:divId w:val="2105102423"/>
        </w:trPr>
        <w:tc>
          <w:tcPr>
            <w:tcW w:w="50" w:type="pct"/>
            <w:vAlign w:val="center"/>
            <w:hideMark/>
          </w:tcPr>
          <w:p w:rsidR="00000000" w:rsidRDefault="00F5481A">
            <w:pPr>
              <w:ind w:firstLine="360"/>
              <w:rPr>
                <w:rFonts w:eastAsia="Times New Roman"/>
              </w:rPr>
            </w:pPr>
          </w:p>
        </w:tc>
        <w:tc>
          <w:tcPr>
            <w:tcW w:w="337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2105102423"/>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r>
      <w:tr w:rsidR="00000000">
        <w:trPr>
          <w:divId w:val="2105102423"/>
          <w:trHeight w:val="6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2105102423"/>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Land</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78 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2105102423"/>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Software capitalized for internal use</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686 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576 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2105102423"/>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Buildings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1,251 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1,236 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2105102423"/>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Machinery and equipment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2,322 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2,177 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2105102423"/>
        </w:trPr>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4,337 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4,068 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2105102423"/>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Less: accumulated 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(2,233)</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(1,967)</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2105102423"/>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Property, plant and equipment, net</w:t>
            </w: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2,104 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2,101 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bl>
    <w:p w:rsidR="00000000" w:rsidRDefault="00F5481A">
      <w:pPr>
        <w:ind w:firstLine="360"/>
        <w:divId w:val="1085297014"/>
        <w:rPr>
          <w:rFonts w:eastAsia="Times New Roman"/>
        </w:rPr>
      </w:pPr>
      <w:r>
        <w:rPr>
          <w:rFonts w:ascii="IBM Plex Sans" w:eastAsia="Times New Roman" w:hAnsi="IBM Plex Sans"/>
          <w:color w:val="283030"/>
          <w:sz w:val="20"/>
          <w:szCs w:val="20"/>
        </w:rPr>
        <w:t>Depreciation and amortization expense related to property, plant and equipment was $342 million, $343 million and $318 million in fiscal 2022, 2021 and 2020, respectively.</w:t>
      </w:r>
    </w:p>
    <w:p w:rsidR="00000000" w:rsidRDefault="00F5481A">
      <w:pPr>
        <w:divId w:val="1266419833"/>
        <w:rPr>
          <w:rFonts w:eastAsia="Times New Roman"/>
        </w:rPr>
      </w:pPr>
      <w:r>
        <w:rPr>
          <w:rFonts w:ascii="IBM Plex Sans SemiBold" w:eastAsia="Times New Roman" w:hAnsi="IBM Plex Sans SemiBold"/>
          <w:b/>
          <w:bCs/>
          <w:color w:val="016676"/>
          <w:sz w:val="20"/>
          <w:szCs w:val="20"/>
        </w:rPr>
        <w:t>CTS Impairment - Fiscal 2021</w:t>
      </w:r>
    </w:p>
    <w:p w:rsidR="00000000" w:rsidRDefault="00F5481A">
      <w:pPr>
        <w:ind w:firstLine="360"/>
        <w:divId w:val="528110411"/>
        <w:rPr>
          <w:rFonts w:eastAsia="Times New Roman"/>
        </w:rPr>
      </w:pPr>
      <w:r>
        <w:rPr>
          <w:rFonts w:ascii="IBM Plex Sans" w:eastAsia="Times New Roman" w:hAnsi="IBM Plex Sans"/>
          <w:color w:val="283030"/>
          <w:sz w:val="20"/>
          <w:szCs w:val="20"/>
        </w:rPr>
        <w:t xml:space="preserve">In fiscal 2021, as discussed in more detail in </w:t>
      </w:r>
      <w:r>
        <w:rPr>
          <w:rFonts w:ascii="IBM Plex Sans" w:eastAsia="Times New Roman" w:hAnsi="IBM Plex Sans"/>
          <w:i/>
          <w:iCs/>
          <w:color w:val="283030"/>
          <w:sz w:val="20"/>
          <w:szCs w:val="20"/>
        </w:rPr>
        <w:t>Note 10: Intangible Assets</w:t>
      </w:r>
      <w:r>
        <w:rPr>
          <w:rFonts w:ascii="IBM Plex Sans" w:eastAsia="Times New Roman" w:hAnsi="IBM Plex Sans"/>
          <w:color w:val="283030"/>
          <w:sz w:val="20"/>
          <w:szCs w:val="20"/>
        </w:rPr>
        <w:t xml:space="preserve"> in these Notes, in conjunction with, and in advance of, the tests of goodwill related to our CTS reporting unit, we recorded an $82 million non-cash impairment charge for long-lived </w:t>
      </w:r>
      <w:r>
        <w:rPr>
          <w:rFonts w:ascii="IBM Plex Sans" w:eastAsia="Times New Roman" w:hAnsi="IBM Plex Sans"/>
          <w:color w:val="283030"/>
          <w:sz w:val="20"/>
          <w:szCs w:val="20"/>
        </w:rPr>
        <w:t>assets, consisting of $19 million, $56 million and $7 million of impairment charges for right-of-use assets, property, plant and equipment and marketable software, respectively, which is included in the “Impairment of goodwill and other assets” line item i</w:t>
      </w:r>
      <w:r>
        <w:rPr>
          <w:rFonts w:ascii="IBM Plex Sans" w:eastAsia="Times New Roman" w:hAnsi="IBM Plex Sans"/>
          <w:color w:val="283030"/>
          <w:sz w:val="20"/>
          <w:szCs w:val="20"/>
        </w:rPr>
        <w:t>n our Consolidated Statement of Operations for fiscal 2021.</w:t>
      </w:r>
    </w:p>
    <w:p w:rsidR="00000000" w:rsidRDefault="00F5481A">
      <w:pPr>
        <w:divId w:val="53282835"/>
        <w:rPr>
          <w:rFonts w:eastAsia="Times New Roman"/>
        </w:rPr>
      </w:pPr>
      <w:r>
        <w:rPr>
          <w:rFonts w:ascii="IBM Plex Sans SemiBold" w:eastAsia="Times New Roman" w:hAnsi="IBM Plex Sans SemiBold"/>
          <w:b/>
          <w:bCs/>
          <w:color w:val="016676"/>
          <w:sz w:val="20"/>
          <w:szCs w:val="20"/>
        </w:rPr>
        <w:t>Commercial Aviation Solutions Impairment - Fiscal 2020</w:t>
      </w:r>
    </w:p>
    <w:p w:rsidR="00000000" w:rsidRDefault="00F5481A">
      <w:pPr>
        <w:ind w:firstLine="360"/>
        <w:divId w:val="1468206719"/>
        <w:rPr>
          <w:rFonts w:eastAsia="Times New Roman"/>
        </w:rPr>
      </w:pPr>
      <w:r>
        <w:rPr>
          <w:rFonts w:ascii="IBM Plex Sans" w:eastAsia="Times New Roman" w:hAnsi="IBM Plex Sans"/>
          <w:color w:val="283030"/>
          <w:sz w:val="20"/>
          <w:szCs w:val="20"/>
        </w:rPr>
        <w:t xml:space="preserve">In fiscal 2020, as discussed in more detail in </w:t>
      </w:r>
      <w:r>
        <w:rPr>
          <w:rFonts w:ascii="IBM Plex Sans" w:eastAsia="Times New Roman" w:hAnsi="IBM Plex Sans"/>
          <w:i/>
          <w:iCs/>
          <w:color w:val="283030"/>
          <w:sz w:val="20"/>
          <w:szCs w:val="20"/>
        </w:rPr>
        <w:t>Note 9: Goodwill</w:t>
      </w:r>
      <w:r>
        <w:rPr>
          <w:rFonts w:ascii="IBM Plex Sans" w:eastAsia="Times New Roman" w:hAnsi="IBM Plex Sans"/>
          <w:color w:val="283030"/>
          <w:sz w:val="20"/>
          <w:szCs w:val="20"/>
        </w:rPr>
        <w:t xml:space="preserve"> and </w:t>
      </w:r>
      <w:r>
        <w:rPr>
          <w:rFonts w:ascii="IBM Plex Sans" w:eastAsia="Times New Roman" w:hAnsi="IBM Plex Sans"/>
          <w:i/>
          <w:iCs/>
          <w:color w:val="283030"/>
          <w:sz w:val="20"/>
          <w:szCs w:val="20"/>
        </w:rPr>
        <w:t>Note 10: Intangible Assets</w:t>
      </w:r>
      <w:r>
        <w:rPr>
          <w:rFonts w:ascii="IBM Plex Sans" w:eastAsia="Times New Roman" w:hAnsi="IBM Plex Sans"/>
          <w:color w:val="283030"/>
          <w:sz w:val="20"/>
          <w:szCs w:val="20"/>
        </w:rPr>
        <w:t xml:space="preserve"> in these Notes, in conjunction with, and in ad</w:t>
      </w:r>
      <w:r>
        <w:rPr>
          <w:rFonts w:ascii="IBM Plex Sans" w:eastAsia="Times New Roman" w:hAnsi="IBM Plex Sans"/>
          <w:color w:val="283030"/>
          <w:sz w:val="20"/>
          <w:szCs w:val="20"/>
        </w:rPr>
        <w:t>vance of, the tests of goodwill related to our Commercial Aviation Solutions reporting unit, we recorded a $257 million non-cash impairment charge for long-lived assets, including a $103 million impairment charge for property, plant and equipment, which is</w:t>
      </w:r>
      <w:r>
        <w:rPr>
          <w:rFonts w:ascii="IBM Plex Sans" w:eastAsia="Times New Roman" w:hAnsi="IBM Plex Sans"/>
          <w:color w:val="283030"/>
          <w:sz w:val="20"/>
          <w:szCs w:val="20"/>
        </w:rPr>
        <w:t xml:space="preserve"> included in the “Impairment of goodwill and other assets” line item in our Consolidated Statement of Operations for fiscal 2020.</w:t>
      </w:r>
    </w:p>
    <w:p w:rsidR="00000000" w:rsidRDefault="00F5481A">
      <w:pPr>
        <w:ind w:firstLine="360"/>
        <w:jc w:val="center"/>
        <w:divId w:val="760835145"/>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78</w:t>
      </w:r>
    </w:p>
    <w:p w:rsidR="00000000" w:rsidRDefault="00F5481A">
      <w:pPr>
        <w:rPr>
          <w:rFonts w:eastAsia="Times New Roman"/>
        </w:rPr>
      </w:pPr>
      <w:r>
        <w:rPr>
          <w:rFonts w:eastAsia="Times New Roman"/>
        </w:rPr>
        <w:pict>
          <v:rect id="_x0000_i1109" style="width:0;height:1.5pt" o:hralign="center" o:hrstd="t" o:hr="t" fillcolor="#a0a0a0" stroked="f"/>
        </w:pict>
      </w:r>
    </w:p>
    <w:p w:rsidR="00000000" w:rsidRDefault="00F5481A">
      <w:pPr>
        <w:ind w:firstLine="360"/>
        <w:divId w:val="52120867"/>
        <w:rPr>
          <w:rFonts w:eastAsia="Times New Roman"/>
        </w:rPr>
      </w:pPr>
    </w:p>
    <w:p w:rsidR="00000000" w:rsidRDefault="00F5481A">
      <w:pPr>
        <w:divId w:val="1760523287"/>
        <w:rPr>
          <w:rFonts w:eastAsia="Times New Roman"/>
        </w:rPr>
      </w:pPr>
      <w:r>
        <w:rPr>
          <w:rFonts w:ascii="IBM Plex Sans SemiBold" w:eastAsia="Times New Roman" w:hAnsi="IBM Plex Sans SemiBold"/>
          <w:b/>
          <w:bCs/>
          <w:color w:val="016676"/>
          <w:sz w:val="20"/>
          <w:szCs w:val="20"/>
        </w:rPr>
        <w:t>NOTE 9: GOODWI</w:t>
      </w:r>
      <w:r>
        <w:rPr>
          <w:rFonts w:ascii="IBM Plex Sans SemiBold" w:eastAsia="Times New Roman" w:hAnsi="IBM Plex Sans SemiBold"/>
          <w:b/>
          <w:bCs/>
          <w:color w:val="016676"/>
          <w:sz w:val="20"/>
          <w:szCs w:val="20"/>
        </w:rPr>
        <w:t>LL</w:t>
      </w:r>
      <w:r>
        <w:rPr>
          <w:rFonts w:ascii="IBM Plex Sans" w:eastAsia="Times New Roman" w:hAnsi="IBM Plex Sans"/>
          <w:b/>
          <w:bCs/>
          <w:i/>
          <w:iCs/>
          <w:color w:val="283030"/>
          <w:sz w:val="20"/>
          <w:szCs w:val="20"/>
        </w:rPr>
        <w:t xml:space="preserve"> </w:t>
      </w:r>
    </w:p>
    <w:p w:rsidR="00000000" w:rsidRDefault="00F5481A">
      <w:pPr>
        <w:ind w:firstLine="360"/>
        <w:divId w:val="1100220241"/>
        <w:rPr>
          <w:rFonts w:eastAsia="Times New Roman"/>
        </w:rPr>
      </w:pPr>
      <w:r>
        <w:rPr>
          <w:rFonts w:ascii="IBM Plex Sans" w:eastAsia="Times New Roman" w:hAnsi="IBM Plex Sans"/>
          <w:color w:val="283030"/>
          <w:sz w:val="20"/>
          <w:szCs w:val="20"/>
        </w:rPr>
        <w:t>The assignment of goodwill and changes in the carrying amount of goodwill, by business segment, for fiscal 2022 and 2021 were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3069"/>
        <w:gridCol w:w="39"/>
        <w:gridCol w:w="133"/>
        <w:gridCol w:w="721"/>
        <w:gridCol w:w="36"/>
        <w:gridCol w:w="36"/>
        <w:gridCol w:w="36"/>
        <w:gridCol w:w="36"/>
        <w:gridCol w:w="132"/>
        <w:gridCol w:w="557"/>
        <w:gridCol w:w="36"/>
        <w:gridCol w:w="36"/>
        <w:gridCol w:w="36"/>
        <w:gridCol w:w="36"/>
        <w:gridCol w:w="133"/>
        <w:gridCol w:w="1137"/>
        <w:gridCol w:w="36"/>
        <w:gridCol w:w="36"/>
        <w:gridCol w:w="36"/>
        <w:gridCol w:w="36"/>
        <w:gridCol w:w="133"/>
        <w:gridCol w:w="728"/>
        <w:gridCol w:w="36"/>
        <w:gridCol w:w="36"/>
        <w:gridCol w:w="36"/>
        <w:gridCol w:w="36"/>
        <w:gridCol w:w="36"/>
        <w:gridCol w:w="36"/>
        <w:gridCol w:w="132"/>
        <w:gridCol w:w="668"/>
        <w:gridCol w:w="36"/>
      </w:tblGrid>
      <w:tr w:rsidR="00000000">
        <w:trPr>
          <w:divId w:val="1750543131"/>
        </w:trPr>
        <w:tc>
          <w:tcPr>
            <w:tcW w:w="50" w:type="pct"/>
            <w:vAlign w:val="center"/>
            <w:hideMark/>
          </w:tcPr>
          <w:p w:rsidR="00000000" w:rsidRDefault="00F5481A">
            <w:pPr>
              <w:ind w:firstLine="360"/>
              <w:rPr>
                <w:rFonts w:eastAsia="Times New Roman"/>
              </w:rPr>
            </w:pPr>
          </w:p>
        </w:tc>
        <w:tc>
          <w:tcPr>
            <w:tcW w:w="223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2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2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3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2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562"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2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3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2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3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1750543131"/>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Integrated Mission Systems</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 xml:space="preserve">Space &amp; </w:t>
            </w:r>
            <w:r>
              <w:rPr>
                <w:rFonts w:ascii="IBM Plex Sans" w:eastAsia="Times New Roman" w:hAnsi="IBM Plex Sans"/>
                <w:b/>
                <w:bCs/>
                <w:color w:val="283030"/>
                <w:sz w:val="16"/>
                <w:szCs w:val="16"/>
              </w:rPr>
              <w:t>Airborne Systems</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Communication Systems</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Aviation System</w:t>
            </w:r>
            <w:r>
              <w:rPr>
                <w:rFonts w:ascii="IBM Plex Sans" w:eastAsia="Times New Roman" w:hAnsi="IBM Plex Sans"/>
                <w:b/>
                <w:bCs/>
                <w:color w:val="283030"/>
                <w:sz w:val="16"/>
                <w:szCs w:val="16"/>
              </w:rPr>
              <w:t>s</w:t>
            </w:r>
            <w:r>
              <w:rPr>
                <w:rFonts w:ascii="IBM Plex Sans" w:eastAsia="Times New Roman" w:hAnsi="IBM Plex Sans"/>
                <w:b/>
                <w:bCs/>
                <w:color w:val="283030"/>
                <w:sz w:val="10"/>
                <w:szCs w:val="10"/>
              </w:rPr>
              <w:t>(2</w:t>
            </w:r>
            <w:r>
              <w:rPr>
                <w:rFonts w:ascii="IBM Plex Sans" w:eastAsia="Times New Roman" w:hAnsi="IBM Plex Sans"/>
                <w:b/>
                <w:bCs/>
                <w:color w:val="283030"/>
                <w:sz w:val="10"/>
                <w:szCs w:val="10"/>
              </w:rPr>
              <w:t>)</w:t>
            </w:r>
          </w:p>
        </w:tc>
        <w:tc>
          <w:tcPr>
            <w:tcW w:w="0" w:type="auto"/>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Total</w:t>
            </w:r>
          </w:p>
        </w:tc>
      </w:tr>
      <w:tr w:rsidR="00000000">
        <w:trPr>
          <w:divId w:val="1750543131"/>
          <w:trHeight w:val="6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750543131"/>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283030"/>
                <w:sz w:val="20"/>
                <w:szCs w:val="20"/>
              </w:rPr>
              <w:t>Balance at January 1, 2021</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6,499</w:t>
            </w: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5,232</w:t>
            </w: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4,153</w:t>
            </w: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2,992</w:t>
            </w: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18,876</w:t>
            </w: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750543131"/>
        </w:trPr>
        <w:tc>
          <w:tcPr>
            <w:tcW w:w="0" w:type="auto"/>
            <w:gridSpan w:val="3"/>
            <w:shd w:val="clear" w:color="auto" w:fill="FFFFFF"/>
            <w:tcMar>
              <w:top w:w="30" w:type="dxa"/>
              <w:left w:w="20" w:type="dxa"/>
              <w:bottom w:w="30" w:type="dxa"/>
              <w:right w:w="20" w:type="dxa"/>
            </w:tcMar>
            <w:hideMark/>
          </w:tcPr>
          <w:p w:rsidR="00000000" w:rsidRDefault="00F5481A">
            <w:pPr>
              <w:spacing w:after="100"/>
              <w:divId w:val="740641444"/>
              <w:rPr>
                <w:rFonts w:eastAsia="Times New Roman"/>
              </w:rPr>
            </w:pPr>
            <w:r>
              <w:rPr>
                <w:rFonts w:ascii="IBM Plex Sans" w:eastAsia="Times New Roman" w:hAnsi="IBM Plex Sans"/>
                <w:color w:val="000000"/>
                <w:sz w:val="20"/>
                <w:szCs w:val="20"/>
              </w:rPr>
              <w:t>Goodwill decrease from divestiture</w:t>
            </w:r>
            <w:r>
              <w:rPr>
                <w:rFonts w:ascii="IBM Plex Sans" w:eastAsia="Times New Roman" w:hAnsi="IBM Plex Sans"/>
                <w:color w:val="000000"/>
                <w:sz w:val="20"/>
                <w:szCs w:val="20"/>
              </w:rPr>
              <w:t>s</w:t>
            </w:r>
            <w:r>
              <w:rPr>
                <w:rFonts w:ascii="IBM Plex Sans" w:eastAsia="Times New Roman" w:hAnsi="IBM Plex Sans"/>
                <w:color w:val="000000"/>
                <w:sz w:val="13"/>
                <w:szCs w:val="13"/>
              </w:rPr>
              <w:t>(1</w:t>
            </w:r>
            <w:r>
              <w:rPr>
                <w:rFonts w:ascii="IBM Plex Sans" w:eastAsia="Times New Roman" w:hAnsi="IBM Plex Sans"/>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(564)</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(564)</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750543131"/>
        </w:trPr>
        <w:tc>
          <w:tcPr>
            <w:tcW w:w="0" w:type="auto"/>
            <w:gridSpan w:val="3"/>
            <w:shd w:val="clear" w:color="auto" w:fill="D7EFF1"/>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000000"/>
                <w:sz w:val="20"/>
                <w:szCs w:val="20"/>
              </w:rPr>
              <w:t>Impairment of goodwill</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(62)</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(62)</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750543131"/>
        </w:trPr>
        <w:tc>
          <w:tcPr>
            <w:tcW w:w="0" w:type="auto"/>
            <w:gridSpan w:val="3"/>
            <w:shd w:val="clear" w:color="auto" w:fill="FFFFFF"/>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000000"/>
                <w:sz w:val="20"/>
                <w:szCs w:val="20"/>
              </w:rPr>
              <w:t>Currency translation adjustments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(14)</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(30)</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(17)</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(61)</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750543131"/>
        </w:trPr>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750543131"/>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283030"/>
                <w:sz w:val="20"/>
                <w:szCs w:val="20"/>
              </w:rPr>
              <w:t>Balance at December 31, 2021 - As Reported</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6,485</w:t>
            </w:r>
            <w:r>
              <w:rPr>
                <w:rFonts w:ascii="IBM Plex Sans" w:eastAsia="Times New Roman" w:hAnsi="IBM Plex Sans"/>
                <w:color w:val="283030"/>
                <w:sz w:val="20"/>
                <w:szCs w:val="20"/>
              </w:rPr>
              <w:t>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5,202</w:t>
            </w:r>
            <w:r>
              <w:rPr>
                <w:rFonts w:ascii="IBM Plex Sans" w:eastAsia="Times New Roman" w:hAnsi="IBM Plex Sans"/>
                <w:color w:val="283030"/>
                <w:sz w:val="20"/>
                <w:szCs w:val="20"/>
              </w:rPr>
              <w:t>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4,153</w:t>
            </w:r>
            <w:r>
              <w:rPr>
                <w:rFonts w:ascii="IBM Plex Sans" w:eastAsia="Times New Roman" w:hAnsi="IBM Plex Sans"/>
                <w:color w:val="283030"/>
                <w:sz w:val="20"/>
                <w:szCs w:val="20"/>
              </w:rPr>
              <w:t>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2,349</w:t>
            </w:r>
            <w:r>
              <w:rPr>
                <w:rFonts w:ascii="IBM Plex Sans" w:eastAsia="Times New Roman" w:hAnsi="IBM Plex Sans"/>
                <w:color w:val="283030"/>
                <w:sz w:val="20"/>
                <w:szCs w:val="20"/>
              </w:rPr>
              <w:t>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18,189</w:t>
            </w:r>
            <w:r>
              <w:rPr>
                <w:rFonts w:ascii="IBM Plex Sans" w:eastAsia="Times New Roman" w:hAnsi="IBM Plex Sans"/>
                <w:color w:val="283030"/>
                <w:sz w:val="20"/>
                <w:szCs w:val="20"/>
              </w:rPr>
              <w:t>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750543131"/>
        </w:trPr>
        <w:tc>
          <w:tcPr>
            <w:tcW w:w="0" w:type="auto"/>
            <w:gridSpan w:val="3"/>
            <w:shd w:val="clear" w:color="auto" w:fill="FFFFFF"/>
            <w:tcMar>
              <w:top w:w="30" w:type="dxa"/>
              <w:left w:w="20" w:type="dxa"/>
              <w:bottom w:w="30" w:type="dxa"/>
              <w:right w:w="20" w:type="dxa"/>
            </w:tcMar>
            <w:hideMark/>
          </w:tcPr>
          <w:p w:rsidR="00000000" w:rsidRDefault="00F5481A">
            <w:pPr>
              <w:spacing w:after="100"/>
              <w:ind w:hanging="180"/>
              <w:divId w:val="395052269"/>
              <w:rPr>
                <w:rFonts w:eastAsia="Times New Roman"/>
              </w:rPr>
            </w:pPr>
            <w:r>
              <w:rPr>
                <w:rFonts w:ascii="IBM Plex Sans" w:eastAsia="Times New Roman" w:hAnsi="IBM Plex Sans"/>
                <w:color w:val="283030"/>
                <w:sz w:val="20"/>
                <w:szCs w:val="20"/>
              </w:rPr>
              <w:t>Reallocation of goodwill in segment reorganizatio</w:t>
            </w:r>
            <w:r>
              <w:rPr>
                <w:rFonts w:ascii="IBM Plex Sans" w:eastAsia="Times New Roman" w:hAnsi="IBM Plex Sans"/>
                <w:color w:val="283030"/>
                <w:sz w:val="20"/>
                <w:szCs w:val="20"/>
              </w:rPr>
              <w:t>n</w:t>
            </w:r>
            <w:r>
              <w:rPr>
                <w:rFonts w:ascii="IBM Plex Sans" w:eastAsia="Times New Roman" w:hAnsi="IBM Plex Sans"/>
                <w:color w:val="283030"/>
                <w:sz w:val="13"/>
                <w:szCs w:val="13"/>
              </w:rPr>
              <w:t>(2</w:t>
            </w:r>
            <w:r>
              <w:rPr>
                <w:rFonts w:ascii="IBM Plex Sans" w:eastAsia="Times New Roman" w:hAnsi="IBM Plex Sans"/>
                <w:color w:val="28303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1,702 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647 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(2,349)</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750543131"/>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283030"/>
                <w:sz w:val="20"/>
                <w:szCs w:val="20"/>
              </w:rPr>
              <w:t>Balance at December 31, 2021 - After Reallocation</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8,187</w:t>
            </w:r>
            <w:r>
              <w:rPr>
                <w:rFonts w:ascii="IBM Plex Sans" w:eastAsia="Times New Roman" w:hAnsi="IBM Plex Sans"/>
                <w:color w:val="283030"/>
                <w:sz w:val="20"/>
                <w:szCs w:val="20"/>
              </w:rPr>
              <w:t>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5,849</w:t>
            </w:r>
            <w:r>
              <w:rPr>
                <w:rFonts w:ascii="IBM Plex Sans" w:eastAsia="Times New Roman" w:hAnsi="IBM Plex Sans"/>
                <w:color w:val="283030"/>
                <w:sz w:val="20"/>
                <w:szCs w:val="20"/>
              </w:rPr>
              <w:t>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4,153</w:t>
            </w:r>
            <w:r>
              <w:rPr>
                <w:rFonts w:ascii="IBM Plex Sans" w:eastAsia="Times New Roman" w:hAnsi="IBM Plex Sans"/>
                <w:color w:val="283030"/>
                <w:sz w:val="20"/>
                <w:szCs w:val="20"/>
              </w:rPr>
              <w:t>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w:t>
            </w:r>
            <w:r>
              <w:rPr>
                <w:rFonts w:ascii="IBM Plex Sans" w:eastAsia="Times New Roman" w:hAnsi="IBM Plex Sans"/>
                <w:color w:val="283030"/>
                <w:sz w:val="20"/>
                <w:szCs w:val="20"/>
              </w:rPr>
              <w:t>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18,189</w:t>
            </w:r>
            <w:r>
              <w:rPr>
                <w:rFonts w:ascii="IBM Plex Sans" w:eastAsia="Times New Roman" w:hAnsi="IBM Plex Sans"/>
                <w:color w:val="283030"/>
                <w:sz w:val="20"/>
                <w:szCs w:val="20"/>
              </w:rPr>
              <w:t>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750543131"/>
        </w:trPr>
        <w:tc>
          <w:tcPr>
            <w:tcW w:w="0" w:type="auto"/>
            <w:gridSpan w:val="3"/>
            <w:shd w:val="clear" w:color="auto" w:fill="FFFFFF"/>
            <w:tcMar>
              <w:top w:w="30" w:type="dxa"/>
              <w:left w:w="20" w:type="dxa"/>
              <w:bottom w:w="30" w:type="dxa"/>
              <w:right w:w="20" w:type="dxa"/>
            </w:tcMar>
            <w:hideMark/>
          </w:tcPr>
          <w:p w:rsidR="00000000" w:rsidRDefault="00F5481A">
            <w:pPr>
              <w:spacing w:after="100"/>
              <w:ind w:hanging="251"/>
              <w:divId w:val="63643612"/>
              <w:rPr>
                <w:rFonts w:eastAsia="Times New Roman"/>
              </w:rPr>
            </w:pPr>
            <w:r>
              <w:rPr>
                <w:rFonts w:ascii="IBM Plex Sans" w:eastAsia="Times New Roman" w:hAnsi="IBM Plex Sans"/>
                <w:color w:val="283030"/>
                <w:sz w:val="20"/>
                <w:szCs w:val="20"/>
              </w:rPr>
              <w:t>Assets of business held for sal</w:t>
            </w:r>
            <w:r>
              <w:rPr>
                <w:rFonts w:ascii="IBM Plex Sans" w:eastAsia="Times New Roman" w:hAnsi="IBM Plex Sans"/>
                <w:color w:val="283030"/>
                <w:sz w:val="20"/>
                <w:szCs w:val="20"/>
              </w:rPr>
              <w:t>e</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(30)</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(30)</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750543131"/>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Impairment of goodwill</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(447)</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(355)</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(802)</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750543131"/>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Currency translation adjustments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(31)</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(41)</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(74)</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750543131"/>
        </w:trPr>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750543131"/>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283030"/>
                <w:sz w:val="20"/>
                <w:szCs w:val="20"/>
              </w:rPr>
              <w:t>Balance at December 30, 2022</w:t>
            </w: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7,709</w:t>
            </w:r>
            <w:r>
              <w:rPr>
                <w:rFonts w:ascii="IBM Plex Sans" w:eastAsia="Times New Roman" w:hAnsi="IBM Plex Sans"/>
                <w:color w:val="283030"/>
                <w:sz w:val="20"/>
                <w:szCs w:val="20"/>
              </w:rPr>
              <w:t>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5,778</w:t>
            </w:r>
            <w:r>
              <w:rPr>
                <w:rFonts w:ascii="IBM Plex Sans" w:eastAsia="Times New Roman" w:hAnsi="IBM Plex Sans"/>
                <w:color w:val="283030"/>
                <w:sz w:val="20"/>
                <w:szCs w:val="20"/>
              </w:rPr>
              <w:t>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3,796</w:t>
            </w:r>
            <w:r>
              <w:rPr>
                <w:rFonts w:ascii="IBM Plex Sans" w:eastAsia="Times New Roman" w:hAnsi="IBM Plex Sans"/>
                <w:color w:val="283030"/>
                <w:sz w:val="20"/>
                <w:szCs w:val="20"/>
              </w:rPr>
              <w:t>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w:t>
            </w:r>
            <w:r>
              <w:rPr>
                <w:rFonts w:ascii="IBM Plex Sans" w:eastAsia="Times New Roman" w:hAnsi="IBM Plex Sans"/>
                <w:color w:val="283030"/>
                <w:sz w:val="20"/>
                <w:szCs w:val="20"/>
              </w:rPr>
              <w:t>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17,283</w:t>
            </w:r>
            <w:r>
              <w:rPr>
                <w:rFonts w:ascii="IBM Plex Sans" w:eastAsia="Times New Roman" w:hAnsi="IBM Plex Sans"/>
                <w:color w:val="283030"/>
                <w:sz w:val="20"/>
                <w:szCs w:val="20"/>
              </w:rPr>
              <w:t>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bl>
    <w:p w:rsidR="00000000" w:rsidRDefault="00F5481A">
      <w:pPr>
        <w:divId w:val="1304039738"/>
        <w:rPr>
          <w:rFonts w:eastAsia="Times New Roman"/>
        </w:rPr>
      </w:pPr>
      <w:r>
        <w:rPr>
          <w:rFonts w:ascii="IBM Plex Sans" w:eastAsia="Times New Roman" w:hAnsi="IBM Plex Sans"/>
          <w:color w:val="283030"/>
          <w:sz w:val="16"/>
          <w:szCs w:val="16"/>
        </w:rPr>
        <w:t>_______________</w:t>
      </w:r>
    </w:p>
    <w:p w:rsidR="00000000" w:rsidRDefault="00F5481A">
      <w:pPr>
        <w:ind w:hanging="360"/>
        <w:divId w:val="1871991896"/>
        <w:rPr>
          <w:rFonts w:eastAsia="Times New Roman"/>
        </w:rPr>
      </w:pPr>
      <w:r>
        <w:rPr>
          <w:rFonts w:ascii="IBM Plex Sans" w:eastAsia="Times New Roman" w:hAnsi="IBM Plex Sans"/>
          <w:color w:val="283030"/>
          <w:sz w:val="16"/>
          <w:szCs w:val="16"/>
        </w:rPr>
        <w:t>(1)During fiscal 2022, we assigned $30 million of goodwill associated with the pending VIS business divestiture to “Assets of business held fo</w:t>
      </w:r>
      <w:r>
        <w:rPr>
          <w:rFonts w:ascii="IBM Plex Sans" w:eastAsia="Times New Roman" w:hAnsi="IBM Plex Sans"/>
          <w:color w:val="283030"/>
          <w:sz w:val="16"/>
          <w:szCs w:val="16"/>
        </w:rPr>
        <w:t>r sale ” in our Consolidated Balance Sheet. During fiscal 2021, we completed the divestiture of six businesses (Narda-MITEQ business, ESSCO business, CPS business, military training business, Electron Devices business and VSE disposal group) and derecogniz</w:t>
      </w:r>
      <w:r>
        <w:rPr>
          <w:rFonts w:ascii="IBM Plex Sans" w:eastAsia="Times New Roman" w:hAnsi="IBM Plex Sans"/>
          <w:color w:val="283030"/>
          <w:sz w:val="16"/>
          <w:szCs w:val="16"/>
        </w:rPr>
        <w:t xml:space="preserve">ed $564 million of goodwill as part of determining the gain or loss on the sales of these businesses. See </w:t>
      </w:r>
      <w:r>
        <w:rPr>
          <w:rFonts w:ascii="IBM Plex Sans" w:eastAsia="Times New Roman" w:hAnsi="IBM Plex Sans"/>
          <w:i/>
          <w:iCs/>
          <w:color w:val="283030"/>
          <w:sz w:val="16"/>
          <w:szCs w:val="16"/>
        </w:rPr>
        <w:t>Note 4: Business Divestitures and Asset Sales</w:t>
      </w:r>
      <w:r>
        <w:rPr>
          <w:rFonts w:ascii="IBM Plex Sans" w:eastAsia="Times New Roman" w:hAnsi="IBM Plex Sans"/>
          <w:color w:val="283030"/>
          <w:sz w:val="16"/>
          <w:szCs w:val="16"/>
        </w:rPr>
        <w:t xml:space="preserve"> in these Notes for additional information regarding completed divestitures and businesses held for sale.</w:t>
      </w:r>
    </w:p>
    <w:p w:rsidR="00000000" w:rsidRDefault="00F5481A">
      <w:pPr>
        <w:ind w:hanging="360"/>
        <w:divId w:val="1358656568"/>
        <w:rPr>
          <w:rFonts w:eastAsia="Times New Roman"/>
        </w:rPr>
      </w:pPr>
      <w:r>
        <w:rPr>
          <w:rFonts w:ascii="IBM Plex Sans" w:eastAsia="Times New Roman" w:hAnsi="IBM Plex Sans"/>
          <w:color w:val="283030"/>
          <w:sz w:val="16"/>
          <w:szCs w:val="16"/>
        </w:rPr>
        <w:t>(2)As a result of our new organizational structure effective January 1, 2022, streamlining our operations from four business segments to three business segments, we reallocated goodwill previously held by our former Aviation Systems segment to our remaini</w:t>
      </w:r>
      <w:r>
        <w:rPr>
          <w:rFonts w:ascii="IBM Plex Sans" w:eastAsia="Times New Roman" w:hAnsi="IBM Plex Sans"/>
          <w:color w:val="283030"/>
          <w:sz w:val="16"/>
          <w:szCs w:val="16"/>
        </w:rPr>
        <w:t xml:space="preserve">ng business segments as of January 1, 2021, the earliest period presented in these Notes. See additional information below and “Organizational Structure and Change in Accounting Policy” in </w:t>
      </w:r>
      <w:r>
        <w:rPr>
          <w:rFonts w:ascii="IBM Plex Sans" w:eastAsia="Times New Roman" w:hAnsi="IBM Plex Sans"/>
          <w:i/>
          <w:iCs/>
          <w:color w:val="283030"/>
          <w:sz w:val="16"/>
          <w:szCs w:val="16"/>
        </w:rPr>
        <w:t>Note 1: Significant Accounting Policies</w:t>
      </w:r>
      <w:r>
        <w:rPr>
          <w:rFonts w:ascii="IBM Plex Sans" w:eastAsia="Times New Roman" w:hAnsi="IBM Plex Sans"/>
          <w:color w:val="283030"/>
          <w:sz w:val="16"/>
          <w:szCs w:val="16"/>
        </w:rPr>
        <w:t xml:space="preserve"> in these Notes.</w:t>
      </w:r>
    </w:p>
    <w:p w:rsidR="00000000" w:rsidRDefault="00F5481A">
      <w:pPr>
        <w:divId w:val="712391279"/>
        <w:rPr>
          <w:rFonts w:eastAsia="Times New Roman"/>
        </w:rPr>
      </w:pPr>
      <w:r>
        <w:rPr>
          <w:rFonts w:ascii="IBM Plex Sans SemiBold" w:eastAsia="Times New Roman" w:hAnsi="IBM Plex Sans SemiBold"/>
          <w:b/>
          <w:bCs/>
          <w:color w:val="016676"/>
          <w:sz w:val="20"/>
          <w:szCs w:val="20"/>
        </w:rPr>
        <w:t>New Organiz</w:t>
      </w:r>
      <w:r>
        <w:rPr>
          <w:rFonts w:ascii="IBM Plex Sans SemiBold" w:eastAsia="Times New Roman" w:hAnsi="IBM Plex Sans SemiBold"/>
          <w:b/>
          <w:bCs/>
          <w:color w:val="016676"/>
          <w:sz w:val="20"/>
          <w:szCs w:val="20"/>
        </w:rPr>
        <w:t>ational Structure</w:t>
      </w:r>
    </w:p>
    <w:p w:rsidR="00000000" w:rsidRDefault="00F5481A">
      <w:pPr>
        <w:ind w:firstLine="360"/>
        <w:divId w:val="1296176881"/>
        <w:rPr>
          <w:rFonts w:eastAsia="Times New Roman"/>
        </w:rPr>
      </w:pPr>
      <w:r>
        <w:rPr>
          <w:rFonts w:ascii="IBM Plex Sans" w:eastAsia="Times New Roman" w:hAnsi="IBM Plex Sans"/>
          <w:color w:val="283030"/>
          <w:sz w:val="20"/>
          <w:szCs w:val="20"/>
        </w:rPr>
        <w:t>Effective January 1, 2022, we implemented a new organizational structure resulting in changes to our operating segments (which are also our reportable segments and are referred to as our business segments) and reporting units (which are o</w:t>
      </w:r>
      <w:r>
        <w:rPr>
          <w:rFonts w:ascii="IBM Plex Sans" w:eastAsia="Times New Roman" w:hAnsi="IBM Plex Sans"/>
          <w:color w:val="283030"/>
          <w:sz w:val="20"/>
          <w:szCs w:val="20"/>
        </w:rPr>
        <w:t>ur business segments or one level below our business segments). Implementing the new structure reduced our business segments, from four to three, and our reporting units from eleven to nine. As a result, we reassigned goodwill to our new reporting unit str</w:t>
      </w:r>
      <w:r>
        <w:rPr>
          <w:rFonts w:ascii="IBM Plex Sans" w:eastAsia="Times New Roman" w:hAnsi="IBM Plex Sans"/>
          <w:color w:val="283030"/>
          <w:sz w:val="20"/>
          <w:szCs w:val="20"/>
        </w:rPr>
        <w:t xml:space="preserve">ucture on a relative fair value basis, tested goodwill related to impacted reporting units immediately before and after the reassignment and determined that no impairment existed. </w:t>
      </w:r>
    </w:p>
    <w:p w:rsidR="00000000" w:rsidRDefault="00F5481A">
      <w:pPr>
        <w:divId w:val="649943650"/>
        <w:rPr>
          <w:rFonts w:eastAsia="Times New Roman"/>
        </w:rPr>
      </w:pPr>
      <w:r>
        <w:rPr>
          <w:rFonts w:ascii="IBM Plex Sans SemiBold" w:eastAsia="Times New Roman" w:hAnsi="IBM Plex Sans SemiBold"/>
          <w:b/>
          <w:bCs/>
          <w:color w:val="016676"/>
          <w:sz w:val="20"/>
          <w:szCs w:val="20"/>
        </w:rPr>
        <w:t>Precision Engagement Business Allocation and Impairment — Fiscal 2022</w:t>
      </w:r>
    </w:p>
    <w:p w:rsidR="00000000" w:rsidRDefault="00F5481A">
      <w:pPr>
        <w:ind w:firstLine="360"/>
        <w:divId w:val="24215385"/>
        <w:rPr>
          <w:rFonts w:eastAsia="Times New Roman"/>
        </w:rPr>
      </w:pPr>
      <w:r>
        <w:rPr>
          <w:rFonts w:ascii="IBM Plex Sans" w:eastAsia="Times New Roman" w:hAnsi="IBM Plex Sans"/>
          <w:color w:val="283030"/>
          <w:sz w:val="20"/>
          <w:szCs w:val="20"/>
        </w:rPr>
        <w:t>During the quarter ended September 30, 2022, we realigned our precision engagement business from our ADG reporting unit to our Electro Optical reporting unit. In connection with the realignment, we transferred $325 million of goodwill associated with the p</w:t>
      </w:r>
      <w:r>
        <w:rPr>
          <w:rFonts w:ascii="IBM Plex Sans" w:eastAsia="Times New Roman" w:hAnsi="IBM Plex Sans"/>
          <w:color w:val="283030"/>
          <w:sz w:val="20"/>
          <w:szCs w:val="20"/>
        </w:rPr>
        <w:t>recision engagement business to our Electro Optical reporting unit on a relative fair value basis. Immediately before and after the reassignment, we tested goodwill assigned to each reporting unit. As a result of these tests, concurrently with the preparat</w:t>
      </w:r>
      <w:r>
        <w:rPr>
          <w:rFonts w:ascii="IBM Plex Sans" w:eastAsia="Times New Roman" w:hAnsi="IBM Plex Sans"/>
          <w:color w:val="283030"/>
          <w:sz w:val="20"/>
          <w:szCs w:val="20"/>
        </w:rPr>
        <w:t>ion of our financial statements for the quarter ended September 30, 2022, we concluded that goodwill related to our ADG reporting unit was impaired immediately before the reassignment and recorded a non-cash charge of $313 million for the impairment in the</w:t>
      </w:r>
      <w:r>
        <w:rPr>
          <w:rFonts w:ascii="IBM Plex Sans" w:eastAsia="Times New Roman" w:hAnsi="IBM Plex Sans"/>
          <w:color w:val="283030"/>
          <w:sz w:val="20"/>
          <w:szCs w:val="20"/>
        </w:rPr>
        <w:t xml:space="preserve"> “Impairment of goodwill and other assets” line item in our Consolidated Statement of Operations. The impairment of goodwill was due to lower sales volume in our precision engagement business, reflecting U.S. Government spending priorities with respect to </w:t>
      </w:r>
      <w:r>
        <w:rPr>
          <w:rFonts w:ascii="IBM Plex Sans" w:eastAsia="Times New Roman" w:hAnsi="IBM Plex Sans"/>
          <w:color w:val="283030"/>
          <w:sz w:val="20"/>
          <w:szCs w:val="20"/>
        </w:rPr>
        <w:t>precision weapons, and higher interest rates. ADG and Electro Optical are both part of our IMS segment. We prepared an estimate of the fair value of our precision engagement business based on a combination of market-based valuation techniques, utilizing qu</w:t>
      </w:r>
      <w:r>
        <w:rPr>
          <w:rFonts w:ascii="IBM Plex Sans" w:eastAsia="Times New Roman" w:hAnsi="IBM Plex Sans"/>
          <w:color w:val="283030"/>
          <w:sz w:val="20"/>
          <w:szCs w:val="20"/>
        </w:rPr>
        <w:t>oted market prices, comparable publicly reported transactions and projected discounted cash flows.</w:t>
      </w:r>
    </w:p>
    <w:p w:rsidR="00000000" w:rsidRDefault="00F5481A">
      <w:pPr>
        <w:divId w:val="873998436"/>
        <w:rPr>
          <w:rFonts w:eastAsia="Times New Roman"/>
        </w:rPr>
      </w:pPr>
      <w:r>
        <w:rPr>
          <w:rFonts w:ascii="IBM Plex Sans SemiBold" w:eastAsia="Times New Roman" w:hAnsi="IBM Plex Sans SemiBold"/>
          <w:b/>
          <w:bCs/>
          <w:color w:val="016676"/>
          <w:sz w:val="20"/>
          <w:szCs w:val="20"/>
        </w:rPr>
        <w:t>Broadband, Electro Optical and ADG Interim Impairment Testing — Fiscal 2022</w:t>
      </w:r>
    </w:p>
    <w:p w:rsidR="00000000" w:rsidRDefault="00F5481A">
      <w:pPr>
        <w:ind w:firstLine="360"/>
        <w:divId w:val="143666091"/>
        <w:rPr>
          <w:rFonts w:eastAsia="Times New Roman"/>
        </w:rPr>
      </w:pPr>
      <w:r>
        <w:rPr>
          <w:rFonts w:ascii="IBM Plex Sans" w:eastAsia="Times New Roman" w:hAnsi="IBM Plex Sans"/>
          <w:color w:val="283030"/>
          <w:sz w:val="20"/>
          <w:szCs w:val="20"/>
        </w:rPr>
        <w:t>Indications of potential impairment of goodwill related to our Broadband, Electro</w:t>
      </w:r>
      <w:r>
        <w:rPr>
          <w:rFonts w:ascii="IBM Plex Sans" w:eastAsia="Times New Roman" w:hAnsi="IBM Plex Sans"/>
          <w:color w:val="283030"/>
          <w:sz w:val="20"/>
          <w:szCs w:val="20"/>
        </w:rPr>
        <w:t xml:space="preserve"> Optical and ADG reporting units were present as of September 30, 2022. Consequently, in connection with the preparation of our financial </w:t>
      </w:r>
    </w:p>
    <w:p w:rsidR="00000000" w:rsidRDefault="00F5481A">
      <w:pPr>
        <w:ind w:firstLine="360"/>
        <w:jc w:val="center"/>
        <w:divId w:val="1424642471"/>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79</w:t>
      </w:r>
    </w:p>
    <w:p w:rsidR="00000000" w:rsidRDefault="00F5481A">
      <w:pPr>
        <w:rPr>
          <w:rFonts w:eastAsia="Times New Roman"/>
        </w:rPr>
      </w:pPr>
      <w:r>
        <w:rPr>
          <w:rFonts w:eastAsia="Times New Roman"/>
        </w:rPr>
        <w:pict>
          <v:rect id="_x0000_i1110" style="width:0;height:1.5pt" o:hralign="center" o:hrstd="t" o:hr="t" fillcolor="#a0a0a0" stroked="f"/>
        </w:pict>
      </w:r>
    </w:p>
    <w:p w:rsidR="00000000" w:rsidRDefault="00F5481A">
      <w:pPr>
        <w:ind w:firstLine="360"/>
        <w:divId w:val="2037196336"/>
        <w:rPr>
          <w:rFonts w:eastAsia="Times New Roman"/>
        </w:rPr>
      </w:pPr>
    </w:p>
    <w:p w:rsidR="00000000" w:rsidRDefault="00F5481A">
      <w:pPr>
        <w:divId w:val="1664318026"/>
        <w:rPr>
          <w:rFonts w:eastAsia="Times New Roman"/>
        </w:rPr>
      </w:pPr>
      <w:r>
        <w:rPr>
          <w:rFonts w:ascii="IBM Plex Sans" w:eastAsia="Times New Roman" w:hAnsi="IBM Plex Sans"/>
          <w:color w:val="283030"/>
          <w:sz w:val="20"/>
          <w:szCs w:val="20"/>
        </w:rPr>
        <w:t>statem</w:t>
      </w:r>
      <w:r>
        <w:rPr>
          <w:rFonts w:ascii="IBM Plex Sans" w:eastAsia="Times New Roman" w:hAnsi="IBM Plex Sans"/>
          <w:color w:val="283030"/>
          <w:sz w:val="20"/>
          <w:szCs w:val="20"/>
        </w:rPr>
        <w:t>ents for the quarter ended September 30, 2022, we performed interim impairment tests for each of these reporting units based on a combination of market-based valuation techniques, utilizing quoted market prices and comparable publicly reported transactions</w:t>
      </w:r>
      <w:r>
        <w:rPr>
          <w:rFonts w:ascii="IBM Plex Sans" w:eastAsia="Times New Roman" w:hAnsi="IBM Plex Sans"/>
          <w:color w:val="283030"/>
          <w:sz w:val="20"/>
          <w:szCs w:val="20"/>
        </w:rPr>
        <w:t xml:space="preserve"> and projected discounted cash flows. We determined goodwill related to our Broadband and Electro Optical reporting units was impaired and goodwill related to our ADG reporting unit was not impaired as of September 30, 2022. As a result, we recorded $489 m</w:t>
      </w:r>
      <w:r>
        <w:rPr>
          <w:rFonts w:ascii="IBM Plex Sans" w:eastAsia="Times New Roman" w:hAnsi="IBM Plex Sans"/>
          <w:color w:val="283030"/>
          <w:sz w:val="20"/>
          <w:szCs w:val="20"/>
        </w:rPr>
        <w:t>illion of non-cash charges for the impairment of goodwill ($355 million and $134 million for Broadband and Electro Optical, respectively) in the “Impairment of goodwill and other assets” line item in our Consolidated Statement of Operations. Broadband is p</w:t>
      </w:r>
      <w:r>
        <w:rPr>
          <w:rFonts w:ascii="IBM Plex Sans" w:eastAsia="Times New Roman" w:hAnsi="IBM Plex Sans"/>
          <w:color w:val="283030"/>
          <w:sz w:val="20"/>
          <w:szCs w:val="20"/>
        </w:rPr>
        <w:t>art of our CS segment (as noted above, Electro Optical is part of our IMS segment). The impairment of goodwill related to our Electro Optical reporting unit was due to persistently lower demand in the precision engagement business and an associated decreas</w:t>
      </w:r>
      <w:r>
        <w:rPr>
          <w:rFonts w:ascii="IBM Plex Sans" w:eastAsia="Times New Roman" w:hAnsi="IBM Plex Sans"/>
          <w:color w:val="283030"/>
          <w:sz w:val="20"/>
          <w:szCs w:val="20"/>
        </w:rPr>
        <w:t>e in our outlook for the business, as well as rising interest rates. The impairment of goodwill related to our Broadband reporting unit was due to lower volume on legacy platforms, which also resulted in a decrease in our outlook for the reporting unit, an</w:t>
      </w:r>
      <w:r>
        <w:rPr>
          <w:rFonts w:ascii="IBM Plex Sans" w:eastAsia="Times New Roman" w:hAnsi="IBM Plex Sans"/>
          <w:color w:val="283030"/>
          <w:sz w:val="20"/>
          <w:szCs w:val="20"/>
        </w:rPr>
        <w:t xml:space="preserve">d higher interest rates. </w:t>
      </w:r>
    </w:p>
    <w:p w:rsidR="00000000" w:rsidRDefault="00F5481A">
      <w:pPr>
        <w:divId w:val="638146419"/>
        <w:rPr>
          <w:rFonts w:eastAsia="Times New Roman"/>
        </w:rPr>
      </w:pPr>
      <w:r>
        <w:rPr>
          <w:rFonts w:ascii="IBM Plex Sans SemiBold" w:eastAsia="Times New Roman" w:hAnsi="IBM Plex Sans SemiBold"/>
          <w:b/>
          <w:bCs/>
          <w:color w:val="016676"/>
          <w:sz w:val="20"/>
          <w:szCs w:val="20"/>
        </w:rPr>
        <w:t>CPS Business Impairment — Fiscal 2021</w:t>
      </w:r>
    </w:p>
    <w:p w:rsidR="00000000" w:rsidRDefault="00F5481A">
      <w:pPr>
        <w:ind w:firstLine="360"/>
        <w:divId w:val="1731658890"/>
        <w:rPr>
          <w:rFonts w:eastAsia="Times New Roman"/>
        </w:rPr>
      </w:pPr>
      <w:r>
        <w:rPr>
          <w:rFonts w:ascii="IBM Plex Sans" w:eastAsia="Times New Roman" w:hAnsi="IBM Plex Sans"/>
          <w:color w:val="283030"/>
          <w:sz w:val="20"/>
          <w:szCs w:val="20"/>
        </w:rPr>
        <w:t xml:space="preserve">During the quarter ended April 2, 2021, we determined the criteria to be classified as held for sale were met with respect to the CPS business within our Aviation Systems segment and assigned </w:t>
      </w:r>
      <w:r>
        <w:rPr>
          <w:rFonts w:ascii="IBM Plex Sans" w:eastAsia="Times New Roman" w:hAnsi="IBM Plex Sans"/>
          <w:color w:val="283030"/>
          <w:sz w:val="20"/>
          <w:szCs w:val="20"/>
        </w:rPr>
        <w:t>$174 million of goodwill to the disposal group on a relative fair value basis. In connection with the preparation of our financial statements for the quarter ended April 2, 2021, we concluded that goodwill related to the CPS business was impaired and we re</w:t>
      </w:r>
      <w:r>
        <w:rPr>
          <w:rFonts w:ascii="IBM Plex Sans" w:eastAsia="Times New Roman" w:hAnsi="IBM Plex Sans"/>
          <w:color w:val="283030"/>
          <w:sz w:val="20"/>
          <w:szCs w:val="20"/>
        </w:rPr>
        <w:t xml:space="preserve">corded a non-cash impairment charge of $62 million, which is included in the “Impairment of goodwill and other assets” line item in our Consolidated Statement of Operations for fiscal 2021. See </w:t>
      </w:r>
      <w:r>
        <w:rPr>
          <w:rFonts w:ascii="IBM Plex Sans" w:eastAsia="Times New Roman" w:hAnsi="IBM Plex Sans"/>
          <w:i/>
          <w:iCs/>
          <w:color w:val="283030"/>
          <w:sz w:val="20"/>
          <w:szCs w:val="20"/>
        </w:rPr>
        <w:t>Note 4: Business Divestitures and Asset Sales</w:t>
      </w:r>
      <w:r>
        <w:rPr>
          <w:rFonts w:ascii="IBM Plex Sans" w:eastAsia="Times New Roman" w:hAnsi="IBM Plex Sans"/>
          <w:color w:val="283030"/>
          <w:sz w:val="20"/>
          <w:szCs w:val="20"/>
        </w:rPr>
        <w:t xml:space="preserve"> in these Notes f</w:t>
      </w:r>
      <w:r>
        <w:rPr>
          <w:rFonts w:ascii="IBM Plex Sans" w:eastAsia="Times New Roman" w:hAnsi="IBM Plex Sans"/>
          <w:color w:val="283030"/>
          <w:sz w:val="20"/>
          <w:szCs w:val="20"/>
        </w:rPr>
        <w:t>or additional information.</w:t>
      </w:r>
    </w:p>
    <w:p w:rsidR="00000000" w:rsidRDefault="00F5481A">
      <w:pPr>
        <w:divId w:val="617760973"/>
        <w:rPr>
          <w:rFonts w:eastAsia="Times New Roman"/>
        </w:rPr>
      </w:pPr>
      <w:r>
        <w:rPr>
          <w:rFonts w:ascii="IBM Plex Sans SemiBold" w:eastAsia="Times New Roman" w:hAnsi="IBM Plex Sans SemiBold"/>
          <w:b/>
          <w:bCs/>
          <w:color w:val="016676"/>
          <w:sz w:val="20"/>
          <w:szCs w:val="20"/>
        </w:rPr>
        <w:t>Commercial Aviation Solutions Impairments — Fiscal 2020</w:t>
      </w:r>
    </w:p>
    <w:p w:rsidR="00000000" w:rsidRDefault="00F5481A">
      <w:pPr>
        <w:ind w:firstLine="360"/>
        <w:divId w:val="2082098720"/>
        <w:rPr>
          <w:rFonts w:eastAsia="Times New Roman"/>
        </w:rPr>
      </w:pPr>
      <w:r>
        <w:rPr>
          <w:rFonts w:ascii="IBM Plex Sans" w:eastAsia="Times New Roman" w:hAnsi="IBM Plex Sans"/>
          <w:color w:val="283030"/>
          <w:sz w:val="20"/>
          <w:szCs w:val="20"/>
        </w:rPr>
        <w:t>Indications of potential impairment of goodwill related to our Commercial Aviation Solutions reporting unit (which is part of our former Aviation Systems segment) were prese</w:t>
      </w:r>
      <w:r>
        <w:rPr>
          <w:rFonts w:ascii="IBM Plex Sans" w:eastAsia="Times New Roman" w:hAnsi="IBM Plex Sans"/>
          <w:color w:val="283030"/>
          <w:sz w:val="20"/>
          <w:szCs w:val="20"/>
        </w:rPr>
        <w:t>nt at April 3, 2020 due to COVID and its impact on global air traffic and customer operations, resulting in a decrease in fiscal 2020 outlook for the reporting unit, which we considered to be a triggering event requiring an interim impairment test. Consequ</w:t>
      </w:r>
      <w:r>
        <w:rPr>
          <w:rFonts w:ascii="IBM Plex Sans" w:eastAsia="Times New Roman" w:hAnsi="IBM Plex Sans"/>
          <w:color w:val="283030"/>
          <w:sz w:val="20"/>
          <w:szCs w:val="20"/>
        </w:rPr>
        <w:t>ently, in connection with the preparation of our financial statements for the quarter ended April 3, 2020, we performed a quantitative impairment test. To test for potential impairment of goodwill related to our Commercial Aviation Solutions reporting unit</w:t>
      </w:r>
      <w:r>
        <w:rPr>
          <w:rFonts w:ascii="IBM Plex Sans" w:eastAsia="Times New Roman" w:hAnsi="IBM Plex Sans"/>
          <w:color w:val="283030"/>
          <w:sz w:val="20"/>
          <w:szCs w:val="20"/>
        </w:rPr>
        <w:t>, we prepared an estimate of the fair value of the reporting unit based on a combination of market-based valuation techniques, utilizing quoted market prices, comparable publicly reported transactions and projected discounted cash flows. Given the level of</w:t>
      </w:r>
      <w:r>
        <w:rPr>
          <w:rFonts w:ascii="IBM Plex Sans" w:eastAsia="Times New Roman" w:hAnsi="IBM Plex Sans"/>
          <w:color w:val="283030"/>
          <w:sz w:val="20"/>
          <w:szCs w:val="20"/>
        </w:rPr>
        <w:t xml:space="preserve"> uncertainty in the outlook for the commercial aviation industry caused by the impact of COVID on global air traffic, our methodology for determining the fair value of the reporting unit placed the greatest weight on the expected fair value technique, and </w:t>
      </w:r>
      <w:r>
        <w:rPr>
          <w:rFonts w:ascii="IBM Plex Sans" w:eastAsia="Times New Roman" w:hAnsi="IBM Plex Sans"/>
          <w:color w:val="283030"/>
          <w:sz w:val="20"/>
          <w:szCs w:val="20"/>
        </w:rPr>
        <w:t>was dependent on our best estimates of future sales, operating costs and balance sheet metrics under a range of scenarios for future economic conditions. We assigned a probability to each scenario to calculate a set of probability-weighted projected cash f</w:t>
      </w:r>
      <w:r>
        <w:rPr>
          <w:rFonts w:ascii="IBM Plex Sans" w:eastAsia="Times New Roman" w:hAnsi="IBM Plex Sans"/>
          <w:color w:val="283030"/>
          <w:sz w:val="20"/>
          <w:szCs w:val="20"/>
        </w:rPr>
        <w:t>lows, and an appropriate discount rate reflecting the risk in the projected cash flows was used to discount the expected cash flows to present value.</w:t>
      </w:r>
    </w:p>
    <w:p w:rsidR="00000000" w:rsidRDefault="00F5481A">
      <w:pPr>
        <w:ind w:firstLine="360"/>
        <w:divId w:val="913590543"/>
        <w:rPr>
          <w:rFonts w:eastAsia="Times New Roman"/>
        </w:rPr>
      </w:pPr>
      <w:r>
        <w:rPr>
          <w:rFonts w:ascii="IBM Plex Sans" w:eastAsia="Times New Roman" w:hAnsi="IBM Plex Sans"/>
          <w:color w:val="283030"/>
          <w:sz w:val="20"/>
          <w:szCs w:val="20"/>
        </w:rPr>
        <w:t>As adverse global economic and market conditions attributable to COVID, including projected declines and s</w:t>
      </w:r>
      <w:r>
        <w:rPr>
          <w:rFonts w:ascii="IBM Plex Sans" w:eastAsia="Times New Roman" w:hAnsi="IBM Plex Sans"/>
          <w:color w:val="283030"/>
          <w:sz w:val="20"/>
          <w:szCs w:val="20"/>
        </w:rPr>
        <w:t>ubsequent recovery in commercial air traffic and original equipment manufacturer production volumes, continued to develop during fiscal 2020, we continued to monitor for facts and circumstances that could negatively impact key valuation assumptions in dete</w:t>
      </w:r>
      <w:r>
        <w:rPr>
          <w:rFonts w:ascii="IBM Plex Sans" w:eastAsia="Times New Roman" w:hAnsi="IBM Plex Sans"/>
          <w:color w:val="283030"/>
          <w:sz w:val="20"/>
          <w:szCs w:val="20"/>
        </w:rPr>
        <w:t>rmining the fair value of our Commercial Aviation Solutions reporting unit, including recent valuations, expectations regarding the timing of a return to pre-COVID commercial flight activity and the associated level of uncertainty, long-term revenue and pr</w:t>
      </w:r>
      <w:r>
        <w:rPr>
          <w:rFonts w:ascii="IBM Plex Sans" w:eastAsia="Times New Roman" w:hAnsi="IBM Plex Sans"/>
          <w:color w:val="283030"/>
          <w:sz w:val="20"/>
          <w:szCs w:val="20"/>
        </w:rPr>
        <w:t>ofitability projections, discount rates and general industry, market and macroeconomic conditions. As a result, we determined indications of further impairment of assets related to our Commercial Aviation Solutions reporting unit existed as of July 3, 2020</w:t>
      </w:r>
      <w:r>
        <w:rPr>
          <w:rFonts w:ascii="IBM Plex Sans" w:eastAsia="Times New Roman" w:hAnsi="IBM Plex Sans"/>
          <w:color w:val="283030"/>
          <w:sz w:val="20"/>
          <w:szCs w:val="20"/>
        </w:rPr>
        <w:t xml:space="preserve"> and again as of early December 2020.</w:t>
      </w:r>
    </w:p>
    <w:p w:rsidR="00000000" w:rsidRDefault="00F5481A">
      <w:pPr>
        <w:ind w:firstLine="360"/>
        <w:divId w:val="1801532873"/>
        <w:rPr>
          <w:rFonts w:eastAsia="Times New Roman"/>
        </w:rPr>
      </w:pPr>
      <w:r>
        <w:rPr>
          <w:rFonts w:ascii="IBM Plex Sans" w:eastAsia="Times New Roman" w:hAnsi="IBM Plex Sans"/>
          <w:color w:val="283030"/>
          <w:sz w:val="20"/>
          <w:szCs w:val="20"/>
        </w:rPr>
        <w:t>As a result of these impairment tests, we concluded that goodwill and other assets related to our Commercial Aviation Solutions reporting unit were impaired as of April 3, 2020, July 3, 2020 and January 1, 2021, and we</w:t>
      </w:r>
      <w:r>
        <w:rPr>
          <w:rFonts w:ascii="IBM Plex Sans" w:eastAsia="Times New Roman" w:hAnsi="IBM Plex Sans"/>
          <w:color w:val="283030"/>
          <w:sz w:val="20"/>
          <w:szCs w:val="20"/>
        </w:rPr>
        <w:t xml:space="preserve"> recorded the following non-cash impairment charges:</w:t>
      </w:r>
    </w:p>
    <w:p w:rsidR="00000000" w:rsidRDefault="00F5481A">
      <w:pPr>
        <w:ind w:hanging="180"/>
        <w:divId w:val="1800412595"/>
        <w:rPr>
          <w:rFonts w:eastAsia="Times New Roman"/>
        </w:rPr>
      </w:pPr>
      <w:r>
        <w:rPr>
          <w:rFonts w:ascii="IBM Plex Sans" w:eastAsia="Times New Roman" w:hAnsi="IBM Plex Sans"/>
          <w:color w:val="283030"/>
          <w:sz w:val="20"/>
          <w:szCs w:val="20"/>
        </w:rPr>
        <w:t xml:space="preserve">•$461 million (including $34 million attributable to noncontrolling interests) for impairment of goodwill during fiscal 2020, including $111 million recognized in the fourth quarter of fiscal 2020; and </w:t>
      </w:r>
    </w:p>
    <w:p w:rsidR="00000000" w:rsidRDefault="00F5481A">
      <w:pPr>
        <w:ind w:hanging="180"/>
        <w:divId w:val="2024742373"/>
        <w:rPr>
          <w:rFonts w:eastAsia="Times New Roman"/>
        </w:rPr>
      </w:pPr>
      <w:r>
        <w:rPr>
          <w:rFonts w:ascii="IBM Plex Sans" w:eastAsia="Times New Roman" w:hAnsi="IBM Plex Sans"/>
          <w:color w:val="283030"/>
          <w:sz w:val="20"/>
          <w:szCs w:val="20"/>
        </w:rPr>
        <w:t>•$257 million for impairment of</w:t>
      </w:r>
      <w:r>
        <w:rPr>
          <w:rFonts w:ascii="IBM Plex Sans" w:eastAsia="Times New Roman" w:hAnsi="IBM Plex Sans"/>
          <w:color w:val="283030"/>
          <w:sz w:val="20"/>
          <w:szCs w:val="20"/>
        </w:rPr>
        <w:t xml:space="preserve"> </w:t>
      </w:r>
      <w:r>
        <w:rPr>
          <w:rFonts w:ascii="IBM Plex Sans" w:eastAsia="Times New Roman" w:hAnsi="IBM Plex Sans"/>
          <w:color w:val="283030"/>
          <w:sz w:val="20"/>
          <w:szCs w:val="20"/>
        </w:rPr>
        <w:t>long-lived asset</w:t>
      </w:r>
      <w:r>
        <w:rPr>
          <w:rFonts w:ascii="IBM Plex Sans" w:eastAsia="Times New Roman" w:hAnsi="IBM Plex Sans"/>
          <w:color w:val="283030"/>
          <w:sz w:val="20"/>
          <w:szCs w:val="20"/>
        </w:rPr>
        <w:t>s</w:t>
      </w:r>
      <w:r>
        <w:rPr>
          <w:rFonts w:ascii="IBM Plex Sans" w:eastAsia="Times New Roman" w:hAnsi="IBM Plex Sans"/>
          <w:color w:val="283030"/>
          <w:sz w:val="20"/>
          <w:szCs w:val="20"/>
        </w:rPr>
        <w:t xml:space="preserve"> recognized during the fourth quarter of fiscal 2020, including $113 million for identifiable assets (see </w:t>
      </w:r>
      <w:r>
        <w:rPr>
          <w:rFonts w:ascii="IBM Plex Sans" w:eastAsia="Times New Roman" w:hAnsi="IBM Plex Sans"/>
          <w:i/>
          <w:iCs/>
          <w:color w:val="283030"/>
          <w:sz w:val="20"/>
          <w:szCs w:val="20"/>
        </w:rPr>
        <w:t>Note 10: Intangible Assets</w:t>
      </w:r>
      <w:r>
        <w:rPr>
          <w:rFonts w:ascii="IBM Plex Sans" w:eastAsia="Times New Roman" w:hAnsi="IBM Plex Sans"/>
          <w:color w:val="283030"/>
          <w:sz w:val="20"/>
          <w:szCs w:val="20"/>
        </w:rPr>
        <w:t xml:space="preserve"> in these Notes for additional information), $103 million for property, pla</w:t>
      </w:r>
      <w:r>
        <w:rPr>
          <w:rFonts w:ascii="IBM Plex Sans" w:eastAsia="Times New Roman" w:hAnsi="IBM Plex Sans"/>
          <w:color w:val="283030"/>
          <w:sz w:val="20"/>
          <w:szCs w:val="20"/>
        </w:rPr>
        <w:t xml:space="preserve">nt and equipment (see </w:t>
      </w:r>
      <w:r>
        <w:rPr>
          <w:rFonts w:ascii="IBM Plex Sans" w:eastAsia="Times New Roman" w:hAnsi="IBM Plex Sans"/>
          <w:i/>
          <w:iCs/>
          <w:color w:val="283030"/>
          <w:sz w:val="20"/>
          <w:szCs w:val="20"/>
        </w:rPr>
        <w:t>Note 8: Property, Plant and Equipment, Net</w:t>
      </w:r>
      <w:r>
        <w:rPr>
          <w:rFonts w:ascii="IBM Plex Sans" w:eastAsia="Times New Roman" w:hAnsi="IBM Plex Sans"/>
          <w:color w:val="283030"/>
          <w:sz w:val="20"/>
          <w:szCs w:val="20"/>
        </w:rPr>
        <w:t xml:space="preserve"> in these Notes for additional information), $31 million for ROU assets (see </w:t>
      </w:r>
      <w:r>
        <w:rPr>
          <w:rFonts w:ascii="IBM Plex Sans" w:eastAsia="Times New Roman" w:hAnsi="IBM Plex Sans"/>
          <w:i/>
          <w:iCs/>
          <w:color w:val="283030"/>
          <w:sz w:val="20"/>
          <w:szCs w:val="20"/>
        </w:rPr>
        <w:t>Note 18: Lease Commitments</w:t>
      </w:r>
      <w:r>
        <w:rPr>
          <w:rFonts w:ascii="IBM Plex Sans" w:eastAsia="Times New Roman" w:hAnsi="IBM Plex Sans"/>
          <w:color w:val="283030"/>
          <w:sz w:val="20"/>
          <w:szCs w:val="20"/>
        </w:rPr>
        <w:t xml:space="preserve"> in these Notes for additional information) and $10 million for marketable software.</w:t>
      </w:r>
    </w:p>
    <w:p w:rsidR="00000000" w:rsidRDefault="00F5481A">
      <w:pPr>
        <w:ind w:firstLine="360"/>
        <w:jc w:val="center"/>
        <w:divId w:val="1974748405"/>
        <w:rPr>
          <w:rFonts w:eastAsia="Times New Roman"/>
        </w:rPr>
      </w:pPr>
      <w:r>
        <w:rPr>
          <w:rFonts w:ascii="Arial" w:eastAsia="Times New Roman" w:hAnsi="Arial" w:cs="Arial"/>
          <w:b/>
          <w:bCs/>
          <w:color w:val="016676"/>
        </w:rPr>
        <w:t>____</w:t>
      </w:r>
      <w:r>
        <w:rPr>
          <w:rFonts w:ascii="Arial" w:eastAsia="Times New Roman" w:hAnsi="Arial" w:cs="Arial"/>
          <w:b/>
          <w:bCs/>
          <w:color w:val="016676"/>
        </w:rPr>
        <w:t>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80</w:t>
      </w:r>
    </w:p>
    <w:p w:rsidR="00000000" w:rsidRDefault="00F5481A">
      <w:pPr>
        <w:rPr>
          <w:rFonts w:eastAsia="Times New Roman"/>
        </w:rPr>
      </w:pPr>
      <w:r>
        <w:rPr>
          <w:rFonts w:eastAsia="Times New Roman"/>
        </w:rPr>
        <w:pict>
          <v:rect id="_x0000_i1111" style="width:0;height:1.5pt" o:hralign="center" o:hrstd="t" o:hr="t" fillcolor="#a0a0a0" stroked="f"/>
        </w:pict>
      </w:r>
    </w:p>
    <w:p w:rsidR="00000000" w:rsidRDefault="00F5481A">
      <w:pPr>
        <w:ind w:firstLine="360"/>
        <w:divId w:val="1224441397"/>
        <w:rPr>
          <w:rFonts w:eastAsia="Times New Roman"/>
        </w:rPr>
      </w:pPr>
    </w:p>
    <w:p w:rsidR="00000000" w:rsidRDefault="00F5481A">
      <w:pPr>
        <w:ind w:firstLine="360"/>
        <w:divId w:val="2105220952"/>
        <w:rPr>
          <w:rFonts w:eastAsia="Times New Roman"/>
        </w:rPr>
      </w:pPr>
      <w:r>
        <w:rPr>
          <w:rFonts w:ascii="IBM Plex Sans" w:eastAsia="Times New Roman" w:hAnsi="IBM Plex Sans"/>
          <w:color w:val="283030"/>
          <w:sz w:val="20"/>
          <w:szCs w:val="20"/>
        </w:rPr>
        <w:t>These charges are included in the “Impairment of goodwill and other assets” line item in our Consolidated Statement of Operations for fiscal 2020 an</w:t>
      </w:r>
      <w:r>
        <w:rPr>
          <w:rFonts w:ascii="IBM Plex Sans" w:eastAsia="Times New Roman" w:hAnsi="IBM Plex Sans"/>
          <w:color w:val="283030"/>
          <w:sz w:val="20"/>
          <w:szCs w:val="20"/>
        </w:rPr>
        <w:t>d are primarily not deductible for tax purposes.</w:t>
      </w:r>
    </w:p>
    <w:p w:rsidR="00000000" w:rsidRDefault="00F5481A">
      <w:pPr>
        <w:divId w:val="2043281871"/>
        <w:rPr>
          <w:rFonts w:eastAsia="Times New Roman"/>
        </w:rPr>
      </w:pPr>
      <w:r>
        <w:rPr>
          <w:rFonts w:ascii="IBM Plex Sans SemiBold" w:eastAsia="Times New Roman" w:hAnsi="IBM Plex Sans SemiBold"/>
          <w:b/>
          <w:bCs/>
          <w:color w:val="016676"/>
          <w:sz w:val="20"/>
          <w:szCs w:val="20"/>
        </w:rPr>
        <w:t>Applied Kilovolts Business Impairment — Fiscal 2020</w:t>
      </w:r>
    </w:p>
    <w:p w:rsidR="00000000" w:rsidRDefault="00F5481A">
      <w:pPr>
        <w:ind w:firstLine="360"/>
        <w:divId w:val="1809206677"/>
        <w:rPr>
          <w:rFonts w:eastAsia="Times New Roman"/>
        </w:rPr>
      </w:pPr>
      <w:r>
        <w:rPr>
          <w:rFonts w:ascii="IBM Plex Sans" w:eastAsia="Times New Roman" w:hAnsi="IBM Plex Sans"/>
          <w:color w:val="283030"/>
          <w:sz w:val="20"/>
          <w:szCs w:val="20"/>
        </w:rPr>
        <w:t>During the quarter ended April 3, 2020, we determined the criteria to be classified as held for sale were met with respect to the Applied Kilovolts busines</w:t>
      </w:r>
      <w:r>
        <w:rPr>
          <w:rFonts w:ascii="IBM Plex Sans" w:eastAsia="Times New Roman" w:hAnsi="IBM Plex Sans"/>
          <w:color w:val="283030"/>
          <w:sz w:val="20"/>
          <w:szCs w:val="20"/>
        </w:rPr>
        <w:t>s within our SAS segment and assigned $6 million of goodwill to the Applied Kilovolts business on a relative fair value basis. In connection with the preparation of our financial statements for the quarter ended April 3, 2020, we concluded that goodwill re</w:t>
      </w:r>
      <w:r>
        <w:rPr>
          <w:rFonts w:ascii="IBM Plex Sans" w:eastAsia="Times New Roman" w:hAnsi="IBM Plex Sans"/>
          <w:color w:val="283030"/>
          <w:sz w:val="20"/>
          <w:szCs w:val="20"/>
        </w:rPr>
        <w:t>lated to the Applied Kilovolts business was impaired and recorded a non-cash impairment charge of $5 million, which is included in the “Impairment of goodwill and other assets” line item in our Consolidated Statement of Operations for fiscal 2020.</w:t>
      </w:r>
    </w:p>
    <w:p w:rsidR="00000000" w:rsidRDefault="00F5481A">
      <w:pPr>
        <w:divId w:val="1516189947"/>
        <w:rPr>
          <w:rFonts w:eastAsia="Times New Roman"/>
        </w:rPr>
      </w:pPr>
      <w:r>
        <w:rPr>
          <w:rFonts w:ascii="IBM Plex Sans SemiBold" w:eastAsia="Times New Roman" w:hAnsi="IBM Plex Sans SemiBold"/>
          <w:b/>
          <w:bCs/>
          <w:color w:val="016676"/>
          <w:sz w:val="20"/>
          <w:szCs w:val="20"/>
        </w:rPr>
        <w:t>VSE Disp</w:t>
      </w:r>
      <w:r>
        <w:rPr>
          <w:rFonts w:ascii="IBM Plex Sans SemiBold" w:eastAsia="Times New Roman" w:hAnsi="IBM Plex Sans SemiBold"/>
          <w:b/>
          <w:bCs/>
          <w:color w:val="016676"/>
          <w:sz w:val="20"/>
          <w:szCs w:val="20"/>
        </w:rPr>
        <w:t>osal Group Impairment</w:t>
      </w:r>
      <w:r>
        <w:rPr>
          <w:rFonts w:ascii="IBM Plex Sans" w:eastAsia="Times New Roman" w:hAnsi="IBM Plex Sans"/>
          <w:color w:val="283030"/>
          <w:sz w:val="20"/>
          <w:szCs w:val="20"/>
        </w:rPr>
        <w:t xml:space="preserve"> — </w:t>
      </w:r>
      <w:r>
        <w:rPr>
          <w:rFonts w:ascii="IBM Plex Sans SemiBold" w:eastAsia="Times New Roman" w:hAnsi="IBM Plex Sans SemiBold"/>
          <w:b/>
          <w:bCs/>
          <w:color w:val="016676"/>
          <w:sz w:val="20"/>
          <w:szCs w:val="20"/>
        </w:rPr>
        <w:t>Fiscal 2020</w:t>
      </w:r>
    </w:p>
    <w:p w:rsidR="00000000" w:rsidRDefault="00F5481A">
      <w:pPr>
        <w:ind w:firstLine="360"/>
        <w:divId w:val="29694872"/>
        <w:rPr>
          <w:rFonts w:eastAsia="Times New Roman"/>
        </w:rPr>
      </w:pPr>
      <w:r>
        <w:rPr>
          <w:rFonts w:ascii="IBM Plex Sans" w:eastAsia="Times New Roman" w:hAnsi="IBM Plex Sans"/>
          <w:color w:val="283030"/>
          <w:sz w:val="20"/>
          <w:szCs w:val="20"/>
        </w:rPr>
        <w:t>During the quarter ended July 3, 2020, we determined the criteria to be classified as held for sale were met with respect to the VSE disposal group within our Aviation Systems segment and assigned $14 million of goodwill</w:t>
      </w:r>
      <w:r>
        <w:rPr>
          <w:rFonts w:ascii="IBM Plex Sans" w:eastAsia="Times New Roman" w:hAnsi="IBM Plex Sans"/>
          <w:color w:val="283030"/>
          <w:sz w:val="20"/>
          <w:szCs w:val="20"/>
        </w:rPr>
        <w:t xml:space="preserve"> to the VSE disposal group on a relative fair value basis. In connection with the preparation of our financial statements for the quarter ended July 3, 2020, we concluded that goodwill related to the VSE disposal group was impaired and recorded a non-cash </w:t>
      </w:r>
      <w:r>
        <w:rPr>
          <w:rFonts w:ascii="IBM Plex Sans" w:eastAsia="Times New Roman" w:hAnsi="IBM Plex Sans"/>
          <w:color w:val="283030"/>
          <w:sz w:val="20"/>
          <w:szCs w:val="20"/>
        </w:rPr>
        <w:t>impairment charge $14 million, which is included in the “Impairment of goodwill and other assets” line item in our Consolidated Statement of Operations for fiscal 2020.</w:t>
      </w:r>
    </w:p>
    <w:p w:rsidR="00000000" w:rsidRDefault="00F5481A">
      <w:pPr>
        <w:divId w:val="906887550"/>
        <w:rPr>
          <w:rFonts w:eastAsia="Times New Roman"/>
        </w:rPr>
      </w:pPr>
      <w:r>
        <w:rPr>
          <w:rFonts w:ascii="IBM Plex Sans SemiBold" w:eastAsia="Times New Roman" w:hAnsi="IBM Plex Sans SemiBold"/>
          <w:b/>
          <w:bCs/>
          <w:color w:val="016676"/>
          <w:sz w:val="20"/>
          <w:szCs w:val="20"/>
        </w:rPr>
        <w:t xml:space="preserve">NOTE 10: INTANGIBLE ASSETS, NET </w:t>
      </w:r>
    </w:p>
    <w:p w:rsidR="00000000" w:rsidRDefault="00F5481A">
      <w:pPr>
        <w:ind w:firstLine="360"/>
        <w:divId w:val="1171020748"/>
        <w:rPr>
          <w:rFonts w:eastAsia="Times New Roman"/>
        </w:rPr>
      </w:pPr>
      <w:r>
        <w:rPr>
          <w:rFonts w:ascii="IBM Plex Sans" w:eastAsia="Times New Roman" w:hAnsi="IBM Plex Sans"/>
          <w:color w:val="283030"/>
          <w:sz w:val="20"/>
          <w:szCs w:val="20"/>
        </w:rPr>
        <w:t>The most significant identifiable intangible asset that is separately recognized for our business combinations is customer relationships. Our customer relationships are established through written customer contracts (i.e., revenue arrangements). The fair v</w:t>
      </w:r>
      <w:r>
        <w:rPr>
          <w:rFonts w:ascii="IBM Plex Sans" w:eastAsia="Times New Roman" w:hAnsi="IBM Plex Sans"/>
          <w:color w:val="283030"/>
          <w:sz w:val="20"/>
          <w:szCs w:val="20"/>
        </w:rPr>
        <w:t>alue for customer relationships is determined, as of the date of acquisition, based on estimates and judgments regarding expectations for the estimated future after-tax earnings and cash flows arising from the follow-on sales expected from the customer rel</w:t>
      </w:r>
      <w:r>
        <w:rPr>
          <w:rFonts w:ascii="IBM Plex Sans" w:eastAsia="Times New Roman" w:hAnsi="IBM Plex Sans"/>
          <w:color w:val="283030"/>
          <w:sz w:val="20"/>
          <w:szCs w:val="20"/>
        </w:rPr>
        <w:t>ationships over the estimated lives, including the probability of expected future contract renewals and sales, less a contributory assets charge, all of which is discounted to present value. We assess the recoverability of the carrying value of our finite-</w:t>
      </w:r>
      <w:r>
        <w:rPr>
          <w:rFonts w:ascii="IBM Plex Sans" w:eastAsia="Times New Roman" w:hAnsi="IBM Plex Sans"/>
          <w:color w:val="283030"/>
          <w:sz w:val="20"/>
          <w:szCs w:val="20"/>
        </w:rPr>
        <w:t>lived identifiable intangible assets whenever events or changes in circumstances indicate the carrying amount of the assets may not be recoverable. We assess the recoverability of the carrying value of indefinite-lived identifiable intangible assets annual</w:t>
      </w:r>
      <w:r>
        <w:rPr>
          <w:rFonts w:ascii="IBM Plex Sans" w:eastAsia="Times New Roman" w:hAnsi="IBM Plex Sans"/>
          <w:color w:val="283030"/>
          <w:sz w:val="20"/>
          <w:szCs w:val="20"/>
        </w:rPr>
        <w:t>ly, or under certain circumstances more frequently, such as when events and circumstances indicate there may be an impairment.</w:t>
      </w:r>
    </w:p>
    <w:p w:rsidR="00000000" w:rsidRDefault="00F5481A">
      <w:pPr>
        <w:ind w:firstLine="495"/>
        <w:divId w:val="1384132946"/>
        <w:rPr>
          <w:rFonts w:eastAsia="Times New Roman"/>
        </w:rPr>
      </w:pPr>
      <w:r>
        <w:rPr>
          <w:rFonts w:ascii="IBM Plex Sans" w:eastAsia="Times New Roman" w:hAnsi="IBM Plex Sans"/>
          <w:color w:val="283030"/>
          <w:sz w:val="20"/>
          <w:szCs w:val="20"/>
        </w:rPr>
        <w:t>Identifiable intangible assets, net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38"/>
        <w:gridCol w:w="2578"/>
        <w:gridCol w:w="36"/>
        <w:gridCol w:w="132"/>
        <w:gridCol w:w="557"/>
        <w:gridCol w:w="36"/>
        <w:gridCol w:w="36"/>
        <w:gridCol w:w="36"/>
        <w:gridCol w:w="36"/>
        <w:gridCol w:w="133"/>
        <w:gridCol w:w="938"/>
        <w:gridCol w:w="36"/>
        <w:gridCol w:w="36"/>
        <w:gridCol w:w="36"/>
        <w:gridCol w:w="36"/>
        <w:gridCol w:w="132"/>
        <w:gridCol w:w="557"/>
        <w:gridCol w:w="36"/>
        <w:gridCol w:w="36"/>
        <w:gridCol w:w="36"/>
        <w:gridCol w:w="36"/>
        <w:gridCol w:w="132"/>
        <w:gridCol w:w="557"/>
        <w:gridCol w:w="36"/>
        <w:gridCol w:w="36"/>
        <w:gridCol w:w="36"/>
        <w:gridCol w:w="36"/>
        <w:gridCol w:w="133"/>
        <w:gridCol w:w="938"/>
        <w:gridCol w:w="36"/>
        <w:gridCol w:w="36"/>
        <w:gridCol w:w="36"/>
        <w:gridCol w:w="36"/>
        <w:gridCol w:w="132"/>
        <w:gridCol w:w="557"/>
        <w:gridCol w:w="36"/>
      </w:tblGrid>
      <w:tr w:rsidR="00000000">
        <w:trPr>
          <w:divId w:val="1863588759"/>
        </w:trPr>
        <w:tc>
          <w:tcPr>
            <w:tcW w:w="50" w:type="pct"/>
            <w:vAlign w:val="center"/>
            <w:hideMark/>
          </w:tcPr>
          <w:p w:rsidR="00000000" w:rsidRDefault="00F5481A">
            <w:pPr>
              <w:ind w:firstLine="495"/>
              <w:rPr>
                <w:rFonts w:eastAsia="Times New Roman"/>
              </w:rPr>
            </w:pPr>
          </w:p>
        </w:tc>
        <w:tc>
          <w:tcPr>
            <w:tcW w:w="179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2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8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2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2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8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2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1863588759"/>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15"/>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r>
      <w:tr w:rsidR="00000000">
        <w:trPr>
          <w:divId w:val="1863588759"/>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Gross Carrying</w:t>
            </w:r>
            <w:r>
              <w:rPr>
                <w:rFonts w:ascii="IBM Plex Sans" w:eastAsia="Times New Roman" w:hAnsi="IBM Plex Sans"/>
                <w:b/>
                <w:bCs/>
                <w:color w:val="28303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Accumulated</w:t>
            </w:r>
            <w:r>
              <w:rPr>
                <w:rFonts w:ascii="IBM Plex Sans" w:eastAsia="Times New Roman" w:hAnsi="IBM Plex Sans"/>
                <w:b/>
                <w:bCs/>
                <w:color w:val="283030"/>
                <w:sz w:val="16"/>
                <w:szCs w:val="16"/>
              </w:rPr>
              <w:br/>
              <w:t>Amortization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Net Carrying Amount</w:t>
            </w:r>
            <w:r>
              <w:rPr>
                <w:rFonts w:ascii="IBM Plex Sans" w:eastAsia="Times New Roman" w:hAnsi="IBM Plex Sans"/>
                <w:b/>
                <w:bCs/>
                <w:color w:val="283030"/>
                <w:sz w:val="16"/>
                <w:szCs w:val="16"/>
              </w:rPr>
              <w:t xml:space="preserve"> </w:t>
            </w:r>
            <w:r>
              <w:rPr>
                <w:rFonts w:ascii="IBM Plex Sans" w:eastAsia="Times New Roman" w:hAnsi="IBM Plex Sans"/>
                <w:b/>
                <w:bCs/>
                <w:color w:val="283030"/>
                <w:sz w:val="10"/>
                <w:szCs w:val="10"/>
              </w:rPr>
              <w:t>(1</w:t>
            </w:r>
            <w:r>
              <w:rPr>
                <w:rFonts w:ascii="IBM Plex Sans" w:eastAsia="Times New Roman" w:hAnsi="IBM Plex Sans"/>
                <w:b/>
                <w:bCs/>
                <w:color w:val="283030"/>
                <w:sz w:val="10"/>
                <w:szCs w:val="10"/>
              </w:rPr>
              <w:t>)</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Gross Carrying</w:t>
            </w:r>
            <w:r>
              <w:rPr>
                <w:rFonts w:ascii="IBM Plex Sans" w:eastAsia="Times New Roman" w:hAnsi="IBM Plex Sans"/>
                <w:b/>
                <w:bCs/>
                <w:color w:val="28303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Accumulated</w:t>
            </w:r>
            <w:r>
              <w:rPr>
                <w:rFonts w:ascii="IBM Plex Sans" w:eastAsia="Times New Roman" w:hAnsi="IBM Plex Sans"/>
                <w:b/>
                <w:bCs/>
                <w:color w:val="283030"/>
                <w:sz w:val="16"/>
                <w:szCs w:val="16"/>
              </w:rPr>
              <w:br/>
              <w:t>Amortization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Net Carrying Amount</w:t>
            </w:r>
            <w:r>
              <w:rPr>
                <w:rFonts w:ascii="IBM Plex Sans" w:eastAsia="Times New Roman" w:hAnsi="IBM Plex Sans"/>
                <w:b/>
                <w:bCs/>
                <w:color w:val="283030"/>
                <w:sz w:val="16"/>
                <w:szCs w:val="16"/>
              </w:rPr>
              <w:t xml:space="preserve"> </w:t>
            </w:r>
            <w:r>
              <w:rPr>
                <w:rFonts w:ascii="IBM Plex Sans" w:eastAsia="Times New Roman" w:hAnsi="IBM Plex Sans"/>
                <w:b/>
                <w:bCs/>
                <w:color w:val="283030"/>
                <w:sz w:val="10"/>
                <w:szCs w:val="10"/>
              </w:rPr>
              <w:t>(1</w:t>
            </w:r>
            <w:r>
              <w:rPr>
                <w:rFonts w:ascii="IBM Plex Sans" w:eastAsia="Times New Roman" w:hAnsi="IBM Plex Sans"/>
                <w:b/>
                <w:bCs/>
                <w:color w:val="283030"/>
                <w:sz w:val="10"/>
                <w:szCs w:val="10"/>
              </w:rPr>
              <w:t>)</w:t>
            </w:r>
          </w:p>
        </w:tc>
      </w:tr>
      <w:tr w:rsidR="00000000">
        <w:trPr>
          <w:divId w:val="1863588759"/>
          <w:trHeight w:val="6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863588759"/>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Customer relationships</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6,124 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2,189 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3,935 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6,194 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1,708 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4,486 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863588759"/>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Developed technologies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566 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366 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200 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600 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322 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278 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863588759"/>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Contract backlog</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863588759"/>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Trade names — divisions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53 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863588759"/>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Other</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863588759"/>
        </w:trPr>
        <w:tc>
          <w:tcPr>
            <w:tcW w:w="0" w:type="auto"/>
            <w:gridSpan w:val="3"/>
            <w:shd w:val="clear" w:color="auto" w:fill="FFFFFF"/>
            <w:tcMar>
              <w:top w:w="30" w:type="dxa"/>
              <w:left w:w="260" w:type="dxa"/>
              <w:bottom w:w="30" w:type="dxa"/>
              <w:right w:w="20" w:type="dxa"/>
            </w:tcMar>
            <w:hideMark/>
          </w:tcPr>
          <w:p w:rsidR="00000000" w:rsidRDefault="00F5481A">
            <w:pPr>
              <w:spacing w:after="100"/>
              <w:ind w:hanging="251"/>
              <w:rPr>
                <w:rFonts w:eastAsia="Times New Roman"/>
              </w:rPr>
            </w:pPr>
            <w:r>
              <w:rPr>
                <w:rFonts w:ascii="IBM Plex Sans" w:eastAsia="Times New Roman" w:hAnsi="IBM Plex Sans"/>
                <w:color w:val="283030"/>
                <w:sz w:val="20"/>
                <w:szCs w:val="20"/>
              </w:rPr>
              <w:t>Total finite-lived identifiable intangible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6,788 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2,611 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4,177 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6,918 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4,816 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863588759"/>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In-process research and development</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863588759"/>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Trade names — corporate</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1,803 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1,803 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1,803 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1,803 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863588759"/>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Total identifiable intangible assets, net</w:t>
            </w: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8,612 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2,611 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6,001 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8,742 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2,102 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6,640 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863588759"/>
        </w:trPr>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bl>
    <w:p w:rsidR="00000000" w:rsidRDefault="00F5481A">
      <w:pPr>
        <w:divId w:val="2001493826"/>
        <w:rPr>
          <w:rFonts w:eastAsia="Times New Roman"/>
        </w:rPr>
      </w:pPr>
      <w:r>
        <w:rPr>
          <w:rFonts w:ascii="IBM Plex Sans" w:eastAsia="Times New Roman" w:hAnsi="IBM Plex Sans"/>
          <w:color w:val="283030"/>
          <w:sz w:val="16"/>
          <w:szCs w:val="16"/>
        </w:rPr>
        <w:t>_______________</w:t>
      </w:r>
    </w:p>
    <w:p w:rsidR="00000000" w:rsidRDefault="00F5481A">
      <w:pPr>
        <w:ind w:hanging="360"/>
        <w:divId w:val="2128574759"/>
        <w:rPr>
          <w:rFonts w:eastAsia="Times New Roman"/>
        </w:rPr>
      </w:pPr>
      <w:r>
        <w:rPr>
          <w:rFonts w:ascii="IBM Plex Sans" w:eastAsia="Times New Roman" w:hAnsi="IBM Plex Sans"/>
          <w:color w:val="283030"/>
          <w:sz w:val="16"/>
          <w:szCs w:val="16"/>
        </w:rPr>
        <w:t>(1)During fiscal 2022, we assigned $10 </w:t>
      </w:r>
      <w:r>
        <w:rPr>
          <w:rFonts w:ascii="IBM Plex Sans" w:eastAsia="Times New Roman" w:hAnsi="IBM Plex Sans"/>
          <w:color w:val="283030"/>
          <w:sz w:val="16"/>
          <w:szCs w:val="16"/>
        </w:rPr>
        <w:t>million of intangible assets associated with the pending VIS business divestiture to “Assets of business held for sale” in our Consolidated Balance Sheet. During fiscal 2021, we completed the divestiture of six businesses and derecognized $577 million of i</w:t>
      </w:r>
      <w:r>
        <w:rPr>
          <w:rFonts w:ascii="IBM Plex Sans" w:eastAsia="Times New Roman" w:hAnsi="IBM Plex Sans"/>
          <w:color w:val="283030"/>
          <w:sz w:val="16"/>
          <w:szCs w:val="16"/>
        </w:rPr>
        <w:t xml:space="preserve">ntangible assets as part of the gain or loss on these divestitures. See </w:t>
      </w:r>
      <w:r>
        <w:rPr>
          <w:rFonts w:ascii="IBM Plex Sans" w:eastAsia="Times New Roman" w:hAnsi="IBM Plex Sans"/>
          <w:i/>
          <w:iCs/>
          <w:color w:val="283030"/>
          <w:sz w:val="16"/>
          <w:szCs w:val="16"/>
        </w:rPr>
        <w:t>Note 4: Business Divestitures and Asset Sales</w:t>
      </w:r>
      <w:r>
        <w:rPr>
          <w:rFonts w:ascii="IBM Plex Sans" w:eastAsia="Times New Roman" w:hAnsi="IBM Plex Sans"/>
          <w:color w:val="283030"/>
          <w:sz w:val="16"/>
          <w:szCs w:val="16"/>
        </w:rPr>
        <w:t xml:space="preserve"> in these Notes for additional information regarding divestitures and businesses held for sale.</w:t>
      </w:r>
    </w:p>
    <w:p w:rsidR="00000000" w:rsidRDefault="00F5481A">
      <w:pPr>
        <w:ind w:firstLine="360"/>
        <w:divId w:val="1869684790"/>
        <w:rPr>
          <w:rFonts w:eastAsia="Times New Roman"/>
        </w:rPr>
      </w:pPr>
      <w:r>
        <w:rPr>
          <w:rFonts w:ascii="IBM Plex Sans" w:eastAsia="Times New Roman" w:hAnsi="IBM Plex Sans"/>
          <w:color w:val="283030"/>
          <w:sz w:val="20"/>
          <w:szCs w:val="20"/>
        </w:rPr>
        <w:t>Amortization expense for identifiable finit</w:t>
      </w:r>
      <w:r>
        <w:rPr>
          <w:rFonts w:ascii="IBM Plex Sans" w:eastAsia="Times New Roman" w:hAnsi="IBM Plex Sans"/>
          <w:color w:val="283030"/>
          <w:sz w:val="20"/>
          <w:szCs w:val="20"/>
        </w:rPr>
        <w:t>e-lived intangible assets was $605 million, $627 million and $729 million in fiscal 2022, 2021 and 2020, respectively, and primarily related to assets acquired in connection with business combinations.</w:t>
      </w:r>
    </w:p>
    <w:p w:rsidR="00000000" w:rsidRDefault="00F5481A">
      <w:pPr>
        <w:ind w:firstLine="360"/>
        <w:jc w:val="center"/>
        <w:divId w:val="1212158761"/>
        <w:rPr>
          <w:rFonts w:eastAsia="Times New Roman"/>
        </w:rPr>
      </w:pPr>
      <w:r>
        <w:rPr>
          <w:rFonts w:ascii="Arial" w:eastAsia="Times New Roman" w:hAnsi="Arial" w:cs="Arial"/>
          <w:b/>
          <w:bCs/>
          <w:color w:val="016676"/>
        </w:rPr>
        <w:t>______________________________________________________</w:t>
      </w:r>
      <w:r>
        <w:rPr>
          <w:rFonts w:ascii="Arial" w:eastAsia="Times New Roman" w:hAnsi="Arial" w:cs="Arial"/>
          <w:b/>
          <w:bCs/>
          <w:color w:val="016676"/>
        </w:rPr>
        <w:t>_______________</w:t>
      </w:r>
      <w:r>
        <w:rPr>
          <w:rFonts w:ascii="Arial" w:eastAsia="Times New Roman" w:hAnsi="Arial" w:cs="Arial"/>
          <w:b/>
          <w:bCs/>
          <w:color w:val="233D6F"/>
        </w:rPr>
        <w:br/>
      </w:r>
      <w:r>
        <w:rPr>
          <w:rFonts w:ascii="IBM Plex Sans" w:eastAsia="Times New Roman" w:hAnsi="IBM Plex Sans"/>
          <w:color w:val="283030"/>
          <w:sz w:val="20"/>
          <w:szCs w:val="20"/>
        </w:rPr>
        <w:t>81</w:t>
      </w:r>
    </w:p>
    <w:p w:rsidR="00000000" w:rsidRDefault="00F5481A">
      <w:pPr>
        <w:rPr>
          <w:rFonts w:eastAsia="Times New Roman"/>
        </w:rPr>
      </w:pPr>
      <w:r>
        <w:rPr>
          <w:rFonts w:eastAsia="Times New Roman"/>
        </w:rPr>
        <w:pict>
          <v:rect id="_x0000_i1112" style="width:0;height:1.5pt" o:hralign="center" o:hrstd="t" o:hr="t" fillcolor="#a0a0a0" stroked="f"/>
        </w:pict>
      </w:r>
    </w:p>
    <w:p w:rsidR="00000000" w:rsidRDefault="00F5481A">
      <w:pPr>
        <w:ind w:firstLine="360"/>
        <w:divId w:val="37363023"/>
        <w:rPr>
          <w:rFonts w:eastAsia="Times New Roman"/>
        </w:rPr>
      </w:pPr>
    </w:p>
    <w:p w:rsidR="00000000" w:rsidRDefault="00F5481A">
      <w:pPr>
        <w:ind w:firstLine="360"/>
        <w:divId w:val="551623083"/>
        <w:rPr>
          <w:rFonts w:eastAsia="Times New Roman"/>
        </w:rPr>
      </w:pPr>
      <w:r>
        <w:rPr>
          <w:rFonts w:ascii="IBM Plex Sans" w:eastAsia="Times New Roman" w:hAnsi="IBM Plex Sans"/>
          <w:color w:val="283030"/>
          <w:sz w:val="20"/>
          <w:szCs w:val="20"/>
        </w:rPr>
        <w:t>Future estimated amortization expense for identifiable intangible assets is as follows:</w:t>
      </w:r>
    </w:p>
    <w:tbl>
      <w:tblPr>
        <w:tblW w:w="5000" w:type="pct"/>
        <w:tblCellMar>
          <w:top w:w="15" w:type="dxa"/>
          <w:left w:w="15" w:type="dxa"/>
          <w:bottom w:w="15" w:type="dxa"/>
          <w:right w:w="15" w:type="dxa"/>
        </w:tblCellMar>
        <w:tblLook w:val="04A0" w:firstRow="1" w:lastRow="0" w:firstColumn="1" w:lastColumn="0" w:noHBand="0" w:noVBand="1"/>
      </w:tblPr>
      <w:tblGrid>
        <w:gridCol w:w="48"/>
        <w:gridCol w:w="6904"/>
        <w:gridCol w:w="36"/>
        <w:gridCol w:w="133"/>
        <w:gridCol w:w="1149"/>
        <w:gridCol w:w="36"/>
      </w:tblGrid>
      <w:tr w:rsidR="00000000">
        <w:trPr>
          <w:divId w:val="1012805188"/>
        </w:trPr>
        <w:tc>
          <w:tcPr>
            <w:tcW w:w="50" w:type="pct"/>
            <w:vAlign w:val="center"/>
            <w:hideMark/>
          </w:tcPr>
          <w:p w:rsidR="00000000" w:rsidRDefault="00F5481A">
            <w:pPr>
              <w:ind w:firstLine="360"/>
              <w:rPr>
                <w:rFonts w:eastAsia="Times New Roman"/>
              </w:rPr>
            </w:pPr>
          </w:p>
        </w:tc>
        <w:tc>
          <w:tcPr>
            <w:tcW w:w="417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1012805188"/>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(In millions)</w:t>
            </w:r>
          </w:p>
        </w:tc>
      </w:tr>
      <w:tr w:rsidR="00000000">
        <w:trPr>
          <w:divId w:val="1012805188"/>
          <w:trHeight w:val="6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012805188"/>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2023</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594 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012805188"/>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2024</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557 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012805188"/>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2025</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511 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012805188"/>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2026</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456 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012805188"/>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2027</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414 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012805188"/>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Thereafter</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1,645 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012805188"/>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Total</w:t>
            </w: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4,177 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bl>
    <w:p w:rsidR="00000000" w:rsidRDefault="00F5481A">
      <w:pPr>
        <w:divId w:val="60062168"/>
        <w:rPr>
          <w:rFonts w:eastAsia="Times New Roman"/>
        </w:rPr>
      </w:pPr>
      <w:r>
        <w:rPr>
          <w:rFonts w:ascii="IBM Plex Sans SemiBold" w:eastAsia="Times New Roman" w:hAnsi="IBM Plex Sans SemiBold"/>
          <w:b/>
          <w:bCs/>
          <w:color w:val="016676"/>
          <w:sz w:val="20"/>
          <w:szCs w:val="20"/>
        </w:rPr>
        <w:t>CTS Impairment</w:t>
      </w:r>
      <w:r>
        <w:rPr>
          <w:rFonts w:ascii="IBM Plex Sans" w:eastAsia="Times New Roman" w:hAnsi="IBM Plex Sans"/>
          <w:color w:val="283030"/>
          <w:sz w:val="20"/>
          <w:szCs w:val="20"/>
        </w:rPr>
        <w:t xml:space="preserve"> </w:t>
      </w:r>
      <w:r>
        <w:rPr>
          <w:rFonts w:ascii="IBM Plex Sans SemiBold" w:eastAsia="Times New Roman" w:hAnsi="IBM Plex Sans SemiBold"/>
          <w:b/>
          <w:bCs/>
          <w:color w:val="016676"/>
          <w:sz w:val="20"/>
          <w:szCs w:val="20"/>
        </w:rPr>
        <w:t>— Fiscal 2021</w:t>
      </w:r>
    </w:p>
    <w:p w:rsidR="00000000" w:rsidRDefault="00F5481A">
      <w:pPr>
        <w:ind w:firstLine="360"/>
        <w:divId w:val="287205502"/>
        <w:rPr>
          <w:rFonts w:eastAsia="Times New Roman"/>
        </w:rPr>
      </w:pPr>
      <w:r>
        <w:rPr>
          <w:rFonts w:ascii="IBM Plex Sans" w:eastAsia="Times New Roman" w:hAnsi="IBM Plex Sans"/>
          <w:color w:val="283030"/>
          <w:sz w:val="20"/>
          <w:szCs w:val="20"/>
        </w:rPr>
        <w:t>During the quarter ended July 2, 2021, we adjusted our Aviation Systems segment reporting to better align our businesses and separated the CTS business from our Commercial Aviation Solutions reporting unit, creating a new reporting unit within the Commerci</w:t>
      </w:r>
      <w:r>
        <w:rPr>
          <w:rFonts w:ascii="IBM Plex Sans" w:eastAsia="Times New Roman" w:hAnsi="IBM Plex Sans"/>
          <w:color w:val="283030"/>
          <w:sz w:val="20"/>
          <w:szCs w:val="20"/>
        </w:rPr>
        <w:t>al Aviation Solutions sector of our Aviation Systems segment. Immediately before and after our goodwill assignments, we completed an assessment of any potential goodwill impairment under our former and new reporting unit structure and determined that no im</w:t>
      </w:r>
      <w:r>
        <w:rPr>
          <w:rFonts w:ascii="IBM Plex Sans" w:eastAsia="Times New Roman" w:hAnsi="IBM Plex Sans"/>
          <w:color w:val="283030"/>
          <w:sz w:val="20"/>
          <w:szCs w:val="20"/>
        </w:rPr>
        <w:t xml:space="preserve">pairment existed. </w:t>
      </w:r>
    </w:p>
    <w:p w:rsidR="00000000" w:rsidRDefault="00F5481A">
      <w:pPr>
        <w:ind w:firstLine="360"/>
        <w:divId w:val="1292052638"/>
        <w:rPr>
          <w:rFonts w:eastAsia="Times New Roman"/>
        </w:rPr>
      </w:pPr>
      <w:r>
        <w:rPr>
          <w:rFonts w:ascii="IBM Plex Sans" w:eastAsia="Times New Roman" w:hAnsi="IBM Plex Sans"/>
          <w:color w:val="283030"/>
          <w:sz w:val="20"/>
          <w:szCs w:val="20"/>
        </w:rPr>
        <w:t>To test for potential impairment of the long-lived assets, including identifiable intangible assets and property, plant and equipment, related to CTS, we compared the estimated future cash flows (on an undiscounted basis) to be generated</w:t>
      </w:r>
      <w:r>
        <w:rPr>
          <w:rFonts w:ascii="IBM Plex Sans" w:eastAsia="Times New Roman" w:hAnsi="IBM Plex Sans"/>
          <w:color w:val="283030"/>
          <w:sz w:val="20"/>
          <w:szCs w:val="20"/>
        </w:rPr>
        <w:t xml:space="preserve"> from the use and hypothetical eventual disposition of the asset group to its carrying value and, as a result, we determined the carrying value of the CTS asset group was not recoverable. Next, we prepared an estimate of the fair value of CTS based on a co</w:t>
      </w:r>
      <w:r>
        <w:rPr>
          <w:rFonts w:ascii="IBM Plex Sans" w:eastAsia="Times New Roman" w:hAnsi="IBM Plex Sans"/>
          <w:color w:val="283030"/>
          <w:sz w:val="20"/>
          <w:szCs w:val="20"/>
        </w:rPr>
        <w:t>mbination of market-based valuation techniques, utilizing quoted market prices, comparable publicly reported transactions and projected discounted cash flows. We compared the fair value of CTS to our carrying value and recorded a $145 million non-cash char</w:t>
      </w:r>
      <w:r>
        <w:rPr>
          <w:rFonts w:ascii="IBM Plex Sans" w:eastAsia="Times New Roman" w:hAnsi="IBM Plex Sans"/>
          <w:color w:val="283030"/>
          <w:sz w:val="20"/>
          <w:szCs w:val="20"/>
        </w:rPr>
        <w:t>ge for the impairment of CTS long-lived assets, including $63 million for impairment of identifiable intangible assets, which is included in the “Impairment of goodwill and other assets” line item in our Consolidated Statement of Operations for fiscal 2021</w:t>
      </w:r>
      <w:r>
        <w:rPr>
          <w:rFonts w:ascii="IBM Plex Sans" w:eastAsia="Times New Roman" w:hAnsi="IBM Plex Sans"/>
          <w:color w:val="283030"/>
          <w:sz w:val="20"/>
          <w:szCs w:val="20"/>
        </w:rPr>
        <w:t>.</w:t>
      </w:r>
    </w:p>
    <w:p w:rsidR="00000000" w:rsidRDefault="00F5481A">
      <w:pPr>
        <w:divId w:val="1218123692"/>
        <w:rPr>
          <w:rFonts w:eastAsia="Times New Roman"/>
        </w:rPr>
      </w:pPr>
      <w:r>
        <w:rPr>
          <w:rFonts w:ascii="IBM Plex Sans SemiBold" w:eastAsia="Times New Roman" w:hAnsi="IBM Plex Sans SemiBold"/>
          <w:b/>
          <w:bCs/>
          <w:color w:val="016676"/>
          <w:sz w:val="20"/>
          <w:szCs w:val="20"/>
        </w:rPr>
        <w:t>Commercial Aviation Solutions Impairment</w:t>
      </w:r>
      <w:r>
        <w:rPr>
          <w:rFonts w:ascii="IBM Plex Sans" w:eastAsia="Times New Roman" w:hAnsi="IBM Plex Sans"/>
          <w:color w:val="283030"/>
          <w:sz w:val="20"/>
          <w:szCs w:val="20"/>
        </w:rPr>
        <w:t xml:space="preserve"> </w:t>
      </w:r>
      <w:r>
        <w:rPr>
          <w:rFonts w:ascii="IBM Plex Sans SemiBold" w:eastAsia="Times New Roman" w:hAnsi="IBM Plex Sans SemiBold"/>
          <w:b/>
          <w:bCs/>
          <w:color w:val="016676"/>
          <w:sz w:val="20"/>
          <w:szCs w:val="20"/>
        </w:rPr>
        <w:t>— Fiscal 2020</w:t>
      </w:r>
    </w:p>
    <w:p w:rsidR="00000000" w:rsidRDefault="00F5481A">
      <w:pPr>
        <w:ind w:firstLine="360"/>
        <w:divId w:val="599024987"/>
        <w:rPr>
          <w:rFonts w:eastAsia="Times New Roman"/>
        </w:rPr>
      </w:pPr>
      <w:r>
        <w:rPr>
          <w:rFonts w:ascii="IBM Plex Sans" w:eastAsia="Times New Roman" w:hAnsi="IBM Plex Sans"/>
          <w:color w:val="283030"/>
          <w:sz w:val="20"/>
          <w:szCs w:val="20"/>
        </w:rPr>
        <w:t>During the fiscal year ended January 1, 2021, in conjunction with, and in advance of, the tests of goodwill related to our Commercial Aviation Solutions reporting unit, we also performed recoverabili</w:t>
      </w:r>
      <w:r>
        <w:rPr>
          <w:rFonts w:ascii="IBM Plex Sans" w:eastAsia="Times New Roman" w:hAnsi="IBM Plex Sans"/>
          <w:color w:val="283030"/>
          <w:sz w:val="20"/>
          <w:szCs w:val="20"/>
        </w:rPr>
        <w:t>ty tests of the long-lived assets of our Commercial Aviation Solutions reporting unit, including identifiable intangible assets and property, plant and equipment. To test these long-lived assets for recoverability, we compared the estimated future cash flo</w:t>
      </w:r>
      <w:r>
        <w:rPr>
          <w:rFonts w:ascii="IBM Plex Sans" w:eastAsia="Times New Roman" w:hAnsi="IBM Plex Sans"/>
          <w:color w:val="283030"/>
          <w:sz w:val="20"/>
          <w:szCs w:val="20"/>
        </w:rPr>
        <w:t>ws (on an undiscounted basis) to be generated from the use and hypothetical eventual disposition of the asset group to its carrying value. As a result, we concluded that the long-lived assets of our Commercial Aviation Solutions reporting unit were impaire</w:t>
      </w:r>
      <w:r>
        <w:rPr>
          <w:rFonts w:ascii="IBM Plex Sans" w:eastAsia="Times New Roman" w:hAnsi="IBM Plex Sans"/>
          <w:color w:val="283030"/>
          <w:sz w:val="20"/>
          <w:szCs w:val="20"/>
        </w:rPr>
        <w:t>d as of January 1, 2021 and we recorded a $257 million</w:t>
      </w:r>
      <w:r>
        <w:rPr>
          <w:rFonts w:ascii="IBM Plex Sans" w:eastAsia="Times New Roman" w:hAnsi="IBM Plex Sans"/>
          <w:color w:val="283030"/>
          <w:sz w:val="20"/>
          <w:szCs w:val="20"/>
        </w:rPr>
        <w:t xml:space="preserve"> </w:t>
      </w:r>
      <w:r>
        <w:rPr>
          <w:rFonts w:ascii="IBM Plex Sans" w:eastAsia="Times New Roman" w:hAnsi="IBM Plex Sans"/>
          <w:color w:val="283030"/>
          <w:sz w:val="20"/>
          <w:szCs w:val="20"/>
        </w:rPr>
        <w:t>non-cash impairment charg</w:t>
      </w:r>
      <w:r>
        <w:rPr>
          <w:rFonts w:ascii="IBM Plex Sans" w:eastAsia="Times New Roman" w:hAnsi="IBM Plex Sans"/>
          <w:color w:val="283030"/>
          <w:sz w:val="20"/>
          <w:szCs w:val="20"/>
        </w:rPr>
        <w:t>e</w:t>
      </w:r>
      <w:r>
        <w:rPr>
          <w:rFonts w:ascii="IBM Plex Sans" w:eastAsia="Times New Roman" w:hAnsi="IBM Plex Sans"/>
          <w:color w:val="283030"/>
          <w:sz w:val="20"/>
          <w:szCs w:val="20"/>
        </w:rPr>
        <w:t>, including $113 million for impairment of identifiable intangible assets in the fourth quarter of fiscal 2020, which is included in the “Impairment of goodwill and other asse</w:t>
      </w:r>
      <w:r>
        <w:rPr>
          <w:rFonts w:ascii="IBM Plex Sans" w:eastAsia="Times New Roman" w:hAnsi="IBM Plex Sans"/>
          <w:color w:val="283030"/>
          <w:sz w:val="20"/>
          <w:szCs w:val="20"/>
        </w:rPr>
        <w:t xml:space="preserve">ts” line item in our Consolidated Statement of Operations for fiscal 2020. Also, see </w:t>
      </w:r>
      <w:r>
        <w:rPr>
          <w:rFonts w:ascii="IBM Plex Sans" w:eastAsia="Times New Roman" w:hAnsi="IBM Plex Sans"/>
          <w:i/>
          <w:iCs/>
          <w:color w:val="283030"/>
          <w:sz w:val="20"/>
          <w:szCs w:val="20"/>
        </w:rPr>
        <w:t>Note 9: Goodwill</w:t>
      </w:r>
      <w:r>
        <w:rPr>
          <w:rFonts w:ascii="IBM Plex Sans" w:eastAsia="Times New Roman" w:hAnsi="IBM Plex Sans"/>
          <w:color w:val="283030"/>
          <w:sz w:val="20"/>
          <w:szCs w:val="20"/>
        </w:rPr>
        <w:t xml:space="preserve"> in these Notes for additional information regarding Commercial Aviation Solutions impairments during fiscal 2020.</w:t>
      </w:r>
    </w:p>
    <w:p w:rsidR="00000000" w:rsidRDefault="00F5481A">
      <w:pPr>
        <w:divId w:val="21786736"/>
        <w:rPr>
          <w:rFonts w:eastAsia="Times New Roman"/>
        </w:rPr>
      </w:pPr>
      <w:r>
        <w:rPr>
          <w:rFonts w:ascii="IBM Plex Sans SemiBold" w:eastAsia="Times New Roman" w:hAnsi="IBM Plex Sans SemiBold"/>
          <w:b/>
          <w:bCs/>
          <w:color w:val="016676"/>
          <w:sz w:val="20"/>
          <w:szCs w:val="20"/>
        </w:rPr>
        <w:t>NOTE 11: ACCRUED WARRANTIES</w:t>
      </w:r>
      <w:r>
        <w:rPr>
          <w:rFonts w:ascii="IBM Plex Sans" w:eastAsia="Times New Roman" w:hAnsi="IBM Plex Sans"/>
          <w:b/>
          <w:bCs/>
          <w:i/>
          <w:iCs/>
          <w:color w:val="283030"/>
          <w:sz w:val="20"/>
          <w:szCs w:val="20"/>
        </w:rPr>
        <w:t xml:space="preserve"> </w:t>
      </w:r>
    </w:p>
    <w:p w:rsidR="00000000" w:rsidRDefault="00F5481A">
      <w:pPr>
        <w:ind w:firstLine="360"/>
        <w:divId w:val="375471150"/>
        <w:rPr>
          <w:rFonts w:eastAsia="Times New Roman"/>
        </w:rPr>
      </w:pPr>
      <w:r>
        <w:rPr>
          <w:rFonts w:ascii="IBM Plex Sans" w:eastAsia="Times New Roman" w:hAnsi="IBM Plex Sans"/>
          <w:color w:val="283030"/>
          <w:sz w:val="20"/>
          <w:szCs w:val="20"/>
        </w:rPr>
        <w:t>Our liabili</w:t>
      </w:r>
      <w:r>
        <w:rPr>
          <w:rFonts w:ascii="IBM Plex Sans" w:eastAsia="Times New Roman" w:hAnsi="IBM Plex Sans"/>
          <w:color w:val="283030"/>
          <w:sz w:val="20"/>
          <w:szCs w:val="20"/>
        </w:rPr>
        <w:t>ty for standard product warranties is included as a component of the “Other accrued items” and “Other long-term liabilities” line items in our Consolidated Balance Sheet. Changes in our liability for standard product warranties in fiscal 2022 and 2021 were</w:t>
      </w:r>
      <w:r>
        <w:rPr>
          <w:rFonts w:ascii="IBM Plex Sans" w:eastAsia="Times New Roman" w:hAnsi="IBM Plex Sans"/>
          <w:color w:val="283030"/>
          <w:sz w:val="20"/>
          <w:szCs w:val="20"/>
        </w:rPr>
        <w:t xml:space="preserv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485"/>
        <w:gridCol w:w="39"/>
        <w:gridCol w:w="133"/>
        <w:gridCol w:w="1112"/>
        <w:gridCol w:w="36"/>
        <w:gridCol w:w="36"/>
        <w:gridCol w:w="36"/>
        <w:gridCol w:w="36"/>
        <w:gridCol w:w="133"/>
        <w:gridCol w:w="1112"/>
        <w:gridCol w:w="36"/>
        <w:gridCol w:w="36"/>
        <w:gridCol w:w="36"/>
      </w:tblGrid>
      <w:tr w:rsidR="00000000">
        <w:trPr>
          <w:divId w:val="2048484657"/>
        </w:trPr>
        <w:tc>
          <w:tcPr>
            <w:tcW w:w="50" w:type="pct"/>
            <w:vAlign w:val="center"/>
            <w:hideMark/>
          </w:tcPr>
          <w:p w:rsidR="00000000" w:rsidRDefault="00F5481A">
            <w:pPr>
              <w:ind w:firstLine="360"/>
              <w:rPr>
                <w:rFonts w:eastAsia="Times New Roman"/>
              </w:rPr>
            </w:pPr>
          </w:p>
        </w:tc>
        <w:tc>
          <w:tcPr>
            <w:tcW w:w="337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2048484657"/>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r>
      <w:tr w:rsidR="00000000">
        <w:trPr>
          <w:divId w:val="2048484657"/>
          <w:trHeight w:val="60"/>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2048484657"/>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Balance at the beginning of the period</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117 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2048484657"/>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2048484657"/>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2048484657"/>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Decrease from divestitures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2048484657"/>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Accruals for product warranties issued during the period</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46 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2048484657"/>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Settlements made during the period</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(57)</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(56)</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2048484657"/>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Other, including foreign currency translation adjustments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2048484657"/>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Balance at the end of the period</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bl>
    <w:p w:rsidR="00000000" w:rsidRDefault="00F5481A">
      <w:pPr>
        <w:ind w:firstLine="360"/>
        <w:jc w:val="center"/>
        <w:divId w:val="510339909"/>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82</w:t>
      </w:r>
    </w:p>
    <w:p w:rsidR="00000000" w:rsidRDefault="00F5481A">
      <w:pPr>
        <w:rPr>
          <w:rFonts w:eastAsia="Times New Roman"/>
        </w:rPr>
      </w:pPr>
      <w:r>
        <w:rPr>
          <w:rFonts w:eastAsia="Times New Roman"/>
        </w:rPr>
        <w:pict>
          <v:rect id="_x0000_i1113" style="width:0;height:1.5pt" o:hralign="center" o:hrstd="t" o:hr="t" fillcolor="#a0a0a0" stroked="f"/>
        </w:pict>
      </w:r>
    </w:p>
    <w:p w:rsidR="00000000" w:rsidRDefault="00F5481A">
      <w:pPr>
        <w:ind w:firstLine="360"/>
        <w:divId w:val="619338337"/>
        <w:rPr>
          <w:rFonts w:eastAsia="Times New Roman"/>
        </w:rPr>
      </w:pPr>
    </w:p>
    <w:p w:rsidR="00000000" w:rsidRDefault="00F5481A">
      <w:pPr>
        <w:divId w:val="963540408"/>
        <w:rPr>
          <w:rFonts w:eastAsia="Times New Roman"/>
        </w:rPr>
      </w:pPr>
      <w:r>
        <w:rPr>
          <w:rFonts w:ascii="IBM Plex Sans SemiBold" w:eastAsia="Times New Roman" w:hAnsi="IBM Plex Sans SemiBold"/>
          <w:b/>
          <w:bCs/>
          <w:color w:val="016676"/>
          <w:sz w:val="20"/>
          <w:szCs w:val="20"/>
        </w:rPr>
        <w:t>NOTE 12: CREDIT ARRANGEMENTS</w:t>
      </w:r>
      <w:r>
        <w:rPr>
          <w:rFonts w:ascii="IBM Plex Sans" w:eastAsia="Times New Roman" w:hAnsi="IBM Plex Sans"/>
          <w:b/>
          <w:bCs/>
          <w:i/>
          <w:iCs/>
          <w:color w:val="283030"/>
          <w:sz w:val="20"/>
          <w:szCs w:val="20"/>
        </w:rPr>
        <w:t xml:space="preserve"> </w:t>
      </w:r>
    </w:p>
    <w:p w:rsidR="00000000" w:rsidRDefault="00F5481A">
      <w:pPr>
        <w:ind w:firstLine="360"/>
        <w:divId w:val="1372149176"/>
        <w:rPr>
          <w:rFonts w:eastAsia="Times New Roman"/>
        </w:rPr>
      </w:pPr>
      <w:r>
        <w:rPr>
          <w:rFonts w:ascii="IBM Plex Sans" w:eastAsia="Times New Roman" w:hAnsi="IBM Plex Sans"/>
          <w:color w:val="283030"/>
          <w:sz w:val="20"/>
          <w:szCs w:val="20"/>
        </w:rPr>
        <w:t xml:space="preserve">On July 29, 2022, we established the 2022 Credit Facility. </w:t>
      </w:r>
      <w:r>
        <w:rPr>
          <w:rFonts w:ascii="IBM Plex Sans" w:eastAsia="Times New Roman" w:hAnsi="IBM Plex Sans"/>
          <w:color w:val="000000"/>
          <w:sz w:val="20"/>
          <w:szCs w:val="20"/>
        </w:rPr>
        <w:t xml:space="preserve">The </w:t>
      </w:r>
      <w:r>
        <w:rPr>
          <w:rFonts w:ascii="IBM Plex Sans" w:eastAsia="Times New Roman" w:hAnsi="IBM Plex Sans"/>
          <w:color w:val="283030"/>
          <w:sz w:val="20"/>
          <w:szCs w:val="20"/>
        </w:rPr>
        <w:t>2022 Credit Facility</w:t>
      </w:r>
      <w:r>
        <w:rPr>
          <w:rFonts w:ascii="IBM Plex Sans" w:eastAsia="Times New Roman" w:hAnsi="IBM Plex Sans"/>
          <w:color w:val="000000"/>
          <w:sz w:val="20"/>
          <w:szCs w:val="20"/>
        </w:rPr>
        <w:t xml:space="preserve"> </w:t>
      </w:r>
      <w:r>
        <w:rPr>
          <w:rFonts w:ascii="IBM Plex Sans" w:eastAsia="Times New Roman" w:hAnsi="IBM Plex Sans"/>
          <w:color w:val="000000"/>
          <w:sz w:val="20"/>
          <w:szCs w:val="20"/>
        </w:rPr>
        <w:t xml:space="preserve">replaces the 2019 Credit Facility and provides for revolving loans, swingline loans and letters of credit, with a </w:t>
      </w:r>
      <w:r>
        <w:rPr>
          <w:rFonts w:ascii="IBM Plex Sans" w:eastAsia="Times New Roman" w:hAnsi="IBM Plex Sans"/>
          <w:color w:val="283030"/>
          <w:sz w:val="20"/>
          <w:szCs w:val="20"/>
        </w:rPr>
        <w:t>sub-limit of $200 million for swingline loans and a sub-limit of $350 million for letters of credit, with the option to request an increase of</w:t>
      </w:r>
      <w:r>
        <w:rPr>
          <w:rFonts w:ascii="IBM Plex Sans" w:eastAsia="Times New Roman" w:hAnsi="IBM Plex Sans"/>
          <w:color w:val="283030"/>
          <w:sz w:val="20"/>
          <w:szCs w:val="20"/>
        </w:rPr>
        <w:t xml:space="preserve"> the maximum amount of commitments up to $3.0 billion.</w:t>
      </w:r>
    </w:p>
    <w:p w:rsidR="00000000" w:rsidRDefault="00F5481A">
      <w:pPr>
        <w:ind w:firstLine="360"/>
        <w:divId w:val="40252595"/>
        <w:rPr>
          <w:rFonts w:eastAsia="Times New Roman"/>
        </w:rPr>
      </w:pPr>
      <w:r>
        <w:rPr>
          <w:rFonts w:ascii="IBM Plex Sans" w:eastAsia="Times New Roman" w:hAnsi="IBM Plex Sans"/>
          <w:color w:val="283030"/>
          <w:sz w:val="20"/>
          <w:szCs w:val="20"/>
        </w:rPr>
        <w:t>At our election, borrowings in U.S. Dollars under the 2022 Credit Agreement will bear interest either based on the Secured Overnight Financing Rate (“</w:t>
      </w:r>
      <w:r>
        <w:rPr>
          <w:rFonts w:ascii="IBM Plex Sans" w:eastAsia="Times New Roman" w:hAnsi="IBM Plex Sans"/>
          <w:color w:val="000000"/>
          <w:sz w:val="20"/>
          <w:szCs w:val="20"/>
        </w:rPr>
        <w:t xml:space="preserve">SOFR”) rate </w:t>
      </w:r>
      <w:r>
        <w:rPr>
          <w:rFonts w:ascii="IBM Plex Sans" w:eastAsia="Times New Roman" w:hAnsi="IBM Plex Sans"/>
          <w:color w:val="283030"/>
          <w:sz w:val="20"/>
          <w:szCs w:val="20"/>
        </w:rPr>
        <w:t>or the Base Rate (each, as defined in t</w:t>
      </w:r>
      <w:r>
        <w:rPr>
          <w:rFonts w:ascii="IBM Plex Sans" w:eastAsia="Times New Roman" w:hAnsi="IBM Plex Sans"/>
          <w:color w:val="283030"/>
          <w:sz w:val="20"/>
          <w:szCs w:val="20"/>
        </w:rPr>
        <w:t xml:space="preserve">he 2022 Credit Agreement), plus an applicable margin. </w:t>
      </w:r>
    </w:p>
    <w:p w:rsidR="00000000" w:rsidRDefault="00F5481A">
      <w:pPr>
        <w:ind w:firstLine="360"/>
        <w:divId w:val="1332181486"/>
        <w:rPr>
          <w:rFonts w:eastAsia="Times New Roman"/>
        </w:rPr>
      </w:pPr>
      <w:r>
        <w:rPr>
          <w:rFonts w:ascii="IBM Plex Sans" w:eastAsia="Times New Roman" w:hAnsi="IBM Plex Sans"/>
          <w:color w:val="283030"/>
          <w:sz w:val="20"/>
          <w:szCs w:val="20"/>
        </w:rPr>
        <w:t xml:space="preserve">We are also required to pay a quarterly unused commitment fee and letter of credit fees based on our senior unsecured long-term debt securities (“Senior Debt Ratings”). </w:t>
      </w:r>
    </w:p>
    <w:p w:rsidR="00000000" w:rsidRDefault="00F5481A">
      <w:pPr>
        <w:ind w:firstLine="360"/>
        <w:divId w:val="1569999261"/>
        <w:rPr>
          <w:rFonts w:eastAsia="Times New Roman"/>
        </w:rPr>
      </w:pPr>
      <w:r>
        <w:rPr>
          <w:rFonts w:ascii="IBM Plex Sans" w:eastAsia="Times New Roman" w:hAnsi="IBM Plex Sans"/>
          <w:color w:val="283030"/>
          <w:sz w:val="20"/>
          <w:szCs w:val="20"/>
        </w:rPr>
        <w:t>The 2022 Credit Facility contai</w:t>
      </w:r>
      <w:r>
        <w:rPr>
          <w:rFonts w:ascii="IBM Plex Sans" w:eastAsia="Times New Roman" w:hAnsi="IBM Plex Sans"/>
          <w:color w:val="283030"/>
          <w:sz w:val="20"/>
          <w:szCs w:val="20"/>
        </w:rPr>
        <w:t>ns certain affirmative covenants, including, but not limited to: reporting obligations; maintenance of corporate existence and good standing; compliance with laws; maintenance of properties and insurance; payment of taxes; compliance with ERISA and environ</w:t>
      </w:r>
      <w:r>
        <w:rPr>
          <w:rFonts w:ascii="IBM Plex Sans" w:eastAsia="Times New Roman" w:hAnsi="IBM Plex Sans"/>
          <w:color w:val="283030"/>
          <w:sz w:val="20"/>
          <w:szCs w:val="20"/>
        </w:rPr>
        <w:t xml:space="preserve">mental, anti-money laundering, sanctions, export controls, anti-corruption and certain other laws; and visitation and inspection by the administrative agent and the lenders. The 2022 Credit Facility also contains certain negative covenants, including, but </w:t>
      </w:r>
      <w:r>
        <w:rPr>
          <w:rFonts w:ascii="IBM Plex Sans" w:eastAsia="Times New Roman" w:hAnsi="IBM Plex Sans"/>
          <w:color w:val="283030"/>
          <w:sz w:val="20"/>
          <w:szCs w:val="20"/>
        </w:rPr>
        <w:t>not limited to: limiting certain liens on assets; limiting certain mergers, consolidations or sales of assets; and limiting certain investments in unrestricted subsidiaries. The 2022 Credit Facility also requires that L3Harris not permit its ratio of Conso</w:t>
      </w:r>
      <w:r>
        <w:rPr>
          <w:rFonts w:ascii="IBM Plex Sans" w:eastAsia="Times New Roman" w:hAnsi="IBM Plex Sans"/>
          <w:color w:val="283030"/>
          <w:sz w:val="20"/>
          <w:szCs w:val="20"/>
        </w:rPr>
        <w:t xml:space="preserve">lidated Total Indebtedness to Total Capital, each as defined in the 2022 Credit Facility, to be greater than 0.65:1.00. We were in compliance with all covenants under the 2022 Credit Agreement at December 30, 2022. </w:t>
      </w:r>
    </w:p>
    <w:p w:rsidR="00000000" w:rsidRDefault="00F5481A">
      <w:pPr>
        <w:ind w:firstLine="360"/>
        <w:divId w:val="876355464"/>
        <w:rPr>
          <w:rFonts w:eastAsia="Times New Roman"/>
        </w:rPr>
      </w:pPr>
      <w:r>
        <w:rPr>
          <w:rFonts w:ascii="IBM Plex Sans" w:eastAsia="Times New Roman" w:hAnsi="IBM Plex Sans"/>
          <w:color w:val="283030"/>
          <w:sz w:val="20"/>
          <w:szCs w:val="20"/>
        </w:rPr>
        <w:t>At December 30, 2022, we had no borrowin</w:t>
      </w:r>
      <w:r>
        <w:rPr>
          <w:rFonts w:ascii="IBM Plex Sans" w:eastAsia="Times New Roman" w:hAnsi="IBM Plex Sans"/>
          <w:color w:val="283030"/>
          <w:sz w:val="20"/>
          <w:szCs w:val="20"/>
        </w:rPr>
        <w:t>gs outstanding under the 2022 Credit Facility.</w:t>
      </w:r>
    </w:p>
    <w:p w:rsidR="00000000" w:rsidRDefault="00F5481A">
      <w:pPr>
        <w:ind w:firstLine="360"/>
        <w:jc w:val="center"/>
        <w:divId w:val="1049886797"/>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83</w:t>
      </w:r>
    </w:p>
    <w:p w:rsidR="00000000" w:rsidRDefault="00F5481A">
      <w:pPr>
        <w:rPr>
          <w:rFonts w:eastAsia="Times New Roman"/>
        </w:rPr>
      </w:pPr>
      <w:r>
        <w:rPr>
          <w:rFonts w:eastAsia="Times New Roman"/>
        </w:rPr>
        <w:pict>
          <v:rect id="_x0000_i1114" style="width:0;height:1.5pt" o:hralign="center" o:hrstd="t" o:hr="t" fillcolor="#a0a0a0" stroked="f"/>
        </w:pict>
      </w:r>
    </w:p>
    <w:p w:rsidR="00000000" w:rsidRDefault="00F5481A">
      <w:pPr>
        <w:ind w:firstLine="360"/>
        <w:divId w:val="1905796348"/>
        <w:rPr>
          <w:rFonts w:eastAsia="Times New Roman"/>
        </w:rPr>
      </w:pPr>
    </w:p>
    <w:p w:rsidR="00000000" w:rsidRDefault="00F5481A">
      <w:pPr>
        <w:divId w:val="1368598515"/>
        <w:rPr>
          <w:rFonts w:eastAsia="Times New Roman"/>
        </w:rPr>
      </w:pPr>
      <w:r>
        <w:rPr>
          <w:rFonts w:ascii="IBM Plex Sans SemiBold" w:eastAsia="Times New Roman" w:hAnsi="IBM Plex Sans SemiBold"/>
          <w:b/>
          <w:bCs/>
          <w:color w:val="016676"/>
          <w:sz w:val="20"/>
          <w:szCs w:val="20"/>
        </w:rPr>
        <w:t>NOTE 13: DEBT</w:t>
      </w:r>
      <w:r>
        <w:rPr>
          <w:rFonts w:ascii="IBM Plex Sans" w:eastAsia="Times New Roman" w:hAnsi="IBM Plex Sans"/>
          <w:b/>
          <w:bCs/>
          <w:i/>
          <w:iCs/>
          <w:color w:val="283030"/>
          <w:sz w:val="20"/>
          <w:szCs w:val="20"/>
        </w:rPr>
        <w:t xml:space="preserve"> </w:t>
      </w:r>
    </w:p>
    <w:p w:rsidR="00000000" w:rsidRDefault="00F5481A">
      <w:pPr>
        <w:divId w:val="625550239"/>
        <w:rPr>
          <w:rFonts w:eastAsia="Times New Roman"/>
        </w:rPr>
      </w:pPr>
      <w:r>
        <w:rPr>
          <w:rFonts w:ascii="IBM Plex Sans SemiBold" w:eastAsia="Times New Roman" w:hAnsi="IBM Plex Sans SemiBold"/>
          <w:b/>
          <w:bCs/>
          <w:color w:val="016676"/>
          <w:sz w:val="20"/>
          <w:szCs w:val="20"/>
        </w:rPr>
        <w:t>Long-Term Debt</w:t>
      </w:r>
    </w:p>
    <w:p w:rsidR="00000000" w:rsidRDefault="00F5481A">
      <w:pPr>
        <w:ind w:firstLine="360"/>
        <w:divId w:val="630945083"/>
        <w:rPr>
          <w:rFonts w:eastAsia="Times New Roman"/>
        </w:rPr>
      </w:pPr>
      <w:r>
        <w:rPr>
          <w:rFonts w:ascii="IBM Plex Sans" w:eastAsia="Times New Roman" w:hAnsi="IBM Plex Sans"/>
          <w:color w:val="283030"/>
          <w:sz w:val="20"/>
          <w:szCs w:val="20"/>
        </w:rPr>
        <w:t>Long-term debt, net is summarized below:</w:t>
      </w:r>
    </w:p>
    <w:tbl>
      <w:tblPr>
        <w:tblW w:w="5000" w:type="pct"/>
        <w:tblCellMar>
          <w:top w:w="15" w:type="dxa"/>
          <w:left w:w="15" w:type="dxa"/>
          <w:bottom w:w="15" w:type="dxa"/>
          <w:right w:w="15" w:type="dxa"/>
        </w:tblCellMar>
        <w:tblLook w:val="04A0" w:firstRow="1" w:lastRow="0" w:firstColumn="1" w:lastColumn="0" w:noHBand="0" w:noVBand="1"/>
      </w:tblPr>
      <w:tblGrid>
        <w:gridCol w:w="40"/>
        <w:gridCol w:w="5535"/>
        <w:gridCol w:w="39"/>
        <w:gridCol w:w="133"/>
        <w:gridCol w:w="1123"/>
        <w:gridCol w:w="36"/>
        <w:gridCol w:w="36"/>
        <w:gridCol w:w="36"/>
        <w:gridCol w:w="36"/>
        <w:gridCol w:w="133"/>
        <w:gridCol w:w="1123"/>
        <w:gridCol w:w="36"/>
      </w:tblGrid>
      <w:tr w:rsidR="00000000">
        <w:trPr>
          <w:divId w:val="1156452190"/>
        </w:trPr>
        <w:tc>
          <w:tcPr>
            <w:tcW w:w="50" w:type="pct"/>
            <w:vAlign w:val="center"/>
            <w:hideMark/>
          </w:tcPr>
          <w:p w:rsidR="00000000" w:rsidRDefault="00F5481A">
            <w:pPr>
              <w:ind w:firstLine="360"/>
              <w:rPr>
                <w:rFonts w:eastAsia="Times New Roman"/>
              </w:rPr>
            </w:pPr>
          </w:p>
        </w:tc>
        <w:tc>
          <w:tcPr>
            <w:tcW w:w="337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1156452190"/>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r>
      <w:tr w:rsidR="00000000">
        <w:trPr>
          <w:divId w:val="1156452190"/>
          <w:trHeight w:val="6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156452190"/>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Variable-rate debt: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156452190"/>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56452190"/>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56452190"/>
        </w:trPr>
        <w:tc>
          <w:tcPr>
            <w:tcW w:w="0" w:type="auto"/>
            <w:gridSpan w:val="3"/>
            <w:shd w:val="clear" w:color="auto" w:fill="FFFFFF"/>
            <w:tcMar>
              <w:top w:w="30" w:type="dxa"/>
              <w:left w:w="20" w:type="dxa"/>
              <w:bottom w:w="30" w:type="dxa"/>
              <w:right w:w="20" w:type="dxa"/>
            </w:tcMar>
            <w:hideMark/>
          </w:tcPr>
          <w:p w:rsidR="00000000" w:rsidRDefault="00F5481A">
            <w:pPr>
              <w:spacing w:after="100"/>
              <w:divId w:val="100076082"/>
              <w:rPr>
                <w:rFonts w:eastAsia="Times New Roman"/>
              </w:rPr>
            </w:pPr>
            <w:r>
              <w:rPr>
                <w:rFonts w:ascii="IBM Plex Sans" w:eastAsia="Times New Roman" w:hAnsi="IBM Plex Sans"/>
                <w:color w:val="283030"/>
                <w:sz w:val="20"/>
                <w:szCs w:val="20"/>
              </w:rPr>
              <w:t>Floating rate notes, due March 10, 202</w:t>
            </w:r>
            <w:r>
              <w:rPr>
                <w:rFonts w:ascii="IBM Plex Sans" w:eastAsia="Times New Roman" w:hAnsi="IBM Plex Sans"/>
                <w:color w:val="283030"/>
                <w:sz w:val="20"/>
                <w:szCs w:val="20"/>
              </w:rPr>
              <w:t>3</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250 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250 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56452190"/>
        </w:trPr>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56452190"/>
          <w:trHeight w:val="280"/>
        </w:trPr>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156452190"/>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Fixed-rate debt:</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156452190"/>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56452190"/>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56452190"/>
        </w:trPr>
        <w:tc>
          <w:tcPr>
            <w:tcW w:w="0" w:type="auto"/>
            <w:gridSpan w:val="3"/>
            <w:shd w:val="clear" w:color="auto" w:fill="D7EFF1"/>
            <w:tcMar>
              <w:top w:w="30" w:type="dxa"/>
              <w:left w:w="20" w:type="dxa"/>
              <w:bottom w:w="30" w:type="dxa"/>
              <w:right w:w="20" w:type="dxa"/>
            </w:tcMar>
            <w:hideMark/>
          </w:tcPr>
          <w:p w:rsidR="00000000" w:rsidRDefault="00F5481A">
            <w:pPr>
              <w:spacing w:after="100"/>
              <w:divId w:val="987593037"/>
              <w:rPr>
                <w:rFonts w:eastAsia="Times New Roman"/>
              </w:rPr>
            </w:pPr>
            <w:r>
              <w:rPr>
                <w:rFonts w:ascii="IBM Plex Sans" w:eastAsia="Times New Roman" w:hAnsi="IBM Plex Sans"/>
                <w:color w:val="283030"/>
                <w:sz w:val="20"/>
                <w:szCs w:val="20"/>
              </w:rPr>
              <w:t>3.85% notes, due June 15, 2023 (“3.85% 2023 Notes”)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800 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800 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56452190"/>
        </w:trPr>
        <w:tc>
          <w:tcPr>
            <w:tcW w:w="0" w:type="auto"/>
            <w:gridSpan w:val="3"/>
            <w:shd w:val="clear" w:color="auto" w:fill="FFFFFF"/>
            <w:tcMar>
              <w:top w:w="30" w:type="dxa"/>
              <w:left w:w="20" w:type="dxa"/>
              <w:bottom w:w="30" w:type="dxa"/>
              <w:right w:w="20" w:type="dxa"/>
            </w:tcMar>
            <w:hideMark/>
          </w:tcPr>
          <w:p w:rsidR="00000000" w:rsidRDefault="00F5481A">
            <w:pPr>
              <w:spacing w:after="100"/>
              <w:divId w:val="603538483"/>
              <w:rPr>
                <w:rFonts w:eastAsia="Times New Roman"/>
              </w:rPr>
            </w:pPr>
            <w:r>
              <w:rPr>
                <w:rFonts w:ascii="IBM Plex Sans" w:eastAsia="Times New Roman" w:hAnsi="IBM Plex Sans"/>
                <w:color w:val="283030"/>
                <w:sz w:val="20"/>
                <w:szCs w:val="20"/>
              </w:rPr>
              <w:t>3.95% notes, due May 28, 2024 (“3.95% 2024 Notes”)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350 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350 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56452190"/>
        </w:trPr>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56452190"/>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56452190"/>
        </w:trPr>
        <w:tc>
          <w:tcPr>
            <w:tcW w:w="0" w:type="auto"/>
            <w:gridSpan w:val="3"/>
            <w:shd w:val="clear" w:color="auto" w:fill="D7EFF1"/>
            <w:tcMar>
              <w:top w:w="30" w:type="dxa"/>
              <w:left w:w="20" w:type="dxa"/>
              <w:bottom w:w="30" w:type="dxa"/>
              <w:right w:w="20" w:type="dxa"/>
            </w:tcMar>
            <w:hideMark/>
          </w:tcPr>
          <w:p w:rsidR="00000000" w:rsidRDefault="00F5481A">
            <w:pPr>
              <w:spacing w:after="100"/>
              <w:divId w:val="2011447921"/>
              <w:rPr>
                <w:rFonts w:eastAsia="Times New Roman"/>
              </w:rPr>
            </w:pPr>
            <w:r>
              <w:rPr>
                <w:rFonts w:ascii="IBM Plex Sans" w:eastAsia="Times New Roman" w:hAnsi="IBM Plex Sans"/>
                <w:color w:val="283030"/>
                <w:sz w:val="20"/>
                <w:szCs w:val="20"/>
              </w:rPr>
              <w:t>3.832% notes, due April 27, 2025</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600 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600 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56452190"/>
        </w:trPr>
        <w:tc>
          <w:tcPr>
            <w:tcW w:w="0" w:type="auto"/>
            <w:gridSpan w:val="3"/>
            <w:shd w:val="clear" w:color="auto" w:fill="FFFFFF"/>
            <w:tcMar>
              <w:top w:w="30" w:type="dxa"/>
              <w:left w:w="20" w:type="dxa"/>
              <w:bottom w:w="30" w:type="dxa"/>
              <w:right w:w="20" w:type="dxa"/>
            </w:tcMar>
            <w:hideMark/>
          </w:tcPr>
          <w:p w:rsidR="00000000" w:rsidRDefault="00F5481A">
            <w:pPr>
              <w:spacing w:after="100"/>
              <w:divId w:val="2080669363"/>
              <w:rPr>
                <w:rFonts w:eastAsia="Times New Roman"/>
              </w:rPr>
            </w:pPr>
            <w:r>
              <w:rPr>
                <w:rFonts w:ascii="IBM Plex Sans" w:eastAsia="Times New Roman" w:hAnsi="IBM Plex Sans"/>
                <w:color w:val="283030"/>
                <w:sz w:val="20"/>
                <w:szCs w:val="20"/>
              </w:rPr>
              <w:t>7.00</w:t>
            </w:r>
            <w:r>
              <w:rPr>
                <w:rFonts w:ascii="IBM Plex Sans" w:eastAsia="Times New Roman" w:hAnsi="IBM Plex Sans"/>
                <w:color w:val="283030"/>
                <w:sz w:val="20"/>
                <w:szCs w:val="20"/>
              </w:rPr>
              <w:t>% debentures, due January 15, 2026</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56452190"/>
        </w:trPr>
        <w:tc>
          <w:tcPr>
            <w:tcW w:w="0" w:type="auto"/>
            <w:gridSpan w:val="3"/>
            <w:shd w:val="clear" w:color="auto" w:fill="D7EFF1"/>
            <w:tcMar>
              <w:top w:w="30" w:type="dxa"/>
              <w:left w:w="20" w:type="dxa"/>
              <w:bottom w:w="30" w:type="dxa"/>
              <w:right w:w="20" w:type="dxa"/>
            </w:tcMar>
            <w:hideMark/>
          </w:tcPr>
          <w:p w:rsidR="00000000" w:rsidRDefault="00F5481A">
            <w:pPr>
              <w:spacing w:after="100"/>
              <w:divId w:val="1436746592"/>
              <w:rPr>
                <w:rFonts w:eastAsia="Times New Roman"/>
              </w:rPr>
            </w:pPr>
            <w:r>
              <w:rPr>
                <w:rFonts w:ascii="IBM Plex Sans" w:eastAsia="Times New Roman" w:hAnsi="IBM Plex Sans"/>
                <w:color w:val="283030"/>
                <w:sz w:val="20"/>
                <w:szCs w:val="20"/>
              </w:rPr>
              <w:t>3.85% notes, due December 15, 2026 (“3.85% 2026 Notes”)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550 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550 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56452190"/>
        </w:trPr>
        <w:tc>
          <w:tcPr>
            <w:tcW w:w="0" w:type="auto"/>
            <w:gridSpan w:val="3"/>
            <w:shd w:val="clear" w:color="auto" w:fill="FFFFFF"/>
            <w:tcMar>
              <w:top w:w="30" w:type="dxa"/>
              <w:left w:w="20" w:type="dxa"/>
              <w:bottom w:w="30" w:type="dxa"/>
              <w:right w:w="20" w:type="dxa"/>
            </w:tcMar>
            <w:hideMark/>
          </w:tcPr>
          <w:p w:rsidR="00000000" w:rsidRDefault="00F5481A">
            <w:pPr>
              <w:spacing w:after="100"/>
              <w:divId w:val="2120564765"/>
              <w:rPr>
                <w:rFonts w:eastAsia="Times New Roman"/>
              </w:rPr>
            </w:pPr>
            <w:r>
              <w:rPr>
                <w:rFonts w:ascii="IBM Plex Sans" w:eastAsia="Times New Roman" w:hAnsi="IBM Plex Sans"/>
                <w:color w:val="283030"/>
                <w:sz w:val="20"/>
                <w:szCs w:val="20"/>
              </w:rPr>
              <w:t>6.35% debentures, due February 1, 2028</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56452190"/>
        </w:trPr>
        <w:tc>
          <w:tcPr>
            <w:tcW w:w="0" w:type="auto"/>
            <w:gridSpan w:val="3"/>
            <w:shd w:val="clear" w:color="auto" w:fill="D7EFF1"/>
            <w:tcMar>
              <w:top w:w="30" w:type="dxa"/>
              <w:left w:w="20" w:type="dxa"/>
              <w:bottom w:w="30" w:type="dxa"/>
              <w:right w:w="20" w:type="dxa"/>
            </w:tcMar>
            <w:hideMark/>
          </w:tcPr>
          <w:p w:rsidR="00000000" w:rsidRDefault="00F5481A">
            <w:pPr>
              <w:spacing w:after="100"/>
              <w:divId w:val="584068718"/>
              <w:rPr>
                <w:rFonts w:eastAsia="Times New Roman"/>
              </w:rPr>
            </w:pPr>
            <w:r>
              <w:rPr>
                <w:rFonts w:ascii="IBM Plex Sans" w:eastAsia="Times New Roman" w:hAnsi="IBM Plex Sans"/>
                <w:color w:val="283030"/>
                <w:sz w:val="20"/>
                <w:szCs w:val="20"/>
              </w:rPr>
              <w:t>4.40% notes, due June 15, 2028</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1,850 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1,850 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56452190"/>
        </w:trPr>
        <w:tc>
          <w:tcPr>
            <w:tcW w:w="0" w:type="auto"/>
            <w:gridSpan w:val="3"/>
            <w:shd w:val="clear" w:color="auto" w:fill="FFFFFF"/>
            <w:tcMar>
              <w:top w:w="30" w:type="dxa"/>
              <w:left w:w="20" w:type="dxa"/>
              <w:bottom w:w="30" w:type="dxa"/>
              <w:right w:w="20" w:type="dxa"/>
            </w:tcMar>
            <w:hideMark/>
          </w:tcPr>
          <w:p w:rsidR="00000000" w:rsidRDefault="00F5481A">
            <w:pPr>
              <w:spacing w:after="100"/>
              <w:divId w:val="1398280938"/>
              <w:rPr>
                <w:rFonts w:eastAsia="Times New Roman"/>
              </w:rPr>
            </w:pPr>
            <w:r>
              <w:rPr>
                <w:rFonts w:ascii="IBM Plex Sans" w:eastAsia="Times New Roman" w:hAnsi="IBM Plex Sans"/>
                <w:color w:val="283030"/>
                <w:sz w:val="20"/>
                <w:szCs w:val="20"/>
              </w:rPr>
              <w:t>2.90</w:t>
            </w:r>
            <w:r>
              <w:rPr>
                <w:rFonts w:ascii="IBM Plex Sans" w:eastAsia="Times New Roman" w:hAnsi="IBM Plex Sans"/>
                <w:color w:val="283030"/>
                <w:sz w:val="20"/>
                <w:szCs w:val="20"/>
              </w:rPr>
              <w:t>% notes, due December 15, 2029</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400 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400 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56452190"/>
        </w:trPr>
        <w:tc>
          <w:tcPr>
            <w:tcW w:w="0" w:type="auto"/>
            <w:gridSpan w:val="3"/>
            <w:shd w:val="clear" w:color="auto" w:fill="D7EFF1"/>
            <w:tcMar>
              <w:top w:w="30" w:type="dxa"/>
              <w:left w:w="20" w:type="dxa"/>
              <w:bottom w:w="30" w:type="dxa"/>
              <w:right w:w="20" w:type="dxa"/>
            </w:tcMar>
            <w:hideMark/>
          </w:tcPr>
          <w:p w:rsidR="00000000" w:rsidRDefault="00F5481A">
            <w:pPr>
              <w:spacing w:after="100"/>
              <w:divId w:val="774709770"/>
              <w:rPr>
                <w:rFonts w:eastAsia="Times New Roman"/>
              </w:rPr>
            </w:pPr>
            <w:r>
              <w:rPr>
                <w:rFonts w:ascii="IBM Plex Sans" w:eastAsia="Times New Roman" w:hAnsi="IBM Plex Sans"/>
                <w:color w:val="283030"/>
                <w:sz w:val="20"/>
                <w:szCs w:val="20"/>
              </w:rPr>
              <w:t>1.80% 2031 Notes, due January 15, 2031 (“1.80% 2031 Notes”)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650 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650 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56452190"/>
        </w:trPr>
        <w:tc>
          <w:tcPr>
            <w:tcW w:w="0" w:type="auto"/>
            <w:gridSpan w:val="3"/>
            <w:shd w:val="clear" w:color="auto" w:fill="FFFFFF"/>
            <w:tcMar>
              <w:top w:w="30" w:type="dxa"/>
              <w:left w:w="20" w:type="dxa"/>
              <w:bottom w:w="30" w:type="dxa"/>
              <w:right w:w="20" w:type="dxa"/>
            </w:tcMar>
            <w:hideMark/>
          </w:tcPr>
          <w:p w:rsidR="00000000" w:rsidRDefault="00F5481A">
            <w:pPr>
              <w:spacing w:after="100"/>
              <w:divId w:val="2010794485"/>
              <w:rPr>
                <w:rFonts w:eastAsia="Times New Roman"/>
              </w:rPr>
            </w:pPr>
            <w:r>
              <w:rPr>
                <w:rFonts w:ascii="IBM Plex Sans" w:eastAsia="Times New Roman" w:hAnsi="IBM Plex Sans"/>
                <w:color w:val="283030"/>
                <w:sz w:val="20"/>
                <w:szCs w:val="20"/>
              </w:rPr>
              <w:t>4.854% notes, due April 27, 2035</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400 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400 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56452190"/>
        </w:trPr>
        <w:tc>
          <w:tcPr>
            <w:tcW w:w="0" w:type="auto"/>
            <w:gridSpan w:val="3"/>
            <w:shd w:val="clear" w:color="auto" w:fill="D7EFF1"/>
            <w:tcMar>
              <w:top w:w="30" w:type="dxa"/>
              <w:left w:w="20" w:type="dxa"/>
              <w:bottom w:w="30" w:type="dxa"/>
              <w:right w:w="20" w:type="dxa"/>
            </w:tcMar>
            <w:hideMark/>
          </w:tcPr>
          <w:p w:rsidR="00000000" w:rsidRDefault="00F5481A">
            <w:pPr>
              <w:spacing w:after="100"/>
              <w:divId w:val="1820420392"/>
              <w:rPr>
                <w:rFonts w:eastAsia="Times New Roman"/>
              </w:rPr>
            </w:pPr>
            <w:r>
              <w:rPr>
                <w:rFonts w:ascii="IBM Plex Sans" w:eastAsia="Times New Roman" w:hAnsi="IBM Plex Sans"/>
                <w:color w:val="283030"/>
                <w:sz w:val="20"/>
                <w:szCs w:val="20"/>
              </w:rPr>
              <w:t>6.15% notes, due December 15, 2040</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300 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300 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56452190"/>
        </w:trPr>
        <w:tc>
          <w:tcPr>
            <w:tcW w:w="0" w:type="auto"/>
            <w:gridSpan w:val="3"/>
            <w:shd w:val="clear" w:color="auto" w:fill="FFFFFF"/>
            <w:tcMar>
              <w:top w:w="30" w:type="dxa"/>
              <w:left w:w="20" w:type="dxa"/>
              <w:bottom w:w="30" w:type="dxa"/>
              <w:right w:w="20" w:type="dxa"/>
            </w:tcMar>
            <w:hideMark/>
          </w:tcPr>
          <w:p w:rsidR="00000000" w:rsidRDefault="00F5481A">
            <w:pPr>
              <w:spacing w:after="100"/>
              <w:divId w:val="996686774"/>
              <w:rPr>
                <w:rFonts w:eastAsia="Times New Roman"/>
              </w:rPr>
            </w:pPr>
            <w:r>
              <w:rPr>
                <w:rFonts w:ascii="IBM Plex Sans" w:eastAsia="Times New Roman" w:hAnsi="IBM Plex Sans"/>
                <w:color w:val="283030"/>
                <w:sz w:val="20"/>
                <w:szCs w:val="20"/>
              </w:rPr>
              <w:t>5.054</w:t>
            </w:r>
            <w:r>
              <w:rPr>
                <w:rFonts w:ascii="IBM Plex Sans" w:eastAsia="Times New Roman" w:hAnsi="IBM Plex Sans"/>
                <w:color w:val="283030"/>
                <w:sz w:val="20"/>
                <w:szCs w:val="20"/>
              </w:rPr>
              <w:t>% notes, due April 27, 2045</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500 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500 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56452190"/>
        </w:trPr>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56452190"/>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Total variable and fixed-rate debt</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6,776 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6,776 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56452190"/>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000000"/>
                <w:sz w:val="20"/>
                <w:szCs w:val="20"/>
              </w:rPr>
              <w:t>Financing lease obligations and other debt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222 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56452190"/>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Total debt</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6,998 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6,994 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56452190"/>
        </w:trPr>
        <w:tc>
          <w:tcPr>
            <w:tcW w:w="0" w:type="auto"/>
            <w:gridSpan w:val="3"/>
            <w:shd w:val="clear" w:color="auto" w:fill="FFFFFF"/>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Plus: unamortized bond premium</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93 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56452190"/>
        </w:trPr>
        <w:tc>
          <w:tcPr>
            <w:tcW w:w="0" w:type="auto"/>
            <w:gridSpan w:val="3"/>
            <w:shd w:val="clear" w:color="auto" w:fill="D7EFF1"/>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Less: unamortized discounts and issuance costs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(25)</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(28)</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56452190"/>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Total debt, net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7,043 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7,059 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56452190"/>
        </w:trPr>
        <w:tc>
          <w:tcPr>
            <w:tcW w:w="0" w:type="auto"/>
            <w:gridSpan w:val="3"/>
            <w:shd w:val="clear" w:color="auto" w:fill="D7EFF1"/>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Less: current portion of long-term debt, net</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(818)</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56452190"/>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Total long-term debt, net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6,225 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7,048 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bl>
    <w:p w:rsidR="00000000" w:rsidRDefault="00F5481A">
      <w:pPr>
        <w:divId w:val="660961744"/>
        <w:rPr>
          <w:rFonts w:eastAsia="Times New Roman"/>
        </w:rPr>
      </w:pPr>
      <w:r>
        <w:rPr>
          <w:rFonts w:ascii="IBM Plex Sans" w:eastAsia="Times New Roman" w:hAnsi="IBM Plex Sans"/>
          <w:color w:val="283030"/>
          <w:sz w:val="16"/>
          <w:szCs w:val="16"/>
        </w:rPr>
        <w:t>_______________</w:t>
      </w:r>
    </w:p>
    <w:p w:rsidR="00000000" w:rsidRDefault="00F5481A">
      <w:pPr>
        <w:ind w:hanging="360"/>
        <w:divId w:val="1550728695"/>
        <w:rPr>
          <w:rFonts w:eastAsia="Times New Roman"/>
        </w:rPr>
      </w:pPr>
      <w:r>
        <w:rPr>
          <w:rFonts w:ascii="IBM Plex Sans" w:eastAsia="Times New Roman" w:hAnsi="IBM Plex Sans"/>
          <w:color w:val="283030"/>
          <w:sz w:val="16"/>
          <w:szCs w:val="16"/>
        </w:rPr>
        <w:t>(1)</w:t>
      </w:r>
      <w:r>
        <w:rPr>
          <w:rFonts w:ascii="IBM Plex Sans" w:eastAsia="Times New Roman" w:hAnsi="IBM Plex Sans"/>
          <w:color w:val="283030"/>
          <w:sz w:val="16"/>
          <w:szCs w:val="16"/>
        </w:rPr>
        <w:t>During the first quarter of 2023, the Floating Rate Notes due March 2023 will be repaid and refinanced as long-term debt through the Term Loan 2025; therefore, the Floating Rate Notes due March 2023 have been classified as long-term debt in our Consolidate</w:t>
      </w:r>
      <w:r>
        <w:rPr>
          <w:rFonts w:ascii="IBM Plex Sans" w:eastAsia="Times New Roman" w:hAnsi="IBM Plex Sans"/>
          <w:color w:val="283030"/>
          <w:sz w:val="16"/>
          <w:szCs w:val="16"/>
        </w:rPr>
        <w:t>d Balance Sheet as of December 30, 2022.</w:t>
      </w:r>
    </w:p>
    <w:p w:rsidR="00000000" w:rsidRDefault="00F5481A">
      <w:pPr>
        <w:ind w:firstLine="360"/>
        <w:divId w:val="882138361"/>
        <w:rPr>
          <w:rFonts w:eastAsia="Times New Roman"/>
        </w:rPr>
      </w:pPr>
      <w:r>
        <w:rPr>
          <w:rFonts w:ascii="IBM Plex Sans" w:eastAsia="Times New Roman" w:hAnsi="IBM Plex Sans"/>
          <w:color w:val="283030"/>
          <w:sz w:val="20"/>
          <w:szCs w:val="20"/>
        </w:rPr>
        <w:t>The potential maturities of long-term debt, including the current portion of long-term debt and financing lease obligations, for the five years following the end of fiscal 2022 and, in total thereafter, are: $814 million in fiscal 2023; $365 million in fis</w:t>
      </w:r>
      <w:r>
        <w:rPr>
          <w:rFonts w:ascii="IBM Plex Sans" w:eastAsia="Times New Roman" w:hAnsi="IBM Plex Sans"/>
          <w:color w:val="283030"/>
          <w:sz w:val="20"/>
          <w:szCs w:val="20"/>
        </w:rPr>
        <w:t xml:space="preserve">cal 2024; $865 million in fiscal 2025; $664 million in fiscal 2026; $13 million in fiscal 2027; and $4,277 million thereafter. </w:t>
      </w:r>
    </w:p>
    <w:p w:rsidR="00000000" w:rsidRDefault="00F5481A">
      <w:pPr>
        <w:ind w:firstLine="360"/>
        <w:divId w:val="1831142726"/>
        <w:rPr>
          <w:rFonts w:eastAsia="Times New Roman"/>
        </w:rPr>
      </w:pPr>
      <w:r>
        <w:rPr>
          <w:rFonts w:ascii="IBM Plex Sans" w:eastAsia="Times New Roman" w:hAnsi="IBM Plex Sans"/>
          <w:color w:val="283030"/>
          <w:sz w:val="20"/>
          <w:szCs w:val="20"/>
        </w:rPr>
        <w:t>There were no repayments or issuances of fixed-rate or variable-rate debt during fiscal 2022.</w:t>
      </w:r>
    </w:p>
    <w:p w:rsidR="00000000" w:rsidRDefault="00F5481A">
      <w:pPr>
        <w:ind w:firstLine="360"/>
        <w:divId w:val="1164932819"/>
        <w:rPr>
          <w:rFonts w:eastAsia="Times New Roman"/>
        </w:rPr>
      </w:pPr>
      <w:r>
        <w:rPr>
          <w:rFonts w:ascii="IBM Plex Sans" w:eastAsia="Times New Roman" w:hAnsi="IBM Plex Sans"/>
          <w:i/>
          <w:iCs/>
          <w:color w:val="283030"/>
          <w:sz w:val="20"/>
          <w:szCs w:val="20"/>
        </w:rPr>
        <w:t>Variable-rate Debt.</w:t>
      </w:r>
      <w:r>
        <w:rPr>
          <w:rFonts w:ascii="IBM Plex Sans" w:eastAsia="Times New Roman" w:hAnsi="IBM Plex Sans"/>
          <w:color w:val="283030"/>
          <w:sz w:val="20"/>
          <w:szCs w:val="20"/>
        </w:rPr>
        <w:t xml:space="preserve"> On November 22</w:t>
      </w:r>
      <w:r>
        <w:rPr>
          <w:rFonts w:ascii="IBM Plex Sans" w:eastAsia="Times New Roman" w:hAnsi="IBM Plex Sans"/>
          <w:color w:val="283030"/>
          <w:sz w:val="20"/>
          <w:szCs w:val="20"/>
        </w:rPr>
        <w:t xml:space="preserve">, 2022, we established a new $2.25 billion, three-year senior unsecured term loan facility by entering into the Term Loan 2025 with a syndicate of lenders. The Term Loan 2025 provides for term loans in up to two separate draws no later than June 30, 2023, </w:t>
      </w:r>
      <w:r>
        <w:rPr>
          <w:rFonts w:ascii="IBM Plex Sans" w:eastAsia="Times New Roman" w:hAnsi="IBM Plex Sans"/>
          <w:color w:val="283030"/>
          <w:sz w:val="20"/>
          <w:szCs w:val="20"/>
        </w:rPr>
        <w:t>with the proceeds to be used: (i) to finance the acquisition of the TDL product line; (ii) to repay all amounts under the Floating Rate Notes 2023; (iii) to pay the fees, costs and expenses incurred in connection with the foregoing; and (iv) for general co</w:t>
      </w:r>
      <w:r>
        <w:rPr>
          <w:rFonts w:ascii="IBM Plex Sans" w:eastAsia="Times New Roman" w:hAnsi="IBM Plex Sans"/>
          <w:color w:val="283030"/>
          <w:sz w:val="20"/>
          <w:szCs w:val="20"/>
        </w:rPr>
        <w:t xml:space="preserve">rporate purposes in an amount up to $40 million. See </w:t>
      </w:r>
      <w:r>
        <w:rPr>
          <w:rFonts w:ascii="IBM Plex Sans" w:eastAsia="Times New Roman" w:hAnsi="IBM Plex Sans"/>
          <w:i/>
          <w:iCs/>
          <w:color w:val="283030"/>
          <w:sz w:val="20"/>
          <w:szCs w:val="20"/>
        </w:rPr>
        <w:t>Note 26: Subsequent Events</w:t>
      </w:r>
      <w:r>
        <w:rPr>
          <w:rFonts w:ascii="IBM Plex Sans" w:eastAsia="Times New Roman" w:hAnsi="IBM Plex Sans"/>
          <w:color w:val="283030"/>
          <w:sz w:val="20"/>
          <w:szCs w:val="20"/>
        </w:rPr>
        <w:t xml:space="preserve"> in these Notes for details on borrowings under the Term Loan 2025.</w:t>
      </w:r>
    </w:p>
    <w:p w:rsidR="00000000" w:rsidRDefault="00F5481A">
      <w:pPr>
        <w:ind w:firstLine="360"/>
        <w:divId w:val="898203447"/>
        <w:rPr>
          <w:rFonts w:eastAsia="Times New Roman"/>
        </w:rPr>
      </w:pPr>
      <w:r>
        <w:rPr>
          <w:rFonts w:ascii="IBM Plex Sans" w:eastAsia="Times New Roman" w:hAnsi="IBM Plex Sans"/>
          <w:color w:val="283030"/>
          <w:sz w:val="20"/>
          <w:szCs w:val="20"/>
        </w:rPr>
        <w:t>At L3Harris’ election, borrowings under the Term Loan 2025 will bear interest at: (i) the sum of the term SOF</w:t>
      </w:r>
      <w:r>
        <w:rPr>
          <w:rFonts w:ascii="IBM Plex Sans" w:eastAsia="Times New Roman" w:hAnsi="IBM Plex Sans"/>
          <w:color w:val="283030"/>
          <w:sz w:val="20"/>
          <w:szCs w:val="20"/>
        </w:rPr>
        <w:t xml:space="preserve">R rate for any tenor comparable to the applicable interest period, plus 0.10%, plus an applicable margin between 1.125% and 1.875% (initially 1.250%) that varies based on the ratings of L3Harris’ Senior Debt Ratings; or (ii) the base rate (as described in </w:t>
      </w:r>
      <w:r>
        <w:rPr>
          <w:rFonts w:ascii="IBM Plex Sans" w:eastAsia="Times New Roman" w:hAnsi="IBM Plex Sans"/>
          <w:color w:val="283030"/>
          <w:sz w:val="20"/>
          <w:szCs w:val="20"/>
        </w:rPr>
        <w:t xml:space="preserve">L3Harris’ Current Report on Form 8-K filed with the SEC on August 4, 2022), plus an applicable margin between 0.125% and 0.875% (initially 0.250%) that varies based on the Senior Debt Ratings. The Term Loan 2025 requires L3Harris to pay a quarterly unused </w:t>
      </w:r>
      <w:r>
        <w:rPr>
          <w:rFonts w:ascii="IBM Plex Sans" w:eastAsia="Times New Roman" w:hAnsi="IBM Plex Sans"/>
          <w:color w:val="283030"/>
          <w:sz w:val="20"/>
          <w:szCs w:val="20"/>
        </w:rPr>
        <w:t xml:space="preserve">commitment fee commencing on January 17, 2023 at </w:t>
      </w:r>
    </w:p>
    <w:p w:rsidR="00000000" w:rsidRDefault="00F5481A">
      <w:pPr>
        <w:ind w:firstLine="360"/>
        <w:jc w:val="center"/>
        <w:divId w:val="64959557"/>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84</w:t>
      </w:r>
    </w:p>
    <w:p w:rsidR="00000000" w:rsidRDefault="00F5481A">
      <w:pPr>
        <w:rPr>
          <w:rFonts w:eastAsia="Times New Roman"/>
        </w:rPr>
      </w:pPr>
      <w:r>
        <w:rPr>
          <w:rFonts w:eastAsia="Times New Roman"/>
        </w:rPr>
        <w:pict>
          <v:rect id="_x0000_i1115" style="width:0;height:1.5pt" o:hralign="center" o:hrstd="t" o:hr="t" fillcolor="#a0a0a0" stroked="f"/>
        </w:pict>
      </w:r>
    </w:p>
    <w:p w:rsidR="00000000" w:rsidRDefault="00F5481A">
      <w:pPr>
        <w:ind w:firstLine="360"/>
        <w:divId w:val="1136148329"/>
        <w:rPr>
          <w:rFonts w:eastAsia="Times New Roman"/>
        </w:rPr>
      </w:pPr>
    </w:p>
    <w:p w:rsidR="00000000" w:rsidRDefault="00F5481A">
      <w:pPr>
        <w:divId w:val="722825332"/>
        <w:rPr>
          <w:rFonts w:eastAsia="Times New Roman"/>
        </w:rPr>
      </w:pPr>
      <w:r>
        <w:rPr>
          <w:rFonts w:ascii="IBM Plex Sans" w:eastAsia="Times New Roman" w:hAnsi="IBM Plex Sans"/>
          <w:color w:val="283030"/>
          <w:sz w:val="20"/>
          <w:szCs w:val="20"/>
        </w:rPr>
        <w:t>an applicable rate per annum between 0.090% and 0.250% (initially 0.110%) that varies based on</w:t>
      </w:r>
      <w:r>
        <w:rPr>
          <w:rFonts w:ascii="IBM Plex Sans" w:eastAsia="Times New Roman" w:hAnsi="IBM Plex Sans"/>
          <w:color w:val="283030"/>
          <w:sz w:val="20"/>
          <w:szCs w:val="20"/>
        </w:rPr>
        <w:t xml:space="preserve"> the Senior Debt Ratings. We incurred $2 million of debt issuance costs related to the issuance of the Term Loan 2025, which will be amortized over the life of the Term Loan 2025 and will be included as a component of the “Interest expense, net” line item </w:t>
      </w:r>
      <w:r>
        <w:rPr>
          <w:rFonts w:ascii="IBM Plex Sans" w:eastAsia="Times New Roman" w:hAnsi="IBM Plex Sans"/>
          <w:color w:val="283030"/>
          <w:sz w:val="20"/>
          <w:szCs w:val="20"/>
        </w:rPr>
        <w:t xml:space="preserve">in our Consolidated Statement of Operations. The Term Loan 2025 also contains representations, warranties, covenants and events of default that are substantially similar to those in the 2022 Credit Agreement, as described in </w:t>
      </w:r>
      <w:r>
        <w:rPr>
          <w:rFonts w:ascii="IBM Plex Sans" w:eastAsia="Times New Roman" w:hAnsi="IBM Plex Sans"/>
          <w:i/>
          <w:iCs/>
          <w:color w:val="283030"/>
          <w:sz w:val="20"/>
          <w:szCs w:val="20"/>
        </w:rPr>
        <w:t>Note 12: Credit Arrangements</w:t>
      </w:r>
      <w:r>
        <w:rPr>
          <w:rFonts w:ascii="IBM Plex Sans" w:eastAsia="Times New Roman" w:hAnsi="IBM Plex Sans"/>
          <w:color w:val="283030"/>
          <w:sz w:val="20"/>
          <w:szCs w:val="20"/>
        </w:rPr>
        <w:t xml:space="preserve"> in</w:t>
      </w:r>
      <w:r>
        <w:rPr>
          <w:rFonts w:ascii="IBM Plex Sans" w:eastAsia="Times New Roman" w:hAnsi="IBM Plex Sans"/>
          <w:color w:val="283030"/>
          <w:sz w:val="20"/>
          <w:szCs w:val="20"/>
        </w:rPr>
        <w:t xml:space="preserve"> these Notes.</w:t>
      </w:r>
    </w:p>
    <w:p w:rsidR="00000000" w:rsidRDefault="00F5481A">
      <w:pPr>
        <w:ind w:firstLine="360"/>
        <w:divId w:val="911623093"/>
        <w:rPr>
          <w:rFonts w:eastAsia="Times New Roman"/>
        </w:rPr>
      </w:pPr>
      <w:r>
        <w:rPr>
          <w:rFonts w:ascii="IBM Plex Sans" w:eastAsia="Times New Roman" w:hAnsi="IBM Plex Sans"/>
          <w:color w:val="283030"/>
          <w:sz w:val="20"/>
          <w:szCs w:val="20"/>
        </w:rPr>
        <w:t>The Term Loan 2025 matures on November 21, 2025. L3Harris may prepay amounts borrowed under the Term Loan 2025 at any time, and L3Harris is required to prepay all outstanding term loans ratably from the proceeds of any new indebtedness, subje</w:t>
      </w:r>
      <w:r>
        <w:rPr>
          <w:rFonts w:ascii="IBM Plex Sans" w:eastAsia="Times New Roman" w:hAnsi="IBM Plex Sans"/>
          <w:color w:val="283030"/>
          <w:sz w:val="20"/>
          <w:szCs w:val="20"/>
        </w:rPr>
        <w:t xml:space="preserve">ct to certain exceptions set forth in the Term Loan 2025, including with respect to any proceeds received from: (i) the 2022 Credit Agreement, as described in </w:t>
      </w:r>
      <w:r>
        <w:rPr>
          <w:rFonts w:ascii="IBM Plex Sans" w:eastAsia="Times New Roman" w:hAnsi="IBM Plex Sans"/>
          <w:i/>
          <w:iCs/>
          <w:color w:val="283030"/>
          <w:sz w:val="20"/>
          <w:szCs w:val="20"/>
        </w:rPr>
        <w:t>Note 12: Credit Arrangements</w:t>
      </w:r>
      <w:r>
        <w:rPr>
          <w:rFonts w:ascii="IBM Plex Sans" w:eastAsia="Times New Roman" w:hAnsi="IBM Plex Sans"/>
          <w:color w:val="283030"/>
          <w:sz w:val="20"/>
          <w:szCs w:val="20"/>
        </w:rPr>
        <w:t xml:space="preserve"> in these Notes; (ii) indebtedness incurred in the ordinary course of</w:t>
      </w:r>
      <w:r>
        <w:rPr>
          <w:rFonts w:ascii="IBM Plex Sans" w:eastAsia="Times New Roman" w:hAnsi="IBM Plex Sans"/>
          <w:color w:val="283030"/>
          <w:sz w:val="20"/>
          <w:szCs w:val="20"/>
        </w:rPr>
        <w:t xml:space="preserve"> business; (iii) indebtedness used to fund any acquisition; (iv) refinancing; (v) commercial paper issuances; (vi) letters of credit; (vii) working capital facilities of foreign subsidiaries; and (viii) other indebtedness in an aggregate principal amount n</w:t>
      </w:r>
      <w:r>
        <w:rPr>
          <w:rFonts w:ascii="IBM Plex Sans" w:eastAsia="Times New Roman" w:hAnsi="IBM Plex Sans"/>
          <w:color w:val="283030"/>
          <w:sz w:val="20"/>
          <w:szCs w:val="20"/>
        </w:rPr>
        <w:t>ot greater than $500 million. At December 30, 2022, no borrowings were outstanding under the Term Loan 2025.</w:t>
      </w:r>
    </w:p>
    <w:p w:rsidR="00000000" w:rsidRDefault="00F5481A">
      <w:pPr>
        <w:divId w:val="401374173"/>
        <w:rPr>
          <w:rFonts w:eastAsia="Times New Roman"/>
        </w:rPr>
      </w:pPr>
      <w:r>
        <w:rPr>
          <w:rFonts w:ascii="IBM Plex Sans SemiBold" w:eastAsia="Times New Roman" w:hAnsi="IBM Plex Sans SemiBold"/>
          <w:b/>
          <w:bCs/>
          <w:color w:val="016676"/>
          <w:sz w:val="20"/>
          <w:szCs w:val="20"/>
        </w:rPr>
        <w:t>Long-Term Debt Repaid — Fiscal 2020    </w:t>
      </w:r>
    </w:p>
    <w:p w:rsidR="00000000" w:rsidRDefault="00F5481A">
      <w:pPr>
        <w:ind w:firstLine="360"/>
        <w:divId w:val="2088920358"/>
        <w:rPr>
          <w:rFonts w:eastAsia="Times New Roman"/>
        </w:rPr>
      </w:pPr>
      <w:r>
        <w:rPr>
          <w:rFonts w:ascii="IBM Plex Sans" w:eastAsia="Times New Roman" w:hAnsi="IBM Plex Sans"/>
          <w:i/>
          <w:iCs/>
          <w:color w:val="283030"/>
          <w:sz w:val="20"/>
          <w:szCs w:val="20"/>
        </w:rPr>
        <w:t xml:space="preserve">Fixed-rate Debt. </w:t>
      </w:r>
      <w:r>
        <w:rPr>
          <w:rFonts w:ascii="IBM Plex Sans" w:eastAsia="Times New Roman" w:hAnsi="IBM Plex Sans"/>
          <w:color w:val="283030"/>
          <w:sz w:val="20"/>
          <w:szCs w:val="20"/>
        </w:rPr>
        <w:t xml:space="preserve">On December 14, 2020, we completed our optional redemption of the entire outstanding 4.95% 2021 Notes due February 15, 2021 (“4.95% 2021 Notes”) for a redemption price of $650 million, as set forth in the 4.95% 2021 Notes. After adjusting for the carrying </w:t>
      </w:r>
      <w:r>
        <w:rPr>
          <w:rFonts w:ascii="IBM Plex Sans" w:eastAsia="Times New Roman" w:hAnsi="IBM Plex Sans"/>
          <w:color w:val="283030"/>
          <w:sz w:val="20"/>
          <w:szCs w:val="20"/>
        </w:rPr>
        <w:t xml:space="preserve">value of our unamortized premium, we recorded a $2 million gain on the extinguishment of the 4.95% 2021 Notes, which is included as a component of the “Non-operating income, net” line item in our Consolidated Statement of Operations for fiscal 2020. </w:t>
      </w:r>
    </w:p>
    <w:p w:rsidR="00000000" w:rsidRDefault="00F5481A">
      <w:pPr>
        <w:divId w:val="2072464929"/>
        <w:rPr>
          <w:rFonts w:eastAsia="Times New Roman"/>
        </w:rPr>
      </w:pPr>
      <w:r>
        <w:rPr>
          <w:rFonts w:ascii="IBM Plex Sans SemiBold" w:eastAsia="Times New Roman" w:hAnsi="IBM Plex Sans SemiBold"/>
          <w:b/>
          <w:bCs/>
          <w:color w:val="016676"/>
          <w:sz w:val="20"/>
          <w:szCs w:val="20"/>
        </w:rPr>
        <w:t>Long-</w:t>
      </w:r>
      <w:r>
        <w:rPr>
          <w:rFonts w:ascii="IBM Plex Sans SemiBold" w:eastAsia="Times New Roman" w:hAnsi="IBM Plex Sans SemiBold"/>
          <w:b/>
          <w:bCs/>
          <w:color w:val="016676"/>
          <w:sz w:val="20"/>
          <w:szCs w:val="20"/>
        </w:rPr>
        <w:t>Term Debt Issued — Fiscal 2020</w:t>
      </w:r>
    </w:p>
    <w:p w:rsidR="00000000" w:rsidRDefault="00F5481A">
      <w:pPr>
        <w:ind w:firstLine="360"/>
        <w:divId w:val="1674528753"/>
        <w:rPr>
          <w:rFonts w:eastAsia="Times New Roman"/>
        </w:rPr>
      </w:pPr>
      <w:r>
        <w:rPr>
          <w:rFonts w:ascii="IBM Plex Sans" w:eastAsia="Times New Roman" w:hAnsi="IBM Plex Sans"/>
          <w:i/>
          <w:iCs/>
          <w:color w:val="283030"/>
          <w:sz w:val="20"/>
          <w:szCs w:val="20"/>
        </w:rPr>
        <w:t xml:space="preserve">Fixed-rate Debt. </w:t>
      </w:r>
      <w:r>
        <w:rPr>
          <w:rFonts w:ascii="IBM Plex Sans" w:eastAsia="Times New Roman" w:hAnsi="IBM Plex Sans"/>
          <w:color w:val="283030"/>
          <w:sz w:val="20"/>
          <w:szCs w:val="20"/>
        </w:rPr>
        <w:t xml:space="preserve">On November 25, 2020, in order to fund the optional redemption of the 4.95% 2021 Notes as described above under “Long-Term Debt Repaid </w:t>
      </w:r>
      <w:r>
        <w:rPr>
          <w:rFonts w:ascii="IBM Plex Sans" w:eastAsia="Times New Roman" w:hAnsi="IBM Plex Sans"/>
          <w:color w:val="000000"/>
          <w:sz w:val="20"/>
          <w:szCs w:val="20"/>
        </w:rPr>
        <w:t>—</w:t>
      </w:r>
      <w:r>
        <w:rPr>
          <w:rFonts w:ascii="IBM Plex Sans" w:eastAsia="Times New Roman" w:hAnsi="IBM Plex Sans"/>
          <w:color w:val="016676"/>
          <w:sz w:val="20"/>
          <w:szCs w:val="20"/>
        </w:rPr>
        <w:t xml:space="preserve"> </w:t>
      </w:r>
      <w:r>
        <w:rPr>
          <w:rFonts w:ascii="IBM Plex Sans" w:eastAsia="Times New Roman" w:hAnsi="IBM Plex Sans"/>
          <w:color w:val="283030"/>
          <w:sz w:val="20"/>
          <w:szCs w:val="20"/>
        </w:rPr>
        <w:t>Fiscal 2020,” we completed the issuance of the 1.80% 2031 Notes. Intere</w:t>
      </w:r>
      <w:r>
        <w:rPr>
          <w:rFonts w:ascii="IBM Plex Sans" w:eastAsia="Times New Roman" w:hAnsi="IBM Plex Sans"/>
          <w:color w:val="283030"/>
          <w:sz w:val="20"/>
          <w:szCs w:val="20"/>
        </w:rPr>
        <w:t>st on the 1.80% 2031 Notes is payable semi-annually in arrears on January 15 and July 15 of each year, commencing on July 15, 2021. At any time prior to October 15, 2030, we may redeem the 1.80% 2031 Notes, in whole or in part, at our option, at a “make-wh</w:t>
      </w:r>
      <w:r>
        <w:rPr>
          <w:rFonts w:ascii="IBM Plex Sans" w:eastAsia="Times New Roman" w:hAnsi="IBM Plex Sans"/>
          <w:color w:val="283030"/>
          <w:sz w:val="20"/>
          <w:szCs w:val="20"/>
        </w:rPr>
        <w:t>ole” redemption price equal to the greater of 100% of the principal amount of the 1.80% 2031 Notes or the sum of the present values of the remaining scheduled payments of the principal plus accrued interest (other than interest accruing to the date of rede</w:t>
      </w:r>
      <w:r>
        <w:rPr>
          <w:rFonts w:ascii="IBM Plex Sans" w:eastAsia="Times New Roman" w:hAnsi="IBM Plex Sans"/>
          <w:color w:val="283030"/>
          <w:sz w:val="20"/>
          <w:szCs w:val="20"/>
        </w:rPr>
        <w:t>mption) on the notes being redeemed, discounted to the redemption date on a semi-annual basis at the “Treasury Rate,” as defined in the 1.80% 2031 Notes, plus 15 basis points. We will pay accrued interest on the principal amount of notes being redeemed to,</w:t>
      </w:r>
      <w:r>
        <w:rPr>
          <w:rFonts w:ascii="IBM Plex Sans" w:eastAsia="Times New Roman" w:hAnsi="IBM Plex Sans"/>
          <w:color w:val="283030"/>
          <w:sz w:val="20"/>
          <w:szCs w:val="20"/>
        </w:rPr>
        <w:t xml:space="preserve"> but not including, the redemption date. At any time on or after October 15, 2030, we may redeem the 1.80% 2031 Notes, in whole or in part, at our option, at a redemption price equal to 100% of the principal amount of the notes being redeemed, plus accrued</w:t>
      </w:r>
      <w:r>
        <w:rPr>
          <w:rFonts w:ascii="IBM Plex Sans" w:eastAsia="Times New Roman" w:hAnsi="IBM Plex Sans"/>
          <w:color w:val="283030"/>
          <w:sz w:val="20"/>
          <w:szCs w:val="20"/>
        </w:rPr>
        <w:t xml:space="preserve"> interest on the principal amount of the notes being redeemed to, but not including, the redemption date. In addition, upon change of control combined with a below-investment-grade rating event, we may be required to make an offer to repurchase the 1.80% 2</w:t>
      </w:r>
      <w:r>
        <w:rPr>
          <w:rFonts w:ascii="IBM Plex Sans" w:eastAsia="Times New Roman" w:hAnsi="IBM Plex Sans"/>
          <w:color w:val="283030"/>
          <w:sz w:val="20"/>
          <w:szCs w:val="20"/>
        </w:rPr>
        <w:t>031 Notes at a price equal to 101% of the aggregate principal amount of the notes being repurchased, plus accrued interest on the notes being repurchased to, but not including, the date of repurchase. We incurred $6 million of debt issuance costs related t</w:t>
      </w:r>
      <w:r>
        <w:rPr>
          <w:rFonts w:ascii="IBM Plex Sans" w:eastAsia="Times New Roman" w:hAnsi="IBM Plex Sans"/>
          <w:color w:val="283030"/>
          <w:sz w:val="20"/>
          <w:szCs w:val="20"/>
        </w:rPr>
        <w:t>o the issuance of the 1.80% 2031 Notes, which are being amortized over the life of the 1.80% 2031 Notes, and such amortization is included as a component of the “Interest expense, net” line item in our Consolidated Statement of Operations.</w:t>
      </w:r>
    </w:p>
    <w:p w:rsidR="00000000" w:rsidRDefault="00F5481A">
      <w:pPr>
        <w:ind w:firstLine="360"/>
        <w:divId w:val="2144227765"/>
        <w:rPr>
          <w:rFonts w:eastAsia="Times New Roman"/>
        </w:rPr>
      </w:pPr>
      <w:r>
        <w:rPr>
          <w:rFonts w:ascii="IBM Plex Sans" w:eastAsia="Times New Roman" w:hAnsi="IBM Plex Sans"/>
          <w:i/>
          <w:iCs/>
          <w:color w:val="283030"/>
          <w:sz w:val="20"/>
          <w:szCs w:val="20"/>
        </w:rPr>
        <w:t>Variable-rate De</w:t>
      </w:r>
      <w:r>
        <w:rPr>
          <w:rFonts w:ascii="IBM Plex Sans" w:eastAsia="Times New Roman" w:hAnsi="IBM Plex Sans"/>
          <w:i/>
          <w:iCs/>
          <w:color w:val="283030"/>
          <w:sz w:val="20"/>
          <w:szCs w:val="20"/>
        </w:rPr>
        <w:t>bt.</w:t>
      </w:r>
      <w:r>
        <w:rPr>
          <w:rFonts w:ascii="IBM Plex Sans" w:eastAsia="Times New Roman" w:hAnsi="IBM Plex Sans"/>
          <w:color w:val="283030"/>
          <w:sz w:val="20"/>
          <w:szCs w:val="20"/>
        </w:rPr>
        <w:t xml:space="preserve"> During the first quarter of 2020, we completed the issuance and sale of $250 million in aggregate principal amount of the Floating Rate Notes due 2023. The Floating Rate Notes 2023 bear interest at a floating rate, reset quarterly, equal to three-month</w:t>
      </w:r>
      <w:r>
        <w:rPr>
          <w:rFonts w:ascii="IBM Plex Sans" w:eastAsia="Times New Roman" w:hAnsi="IBM Plex Sans"/>
          <w:color w:val="283030"/>
          <w:sz w:val="20"/>
          <w:szCs w:val="20"/>
        </w:rPr>
        <w:t xml:space="preserve"> London interbank offered rate plus 0.75% per year. Interest on the Floating Rate Notes 2023 is payable quarterly in arrears on March 10, June 10, September 10 and December 10 of each year, commencing on June 10, 2020. The Floating Rate Notes 2023 are unse</w:t>
      </w:r>
      <w:r>
        <w:rPr>
          <w:rFonts w:ascii="IBM Plex Sans" w:eastAsia="Times New Roman" w:hAnsi="IBM Plex Sans"/>
          <w:color w:val="283030"/>
          <w:sz w:val="20"/>
          <w:szCs w:val="20"/>
        </w:rPr>
        <w:t>cured and unsubordinated and rank equally in right of payment with all other unsecured and unsubordinated indebtedness. The Floating Rate Notes 2023 are not redeemable at our option prior to maturity. Debt issuance costs related to the issuance of the Floa</w:t>
      </w:r>
      <w:r>
        <w:rPr>
          <w:rFonts w:ascii="IBM Plex Sans" w:eastAsia="Times New Roman" w:hAnsi="IBM Plex Sans"/>
          <w:color w:val="283030"/>
          <w:sz w:val="20"/>
          <w:szCs w:val="20"/>
        </w:rPr>
        <w:t>ting Rate Notes 2023 were not material. We used the net proceeds from the sale of the Floating Rate Notes 2023 to repay at maturity the aggregate principal amount of our Floating Rate Notes due April 30, 2020.</w:t>
      </w:r>
    </w:p>
    <w:p w:rsidR="00000000" w:rsidRDefault="00F5481A">
      <w:pPr>
        <w:divId w:val="766779350"/>
        <w:rPr>
          <w:rFonts w:eastAsia="Times New Roman"/>
        </w:rPr>
      </w:pPr>
      <w:r>
        <w:rPr>
          <w:rFonts w:ascii="IBM Plex Sans SemiBold" w:eastAsia="Times New Roman" w:hAnsi="IBM Plex Sans SemiBold"/>
          <w:b/>
          <w:bCs/>
          <w:color w:val="016676"/>
          <w:sz w:val="20"/>
          <w:szCs w:val="20"/>
        </w:rPr>
        <w:t>Debt Exchange</w:t>
      </w:r>
    </w:p>
    <w:p w:rsidR="00000000" w:rsidRDefault="00F5481A">
      <w:pPr>
        <w:ind w:firstLine="360"/>
        <w:divId w:val="1935161564"/>
        <w:rPr>
          <w:rFonts w:eastAsia="Times New Roman"/>
        </w:rPr>
      </w:pPr>
      <w:r>
        <w:rPr>
          <w:rFonts w:ascii="IBM Plex Sans" w:eastAsia="Times New Roman" w:hAnsi="IBM Plex Sans"/>
          <w:color w:val="283030"/>
          <w:sz w:val="20"/>
          <w:szCs w:val="20"/>
        </w:rPr>
        <w:t xml:space="preserve">In connection with the L3Harris </w:t>
      </w:r>
      <w:r>
        <w:rPr>
          <w:rFonts w:ascii="IBM Plex Sans" w:eastAsia="Times New Roman" w:hAnsi="IBM Plex Sans"/>
          <w:color w:val="283030"/>
          <w:sz w:val="20"/>
          <w:szCs w:val="20"/>
        </w:rPr>
        <w:t xml:space="preserve">Merger, on July 2, 2019, we settled our previously announced debt exchange offers in which eligible holders of L3 senior notes (“L3 Notes”) could exchange such outstanding notes for (1) up to $3.35 billion aggregate principal amount of new notes issued by </w:t>
      </w:r>
      <w:r>
        <w:rPr>
          <w:rFonts w:ascii="IBM Plex Sans" w:eastAsia="Times New Roman" w:hAnsi="IBM Plex Sans"/>
          <w:color w:val="283030"/>
          <w:sz w:val="20"/>
          <w:szCs w:val="20"/>
        </w:rPr>
        <w:t xml:space="preserve">L3Harris (“New L3Harris Notes”) and (2) one dollar in cash for each $1,000 of principal amount. Each series of the New L3Harris Notes issued has an interest rate and maturity date that is identical to the L3 Notes. </w:t>
      </w:r>
    </w:p>
    <w:p w:rsidR="00000000" w:rsidRDefault="00F5481A">
      <w:pPr>
        <w:ind w:firstLine="360"/>
        <w:jc w:val="center"/>
        <w:divId w:val="1592424151"/>
        <w:rPr>
          <w:rFonts w:eastAsia="Times New Roman"/>
        </w:rPr>
      </w:pPr>
      <w:r>
        <w:rPr>
          <w:rFonts w:ascii="Arial" w:eastAsia="Times New Roman" w:hAnsi="Arial" w:cs="Arial"/>
          <w:b/>
          <w:bCs/>
          <w:color w:val="016676"/>
        </w:rPr>
        <w:t>________________________________________</w:t>
      </w:r>
      <w:r>
        <w:rPr>
          <w:rFonts w:ascii="Arial" w:eastAsia="Times New Roman" w:hAnsi="Arial" w:cs="Arial"/>
          <w:b/>
          <w:bCs/>
          <w:color w:val="016676"/>
        </w:rPr>
        <w:t>_____________________________</w:t>
      </w:r>
      <w:r>
        <w:rPr>
          <w:rFonts w:ascii="Arial" w:eastAsia="Times New Roman" w:hAnsi="Arial" w:cs="Arial"/>
          <w:b/>
          <w:bCs/>
          <w:color w:val="233D6F"/>
        </w:rPr>
        <w:br/>
      </w:r>
      <w:r>
        <w:rPr>
          <w:rFonts w:ascii="IBM Plex Sans" w:eastAsia="Times New Roman" w:hAnsi="IBM Plex Sans"/>
          <w:color w:val="283030"/>
          <w:sz w:val="20"/>
          <w:szCs w:val="20"/>
        </w:rPr>
        <w:t>85</w:t>
      </w:r>
    </w:p>
    <w:p w:rsidR="00000000" w:rsidRDefault="00F5481A">
      <w:pPr>
        <w:rPr>
          <w:rFonts w:eastAsia="Times New Roman"/>
        </w:rPr>
      </w:pPr>
      <w:r>
        <w:rPr>
          <w:rFonts w:eastAsia="Times New Roman"/>
        </w:rPr>
        <w:pict>
          <v:rect id="_x0000_i1116" style="width:0;height:1.5pt" o:hralign="center" o:hrstd="t" o:hr="t" fillcolor="#a0a0a0" stroked="f"/>
        </w:pict>
      </w:r>
    </w:p>
    <w:p w:rsidR="00000000" w:rsidRDefault="00F5481A">
      <w:pPr>
        <w:ind w:firstLine="360"/>
        <w:divId w:val="29565034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4530"/>
        <w:gridCol w:w="36"/>
        <w:gridCol w:w="133"/>
        <w:gridCol w:w="965"/>
        <w:gridCol w:w="36"/>
        <w:gridCol w:w="36"/>
        <w:gridCol w:w="36"/>
        <w:gridCol w:w="36"/>
        <w:gridCol w:w="133"/>
        <w:gridCol w:w="1013"/>
        <w:gridCol w:w="36"/>
        <w:gridCol w:w="36"/>
        <w:gridCol w:w="36"/>
        <w:gridCol w:w="36"/>
        <w:gridCol w:w="133"/>
        <w:gridCol w:w="1002"/>
        <w:gridCol w:w="36"/>
      </w:tblGrid>
      <w:tr w:rsidR="00000000">
        <w:trPr>
          <w:divId w:val="690423803"/>
        </w:trPr>
        <w:tc>
          <w:tcPr>
            <w:tcW w:w="50" w:type="pct"/>
            <w:vAlign w:val="center"/>
            <w:hideMark/>
          </w:tcPr>
          <w:p w:rsidR="00000000" w:rsidRDefault="00F5481A">
            <w:pPr>
              <w:ind w:firstLine="360"/>
              <w:rPr>
                <w:rFonts w:eastAsia="Times New Roman"/>
              </w:rPr>
            </w:pPr>
          </w:p>
        </w:tc>
        <w:tc>
          <w:tcPr>
            <w:tcW w:w="2761"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6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2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670"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2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66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690423803"/>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Aggregate Principal</w:t>
            </w:r>
            <w:r>
              <w:rPr>
                <w:rFonts w:ascii="IBM Plex Sans" w:eastAsia="Times New Roman" w:hAnsi="IBM Plex Sans"/>
                <w:b/>
                <w:bCs/>
                <w:color w:val="283030"/>
                <w:sz w:val="16"/>
                <w:szCs w:val="16"/>
              </w:rPr>
              <w:br/>
              <w:t>Amount of L3 Notes</w:t>
            </w:r>
            <w:r>
              <w:rPr>
                <w:rFonts w:ascii="IBM Plex Sans" w:eastAsia="Times New Roman" w:hAnsi="IBM Plex Sans"/>
                <w:b/>
                <w:bCs/>
                <w:color w:val="283030"/>
                <w:sz w:val="16"/>
                <w:szCs w:val="16"/>
              </w:rPr>
              <w:br/>
              <w:t>(prior to debt</w:t>
            </w:r>
            <w:r>
              <w:rPr>
                <w:rFonts w:ascii="IBM Plex Sans" w:eastAsia="Times New Roman" w:hAnsi="IBM Plex Sans"/>
                <w:b/>
                <w:bCs/>
                <w:color w:val="283030"/>
                <w:sz w:val="16"/>
                <w:szCs w:val="16"/>
              </w:rPr>
              <w:br/>
              <w:t>exchange)</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Aggregate Principal</w:t>
            </w:r>
            <w:r>
              <w:rPr>
                <w:rFonts w:ascii="IBM Plex Sans" w:eastAsia="Times New Roman" w:hAnsi="IBM Plex Sans"/>
                <w:b/>
                <w:bCs/>
                <w:color w:val="283030"/>
                <w:sz w:val="16"/>
                <w:szCs w:val="16"/>
              </w:rPr>
              <w:br/>
              <w:t>Amount of</w:t>
            </w:r>
            <w:r>
              <w:rPr>
                <w:rFonts w:ascii="IBM Plex Sans" w:eastAsia="Times New Roman" w:hAnsi="IBM Plex Sans"/>
                <w:b/>
                <w:bCs/>
                <w:color w:val="283030"/>
                <w:sz w:val="16"/>
                <w:szCs w:val="16"/>
              </w:rPr>
              <w:br/>
              <w:t>New L3Harris Notes</w:t>
            </w:r>
            <w:r>
              <w:rPr>
                <w:rFonts w:ascii="IBM Plex Sans" w:eastAsia="Times New Roman" w:hAnsi="IBM Plex Sans"/>
                <w:b/>
                <w:bCs/>
                <w:color w:val="283030"/>
                <w:sz w:val="16"/>
                <w:szCs w:val="16"/>
              </w:rPr>
              <w:br/>
              <w:t>Issued</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Aggregate Principal</w:t>
            </w:r>
            <w:r>
              <w:rPr>
                <w:rFonts w:ascii="IBM Plex Sans" w:eastAsia="Times New Roman" w:hAnsi="IBM Plex Sans"/>
                <w:b/>
                <w:bCs/>
                <w:color w:val="283030"/>
                <w:sz w:val="16"/>
                <w:szCs w:val="16"/>
              </w:rPr>
              <w:br/>
              <w:t>Amount of</w:t>
            </w:r>
            <w:r>
              <w:rPr>
                <w:rFonts w:ascii="IBM Plex Sans" w:eastAsia="Times New Roman" w:hAnsi="IBM Plex Sans"/>
                <w:b/>
                <w:bCs/>
                <w:color w:val="283030"/>
                <w:sz w:val="16"/>
                <w:szCs w:val="16"/>
              </w:rPr>
              <w:br/>
              <w:t>Remaining L3 Notes</w:t>
            </w:r>
          </w:p>
        </w:tc>
      </w:tr>
      <w:tr w:rsidR="00000000">
        <w:trPr>
          <w:divId w:val="690423803"/>
          <w:trHeight w:val="6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690423803"/>
        </w:trPr>
        <w:tc>
          <w:tcPr>
            <w:tcW w:w="0" w:type="auto"/>
            <w:gridSpan w:val="3"/>
            <w:shd w:val="clear" w:color="auto" w:fill="D7EFF1"/>
            <w:tcMar>
              <w:top w:w="30" w:type="dxa"/>
              <w:left w:w="20" w:type="dxa"/>
              <w:bottom w:w="30" w:type="dxa"/>
              <w:right w:w="20" w:type="dxa"/>
            </w:tcMar>
            <w:vAlign w:val="center"/>
            <w:hideMark/>
          </w:tcPr>
          <w:p w:rsidR="00000000" w:rsidRDefault="00F5481A">
            <w:pPr>
              <w:spacing w:after="100"/>
              <w:divId w:val="1234125780"/>
              <w:rPr>
                <w:rFonts w:eastAsia="Times New Roman"/>
              </w:rPr>
            </w:pPr>
            <w:r>
              <w:rPr>
                <w:rFonts w:ascii="IBM Plex Sans" w:eastAsia="Times New Roman" w:hAnsi="IBM Plex Sans"/>
                <w:color w:val="283030"/>
                <w:sz w:val="20"/>
                <w:szCs w:val="20"/>
              </w:rPr>
              <w:t>4.95% 2021 Notes</w:t>
            </w:r>
          </w:p>
        </w:tc>
        <w:tc>
          <w:tcPr>
            <w:tcW w:w="0" w:type="auto"/>
            <w:shd w:val="clear" w:color="auto" w:fill="D7EFF1"/>
            <w:tcMar>
              <w:top w:w="30" w:type="dxa"/>
              <w:left w:w="20" w:type="dxa"/>
              <w:bottom w:w="30" w:type="dxa"/>
              <w:right w:w="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center"/>
            <w:hideMark/>
          </w:tcPr>
          <w:p w:rsidR="00000000" w:rsidRDefault="00F5481A">
            <w:pPr>
              <w:spacing w:after="100"/>
              <w:jc w:val="right"/>
              <w:rPr>
                <w:rFonts w:eastAsia="Times New Roman"/>
              </w:rPr>
            </w:pPr>
            <w:r>
              <w:rPr>
                <w:rFonts w:ascii="IBM Plex Sans" w:eastAsia="Times New Roman" w:hAnsi="IBM Plex Sans"/>
                <w:color w:val="283030"/>
                <w:sz w:val="20"/>
                <w:szCs w:val="20"/>
              </w:rPr>
              <w:t>650 </w:t>
            </w:r>
          </w:p>
        </w:tc>
        <w:tc>
          <w:tcPr>
            <w:tcW w:w="0" w:type="auto"/>
            <w:shd w:val="clear" w:color="auto" w:fill="D7EFF1"/>
            <w:tcMar>
              <w:top w:w="30" w:type="dxa"/>
              <w:left w:w="0" w:type="dxa"/>
              <w:bottom w:w="30" w:type="dxa"/>
              <w:right w:w="20" w:type="dxa"/>
            </w:tcMar>
            <w:vAlign w:val="center"/>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center"/>
            <w:hideMark/>
          </w:tcPr>
          <w:p w:rsidR="00000000" w:rsidRDefault="00F5481A">
            <w:pPr>
              <w:spacing w:after="100"/>
              <w:jc w:val="right"/>
              <w:rPr>
                <w:rFonts w:eastAsia="Times New Roman"/>
              </w:rPr>
            </w:pPr>
            <w:r>
              <w:rPr>
                <w:rFonts w:ascii="IBM Plex Sans" w:eastAsia="Times New Roman" w:hAnsi="IBM Plex Sans"/>
                <w:color w:val="283030"/>
                <w:sz w:val="20"/>
                <w:szCs w:val="20"/>
              </w:rPr>
              <w:t>501 </w:t>
            </w:r>
          </w:p>
        </w:tc>
        <w:tc>
          <w:tcPr>
            <w:tcW w:w="0" w:type="auto"/>
            <w:shd w:val="clear" w:color="auto" w:fill="D7EFF1"/>
            <w:tcMar>
              <w:top w:w="30" w:type="dxa"/>
              <w:left w:w="0" w:type="dxa"/>
              <w:bottom w:w="30" w:type="dxa"/>
              <w:right w:w="20" w:type="dxa"/>
            </w:tcMar>
            <w:vAlign w:val="center"/>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center"/>
            <w:hideMark/>
          </w:tcPr>
          <w:p w:rsidR="00000000" w:rsidRDefault="00F5481A">
            <w:pPr>
              <w:spacing w:after="100"/>
              <w:jc w:val="right"/>
              <w:rPr>
                <w:rFonts w:eastAsia="Times New Roman"/>
              </w:rPr>
            </w:pPr>
            <w:r>
              <w:rPr>
                <w:rFonts w:ascii="IBM Plex Sans" w:eastAsia="Times New Roman" w:hAnsi="IBM Plex Sans"/>
                <w:color w:val="283030"/>
                <w:sz w:val="20"/>
                <w:szCs w:val="20"/>
              </w:rPr>
              <w:t>149 </w:t>
            </w:r>
          </w:p>
        </w:tc>
        <w:tc>
          <w:tcPr>
            <w:tcW w:w="0" w:type="auto"/>
            <w:shd w:val="clear" w:color="auto" w:fill="D7EFF1"/>
            <w:tcMar>
              <w:top w:w="30" w:type="dxa"/>
              <w:left w:w="0" w:type="dxa"/>
              <w:bottom w:w="30" w:type="dxa"/>
              <w:right w:w="20" w:type="dxa"/>
            </w:tcMar>
            <w:vAlign w:val="center"/>
            <w:hideMark/>
          </w:tcPr>
          <w:p w:rsidR="00000000" w:rsidRDefault="00F5481A">
            <w:pPr>
              <w:spacing w:after="100"/>
              <w:jc w:val="right"/>
              <w:rPr>
                <w:rFonts w:eastAsia="Times New Roman"/>
              </w:rPr>
            </w:pPr>
          </w:p>
        </w:tc>
      </w:tr>
      <w:tr w:rsidR="00000000">
        <w:trPr>
          <w:divId w:val="690423803"/>
        </w:trPr>
        <w:tc>
          <w:tcPr>
            <w:tcW w:w="0" w:type="auto"/>
            <w:gridSpan w:val="3"/>
            <w:shd w:val="clear" w:color="auto" w:fill="FFFFFF"/>
            <w:tcMar>
              <w:top w:w="30" w:type="dxa"/>
              <w:left w:w="20" w:type="dxa"/>
              <w:bottom w:w="30" w:type="dxa"/>
              <w:right w:w="20" w:type="dxa"/>
            </w:tcMar>
            <w:vAlign w:val="center"/>
            <w:hideMark/>
          </w:tcPr>
          <w:p w:rsidR="00000000" w:rsidRDefault="00F5481A">
            <w:pPr>
              <w:spacing w:after="100"/>
              <w:divId w:val="806434648"/>
              <w:rPr>
                <w:rFonts w:eastAsia="Times New Roman"/>
              </w:rPr>
            </w:pPr>
            <w:r>
              <w:rPr>
                <w:rFonts w:ascii="IBM Plex Sans" w:eastAsia="Times New Roman" w:hAnsi="IBM Plex Sans"/>
                <w:color w:val="283030"/>
                <w:sz w:val="20"/>
                <w:szCs w:val="20"/>
              </w:rPr>
              <w:t>3.85% 2023 Notes</w:t>
            </w:r>
          </w:p>
        </w:tc>
        <w:tc>
          <w:tcPr>
            <w:tcW w:w="0" w:type="auto"/>
            <w:gridSpan w:val="2"/>
            <w:shd w:val="clear" w:color="auto" w:fill="FFFFFF"/>
            <w:tcMar>
              <w:top w:w="30" w:type="dxa"/>
              <w:left w:w="20" w:type="dxa"/>
              <w:bottom w:w="30" w:type="dxa"/>
              <w:right w:w="0" w:type="dxa"/>
            </w:tcMar>
            <w:vAlign w:val="center"/>
            <w:hideMark/>
          </w:tcPr>
          <w:p w:rsidR="00000000" w:rsidRDefault="00F5481A">
            <w:pPr>
              <w:spacing w:after="100"/>
              <w:jc w:val="right"/>
              <w:rPr>
                <w:rFonts w:eastAsia="Times New Roman"/>
              </w:rPr>
            </w:pPr>
            <w:r>
              <w:rPr>
                <w:rFonts w:ascii="IBM Plex Sans" w:eastAsia="Times New Roman" w:hAnsi="IBM Plex Sans"/>
                <w:color w:val="283030"/>
                <w:sz w:val="20"/>
                <w:szCs w:val="20"/>
              </w:rPr>
              <w:t>800 </w:t>
            </w:r>
          </w:p>
        </w:tc>
        <w:tc>
          <w:tcPr>
            <w:tcW w:w="0" w:type="auto"/>
            <w:shd w:val="clear" w:color="auto" w:fill="FFFFFF"/>
            <w:tcMar>
              <w:top w:w="30" w:type="dxa"/>
              <w:left w:w="0" w:type="dxa"/>
              <w:bottom w:w="30" w:type="dxa"/>
              <w:right w:w="20" w:type="dxa"/>
            </w:tcMar>
            <w:vAlign w:val="center"/>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F5481A">
            <w:pPr>
              <w:spacing w:after="100"/>
              <w:jc w:val="right"/>
              <w:rPr>
                <w:rFonts w:eastAsia="Times New Roman"/>
              </w:rPr>
            </w:pPr>
            <w:r>
              <w:rPr>
                <w:rFonts w:ascii="IBM Plex Sans" w:eastAsia="Times New Roman" w:hAnsi="IBM Plex Sans"/>
                <w:color w:val="283030"/>
                <w:sz w:val="20"/>
                <w:szCs w:val="20"/>
              </w:rPr>
              <w:t>741 </w:t>
            </w:r>
          </w:p>
        </w:tc>
        <w:tc>
          <w:tcPr>
            <w:tcW w:w="0" w:type="auto"/>
            <w:shd w:val="clear" w:color="auto" w:fill="FFFFFF"/>
            <w:tcMar>
              <w:top w:w="30" w:type="dxa"/>
              <w:left w:w="0" w:type="dxa"/>
              <w:bottom w:w="30" w:type="dxa"/>
              <w:right w:w="20" w:type="dxa"/>
            </w:tcMar>
            <w:vAlign w:val="center"/>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F5481A">
            <w:pPr>
              <w:spacing w:after="100"/>
              <w:jc w:val="right"/>
              <w:rPr>
                <w:rFonts w:eastAsia="Times New Roman"/>
              </w:rPr>
            </w:pPr>
            <w:r>
              <w:rPr>
                <w:rFonts w:ascii="IBM Plex Sans" w:eastAsia="Times New Roman" w:hAnsi="IBM Plex Sans"/>
                <w:color w:val="283030"/>
                <w:sz w:val="20"/>
                <w:szCs w:val="20"/>
              </w:rPr>
              <w:t>59 </w:t>
            </w:r>
          </w:p>
        </w:tc>
        <w:tc>
          <w:tcPr>
            <w:tcW w:w="0" w:type="auto"/>
            <w:shd w:val="clear" w:color="auto" w:fill="FFFFFF"/>
            <w:tcMar>
              <w:top w:w="30" w:type="dxa"/>
              <w:left w:w="0" w:type="dxa"/>
              <w:bottom w:w="30" w:type="dxa"/>
              <w:right w:w="20" w:type="dxa"/>
            </w:tcMar>
            <w:vAlign w:val="center"/>
            <w:hideMark/>
          </w:tcPr>
          <w:p w:rsidR="00000000" w:rsidRDefault="00F5481A">
            <w:pPr>
              <w:spacing w:after="100"/>
              <w:jc w:val="right"/>
              <w:rPr>
                <w:rFonts w:eastAsia="Times New Roman"/>
              </w:rPr>
            </w:pPr>
          </w:p>
        </w:tc>
      </w:tr>
      <w:tr w:rsidR="00000000">
        <w:trPr>
          <w:divId w:val="690423803"/>
        </w:trPr>
        <w:tc>
          <w:tcPr>
            <w:tcW w:w="0" w:type="auto"/>
            <w:gridSpan w:val="3"/>
            <w:shd w:val="clear" w:color="auto" w:fill="D7EFF1"/>
            <w:tcMar>
              <w:top w:w="30" w:type="dxa"/>
              <w:left w:w="20" w:type="dxa"/>
              <w:bottom w:w="30" w:type="dxa"/>
              <w:right w:w="20" w:type="dxa"/>
            </w:tcMar>
            <w:hideMark/>
          </w:tcPr>
          <w:p w:rsidR="00000000" w:rsidRDefault="00F5481A">
            <w:pPr>
              <w:spacing w:after="100"/>
              <w:divId w:val="1433017933"/>
              <w:rPr>
                <w:rFonts w:eastAsia="Times New Roman"/>
              </w:rPr>
            </w:pPr>
            <w:r>
              <w:rPr>
                <w:rFonts w:ascii="IBM Plex Sans" w:eastAsia="Times New Roman" w:hAnsi="IBM Plex Sans"/>
                <w:color w:val="283030"/>
                <w:sz w:val="20"/>
                <w:szCs w:val="20"/>
              </w:rPr>
              <w:t>3.95% 2024 Notes</w:t>
            </w:r>
          </w:p>
        </w:tc>
        <w:tc>
          <w:tcPr>
            <w:tcW w:w="0" w:type="auto"/>
            <w:gridSpan w:val="2"/>
            <w:shd w:val="clear" w:color="auto" w:fill="D7EFF1"/>
            <w:tcMar>
              <w:top w:w="30" w:type="dxa"/>
              <w:left w:w="20" w:type="dxa"/>
              <w:bottom w:w="30" w:type="dxa"/>
              <w:right w:w="0" w:type="dxa"/>
            </w:tcMar>
            <w:vAlign w:val="center"/>
            <w:hideMark/>
          </w:tcPr>
          <w:p w:rsidR="00000000" w:rsidRDefault="00F5481A">
            <w:pPr>
              <w:spacing w:after="100"/>
              <w:jc w:val="right"/>
              <w:rPr>
                <w:rFonts w:eastAsia="Times New Roman"/>
              </w:rPr>
            </w:pPr>
            <w:r>
              <w:rPr>
                <w:rFonts w:ascii="IBM Plex Sans" w:eastAsia="Times New Roman" w:hAnsi="IBM Plex Sans"/>
                <w:color w:val="283030"/>
                <w:sz w:val="20"/>
                <w:szCs w:val="20"/>
              </w:rPr>
              <w:t>350 </w:t>
            </w:r>
          </w:p>
        </w:tc>
        <w:tc>
          <w:tcPr>
            <w:tcW w:w="0" w:type="auto"/>
            <w:shd w:val="clear" w:color="auto" w:fill="D7EFF1"/>
            <w:tcMar>
              <w:top w:w="30" w:type="dxa"/>
              <w:left w:w="0" w:type="dxa"/>
              <w:bottom w:w="30" w:type="dxa"/>
              <w:right w:w="20" w:type="dxa"/>
            </w:tcMar>
            <w:vAlign w:val="center"/>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center"/>
            <w:hideMark/>
          </w:tcPr>
          <w:p w:rsidR="00000000" w:rsidRDefault="00F5481A">
            <w:pPr>
              <w:spacing w:after="100"/>
              <w:jc w:val="right"/>
              <w:rPr>
                <w:rFonts w:eastAsia="Times New Roman"/>
              </w:rPr>
            </w:pPr>
            <w:r>
              <w:rPr>
                <w:rFonts w:ascii="IBM Plex Sans" w:eastAsia="Times New Roman" w:hAnsi="IBM Plex Sans"/>
                <w:color w:val="283030"/>
                <w:sz w:val="20"/>
                <w:szCs w:val="20"/>
              </w:rPr>
              <w:t>326 </w:t>
            </w:r>
          </w:p>
        </w:tc>
        <w:tc>
          <w:tcPr>
            <w:tcW w:w="0" w:type="auto"/>
            <w:shd w:val="clear" w:color="auto" w:fill="D7EFF1"/>
            <w:tcMar>
              <w:top w:w="30" w:type="dxa"/>
              <w:left w:w="0" w:type="dxa"/>
              <w:bottom w:w="30" w:type="dxa"/>
              <w:right w:w="20" w:type="dxa"/>
            </w:tcMar>
            <w:vAlign w:val="center"/>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center"/>
            <w:hideMark/>
          </w:tcPr>
          <w:p w:rsidR="00000000" w:rsidRDefault="00F5481A">
            <w:pPr>
              <w:spacing w:after="100"/>
              <w:jc w:val="right"/>
              <w:rPr>
                <w:rFonts w:eastAsia="Times New Roman"/>
              </w:rPr>
            </w:pPr>
            <w:r>
              <w:rPr>
                <w:rFonts w:ascii="IBM Plex Sans" w:eastAsia="Times New Roman" w:hAnsi="IBM Plex Sans"/>
                <w:color w:val="283030"/>
                <w:sz w:val="20"/>
                <w:szCs w:val="20"/>
              </w:rPr>
              <w:t>24 </w:t>
            </w:r>
          </w:p>
        </w:tc>
        <w:tc>
          <w:tcPr>
            <w:tcW w:w="0" w:type="auto"/>
            <w:shd w:val="clear" w:color="auto" w:fill="D7EFF1"/>
            <w:tcMar>
              <w:top w:w="30" w:type="dxa"/>
              <w:left w:w="0" w:type="dxa"/>
              <w:bottom w:w="30" w:type="dxa"/>
              <w:right w:w="20" w:type="dxa"/>
            </w:tcMar>
            <w:vAlign w:val="center"/>
            <w:hideMark/>
          </w:tcPr>
          <w:p w:rsidR="00000000" w:rsidRDefault="00F5481A">
            <w:pPr>
              <w:spacing w:after="100"/>
              <w:jc w:val="right"/>
              <w:rPr>
                <w:rFonts w:eastAsia="Times New Roman"/>
              </w:rPr>
            </w:pPr>
          </w:p>
        </w:tc>
      </w:tr>
      <w:tr w:rsidR="00000000">
        <w:trPr>
          <w:divId w:val="690423803"/>
        </w:trPr>
        <w:tc>
          <w:tcPr>
            <w:tcW w:w="0" w:type="auto"/>
            <w:gridSpan w:val="3"/>
            <w:shd w:val="clear" w:color="auto" w:fill="FFFFFF"/>
            <w:tcMar>
              <w:top w:w="30" w:type="dxa"/>
              <w:left w:w="20" w:type="dxa"/>
              <w:bottom w:w="30" w:type="dxa"/>
              <w:right w:w="20" w:type="dxa"/>
            </w:tcMar>
            <w:vAlign w:val="center"/>
            <w:hideMark/>
          </w:tcPr>
          <w:p w:rsidR="00000000" w:rsidRDefault="00F5481A">
            <w:pPr>
              <w:spacing w:after="100"/>
              <w:divId w:val="2073381362"/>
              <w:rPr>
                <w:rFonts w:eastAsia="Times New Roman"/>
              </w:rPr>
            </w:pPr>
            <w:r>
              <w:rPr>
                <w:rFonts w:ascii="IBM Plex Sans" w:eastAsia="Times New Roman" w:hAnsi="IBM Plex Sans"/>
                <w:color w:val="283030"/>
                <w:sz w:val="20"/>
                <w:szCs w:val="20"/>
              </w:rPr>
              <w:t>3.85% 2026 Notes</w:t>
            </w:r>
          </w:p>
        </w:tc>
        <w:tc>
          <w:tcPr>
            <w:tcW w:w="0" w:type="auto"/>
            <w:gridSpan w:val="2"/>
            <w:shd w:val="clear" w:color="auto" w:fill="FFFFFF"/>
            <w:tcMar>
              <w:top w:w="30" w:type="dxa"/>
              <w:left w:w="20" w:type="dxa"/>
              <w:bottom w:w="30" w:type="dxa"/>
              <w:right w:w="0" w:type="dxa"/>
            </w:tcMar>
            <w:vAlign w:val="center"/>
            <w:hideMark/>
          </w:tcPr>
          <w:p w:rsidR="00000000" w:rsidRDefault="00F5481A">
            <w:pPr>
              <w:spacing w:after="100"/>
              <w:jc w:val="right"/>
              <w:rPr>
                <w:rFonts w:eastAsia="Times New Roman"/>
              </w:rPr>
            </w:pPr>
            <w:r>
              <w:rPr>
                <w:rFonts w:ascii="IBM Plex Sans" w:eastAsia="Times New Roman" w:hAnsi="IBM Plex Sans"/>
                <w:color w:val="283030"/>
                <w:sz w:val="20"/>
                <w:szCs w:val="20"/>
              </w:rPr>
              <w:t>550 </w:t>
            </w:r>
          </w:p>
        </w:tc>
        <w:tc>
          <w:tcPr>
            <w:tcW w:w="0" w:type="auto"/>
            <w:shd w:val="clear" w:color="auto" w:fill="FFFFFF"/>
            <w:tcMar>
              <w:top w:w="30" w:type="dxa"/>
              <w:left w:w="0" w:type="dxa"/>
              <w:bottom w:w="30" w:type="dxa"/>
              <w:right w:w="20" w:type="dxa"/>
            </w:tcMar>
            <w:vAlign w:val="center"/>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F5481A">
            <w:pPr>
              <w:spacing w:after="100"/>
              <w:jc w:val="right"/>
              <w:rPr>
                <w:rFonts w:eastAsia="Times New Roman"/>
              </w:rPr>
            </w:pPr>
            <w:r>
              <w:rPr>
                <w:rFonts w:ascii="IBM Plex Sans" w:eastAsia="Times New Roman" w:hAnsi="IBM Plex Sans"/>
                <w:color w:val="283030"/>
                <w:sz w:val="20"/>
                <w:szCs w:val="20"/>
              </w:rPr>
              <w:t>535 </w:t>
            </w:r>
          </w:p>
        </w:tc>
        <w:tc>
          <w:tcPr>
            <w:tcW w:w="0" w:type="auto"/>
            <w:shd w:val="clear" w:color="auto" w:fill="FFFFFF"/>
            <w:tcMar>
              <w:top w:w="30" w:type="dxa"/>
              <w:left w:w="0" w:type="dxa"/>
              <w:bottom w:w="30" w:type="dxa"/>
              <w:right w:w="20" w:type="dxa"/>
            </w:tcMar>
            <w:vAlign w:val="center"/>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F5481A">
            <w:pPr>
              <w:spacing w:after="100"/>
              <w:jc w:val="right"/>
              <w:rPr>
                <w:rFonts w:eastAsia="Times New Roman"/>
              </w:rPr>
            </w:pPr>
            <w:r>
              <w:rPr>
                <w:rFonts w:ascii="IBM Plex Sans" w:eastAsia="Times New Roman" w:hAnsi="IBM Plex Sans"/>
                <w:color w:val="283030"/>
                <w:sz w:val="20"/>
                <w:szCs w:val="20"/>
              </w:rPr>
              <w:t>15 </w:t>
            </w:r>
          </w:p>
        </w:tc>
        <w:tc>
          <w:tcPr>
            <w:tcW w:w="0" w:type="auto"/>
            <w:shd w:val="clear" w:color="auto" w:fill="FFFFFF"/>
            <w:tcMar>
              <w:top w:w="30" w:type="dxa"/>
              <w:left w:w="0" w:type="dxa"/>
              <w:bottom w:w="30" w:type="dxa"/>
              <w:right w:w="20" w:type="dxa"/>
            </w:tcMar>
            <w:vAlign w:val="center"/>
            <w:hideMark/>
          </w:tcPr>
          <w:p w:rsidR="00000000" w:rsidRDefault="00F5481A">
            <w:pPr>
              <w:spacing w:after="100"/>
              <w:jc w:val="right"/>
              <w:rPr>
                <w:rFonts w:eastAsia="Times New Roman"/>
              </w:rPr>
            </w:pPr>
          </w:p>
        </w:tc>
      </w:tr>
      <w:tr w:rsidR="00000000">
        <w:trPr>
          <w:divId w:val="690423803"/>
        </w:trPr>
        <w:tc>
          <w:tcPr>
            <w:tcW w:w="0" w:type="auto"/>
            <w:gridSpan w:val="3"/>
            <w:shd w:val="clear" w:color="auto" w:fill="D7EFF1"/>
            <w:tcMar>
              <w:top w:w="30" w:type="dxa"/>
              <w:left w:w="20" w:type="dxa"/>
              <w:bottom w:w="30" w:type="dxa"/>
              <w:right w:w="20" w:type="dxa"/>
            </w:tcMar>
            <w:vAlign w:val="center"/>
            <w:hideMark/>
          </w:tcPr>
          <w:p w:rsidR="00000000" w:rsidRDefault="00F5481A">
            <w:pPr>
              <w:spacing w:after="100"/>
              <w:divId w:val="1840077417"/>
              <w:rPr>
                <w:rFonts w:eastAsia="Times New Roman"/>
              </w:rPr>
            </w:pPr>
            <w:r>
              <w:rPr>
                <w:rFonts w:ascii="IBM Plex Sans" w:eastAsia="Times New Roman" w:hAnsi="IBM Plex Sans"/>
                <w:color w:val="283030"/>
                <w:sz w:val="20"/>
                <w:szCs w:val="20"/>
              </w:rPr>
              <w:t>4.40% 2028 Notes, due June 15, 2028 (“4.40% 2028 Notes”)</w:t>
            </w:r>
          </w:p>
        </w:tc>
        <w:tc>
          <w:tcPr>
            <w:tcW w:w="0" w:type="auto"/>
            <w:gridSpan w:val="2"/>
            <w:shd w:val="clear" w:color="auto" w:fill="D7EFF1"/>
            <w:tcMar>
              <w:top w:w="30" w:type="dxa"/>
              <w:left w:w="20" w:type="dxa"/>
              <w:bottom w:w="30" w:type="dxa"/>
              <w:right w:w="0" w:type="dxa"/>
            </w:tcMar>
            <w:vAlign w:val="center"/>
            <w:hideMark/>
          </w:tcPr>
          <w:p w:rsidR="00000000" w:rsidRDefault="00F5481A">
            <w:pPr>
              <w:spacing w:after="100"/>
              <w:jc w:val="right"/>
              <w:rPr>
                <w:rFonts w:eastAsia="Times New Roman"/>
              </w:rPr>
            </w:pPr>
            <w:r>
              <w:rPr>
                <w:rFonts w:ascii="IBM Plex Sans" w:eastAsia="Times New Roman" w:hAnsi="IBM Plex Sans"/>
                <w:color w:val="283030"/>
                <w:sz w:val="20"/>
                <w:szCs w:val="20"/>
              </w:rPr>
              <w:t>1,000 </w:t>
            </w:r>
          </w:p>
        </w:tc>
        <w:tc>
          <w:tcPr>
            <w:tcW w:w="0" w:type="auto"/>
            <w:shd w:val="clear" w:color="auto" w:fill="D7EFF1"/>
            <w:tcMar>
              <w:top w:w="30" w:type="dxa"/>
              <w:left w:w="0" w:type="dxa"/>
              <w:bottom w:w="30" w:type="dxa"/>
              <w:right w:w="20" w:type="dxa"/>
            </w:tcMar>
            <w:vAlign w:val="center"/>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center"/>
            <w:hideMark/>
          </w:tcPr>
          <w:p w:rsidR="00000000" w:rsidRDefault="00F5481A">
            <w:pPr>
              <w:spacing w:after="100"/>
              <w:jc w:val="right"/>
              <w:rPr>
                <w:rFonts w:eastAsia="Times New Roman"/>
              </w:rPr>
            </w:pPr>
            <w:r>
              <w:rPr>
                <w:rFonts w:ascii="IBM Plex Sans" w:eastAsia="Times New Roman" w:hAnsi="IBM Plex Sans"/>
                <w:color w:val="283030"/>
                <w:sz w:val="20"/>
                <w:szCs w:val="20"/>
              </w:rPr>
              <w:t>918 </w:t>
            </w:r>
          </w:p>
        </w:tc>
        <w:tc>
          <w:tcPr>
            <w:tcW w:w="0" w:type="auto"/>
            <w:shd w:val="clear" w:color="auto" w:fill="D7EFF1"/>
            <w:tcMar>
              <w:top w:w="30" w:type="dxa"/>
              <w:left w:w="0" w:type="dxa"/>
              <w:bottom w:w="30" w:type="dxa"/>
              <w:right w:w="20" w:type="dxa"/>
            </w:tcMar>
            <w:vAlign w:val="center"/>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center"/>
            <w:hideMark/>
          </w:tcPr>
          <w:p w:rsidR="00000000" w:rsidRDefault="00F5481A">
            <w:pPr>
              <w:spacing w:after="100"/>
              <w:jc w:val="right"/>
              <w:rPr>
                <w:rFonts w:eastAsia="Times New Roman"/>
              </w:rPr>
            </w:pPr>
            <w:r>
              <w:rPr>
                <w:rFonts w:ascii="IBM Plex Sans" w:eastAsia="Times New Roman" w:hAnsi="IBM Plex Sans"/>
                <w:color w:val="283030"/>
                <w:sz w:val="20"/>
                <w:szCs w:val="20"/>
              </w:rPr>
              <w:t>82 </w:t>
            </w:r>
          </w:p>
        </w:tc>
        <w:tc>
          <w:tcPr>
            <w:tcW w:w="0" w:type="auto"/>
            <w:shd w:val="clear" w:color="auto" w:fill="D7EFF1"/>
            <w:tcMar>
              <w:top w:w="30" w:type="dxa"/>
              <w:left w:w="0" w:type="dxa"/>
              <w:bottom w:w="30" w:type="dxa"/>
              <w:right w:w="20" w:type="dxa"/>
            </w:tcMar>
            <w:vAlign w:val="center"/>
            <w:hideMark/>
          </w:tcPr>
          <w:p w:rsidR="00000000" w:rsidRDefault="00F5481A">
            <w:pPr>
              <w:spacing w:after="100"/>
              <w:jc w:val="right"/>
              <w:rPr>
                <w:rFonts w:eastAsia="Times New Roman"/>
              </w:rPr>
            </w:pPr>
          </w:p>
        </w:tc>
      </w:tr>
      <w:tr w:rsidR="00000000">
        <w:trPr>
          <w:divId w:val="690423803"/>
        </w:trPr>
        <w:tc>
          <w:tcPr>
            <w:tcW w:w="0" w:type="auto"/>
            <w:gridSpan w:val="3"/>
            <w:shd w:val="clear" w:color="auto" w:fill="FFFFFF"/>
            <w:tcMar>
              <w:top w:w="30" w:type="dxa"/>
              <w:left w:w="2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F5481A">
            <w:pPr>
              <w:spacing w:after="100"/>
              <w:jc w:val="right"/>
              <w:rPr>
                <w:rFonts w:eastAsia="Times New Roman"/>
              </w:rPr>
            </w:pPr>
            <w:r>
              <w:rPr>
                <w:rFonts w:ascii="IBM Plex Sans" w:eastAsia="Times New Roman" w:hAnsi="IBM Plex Sans"/>
                <w:color w:val="283030"/>
                <w:sz w:val="20"/>
                <w:szCs w:val="20"/>
              </w:rPr>
              <w:t>3,350 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F5481A">
            <w:pPr>
              <w:spacing w:after="100"/>
              <w:jc w:val="right"/>
              <w:rPr>
                <w:rFonts w:eastAsia="Times New Roman"/>
              </w:rPr>
            </w:pPr>
            <w:r>
              <w:rPr>
                <w:rFonts w:ascii="IBM Plex Sans" w:eastAsia="Times New Roman" w:hAnsi="IBM Plex Sans"/>
                <w:color w:val="283030"/>
                <w:sz w:val="20"/>
                <w:szCs w:val="20"/>
              </w:rPr>
              <w:t>3,021 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F5481A">
            <w:pPr>
              <w:spacing w:after="100"/>
              <w:jc w:val="right"/>
              <w:rPr>
                <w:rFonts w:eastAsia="Times New Roman"/>
              </w:rPr>
            </w:pPr>
            <w:r>
              <w:rPr>
                <w:rFonts w:ascii="IBM Plex Sans" w:eastAsia="Times New Roman" w:hAnsi="IBM Plex Sans"/>
                <w:color w:val="283030"/>
                <w:sz w:val="20"/>
                <w:szCs w:val="20"/>
              </w:rPr>
              <w:t>329 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F5481A">
            <w:pPr>
              <w:spacing w:after="100"/>
              <w:jc w:val="right"/>
              <w:rPr>
                <w:rFonts w:eastAsia="Times New Roman"/>
              </w:rPr>
            </w:pPr>
          </w:p>
        </w:tc>
      </w:tr>
    </w:tbl>
    <w:p w:rsidR="00000000" w:rsidRDefault="00F5481A">
      <w:pPr>
        <w:ind w:firstLine="360"/>
        <w:divId w:val="649871737"/>
        <w:rPr>
          <w:rFonts w:eastAsia="Times New Roman"/>
        </w:rPr>
      </w:pPr>
      <w:r>
        <w:rPr>
          <w:rFonts w:ascii="IBM Plex Sans" w:eastAsia="Times New Roman" w:hAnsi="IBM Plex Sans"/>
          <w:color w:val="283030"/>
          <w:sz w:val="20"/>
          <w:szCs w:val="20"/>
        </w:rPr>
        <w:t>Following the settlement of the exchange offers, there was $329 million of existing L3 Notes outstanding, which remained the senior unsecured obligations of L3.</w:t>
      </w:r>
    </w:p>
    <w:p w:rsidR="00000000" w:rsidRDefault="00F5481A">
      <w:pPr>
        <w:ind w:firstLine="360"/>
        <w:divId w:val="1583683192"/>
        <w:rPr>
          <w:rFonts w:eastAsia="Times New Roman"/>
        </w:rPr>
      </w:pPr>
      <w:r>
        <w:rPr>
          <w:rFonts w:ascii="IBM Plex Sans" w:eastAsia="Times New Roman" w:hAnsi="IBM Plex Sans"/>
          <w:color w:val="283030"/>
          <w:sz w:val="20"/>
          <w:szCs w:val="20"/>
        </w:rPr>
        <w:t>On December 14, 2020, we redeemed the 4.95% 2021 Notes, as described above under “Long-Term Debt Repaid in</w:t>
      </w:r>
      <w:r>
        <w:rPr>
          <w:rFonts w:ascii="IBM Plex Sans" w:eastAsia="Times New Roman" w:hAnsi="IBM Plex Sans"/>
          <w:color w:val="016676"/>
          <w:sz w:val="20"/>
          <w:szCs w:val="20"/>
        </w:rPr>
        <w:t xml:space="preserve"> </w:t>
      </w:r>
      <w:r>
        <w:rPr>
          <w:rFonts w:ascii="IBM Plex Sans" w:eastAsia="Times New Roman" w:hAnsi="IBM Plex Sans"/>
          <w:color w:val="283030"/>
          <w:sz w:val="20"/>
          <w:szCs w:val="20"/>
        </w:rPr>
        <w:t>Fiscal 2020.” Interest on the remaining New L3Harris Notes is payable semi-annually in arrears on June 15 and December 15, commencing on December 15,</w:t>
      </w:r>
      <w:r>
        <w:rPr>
          <w:rFonts w:ascii="IBM Plex Sans" w:eastAsia="Times New Roman" w:hAnsi="IBM Plex Sans"/>
          <w:color w:val="283030"/>
          <w:sz w:val="20"/>
          <w:szCs w:val="20"/>
        </w:rPr>
        <w:t xml:space="preserve"> 2019, in the case of the 3.85% 2023 Notes, 3.85% 2026 Notes and 4.40% 2028 Notes; and on May 28 and November 28, commencing on November 28, 2019, in the case of the 3.95% 2024 Notes. The New L3Harris Notes are unsecured senior obligations and rank equally</w:t>
      </w:r>
      <w:r>
        <w:rPr>
          <w:rFonts w:ascii="IBM Plex Sans" w:eastAsia="Times New Roman" w:hAnsi="IBM Plex Sans"/>
          <w:color w:val="283030"/>
          <w:sz w:val="20"/>
          <w:szCs w:val="20"/>
        </w:rPr>
        <w:t xml:space="preserve"> in right of payment with all other L3Harris senior unsecured debt. </w:t>
      </w:r>
    </w:p>
    <w:p w:rsidR="00000000" w:rsidRDefault="00F5481A">
      <w:pPr>
        <w:ind w:firstLine="360"/>
        <w:divId w:val="2115975715"/>
        <w:rPr>
          <w:rFonts w:eastAsia="Times New Roman"/>
        </w:rPr>
      </w:pPr>
      <w:r>
        <w:rPr>
          <w:rFonts w:ascii="IBM Plex Sans" w:eastAsia="Times New Roman" w:hAnsi="IBM Plex Sans"/>
          <w:color w:val="283030"/>
          <w:sz w:val="20"/>
          <w:szCs w:val="20"/>
        </w:rPr>
        <w:t>The New L3Harris Notes are redeemable in whole or in part at any time or in part from time to time, at our option, until three months prior to the maturity date, in the case of the 3.95% 2024 Notes, 3.85% 2026 Notes and 4.40% 2028 Notes, and until one mont</w:t>
      </w:r>
      <w:r>
        <w:rPr>
          <w:rFonts w:ascii="IBM Plex Sans" w:eastAsia="Times New Roman" w:hAnsi="IBM Plex Sans"/>
          <w:color w:val="283030"/>
          <w:sz w:val="20"/>
          <w:szCs w:val="20"/>
        </w:rPr>
        <w:t>h prior to the maturity date, in the case of the 3.85% 2023 Notes, at a redemption price equal to the greater of 100 percent of the principal amount of the notes to be redeemed or the sum of the present values of the principal amount and the remaining sche</w:t>
      </w:r>
      <w:r>
        <w:rPr>
          <w:rFonts w:ascii="IBM Plex Sans" w:eastAsia="Times New Roman" w:hAnsi="IBM Plex Sans"/>
          <w:color w:val="283030"/>
          <w:sz w:val="20"/>
          <w:szCs w:val="20"/>
        </w:rPr>
        <w:t xml:space="preserve">duled payments of interest on the notes to be redeemed, discounted from the scheduled payment dates to the date of redemption at the “treasury rate” as defined in the note, plus 20 basis points, in the case of the 3.85% 2023 Notes and 3.95% 2024 Notes, or </w:t>
      </w:r>
      <w:r>
        <w:rPr>
          <w:rFonts w:ascii="IBM Plex Sans" w:eastAsia="Times New Roman" w:hAnsi="IBM Plex Sans"/>
          <w:color w:val="283030"/>
          <w:sz w:val="20"/>
          <w:szCs w:val="20"/>
        </w:rPr>
        <w:t xml:space="preserve">25 basis points, in the case of the 3.85% 2026 Notes and 4.40% 2028 Notes, plus, in each case, accrued and unpaid interest due at the date of redemption. </w:t>
      </w:r>
    </w:p>
    <w:p w:rsidR="00000000" w:rsidRDefault="00F5481A">
      <w:pPr>
        <w:ind w:firstLine="360"/>
        <w:divId w:val="1483155221"/>
        <w:rPr>
          <w:rFonts w:eastAsia="Times New Roman"/>
        </w:rPr>
      </w:pPr>
      <w:r>
        <w:rPr>
          <w:rFonts w:ascii="IBM Plex Sans" w:eastAsia="Times New Roman" w:hAnsi="IBM Plex Sans"/>
          <w:color w:val="283030"/>
          <w:sz w:val="20"/>
          <w:szCs w:val="20"/>
        </w:rPr>
        <w:t>On March 31, 2020, we commenced offers to eligible holders (“Exchange Offers”) to exchange any and al</w:t>
      </w:r>
      <w:r>
        <w:rPr>
          <w:rFonts w:ascii="IBM Plex Sans" w:eastAsia="Times New Roman" w:hAnsi="IBM Plex Sans"/>
          <w:color w:val="283030"/>
          <w:sz w:val="20"/>
          <w:szCs w:val="20"/>
        </w:rPr>
        <w:t>l outstanding New L3Harris Notes issued by L3Harris as set forth in the table above (the “Original Notes”), which were previously issued pursuant to an exemption from the registration requirements of the Securities Act, for an equal principal amount of new</w:t>
      </w:r>
      <w:r>
        <w:rPr>
          <w:rFonts w:ascii="IBM Plex Sans" w:eastAsia="Times New Roman" w:hAnsi="IBM Plex Sans"/>
          <w:color w:val="283030"/>
          <w:sz w:val="20"/>
          <w:szCs w:val="20"/>
        </w:rPr>
        <w:t xml:space="preserve"> notes registered under the Securities Act (the “Exchange Notes”).</w:t>
      </w:r>
    </w:p>
    <w:p w:rsidR="00000000" w:rsidRDefault="00F5481A">
      <w:pPr>
        <w:ind w:firstLine="360"/>
        <w:divId w:val="1468279237"/>
        <w:rPr>
          <w:rFonts w:eastAsia="Times New Roman"/>
        </w:rPr>
      </w:pPr>
      <w:r>
        <w:rPr>
          <w:rFonts w:ascii="IBM Plex Sans" w:eastAsia="Times New Roman" w:hAnsi="IBM Plex Sans"/>
          <w:color w:val="283030"/>
          <w:sz w:val="20"/>
          <w:szCs w:val="20"/>
        </w:rPr>
        <w:t>The Exchange Notes were offered to satisfy L3Harris’ obligations under the registration rights agreement entered into as part of the issuance of the Original Notes, which occurred in exchan</w:t>
      </w:r>
      <w:r>
        <w:rPr>
          <w:rFonts w:ascii="IBM Plex Sans" w:eastAsia="Times New Roman" w:hAnsi="IBM Plex Sans"/>
          <w:color w:val="283030"/>
          <w:sz w:val="20"/>
          <w:szCs w:val="20"/>
        </w:rPr>
        <w:t>ge for the L3 Notes as described above.</w:t>
      </w:r>
    </w:p>
    <w:p w:rsidR="00000000" w:rsidRDefault="00F5481A">
      <w:pPr>
        <w:ind w:firstLine="360"/>
        <w:divId w:val="2068987888"/>
        <w:rPr>
          <w:rFonts w:eastAsia="Times New Roman"/>
        </w:rPr>
      </w:pPr>
      <w:r>
        <w:rPr>
          <w:rFonts w:ascii="IBM Plex Sans" w:eastAsia="Times New Roman" w:hAnsi="IBM Plex Sans"/>
          <w:color w:val="283030"/>
          <w:sz w:val="20"/>
          <w:szCs w:val="20"/>
        </w:rPr>
        <w:t>The terms of the Exchange Notes issued in the Exchange Offers are substantially identical to the terms of the corresponding series of the Original Notes, except that the Exchange Notes are registered under the Securi</w:t>
      </w:r>
      <w:r>
        <w:rPr>
          <w:rFonts w:ascii="IBM Plex Sans" w:eastAsia="Times New Roman" w:hAnsi="IBM Plex Sans"/>
          <w:color w:val="283030"/>
          <w:sz w:val="20"/>
          <w:szCs w:val="20"/>
        </w:rPr>
        <w:t xml:space="preserve">ties Act and the transfer restrictions, registration rights and related special interest provisions applicable to the Original Notes do not apply to the Exchange Notes. Each series of Exchange Notes is part of the same corresponding series of the Original </w:t>
      </w:r>
      <w:r>
        <w:rPr>
          <w:rFonts w:ascii="IBM Plex Sans" w:eastAsia="Times New Roman" w:hAnsi="IBM Plex Sans"/>
          <w:color w:val="283030"/>
          <w:sz w:val="20"/>
          <w:szCs w:val="20"/>
        </w:rPr>
        <w:t>Notes and were issued under the same base indenture.</w:t>
      </w:r>
    </w:p>
    <w:p w:rsidR="00000000" w:rsidRDefault="00F5481A">
      <w:pPr>
        <w:ind w:firstLine="360"/>
        <w:divId w:val="1711107111"/>
        <w:rPr>
          <w:rFonts w:eastAsia="Times New Roman"/>
        </w:rPr>
      </w:pPr>
      <w:r>
        <w:rPr>
          <w:rFonts w:ascii="IBM Plex Sans" w:eastAsia="Times New Roman" w:hAnsi="IBM Plex Sans"/>
          <w:color w:val="283030"/>
          <w:sz w:val="20"/>
          <w:szCs w:val="20"/>
        </w:rPr>
        <w:t>The Exchange Offers expired at 5:00p.m., New York City time, on May 1, 2020. On May 5, 2020, we settled the Exchange Offers and Issued Exchange Notes for validly tendered Original Notes for over 99.9 per</w:t>
      </w:r>
      <w:r>
        <w:rPr>
          <w:rFonts w:ascii="IBM Plex Sans" w:eastAsia="Times New Roman" w:hAnsi="IBM Plex Sans"/>
          <w:color w:val="283030"/>
          <w:sz w:val="20"/>
          <w:szCs w:val="20"/>
        </w:rPr>
        <w:t>cent of the 4.95% 2021 Notes, 3.85% 2023 Notes, 3.95% 2024 Notes and 3.85% 2026 Notes and 98.9 percent of the 4.40% 2028 Notes.</w:t>
      </w:r>
    </w:p>
    <w:p w:rsidR="00000000" w:rsidRDefault="00F5481A">
      <w:pPr>
        <w:divId w:val="1088499209"/>
        <w:rPr>
          <w:rFonts w:eastAsia="Times New Roman"/>
        </w:rPr>
      </w:pPr>
      <w:r>
        <w:rPr>
          <w:rFonts w:ascii="IBM Plex Sans SemiBold" w:eastAsia="Times New Roman" w:hAnsi="IBM Plex Sans SemiBold"/>
          <w:b/>
          <w:bCs/>
          <w:color w:val="016676"/>
          <w:sz w:val="20"/>
          <w:szCs w:val="20"/>
        </w:rPr>
        <w:t>Long-Term Debt Issued Prior to Fiscal 2020 that Remained Outstanding at December 30, 2022</w:t>
      </w:r>
    </w:p>
    <w:p w:rsidR="00000000" w:rsidRDefault="00F5481A">
      <w:pPr>
        <w:ind w:firstLine="360"/>
        <w:divId w:val="653685841"/>
        <w:rPr>
          <w:rFonts w:eastAsia="Times New Roman"/>
        </w:rPr>
      </w:pPr>
      <w:r>
        <w:rPr>
          <w:rFonts w:ascii="IBM Plex Sans" w:eastAsia="Times New Roman" w:hAnsi="IBM Plex Sans"/>
          <w:color w:val="283030"/>
          <w:sz w:val="20"/>
          <w:szCs w:val="20"/>
        </w:rPr>
        <w:t>On November 27, 2019, we completed the</w:t>
      </w:r>
      <w:r>
        <w:rPr>
          <w:rFonts w:ascii="IBM Plex Sans" w:eastAsia="Times New Roman" w:hAnsi="IBM Plex Sans"/>
          <w:color w:val="283030"/>
          <w:sz w:val="20"/>
          <w:szCs w:val="20"/>
        </w:rPr>
        <w:t xml:space="preserve"> issuance of $400 million in aggregate principal amount of 2.90% notes due December 15, 2029 (the “2.90% 2029 Notes”). Interest on the 2.90% 2029 Notes is payable semi-annually in arrears on June 15 and December 15 of each year, commencing on June 15, 2020</w:t>
      </w:r>
      <w:r>
        <w:rPr>
          <w:rFonts w:ascii="IBM Plex Sans" w:eastAsia="Times New Roman" w:hAnsi="IBM Plex Sans"/>
          <w:color w:val="283030"/>
          <w:sz w:val="20"/>
          <w:szCs w:val="20"/>
        </w:rPr>
        <w:t>. At any time prior to September 15, 2029, we may redeem the 2.90% 2029 Notes, in whole or in part, at our option, at a “make-whole” redemption price equal to the greater of 100% of the principal amount of the 2.90% 2029 Notes or the sum of the present val</w:t>
      </w:r>
      <w:r>
        <w:rPr>
          <w:rFonts w:ascii="IBM Plex Sans" w:eastAsia="Times New Roman" w:hAnsi="IBM Plex Sans"/>
          <w:color w:val="283030"/>
          <w:sz w:val="20"/>
          <w:szCs w:val="20"/>
        </w:rPr>
        <w:t>ues of the remaining scheduled payments of the principal plus accrued interest (other than interest accruing to the date of redemption) on the notes being redeemed, discounted to the redemption date on a semi-annual basis at the “Treasury Rate,” as defined</w:t>
      </w:r>
      <w:r>
        <w:rPr>
          <w:rFonts w:ascii="IBM Plex Sans" w:eastAsia="Times New Roman" w:hAnsi="IBM Plex Sans"/>
          <w:color w:val="283030"/>
          <w:sz w:val="20"/>
          <w:szCs w:val="20"/>
        </w:rPr>
        <w:t xml:space="preserve"> in the 2.90% 2029 Notes, plus 20 basis points. We will pay accrued </w:t>
      </w:r>
    </w:p>
    <w:p w:rsidR="00000000" w:rsidRDefault="00F5481A">
      <w:pPr>
        <w:ind w:firstLine="360"/>
        <w:jc w:val="center"/>
        <w:divId w:val="5837053"/>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86</w:t>
      </w:r>
    </w:p>
    <w:p w:rsidR="00000000" w:rsidRDefault="00F5481A">
      <w:pPr>
        <w:rPr>
          <w:rFonts w:eastAsia="Times New Roman"/>
        </w:rPr>
      </w:pPr>
      <w:r>
        <w:rPr>
          <w:rFonts w:eastAsia="Times New Roman"/>
        </w:rPr>
        <w:pict>
          <v:rect id="_x0000_i1117" style="width:0;height:1.5pt" o:hralign="center" o:hrstd="t" o:hr="t" fillcolor="#a0a0a0" stroked="f"/>
        </w:pict>
      </w:r>
    </w:p>
    <w:p w:rsidR="00000000" w:rsidRDefault="00F5481A">
      <w:pPr>
        <w:ind w:firstLine="360"/>
        <w:divId w:val="2066826996"/>
        <w:rPr>
          <w:rFonts w:eastAsia="Times New Roman"/>
        </w:rPr>
      </w:pPr>
    </w:p>
    <w:p w:rsidR="00000000" w:rsidRDefault="00F5481A">
      <w:pPr>
        <w:divId w:val="1934120523"/>
        <w:rPr>
          <w:rFonts w:eastAsia="Times New Roman"/>
        </w:rPr>
      </w:pPr>
      <w:r>
        <w:rPr>
          <w:rFonts w:ascii="IBM Plex Sans" w:eastAsia="Times New Roman" w:hAnsi="IBM Plex Sans"/>
          <w:color w:val="283030"/>
          <w:sz w:val="20"/>
          <w:szCs w:val="20"/>
        </w:rPr>
        <w:t>interest on the principal amount of notes being redeemed to, but not includi</w:t>
      </w:r>
      <w:r>
        <w:rPr>
          <w:rFonts w:ascii="IBM Plex Sans" w:eastAsia="Times New Roman" w:hAnsi="IBM Plex Sans"/>
          <w:color w:val="283030"/>
          <w:sz w:val="20"/>
          <w:szCs w:val="20"/>
        </w:rPr>
        <w:t>ng, the redemption date. At any time on or after September 15, 2029, we may redeem the 2.90% 2029 Notes, in whole or in part, at our option, at a redemption price equal to 100% of the principal amount of the notes being redeemed, plus accrued interest on t</w:t>
      </w:r>
      <w:r>
        <w:rPr>
          <w:rFonts w:ascii="IBM Plex Sans" w:eastAsia="Times New Roman" w:hAnsi="IBM Plex Sans"/>
          <w:color w:val="283030"/>
          <w:sz w:val="20"/>
          <w:szCs w:val="20"/>
        </w:rPr>
        <w:t>he principal amount of the notes being redeemed to, but not including, the redemption date. In addition, upon change of control combined with a below-investment-grade rating event, we may be required to make an offer to repurchase the 2.90% 2029 Notes at a</w:t>
      </w:r>
      <w:r>
        <w:rPr>
          <w:rFonts w:ascii="IBM Plex Sans" w:eastAsia="Times New Roman" w:hAnsi="IBM Plex Sans"/>
          <w:color w:val="283030"/>
          <w:sz w:val="20"/>
          <w:szCs w:val="20"/>
        </w:rPr>
        <w:t xml:space="preserve"> price equal to 101% of the aggregate principal amount of the notes being repurchased, plus accrued interest on the notes being repurchased to, but not including, the date of repurchase. We incurred $3 million of debt issuance costs related to the issuance</w:t>
      </w:r>
      <w:r>
        <w:rPr>
          <w:rFonts w:ascii="IBM Plex Sans" w:eastAsia="Times New Roman" w:hAnsi="IBM Plex Sans"/>
          <w:color w:val="283030"/>
          <w:sz w:val="20"/>
          <w:szCs w:val="20"/>
        </w:rPr>
        <w:t xml:space="preserve"> of the 2.90% 2029 Notes, which are being amortized over the life of the 2.90% 2029 Notes, and such amortization is included as a component of the “Interest expense, net” line item in our Consolidated Statement of Operations.</w:t>
      </w:r>
    </w:p>
    <w:p w:rsidR="00000000" w:rsidRDefault="00F5481A">
      <w:pPr>
        <w:ind w:firstLine="360"/>
        <w:divId w:val="516386675"/>
        <w:rPr>
          <w:rFonts w:eastAsia="Times New Roman"/>
        </w:rPr>
      </w:pPr>
      <w:r>
        <w:rPr>
          <w:rFonts w:ascii="IBM Plex Sans" w:eastAsia="Times New Roman" w:hAnsi="IBM Plex Sans"/>
          <w:color w:val="283030"/>
          <w:sz w:val="20"/>
          <w:szCs w:val="20"/>
        </w:rPr>
        <w:t xml:space="preserve">On June 4, 2018, we completed </w:t>
      </w:r>
      <w:r>
        <w:rPr>
          <w:rFonts w:ascii="IBM Plex Sans" w:eastAsia="Times New Roman" w:hAnsi="IBM Plex Sans"/>
          <w:color w:val="283030"/>
          <w:sz w:val="20"/>
          <w:szCs w:val="20"/>
        </w:rPr>
        <w:t>the issuance of $850 million in aggregate principal amount of 4.40% notes due June 15, 2028 (the “New 2028 Notes”). Interest on the New 2028 Notes is payable semi-annually in arrears on June 15 and December 15 of each year, commencing on December 15, 2018.</w:t>
      </w:r>
      <w:r>
        <w:rPr>
          <w:rFonts w:ascii="IBM Plex Sans" w:eastAsia="Times New Roman" w:hAnsi="IBM Plex Sans"/>
          <w:color w:val="283030"/>
          <w:sz w:val="20"/>
          <w:szCs w:val="20"/>
        </w:rPr>
        <w:t xml:space="preserve"> At any time prior to March 15, 2028, we may redeem the New 2028 Notes, in whole or in part, at our option, at a “make-whole” redemption price equal to the greater of 100% of the principal amount of the New 2028 Notes or the sum of the present values of th</w:t>
      </w:r>
      <w:r>
        <w:rPr>
          <w:rFonts w:ascii="IBM Plex Sans" w:eastAsia="Times New Roman" w:hAnsi="IBM Plex Sans"/>
          <w:color w:val="283030"/>
          <w:sz w:val="20"/>
          <w:szCs w:val="20"/>
        </w:rPr>
        <w:t>e remaining scheduled payments of the principal and interest (other than interest accruing to the date of redemption) on the notes being redeemed, discounted to the redemption date on a semi-annual basis at the “Treasury Rate,” as defined in the New 2028 N</w:t>
      </w:r>
      <w:r>
        <w:rPr>
          <w:rFonts w:ascii="IBM Plex Sans" w:eastAsia="Times New Roman" w:hAnsi="IBM Plex Sans"/>
          <w:color w:val="283030"/>
          <w:sz w:val="20"/>
          <w:szCs w:val="20"/>
        </w:rPr>
        <w:t>otes, plus 25 basis points. We will pay accrued interest on the principal amount of notes being redeemed to, but not including, the redemption date. At any time on or after March 15, 2028, we may redeem the New 2028 Notes, in whole or in part, at our optio</w:t>
      </w:r>
      <w:r>
        <w:rPr>
          <w:rFonts w:ascii="IBM Plex Sans" w:eastAsia="Times New Roman" w:hAnsi="IBM Plex Sans"/>
          <w:color w:val="283030"/>
          <w:sz w:val="20"/>
          <w:szCs w:val="20"/>
        </w:rPr>
        <w:t>n, at a redemption price equal to 100% of the principal amount of the notes being redeemed, plus accrued interest on the principal amount of the notes being redeemed to, but not including, the redemption date. In addition, upon change of control combined w</w:t>
      </w:r>
      <w:r>
        <w:rPr>
          <w:rFonts w:ascii="IBM Plex Sans" w:eastAsia="Times New Roman" w:hAnsi="IBM Plex Sans"/>
          <w:color w:val="283030"/>
          <w:sz w:val="20"/>
          <w:szCs w:val="20"/>
        </w:rPr>
        <w:t xml:space="preserve">ith a below-investment-grade rating event, we may be required to make an offer to repurchase the New 2028 Notes at a price equal to 101% of the aggregate principal amount of the notes being repurchased, plus accrued interest on the notes being repurchased </w:t>
      </w:r>
      <w:r>
        <w:rPr>
          <w:rFonts w:ascii="IBM Plex Sans" w:eastAsia="Times New Roman" w:hAnsi="IBM Plex Sans"/>
          <w:color w:val="283030"/>
          <w:sz w:val="20"/>
          <w:szCs w:val="20"/>
        </w:rPr>
        <w:t>to, but not including, the date of repurchase. We incurred $8 million of debt issuance costs related to the issuance of the New 2028 Notes, which are being amortized over the life of the New 2028 Notes, and such amortization is included as a component of t</w:t>
      </w:r>
      <w:r>
        <w:rPr>
          <w:rFonts w:ascii="IBM Plex Sans" w:eastAsia="Times New Roman" w:hAnsi="IBM Plex Sans"/>
          <w:color w:val="283030"/>
          <w:sz w:val="20"/>
          <w:szCs w:val="20"/>
        </w:rPr>
        <w:t>he “Interest expense, net” line item in our Consolidated Statement of Operations.</w:t>
      </w:r>
    </w:p>
    <w:p w:rsidR="00000000" w:rsidRDefault="00F5481A">
      <w:pPr>
        <w:ind w:firstLine="360"/>
        <w:divId w:val="1160269790"/>
        <w:rPr>
          <w:rFonts w:eastAsia="Times New Roman"/>
        </w:rPr>
      </w:pPr>
      <w:r>
        <w:rPr>
          <w:rFonts w:ascii="IBM Plex Sans" w:eastAsia="Times New Roman" w:hAnsi="IBM Plex Sans"/>
          <w:color w:val="283030"/>
          <w:sz w:val="20"/>
          <w:szCs w:val="20"/>
        </w:rPr>
        <w:t xml:space="preserve">On April 27, 2015, in connection with the then-pending acquisition of Exelis, Inc., we agreed to fund a portion of the cash consideration and other amounts payable under the </w:t>
      </w:r>
      <w:r>
        <w:rPr>
          <w:rFonts w:ascii="IBM Plex Sans" w:eastAsia="Times New Roman" w:hAnsi="IBM Plex Sans"/>
          <w:color w:val="283030"/>
          <w:sz w:val="20"/>
          <w:szCs w:val="20"/>
        </w:rPr>
        <w:t>terms of the merger agreement and to redeem certain of our existing notes, we issued long-term fixed-rate debt securities in the aggregate amount of $2.4 billion. The principal amounts, interest rates and maturity dates of these securities that remained ou</w:t>
      </w:r>
      <w:r>
        <w:rPr>
          <w:rFonts w:ascii="IBM Plex Sans" w:eastAsia="Times New Roman" w:hAnsi="IBM Plex Sans"/>
          <w:color w:val="283030"/>
          <w:sz w:val="20"/>
          <w:szCs w:val="20"/>
        </w:rPr>
        <w:t>tstanding at December 30, 2022 were as follows:</w:t>
      </w:r>
    </w:p>
    <w:p w:rsidR="00000000" w:rsidRDefault="00F5481A">
      <w:pPr>
        <w:ind w:hanging="360"/>
        <w:divId w:val="392506607"/>
        <w:rPr>
          <w:rFonts w:eastAsia="Times New Roman"/>
        </w:rPr>
      </w:pPr>
      <w:r>
        <w:rPr>
          <w:rFonts w:ascii="IBM Plex Sans" w:eastAsia="Times New Roman" w:hAnsi="IBM Plex Sans"/>
          <w:color w:val="283030"/>
          <w:sz w:val="20"/>
          <w:szCs w:val="20"/>
        </w:rPr>
        <w:t>•$600 million in aggregate principal amount of 3.832% notes due April 27, 2025 (the “2025 Notes”),</w:t>
      </w:r>
    </w:p>
    <w:p w:rsidR="00000000" w:rsidRDefault="00F5481A">
      <w:pPr>
        <w:ind w:hanging="360"/>
        <w:divId w:val="1377855284"/>
        <w:rPr>
          <w:rFonts w:eastAsia="Times New Roman"/>
        </w:rPr>
      </w:pPr>
      <w:r>
        <w:rPr>
          <w:rFonts w:ascii="IBM Plex Sans" w:eastAsia="Times New Roman" w:hAnsi="IBM Plex Sans"/>
          <w:color w:val="283030"/>
          <w:sz w:val="20"/>
          <w:szCs w:val="20"/>
        </w:rPr>
        <w:t>•$400 million in aggregate principal amount of 4.854% notes due April 27, 2035 (the “2035 Notes”) and</w:t>
      </w:r>
    </w:p>
    <w:p w:rsidR="00000000" w:rsidRDefault="00F5481A">
      <w:pPr>
        <w:ind w:hanging="360"/>
        <w:divId w:val="1761102598"/>
        <w:rPr>
          <w:rFonts w:eastAsia="Times New Roman"/>
        </w:rPr>
      </w:pPr>
      <w:r>
        <w:rPr>
          <w:rFonts w:ascii="IBM Plex Sans" w:eastAsia="Times New Roman" w:hAnsi="IBM Plex Sans"/>
          <w:color w:val="283030"/>
          <w:sz w:val="20"/>
          <w:szCs w:val="20"/>
        </w:rPr>
        <w:t>•$500 m</w:t>
      </w:r>
      <w:r>
        <w:rPr>
          <w:rFonts w:ascii="IBM Plex Sans" w:eastAsia="Times New Roman" w:hAnsi="IBM Plex Sans"/>
          <w:color w:val="283030"/>
          <w:sz w:val="20"/>
          <w:szCs w:val="20"/>
        </w:rPr>
        <w:t>illion in aggregate principal amount of 5.054% notes due April 27, 2045 (the “2045 Notes”) and collectively with the 2025 Notes and 2035 Notes, the “Exelis Notes”).</w:t>
      </w:r>
    </w:p>
    <w:p w:rsidR="00000000" w:rsidRDefault="00F5481A">
      <w:pPr>
        <w:ind w:firstLine="360"/>
        <w:divId w:val="1146240201"/>
        <w:rPr>
          <w:rFonts w:eastAsia="Times New Roman"/>
        </w:rPr>
      </w:pPr>
      <w:r>
        <w:rPr>
          <w:rFonts w:ascii="IBM Plex Sans" w:eastAsia="Times New Roman" w:hAnsi="IBM Plex Sans"/>
          <w:color w:val="283030"/>
          <w:sz w:val="20"/>
          <w:szCs w:val="20"/>
        </w:rPr>
        <w:t>Interest on each series of the Exelis Notes is payable semi-annually in arrears on April 27</w:t>
      </w:r>
      <w:r>
        <w:rPr>
          <w:rFonts w:ascii="IBM Plex Sans" w:eastAsia="Times New Roman" w:hAnsi="IBM Plex Sans"/>
          <w:color w:val="283030"/>
          <w:sz w:val="20"/>
          <w:szCs w:val="20"/>
        </w:rPr>
        <w:t xml:space="preserve"> and October 27 of each year, commencing October 27, 2015. The Exelis Notes are redeemable at our option up to one month prior to the scheduled maturity date at a price equal to the greater of 100% of the principal amount of the notes being redeemed or the</w:t>
      </w:r>
      <w:r>
        <w:rPr>
          <w:rFonts w:ascii="IBM Plex Sans" w:eastAsia="Times New Roman" w:hAnsi="IBM Plex Sans"/>
          <w:color w:val="283030"/>
          <w:sz w:val="20"/>
          <w:szCs w:val="20"/>
        </w:rPr>
        <w:t xml:space="preserve"> sum of the present values of the remaining scheduled payments, plus accrued interest, discounted to the redemption date on a semi-annual basis (assuming a 360-day year consisting of twelve 30-day months) at the Treasury Rate, as defined, plus (i) 30 basis</w:t>
      </w:r>
      <w:r>
        <w:rPr>
          <w:rFonts w:ascii="IBM Plex Sans" w:eastAsia="Times New Roman" w:hAnsi="IBM Plex Sans"/>
          <w:color w:val="283030"/>
          <w:sz w:val="20"/>
          <w:szCs w:val="20"/>
        </w:rPr>
        <w:t xml:space="preserve"> points in the case of the 2025 Notes, (ii) 35 basis points in the case of the 2035 Notes and (iii) 40 basis points in the case of the 2045 Notes. In addition, upon a change of control combined with a below-investment-grade rating event, we may be required</w:t>
      </w:r>
      <w:r>
        <w:rPr>
          <w:rFonts w:ascii="IBM Plex Sans" w:eastAsia="Times New Roman" w:hAnsi="IBM Plex Sans"/>
          <w:color w:val="283030"/>
          <w:sz w:val="20"/>
          <w:szCs w:val="20"/>
        </w:rPr>
        <w:t xml:space="preserve"> to make an offer to repurchase the Exelis Notes at a price equal to 101% of the aggregate principal amount of the notes being repurchased, plus accrued interest on the notes being repurchased to, excluding the date of repurchase. </w:t>
      </w:r>
    </w:p>
    <w:p w:rsidR="00000000" w:rsidRDefault="00F5481A">
      <w:pPr>
        <w:ind w:firstLine="360"/>
        <w:divId w:val="1929774598"/>
        <w:rPr>
          <w:rFonts w:eastAsia="Times New Roman"/>
        </w:rPr>
      </w:pPr>
      <w:r>
        <w:rPr>
          <w:rFonts w:ascii="IBM Plex Sans" w:eastAsia="Times New Roman" w:hAnsi="IBM Plex Sans"/>
          <w:color w:val="283030"/>
          <w:sz w:val="20"/>
          <w:szCs w:val="20"/>
        </w:rPr>
        <w:t xml:space="preserve">On December 3, 2010, we </w:t>
      </w:r>
      <w:r>
        <w:rPr>
          <w:rFonts w:ascii="IBM Plex Sans" w:eastAsia="Times New Roman" w:hAnsi="IBM Plex Sans"/>
          <w:color w:val="283030"/>
          <w:sz w:val="20"/>
          <w:szCs w:val="20"/>
        </w:rPr>
        <w:t>completed the issuance of $300 million in aggregate principal amount of 6.150%. notes due December 15, 2040 (the “2040 Notes”). The 2040 Notes are redeemable at our option at a price equal to the greater of 100% of the principal amount of the notes being r</w:t>
      </w:r>
      <w:r>
        <w:rPr>
          <w:rFonts w:ascii="IBM Plex Sans" w:eastAsia="Times New Roman" w:hAnsi="IBM Plex Sans"/>
          <w:color w:val="283030"/>
          <w:sz w:val="20"/>
          <w:szCs w:val="20"/>
        </w:rPr>
        <w:t>edeemed or the sum of the present values of the remaining scheduled payments, plus accrued interest, discounted to the redemption date on a semi-annual basis (assuming a 360-day year consisting of twelve 30-day months) at the “Treasury Rate”, as defined, p</w:t>
      </w:r>
      <w:r>
        <w:rPr>
          <w:rFonts w:ascii="IBM Plex Sans" w:eastAsia="Times New Roman" w:hAnsi="IBM Plex Sans"/>
          <w:color w:val="283030"/>
          <w:sz w:val="20"/>
          <w:szCs w:val="20"/>
        </w:rPr>
        <w:t>lus 35 basis points. In addition, upon a change of control combined with a below-investment-grade rating event, we may be required to make an offer to repurchase the notes at a price equal to 101% of the aggregate principal amount of the notes being repurc</w:t>
      </w:r>
      <w:r>
        <w:rPr>
          <w:rFonts w:ascii="IBM Plex Sans" w:eastAsia="Times New Roman" w:hAnsi="IBM Plex Sans"/>
          <w:color w:val="283030"/>
          <w:sz w:val="20"/>
          <w:szCs w:val="20"/>
        </w:rPr>
        <w:t xml:space="preserve">hased, plus accrued interest on the notes being repurchased to, but not including, the date of repurchase. </w:t>
      </w:r>
    </w:p>
    <w:p w:rsidR="00000000" w:rsidRDefault="00F5481A">
      <w:pPr>
        <w:ind w:firstLine="360"/>
        <w:jc w:val="center"/>
        <w:divId w:val="252402686"/>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87</w:t>
      </w:r>
    </w:p>
    <w:p w:rsidR="00000000" w:rsidRDefault="00F5481A">
      <w:pPr>
        <w:rPr>
          <w:rFonts w:eastAsia="Times New Roman"/>
        </w:rPr>
      </w:pPr>
      <w:r>
        <w:rPr>
          <w:rFonts w:eastAsia="Times New Roman"/>
        </w:rPr>
        <w:pict>
          <v:rect id="_x0000_i1118" style="width:0;height:1.5pt" o:hralign="center" o:hrstd="t" o:hr="t" fillcolor="#a0a0a0" stroked="f"/>
        </w:pict>
      </w:r>
    </w:p>
    <w:p w:rsidR="00000000" w:rsidRDefault="00F5481A">
      <w:pPr>
        <w:ind w:firstLine="360"/>
        <w:divId w:val="372773196"/>
        <w:rPr>
          <w:rFonts w:eastAsia="Times New Roman"/>
        </w:rPr>
      </w:pPr>
    </w:p>
    <w:p w:rsidR="00000000" w:rsidRDefault="00F5481A">
      <w:pPr>
        <w:ind w:firstLine="360"/>
        <w:divId w:val="1927491287"/>
        <w:rPr>
          <w:rFonts w:eastAsia="Times New Roman"/>
        </w:rPr>
      </w:pPr>
      <w:r>
        <w:rPr>
          <w:rFonts w:ascii="IBM Plex Sans" w:eastAsia="Times New Roman" w:hAnsi="IBM Plex Sans"/>
          <w:color w:val="283030"/>
          <w:sz w:val="20"/>
          <w:szCs w:val="20"/>
        </w:rPr>
        <w:t>In February 1998, we completed the i</w:t>
      </w:r>
      <w:r>
        <w:rPr>
          <w:rFonts w:ascii="IBM Plex Sans" w:eastAsia="Times New Roman" w:hAnsi="IBM Plex Sans"/>
          <w:color w:val="283030"/>
          <w:sz w:val="20"/>
          <w:szCs w:val="20"/>
        </w:rPr>
        <w:t>ssuance of $150 million in aggregate principal amount of 6.35% debentures due February 1, 2028. On December 5, 2007, we repurchased and retired $25 million in aggregate principal amount of the debentures. On February 1, 2008, we redeemed $99 million in agg</w:t>
      </w:r>
      <w:r>
        <w:rPr>
          <w:rFonts w:ascii="IBM Plex Sans" w:eastAsia="Times New Roman" w:hAnsi="IBM Plex Sans"/>
          <w:color w:val="283030"/>
          <w:sz w:val="20"/>
          <w:szCs w:val="20"/>
        </w:rPr>
        <w:t>regate principal amount of the debentures pursuant to the procedures for redemption at the option of the holders of the debentures. We may redeem the remaining $26 million in aggregate principal amount of the debentures in whole, or in part, at any time at</w:t>
      </w:r>
      <w:r>
        <w:rPr>
          <w:rFonts w:ascii="IBM Plex Sans" w:eastAsia="Times New Roman" w:hAnsi="IBM Plex Sans"/>
          <w:color w:val="283030"/>
          <w:sz w:val="20"/>
          <w:szCs w:val="20"/>
        </w:rPr>
        <w:t xml:space="preserve"> a pre-determined redemption price.</w:t>
      </w:r>
    </w:p>
    <w:p w:rsidR="00000000" w:rsidRDefault="00F5481A">
      <w:pPr>
        <w:ind w:firstLine="360"/>
        <w:divId w:val="379551710"/>
        <w:rPr>
          <w:rFonts w:eastAsia="Times New Roman"/>
        </w:rPr>
      </w:pPr>
      <w:r>
        <w:rPr>
          <w:rFonts w:ascii="IBM Plex Sans" w:eastAsia="Times New Roman" w:hAnsi="IBM Plex Sans"/>
          <w:color w:val="283030"/>
          <w:sz w:val="20"/>
          <w:szCs w:val="20"/>
        </w:rPr>
        <w:t>In January 1996, we completed the issuance of $100 million in aggregate principal amount of 7.00% debentures due January 15, 2026. The debentures are not redeemable prior to maturity.</w:t>
      </w:r>
    </w:p>
    <w:p w:rsidR="00000000" w:rsidRDefault="00F5481A">
      <w:pPr>
        <w:ind w:firstLine="360"/>
        <w:divId w:val="527722508"/>
        <w:rPr>
          <w:rFonts w:eastAsia="Times New Roman"/>
        </w:rPr>
      </w:pPr>
      <w:r>
        <w:rPr>
          <w:rFonts w:ascii="IBM Plex Sans" w:eastAsia="Times New Roman" w:hAnsi="IBM Plex Sans"/>
          <w:color w:val="283030"/>
          <w:sz w:val="20"/>
          <w:szCs w:val="20"/>
        </w:rPr>
        <w:t>The following table presents the car</w:t>
      </w:r>
      <w:r>
        <w:rPr>
          <w:rFonts w:ascii="IBM Plex Sans" w:eastAsia="Times New Roman" w:hAnsi="IBM Plex Sans"/>
          <w:color w:val="283030"/>
          <w:sz w:val="20"/>
          <w:szCs w:val="20"/>
        </w:rPr>
        <w:t>rying amounts and estimated fair values of our long-term debt:</w:t>
      </w:r>
    </w:p>
    <w:tbl>
      <w:tblPr>
        <w:tblW w:w="5000" w:type="pct"/>
        <w:tblCellMar>
          <w:top w:w="15" w:type="dxa"/>
          <w:left w:w="15" w:type="dxa"/>
          <w:bottom w:w="15" w:type="dxa"/>
          <w:right w:w="15" w:type="dxa"/>
        </w:tblCellMar>
        <w:tblLook w:val="04A0" w:firstRow="1" w:lastRow="0" w:firstColumn="1" w:lastColumn="0" w:noHBand="0" w:noVBand="1"/>
      </w:tblPr>
      <w:tblGrid>
        <w:gridCol w:w="38"/>
        <w:gridCol w:w="352"/>
        <w:gridCol w:w="37"/>
        <w:gridCol w:w="37"/>
        <w:gridCol w:w="3469"/>
        <w:gridCol w:w="37"/>
        <w:gridCol w:w="132"/>
        <w:gridCol w:w="763"/>
        <w:gridCol w:w="36"/>
        <w:gridCol w:w="36"/>
        <w:gridCol w:w="36"/>
        <w:gridCol w:w="36"/>
        <w:gridCol w:w="132"/>
        <w:gridCol w:w="763"/>
        <w:gridCol w:w="36"/>
        <w:gridCol w:w="36"/>
        <w:gridCol w:w="36"/>
        <w:gridCol w:w="36"/>
        <w:gridCol w:w="132"/>
        <w:gridCol w:w="763"/>
        <w:gridCol w:w="36"/>
        <w:gridCol w:w="36"/>
        <w:gridCol w:w="36"/>
        <w:gridCol w:w="36"/>
        <w:gridCol w:w="132"/>
        <w:gridCol w:w="763"/>
        <w:gridCol w:w="36"/>
        <w:gridCol w:w="36"/>
        <w:gridCol w:w="36"/>
        <w:gridCol w:w="36"/>
        <w:gridCol w:w="36"/>
        <w:gridCol w:w="36"/>
        <w:gridCol w:w="36"/>
        <w:gridCol w:w="36"/>
        <w:gridCol w:w="36"/>
      </w:tblGrid>
      <w:tr w:rsidR="00000000">
        <w:trPr>
          <w:divId w:val="86853603"/>
        </w:trPr>
        <w:tc>
          <w:tcPr>
            <w:tcW w:w="50" w:type="pct"/>
            <w:vAlign w:val="center"/>
            <w:hideMark/>
          </w:tcPr>
          <w:p w:rsidR="00000000" w:rsidRDefault="00F5481A">
            <w:pPr>
              <w:ind w:firstLine="360"/>
              <w:rPr>
                <w:rFonts w:eastAsia="Times New Roman"/>
              </w:rPr>
            </w:pPr>
          </w:p>
        </w:tc>
        <w:tc>
          <w:tcPr>
            <w:tcW w:w="282"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2222"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51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51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51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51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86853603"/>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9"/>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86853603"/>
        </w:trPr>
        <w:tc>
          <w:tcPr>
            <w:tcW w:w="0" w:type="auto"/>
            <w:gridSpan w:val="6"/>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Carrying</w:t>
            </w:r>
            <w:r>
              <w:rPr>
                <w:rFonts w:ascii="IBM Plex Sans" w:eastAsia="Times New Roman" w:hAnsi="IBM Plex Sans"/>
                <w:b/>
                <w:bCs/>
                <w:color w:val="28303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Fair</w:t>
            </w:r>
            <w:r>
              <w:rPr>
                <w:rFonts w:ascii="IBM Plex Sans" w:eastAsia="Times New Roman" w:hAnsi="IBM Plex Sans"/>
                <w:b/>
                <w:bCs/>
                <w:color w:val="283030"/>
                <w:sz w:val="16"/>
                <w:szCs w:val="16"/>
              </w:rPr>
              <w:br/>
              <w:t>Value</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Carrying</w:t>
            </w:r>
            <w:r>
              <w:rPr>
                <w:rFonts w:ascii="IBM Plex Sans" w:eastAsia="Times New Roman" w:hAnsi="IBM Plex Sans"/>
                <w:b/>
                <w:bCs/>
                <w:color w:val="28303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Fair</w:t>
            </w:r>
            <w:r>
              <w:rPr>
                <w:rFonts w:ascii="IBM Plex Sans" w:eastAsia="Times New Roman" w:hAnsi="IBM Plex Sans"/>
                <w:b/>
                <w:bCs/>
                <w:color w:val="283030"/>
                <w:sz w:val="16"/>
                <w:szCs w:val="16"/>
              </w:rPr>
              <w:br/>
              <w:t>Value</w:t>
            </w:r>
          </w:p>
        </w:tc>
        <w:tc>
          <w:tcPr>
            <w:tcW w:w="0" w:type="auto"/>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86853603"/>
          <w:trHeight w:val="60"/>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86853603"/>
        </w:trPr>
        <w:tc>
          <w:tcPr>
            <w:tcW w:w="0" w:type="auto"/>
            <w:gridSpan w:val="6"/>
            <w:shd w:val="clear" w:color="auto" w:fill="D7EFF1"/>
            <w:tcMar>
              <w:top w:w="30" w:type="dxa"/>
              <w:left w:w="20" w:type="dxa"/>
              <w:bottom w:w="30" w:type="dxa"/>
              <w:right w:w="20" w:type="dxa"/>
            </w:tcMar>
            <w:hideMark/>
          </w:tcPr>
          <w:p w:rsidR="00000000" w:rsidRDefault="00F5481A">
            <w:pPr>
              <w:spacing w:after="100"/>
              <w:divId w:val="807284823"/>
              <w:rPr>
                <w:rFonts w:eastAsia="Times New Roman"/>
              </w:rPr>
            </w:pPr>
            <w:r>
              <w:rPr>
                <w:rFonts w:ascii="IBM Plex Sans" w:eastAsia="Times New Roman" w:hAnsi="IBM Plex Sans"/>
                <w:color w:val="283030"/>
                <w:sz w:val="20"/>
                <w:szCs w:val="20"/>
              </w:rPr>
              <w:t>Long-term debt (including current portion</w:t>
            </w:r>
            <w:r>
              <w:rPr>
                <w:rFonts w:ascii="IBM Plex Sans" w:eastAsia="Times New Roman" w:hAnsi="IBM Plex Sans"/>
                <w:color w:val="283030"/>
                <w:sz w:val="20"/>
                <w:szCs w:val="20"/>
              </w:rPr>
              <w:t>)</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7,043 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6,569 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7,059 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7,701 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bl>
    <w:p w:rsidR="00000000" w:rsidRDefault="00F5481A">
      <w:pPr>
        <w:divId w:val="2036929238"/>
        <w:rPr>
          <w:rFonts w:eastAsia="Times New Roman"/>
        </w:rPr>
      </w:pPr>
      <w:r>
        <w:rPr>
          <w:rFonts w:ascii="IBM Plex Sans" w:eastAsia="Times New Roman" w:hAnsi="IBM Plex Sans"/>
          <w:color w:val="283030"/>
          <w:sz w:val="16"/>
          <w:szCs w:val="16"/>
        </w:rPr>
        <w:t>_______________</w:t>
      </w:r>
    </w:p>
    <w:p w:rsidR="00000000" w:rsidRDefault="00F5481A">
      <w:pPr>
        <w:ind w:hanging="360"/>
        <w:divId w:val="615019830"/>
        <w:rPr>
          <w:rFonts w:eastAsia="Times New Roman"/>
        </w:rPr>
      </w:pPr>
      <w:r>
        <w:rPr>
          <w:rFonts w:ascii="IBM Plex Sans" w:eastAsia="Times New Roman" w:hAnsi="IBM Plex Sans"/>
          <w:color w:val="283030"/>
          <w:sz w:val="16"/>
          <w:szCs w:val="16"/>
        </w:rPr>
        <w:t>(1)The fair value was estimated using a market approach based on quoted market prices for our debt traded in the second</w:t>
      </w:r>
      <w:r>
        <w:rPr>
          <w:rFonts w:ascii="IBM Plex Sans" w:eastAsia="Times New Roman" w:hAnsi="IBM Plex Sans"/>
          <w:color w:val="283030"/>
          <w:sz w:val="16"/>
          <w:szCs w:val="16"/>
        </w:rPr>
        <w:t>ary market. If our long-term debt in our balance sheet were measured at fair value, it would be categorized in Level 2 of the fair value hierarchy.</w:t>
      </w:r>
    </w:p>
    <w:p w:rsidR="00000000" w:rsidRDefault="00F5481A">
      <w:pPr>
        <w:divId w:val="1046031927"/>
        <w:rPr>
          <w:rFonts w:eastAsia="Times New Roman"/>
        </w:rPr>
      </w:pPr>
      <w:r>
        <w:rPr>
          <w:rFonts w:ascii="IBM Plex Sans SemiBold" w:eastAsia="Times New Roman" w:hAnsi="IBM Plex Sans SemiBold"/>
          <w:b/>
          <w:bCs/>
          <w:color w:val="016676"/>
          <w:sz w:val="20"/>
          <w:szCs w:val="20"/>
        </w:rPr>
        <w:t>Short-Term Debt</w:t>
      </w:r>
    </w:p>
    <w:p w:rsidR="00000000" w:rsidRDefault="00F5481A">
      <w:pPr>
        <w:ind w:firstLine="360"/>
        <w:divId w:val="268246841"/>
        <w:rPr>
          <w:rFonts w:eastAsia="Times New Roman"/>
        </w:rPr>
      </w:pPr>
      <w:r>
        <w:rPr>
          <w:rFonts w:ascii="IBM Plex Sans" w:eastAsia="Times New Roman" w:hAnsi="IBM Plex Sans"/>
          <w:color w:val="283030"/>
          <w:sz w:val="20"/>
          <w:szCs w:val="20"/>
        </w:rPr>
        <w:t>Our short-term debt was $2 million at each of December 30, 2022 and December 31, 2021. Inter</w:t>
      </w:r>
      <w:r>
        <w:rPr>
          <w:rFonts w:ascii="IBM Plex Sans" w:eastAsia="Times New Roman" w:hAnsi="IBM Plex Sans"/>
          <w:color w:val="283030"/>
          <w:sz w:val="20"/>
          <w:szCs w:val="20"/>
        </w:rPr>
        <w:t>est expense incurred on our short-term debt was not material in fiscal 2022, 2021 or 2020.</w:t>
      </w:r>
    </w:p>
    <w:p w:rsidR="00000000" w:rsidRDefault="00F5481A">
      <w:pPr>
        <w:divId w:val="1662654867"/>
        <w:rPr>
          <w:rFonts w:eastAsia="Times New Roman"/>
        </w:rPr>
      </w:pPr>
      <w:r>
        <w:rPr>
          <w:rFonts w:ascii="IBM Plex Sans SemiBold" w:eastAsia="Times New Roman" w:hAnsi="IBM Plex Sans SemiBold"/>
          <w:b/>
          <w:bCs/>
          <w:color w:val="016676"/>
          <w:sz w:val="20"/>
          <w:szCs w:val="20"/>
        </w:rPr>
        <w:t>Interest Paid</w:t>
      </w:r>
    </w:p>
    <w:p w:rsidR="00000000" w:rsidRDefault="00F5481A">
      <w:pPr>
        <w:ind w:firstLine="360"/>
        <w:divId w:val="895508587"/>
        <w:rPr>
          <w:rFonts w:eastAsia="Times New Roman"/>
        </w:rPr>
      </w:pPr>
      <w:r>
        <w:rPr>
          <w:rFonts w:ascii="IBM Plex Sans" w:eastAsia="Times New Roman" w:hAnsi="IBM Plex Sans"/>
          <w:color w:val="283030"/>
          <w:sz w:val="20"/>
          <w:szCs w:val="20"/>
        </w:rPr>
        <w:t xml:space="preserve">Total interest paid was $296 million, $284 million and $313 million in fiscal 2022, 2021 and 2020, respectively. </w:t>
      </w:r>
    </w:p>
    <w:p w:rsidR="00000000" w:rsidRDefault="00F5481A">
      <w:pPr>
        <w:divId w:val="522986542"/>
        <w:rPr>
          <w:rFonts w:eastAsia="Times New Roman"/>
        </w:rPr>
      </w:pPr>
      <w:r>
        <w:rPr>
          <w:rFonts w:ascii="IBM Plex Sans SemiBold" w:eastAsia="Times New Roman" w:hAnsi="IBM Plex Sans SemiBold"/>
          <w:b/>
          <w:bCs/>
          <w:color w:val="016676"/>
          <w:sz w:val="20"/>
          <w:szCs w:val="20"/>
        </w:rPr>
        <w:t>NOTE 14: PENSION AND OTHER POSTRETIRE</w:t>
      </w:r>
      <w:r>
        <w:rPr>
          <w:rFonts w:ascii="IBM Plex Sans SemiBold" w:eastAsia="Times New Roman" w:hAnsi="IBM Plex Sans SemiBold"/>
          <w:b/>
          <w:bCs/>
          <w:color w:val="016676"/>
          <w:sz w:val="20"/>
          <w:szCs w:val="20"/>
        </w:rPr>
        <w:t>MENT BENEFITS</w:t>
      </w:r>
      <w:r>
        <w:rPr>
          <w:rFonts w:ascii="IBM Plex Sans" w:eastAsia="Times New Roman" w:hAnsi="IBM Plex Sans"/>
          <w:b/>
          <w:bCs/>
          <w:i/>
          <w:iCs/>
          <w:color w:val="283030"/>
          <w:sz w:val="20"/>
          <w:szCs w:val="20"/>
        </w:rPr>
        <w:t xml:space="preserve"> </w:t>
      </w:r>
    </w:p>
    <w:p w:rsidR="00000000" w:rsidRDefault="00F5481A">
      <w:pPr>
        <w:divId w:val="407770532"/>
        <w:rPr>
          <w:rFonts w:eastAsia="Times New Roman"/>
        </w:rPr>
      </w:pPr>
      <w:r>
        <w:rPr>
          <w:rFonts w:ascii="IBM Plex Sans SemiBold" w:eastAsia="Times New Roman" w:hAnsi="IBM Plex Sans SemiBold"/>
          <w:b/>
          <w:bCs/>
          <w:color w:val="016676"/>
          <w:sz w:val="20"/>
          <w:szCs w:val="20"/>
        </w:rPr>
        <w:t>Defined Contribution Plans</w:t>
      </w:r>
    </w:p>
    <w:p w:rsidR="00000000" w:rsidRDefault="00F5481A">
      <w:pPr>
        <w:ind w:firstLine="360"/>
        <w:divId w:val="907349038"/>
        <w:rPr>
          <w:rFonts w:eastAsia="Times New Roman"/>
        </w:rPr>
      </w:pPr>
      <w:r>
        <w:rPr>
          <w:rFonts w:ascii="IBM Plex Sans" w:eastAsia="Times New Roman" w:hAnsi="IBM Plex Sans"/>
          <w:color w:val="283030"/>
          <w:sz w:val="20"/>
          <w:szCs w:val="20"/>
        </w:rPr>
        <w:t>As of December </w:t>
      </w:r>
      <w:r>
        <w:rPr>
          <w:rFonts w:ascii="IBM Plex Sans" w:eastAsia="Times New Roman" w:hAnsi="IBM Plex Sans"/>
          <w:color w:val="283030"/>
          <w:sz w:val="20"/>
          <w:szCs w:val="20"/>
        </w:rPr>
        <w:t>30, 2022, we sponsor numerous defined contribution savings plans, which allow our eligible employees to contribute a portion of their pre-tax and/or after-tax income in accordance with specified guidelines. The plans include several match contribution form</w:t>
      </w:r>
      <w:r>
        <w:rPr>
          <w:rFonts w:ascii="IBM Plex Sans" w:eastAsia="Times New Roman" w:hAnsi="IBM Plex Sans"/>
          <w:color w:val="283030"/>
          <w:sz w:val="20"/>
          <w:szCs w:val="20"/>
        </w:rPr>
        <w:t>ulas which require us to match a percentage of the employee contributions up to certain limits, generally totaling 6.0% of employee eligible pay. Matching contributions, net of forfeitures, charged to expense were $226 million, $230 million and $225 millio</w:t>
      </w:r>
      <w:r>
        <w:rPr>
          <w:rFonts w:ascii="IBM Plex Sans" w:eastAsia="Times New Roman" w:hAnsi="IBM Plex Sans"/>
          <w:color w:val="283030"/>
          <w:sz w:val="20"/>
          <w:szCs w:val="20"/>
        </w:rPr>
        <w:t xml:space="preserve">n in fiscal 2022, 2021 and 2020, respectively. </w:t>
      </w:r>
    </w:p>
    <w:p w:rsidR="00000000" w:rsidRDefault="00F5481A">
      <w:pPr>
        <w:ind w:firstLine="360"/>
        <w:jc w:val="center"/>
        <w:divId w:val="1024751384"/>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88</w:t>
      </w:r>
    </w:p>
    <w:p w:rsidR="00000000" w:rsidRDefault="00F5481A">
      <w:pPr>
        <w:rPr>
          <w:rFonts w:eastAsia="Times New Roman"/>
        </w:rPr>
      </w:pPr>
      <w:r>
        <w:rPr>
          <w:rFonts w:eastAsia="Times New Roman"/>
        </w:rPr>
        <w:pict>
          <v:rect id="_x0000_i1119" style="width:0;height:1.5pt" o:hralign="center" o:hrstd="t" o:hr="t" fillcolor="#a0a0a0" stroked="f"/>
        </w:pict>
      </w:r>
    </w:p>
    <w:p w:rsidR="00000000" w:rsidRDefault="00F5481A">
      <w:pPr>
        <w:ind w:firstLine="360"/>
        <w:divId w:val="1720012620"/>
        <w:rPr>
          <w:rFonts w:eastAsia="Times New Roman"/>
        </w:rPr>
      </w:pPr>
    </w:p>
    <w:p w:rsidR="00000000" w:rsidRDefault="00F5481A">
      <w:pPr>
        <w:divId w:val="1135759025"/>
        <w:rPr>
          <w:rFonts w:eastAsia="Times New Roman"/>
        </w:rPr>
      </w:pPr>
      <w:r>
        <w:rPr>
          <w:rFonts w:ascii="IBM Plex Sans SemiBold" w:eastAsia="Times New Roman" w:hAnsi="IBM Plex Sans SemiBold"/>
          <w:b/>
          <w:bCs/>
          <w:color w:val="016676"/>
          <w:sz w:val="20"/>
          <w:szCs w:val="20"/>
        </w:rPr>
        <w:t>Deferred Compensation Plans</w:t>
      </w:r>
    </w:p>
    <w:p w:rsidR="00000000" w:rsidRDefault="00F5481A">
      <w:pPr>
        <w:ind w:firstLine="360"/>
        <w:divId w:val="1846169174"/>
        <w:rPr>
          <w:rFonts w:eastAsia="Times New Roman"/>
        </w:rPr>
      </w:pPr>
      <w:r>
        <w:rPr>
          <w:rFonts w:ascii="IBM Plex Sans" w:eastAsia="Times New Roman" w:hAnsi="IBM Plex Sans"/>
          <w:color w:val="283030"/>
          <w:sz w:val="20"/>
          <w:szCs w:val="20"/>
        </w:rPr>
        <w:t>We also sponsor certain non-qualified deferred compensation plans. The following table provides the fair value of our deferred compensation plan investments and liabilities by category and by fair value hierarchy level:</w:t>
      </w:r>
    </w:p>
    <w:tbl>
      <w:tblPr>
        <w:tblW w:w="5000" w:type="pct"/>
        <w:tblCellMar>
          <w:top w:w="15" w:type="dxa"/>
          <w:left w:w="15" w:type="dxa"/>
          <w:bottom w:w="15" w:type="dxa"/>
          <w:right w:w="15" w:type="dxa"/>
        </w:tblCellMar>
        <w:tblLook w:val="04A0" w:firstRow="1" w:lastRow="0" w:firstColumn="1" w:lastColumn="0" w:noHBand="0" w:noVBand="1"/>
      </w:tblPr>
      <w:tblGrid>
        <w:gridCol w:w="47"/>
        <w:gridCol w:w="3959"/>
        <w:gridCol w:w="39"/>
        <w:gridCol w:w="132"/>
        <w:gridCol w:w="743"/>
        <w:gridCol w:w="36"/>
        <w:gridCol w:w="36"/>
        <w:gridCol w:w="36"/>
        <w:gridCol w:w="36"/>
        <w:gridCol w:w="133"/>
        <w:gridCol w:w="743"/>
        <w:gridCol w:w="37"/>
        <w:gridCol w:w="36"/>
        <w:gridCol w:w="36"/>
        <w:gridCol w:w="36"/>
        <w:gridCol w:w="132"/>
        <w:gridCol w:w="743"/>
        <w:gridCol w:w="36"/>
        <w:gridCol w:w="36"/>
        <w:gridCol w:w="36"/>
        <w:gridCol w:w="36"/>
        <w:gridCol w:w="133"/>
        <w:gridCol w:w="744"/>
        <w:gridCol w:w="37"/>
        <w:gridCol w:w="36"/>
        <w:gridCol w:w="36"/>
        <w:gridCol w:w="36"/>
        <w:gridCol w:w="36"/>
        <w:gridCol w:w="36"/>
        <w:gridCol w:w="36"/>
        <w:gridCol w:w="36"/>
        <w:gridCol w:w="36"/>
      </w:tblGrid>
      <w:tr w:rsidR="00000000">
        <w:trPr>
          <w:divId w:val="676150000"/>
        </w:trPr>
        <w:tc>
          <w:tcPr>
            <w:tcW w:w="50" w:type="pct"/>
            <w:vAlign w:val="center"/>
            <w:hideMark/>
          </w:tcPr>
          <w:p w:rsidR="00000000" w:rsidRDefault="00F5481A">
            <w:pPr>
              <w:ind w:firstLine="360"/>
              <w:rPr>
                <w:rFonts w:eastAsia="Times New Roman"/>
              </w:rPr>
            </w:pPr>
          </w:p>
        </w:tc>
        <w:tc>
          <w:tcPr>
            <w:tcW w:w="255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51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51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51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51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676150000"/>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676150000"/>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Level 1</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Level 1</w:t>
            </w:r>
          </w:p>
        </w:tc>
        <w:tc>
          <w:tcPr>
            <w:tcW w:w="0" w:type="auto"/>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676150000"/>
          <w:trHeight w:val="60"/>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676150000"/>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283030"/>
                <w:sz w:val="20"/>
                <w:szCs w:val="20"/>
              </w:rPr>
              <w:t>Assets</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676150000"/>
        </w:trPr>
        <w:tc>
          <w:tcPr>
            <w:tcW w:w="0" w:type="auto"/>
            <w:gridSpan w:val="3"/>
            <w:shd w:val="clear" w:color="auto" w:fill="FFFFFF"/>
            <w:tcMar>
              <w:top w:w="30" w:type="dxa"/>
              <w:left w:w="20" w:type="dxa"/>
              <w:bottom w:w="30" w:type="dxa"/>
              <w:right w:w="20" w:type="dxa"/>
            </w:tcMar>
            <w:hideMark/>
          </w:tcPr>
          <w:p w:rsidR="00000000" w:rsidRDefault="00F5481A">
            <w:pPr>
              <w:spacing w:after="100"/>
              <w:divId w:val="1727488527"/>
              <w:rPr>
                <w:rFonts w:eastAsia="Times New Roman"/>
              </w:rPr>
            </w:pPr>
            <w:r>
              <w:rPr>
                <w:rFonts w:ascii="IBM Plex Sans" w:eastAsia="Times New Roman" w:hAnsi="IBM Plex Sans"/>
                <w:color w:val="283030"/>
                <w:sz w:val="20"/>
                <w:szCs w:val="20"/>
              </w:rPr>
              <w:t>Deferred compensation plan assets</w:t>
            </w:r>
            <w:r>
              <w:rPr>
                <w:rFonts w:ascii="IBM Plex Sans" w:eastAsia="Times New Roman" w:hAnsi="IBM Plex Sans"/>
                <w:color w:val="283030"/>
                <w:sz w:val="20"/>
                <w:szCs w:val="20"/>
              </w:rPr>
              <w:t>:</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676150000"/>
        </w:trPr>
        <w:tc>
          <w:tcPr>
            <w:tcW w:w="0" w:type="auto"/>
            <w:gridSpan w:val="3"/>
            <w:shd w:val="clear" w:color="auto" w:fill="D7EFF1"/>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Equity and fixed income securities</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77 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77 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676150000"/>
        </w:trPr>
        <w:tc>
          <w:tcPr>
            <w:tcW w:w="0" w:type="auto"/>
            <w:gridSpan w:val="3"/>
            <w:shd w:val="clear" w:color="auto" w:fill="FFFFFF"/>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Investments measured at NAV:</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676150000"/>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676150000"/>
        </w:trPr>
        <w:tc>
          <w:tcPr>
            <w:tcW w:w="0" w:type="auto"/>
            <w:gridSpan w:val="3"/>
            <w:shd w:val="clear" w:color="auto" w:fill="D7EFF1"/>
            <w:tcMar>
              <w:top w:w="30" w:type="dxa"/>
              <w:left w:w="7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Corporate-owned life insurance</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35 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676150000"/>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676150000"/>
        </w:trPr>
        <w:tc>
          <w:tcPr>
            <w:tcW w:w="0" w:type="auto"/>
            <w:gridSpan w:val="3"/>
            <w:shd w:val="clear" w:color="auto" w:fill="FFFFFF"/>
            <w:tcMar>
              <w:top w:w="30" w:type="dxa"/>
              <w:left w:w="18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Total fair value of deferred compensation plan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676150000"/>
          <w:trHeight w:val="300"/>
        </w:trPr>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double" w:sz="6" w:space="0" w:color="000000"/>
            </w:tcBorders>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double" w:sz="6" w:space="0" w:color="000000"/>
            </w:tcBorders>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676150000"/>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28303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676150000"/>
        </w:trPr>
        <w:tc>
          <w:tcPr>
            <w:tcW w:w="0" w:type="auto"/>
            <w:gridSpan w:val="3"/>
            <w:shd w:val="clear" w:color="auto" w:fill="D7EFF1"/>
            <w:tcMar>
              <w:top w:w="30" w:type="dxa"/>
              <w:left w:w="20" w:type="dxa"/>
              <w:bottom w:w="30" w:type="dxa"/>
              <w:right w:w="20" w:type="dxa"/>
            </w:tcMar>
            <w:hideMark/>
          </w:tcPr>
          <w:p w:rsidR="00000000" w:rsidRDefault="00F5481A">
            <w:pPr>
              <w:spacing w:after="100"/>
              <w:divId w:val="101993481"/>
              <w:rPr>
                <w:rFonts w:eastAsia="Times New Roman"/>
              </w:rPr>
            </w:pPr>
            <w:r>
              <w:rPr>
                <w:rFonts w:ascii="IBM Plex Sans" w:eastAsia="Times New Roman" w:hAnsi="IBM Plex Sans"/>
                <w:color w:val="283030"/>
                <w:sz w:val="20"/>
                <w:szCs w:val="20"/>
              </w:rPr>
              <w:t>Deferred compensation plan liabilities</w:t>
            </w:r>
            <w:r>
              <w:rPr>
                <w:rFonts w:ascii="IBM Plex Sans" w:eastAsia="Times New Roman" w:hAnsi="IBM Plex Sans"/>
                <w:color w:val="283030"/>
                <w:sz w:val="20"/>
                <w:szCs w:val="20"/>
              </w:rPr>
              <w:t>:</w:t>
            </w:r>
            <w:r>
              <w:rPr>
                <w:rFonts w:ascii="IBM Plex Sans" w:eastAsia="Times New Roman" w:hAnsi="IBM Plex Sans"/>
                <w:color w:val="283030"/>
                <w:sz w:val="13"/>
                <w:szCs w:val="13"/>
              </w:rPr>
              <w:t>(2</w:t>
            </w:r>
            <w:r>
              <w:rPr>
                <w:rFonts w:ascii="IBM Plex Sans" w:eastAsia="Times New Roman" w:hAnsi="IBM Plex Sans"/>
                <w:color w:val="283030"/>
                <w:sz w:val="13"/>
                <w:szCs w:val="13"/>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676150000"/>
        </w:trPr>
        <w:tc>
          <w:tcPr>
            <w:tcW w:w="0" w:type="auto"/>
            <w:gridSpan w:val="3"/>
            <w:shd w:val="clear" w:color="auto" w:fill="FFFFFF"/>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Equity securities and mutual funds</w:t>
            </w: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676150000"/>
        </w:trPr>
        <w:tc>
          <w:tcPr>
            <w:tcW w:w="0" w:type="auto"/>
            <w:gridSpan w:val="3"/>
            <w:shd w:val="clear" w:color="auto" w:fill="D7EFF1"/>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Investments measured at NAV:</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676150000"/>
        </w:trPr>
        <w:tc>
          <w:tcPr>
            <w:tcW w:w="0" w:type="auto"/>
            <w:gridSpan w:val="3"/>
            <w:shd w:val="clear" w:color="auto" w:fill="FFFFFF"/>
            <w:tcMar>
              <w:top w:w="30" w:type="dxa"/>
              <w:left w:w="920" w:type="dxa"/>
              <w:bottom w:w="30" w:type="dxa"/>
              <w:right w:w="20" w:type="dxa"/>
            </w:tcMar>
            <w:hideMark/>
          </w:tcPr>
          <w:p w:rsidR="00000000" w:rsidRDefault="00F5481A">
            <w:pPr>
              <w:spacing w:after="100"/>
              <w:ind w:hanging="180"/>
              <w:rPr>
                <w:rFonts w:eastAsia="Times New Roman"/>
              </w:rPr>
            </w:pPr>
            <w:r>
              <w:rPr>
                <w:rFonts w:ascii="IBM Plex Sans" w:eastAsia="Times New Roman" w:hAnsi="IBM Plex Sans"/>
                <w:color w:val="283030"/>
                <w:sz w:val="20"/>
                <w:szCs w:val="20"/>
              </w:rPr>
              <w:t>Common/collective trusts and guaranteed investment contracts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192 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177 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676150000"/>
        </w:trPr>
        <w:tc>
          <w:tcPr>
            <w:tcW w:w="0" w:type="auto"/>
            <w:gridSpan w:val="3"/>
            <w:shd w:val="clear" w:color="auto" w:fill="D7EFF1"/>
            <w:tcMar>
              <w:top w:w="30" w:type="dxa"/>
              <w:left w:w="18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Total fair value of deferred compensation plan liabilities</w:t>
            </w: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200 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183 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bl>
    <w:p w:rsidR="00000000" w:rsidRDefault="00F5481A">
      <w:pPr>
        <w:divId w:val="797651425"/>
        <w:rPr>
          <w:rFonts w:eastAsia="Times New Roman"/>
        </w:rPr>
      </w:pPr>
      <w:r>
        <w:rPr>
          <w:rFonts w:ascii="IBM Plex Sans" w:eastAsia="Times New Roman" w:hAnsi="IBM Plex Sans"/>
          <w:color w:val="283030"/>
          <w:sz w:val="16"/>
          <w:szCs w:val="16"/>
        </w:rPr>
        <w:t>_______________</w:t>
      </w:r>
    </w:p>
    <w:p w:rsidR="00000000" w:rsidRDefault="00F5481A">
      <w:pPr>
        <w:ind w:hanging="360"/>
        <w:divId w:val="342099499"/>
        <w:rPr>
          <w:rFonts w:eastAsia="Times New Roman"/>
        </w:rPr>
      </w:pPr>
      <w:r>
        <w:rPr>
          <w:rFonts w:ascii="IBM Plex Sans" w:eastAsia="Times New Roman" w:hAnsi="IBM Plex Sans"/>
          <w:color w:val="283030"/>
          <w:sz w:val="16"/>
          <w:szCs w:val="16"/>
        </w:rPr>
        <w:t xml:space="preserve">(1)Represents diversified assets held in a “rabbi trust” </w:t>
      </w:r>
      <w:r>
        <w:rPr>
          <w:rFonts w:ascii="IBM Plex Sans" w:eastAsia="Times New Roman" w:hAnsi="IBM Plex Sans"/>
          <w:color w:val="283030"/>
          <w:sz w:val="16"/>
          <w:szCs w:val="16"/>
        </w:rPr>
        <w:t>associated with our non-qualified deferred compensation plans, which we include in the “Other current assets” and “Other non-current assets” line items in our Consolidated Balance Sheet, and which are measured at fair value.</w:t>
      </w:r>
    </w:p>
    <w:p w:rsidR="00000000" w:rsidRDefault="00F5481A">
      <w:pPr>
        <w:ind w:hanging="360"/>
        <w:divId w:val="432215452"/>
        <w:rPr>
          <w:rFonts w:eastAsia="Times New Roman"/>
        </w:rPr>
      </w:pPr>
      <w:r>
        <w:rPr>
          <w:rFonts w:ascii="IBM Plex Sans" w:eastAsia="Times New Roman" w:hAnsi="IBM Plex Sans"/>
          <w:color w:val="283030"/>
          <w:sz w:val="16"/>
          <w:szCs w:val="16"/>
        </w:rPr>
        <w:t>(2)Primarily represents obligat</w:t>
      </w:r>
      <w:r>
        <w:rPr>
          <w:rFonts w:ascii="IBM Plex Sans" w:eastAsia="Times New Roman" w:hAnsi="IBM Plex Sans"/>
          <w:color w:val="283030"/>
          <w:sz w:val="16"/>
          <w:szCs w:val="16"/>
        </w:rPr>
        <w:t>ions to pay benefits under certain non-qualified deferred compensation plans, which we include in the “Compensation and benefits” and “Other long-term liabilities” line items in our Consolidated Balance Sheet. Under these plans, participants designate inve</w:t>
      </w:r>
      <w:r>
        <w:rPr>
          <w:rFonts w:ascii="IBM Plex Sans" w:eastAsia="Times New Roman" w:hAnsi="IBM Plex Sans"/>
          <w:color w:val="283030"/>
          <w:sz w:val="16"/>
          <w:szCs w:val="16"/>
        </w:rPr>
        <w:t>stment options (including stock and fixed-income funds), which serve as the basis for measurement of the notional value of their accounts.</w:t>
      </w:r>
    </w:p>
    <w:p w:rsidR="00000000" w:rsidRDefault="00F5481A">
      <w:pPr>
        <w:divId w:val="392704882"/>
        <w:rPr>
          <w:rFonts w:eastAsia="Times New Roman"/>
        </w:rPr>
      </w:pPr>
      <w:r>
        <w:rPr>
          <w:rFonts w:ascii="IBM Plex Sans SemiBold" w:eastAsia="Times New Roman" w:hAnsi="IBM Plex Sans SemiBold"/>
          <w:b/>
          <w:bCs/>
          <w:color w:val="016676"/>
          <w:sz w:val="20"/>
          <w:szCs w:val="20"/>
        </w:rPr>
        <w:t>Defined Benefit Plans</w:t>
      </w:r>
    </w:p>
    <w:p w:rsidR="00000000" w:rsidRDefault="00F5481A">
      <w:pPr>
        <w:ind w:firstLine="360"/>
        <w:divId w:val="551037514"/>
        <w:rPr>
          <w:rFonts w:eastAsia="Times New Roman"/>
        </w:rPr>
      </w:pPr>
      <w:r>
        <w:rPr>
          <w:rFonts w:ascii="IBM Plex Sans" w:eastAsia="Times New Roman" w:hAnsi="IBM Plex Sans"/>
          <w:color w:val="283030"/>
          <w:sz w:val="20"/>
          <w:szCs w:val="20"/>
        </w:rPr>
        <w:t>We sponsor numerous defined benefit pension plans for eligible employees. Benefits for most par</w:t>
      </w:r>
      <w:r>
        <w:rPr>
          <w:rFonts w:ascii="IBM Plex Sans" w:eastAsia="Times New Roman" w:hAnsi="IBM Plex Sans"/>
          <w:color w:val="283030"/>
          <w:sz w:val="20"/>
          <w:szCs w:val="20"/>
        </w:rPr>
        <w:t>ticipants under the terms of these plans are based on the employee’s years of service and compensation. We fund these plans as required by statutory regulations and through voluntary contributions. Some of our employees also participate in other postretire</w:t>
      </w:r>
      <w:r>
        <w:rPr>
          <w:rFonts w:ascii="IBM Plex Sans" w:eastAsia="Times New Roman" w:hAnsi="IBM Plex Sans"/>
          <w:color w:val="283030"/>
          <w:sz w:val="20"/>
          <w:szCs w:val="20"/>
        </w:rPr>
        <w:t>ment defined benefit plans such as health care and life insurance plans.</w:t>
      </w:r>
    </w:p>
    <w:p w:rsidR="00000000" w:rsidRDefault="00F5481A">
      <w:pPr>
        <w:ind w:firstLine="360"/>
        <w:divId w:val="1524973926"/>
        <w:rPr>
          <w:rFonts w:eastAsia="Times New Roman"/>
        </w:rPr>
      </w:pPr>
      <w:r>
        <w:rPr>
          <w:rFonts w:ascii="IBM Plex Sans" w:eastAsia="Times New Roman" w:hAnsi="IBM Plex Sans"/>
          <w:color w:val="283030"/>
          <w:sz w:val="20"/>
          <w:szCs w:val="20"/>
        </w:rPr>
        <w:t>Effective January 1, 2020, for certain acquired L3 U.S. defined benefit pension plans, benefit accruals were frozen and replaced with a 1% cash balance benefit formula for certain emp</w:t>
      </w:r>
      <w:r>
        <w:rPr>
          <w:rFonts w:ascii="IBM Plex Sans" w:eastAsia="Times New Roman" w:hAnsi="IBM Plex Sans"/>
          <w:color w:val="283030"/>
          <w:sz w:val="20"/>
          <w:szCs w:val="20"/>
        </w:rPr>
        <w:t xml:space="preserve">loyees who were not considered highly compensated on December 31, 2018. </w:t>
      </w:r>
    </w:p>
    <w:p w:rsidR="00000000" w:rsidRDefault="00F5481A">
      <w:pPr>
        <w:ind w:firstLine="360"/>
        <w:divId w:val="1947888649"/>
        <w:rPr>
          <w:rFonts w:eastAsia="Times New Roman"/>
        </w:rPr>
      </w:pPr>
      <w:r>
        <w:rPr>
          <w:rFonts w:ascii="IBM Plex Sans" w:eastAsia="Times New Roman" w:hAnsi="IBM Plex Sans"/>
          <w:color w:val="283030"/>
          <w:sz w:val="20"/>
          <w:szCs w:val="20"/>
        </w:rPr>
        <w:t>At December 31, 2022, the Salaried Pension Plan was merged into the Aviation Products Pension Plan. The merger will result in lower Pension Benefit Guaranty Corporation (“PBGC”) premi</w:t>
      </w:r>
      <w:r>
        <w:rPr>
          <w:rFonts w:ascii="IBM Plex Sans" w:eastAsia="Times New Roman" w:hAnsi="IBM Plex Sans"/>
          <w:color w:val="283030"/>
          <w:sz w:val="20"/>
          <w:szCs w:val="20"/>
        </w:rPr>
        <w:t>ums in 2023 and thereafter. Our Aviation Products Pension Plan is our largest defined benefit pension plan, with assets valued at $6.4 billion and a PBO of $6.5 billion as of December 30, 2022.</w:t>
      </w:r>
    </w:p>
    <w:p w:rsidR="00000000" w:rsidRDefault="00F5481A">
      <w:pPr>
        <w:ind w:firstLine="360"/>
        <w:divId w:val="799498351"/>
        <w:rPr>
          <w:rFonts w:eastAsia="Times New Roman"/>
        </w:rPr>
      </w:pPr>
      <w:r>
        <w:rPr>
          <w:rFonts w:ascii="IBM Plex Sans" w:eastAsia="Times New Roman" w:hAnsi="IBM Plex Sans"/>
          <w:color w:val="283030"/>
          <w:sz w:val="20"/>
          <w:szCs w:val="20"/>
        </w:rPr>
        <w:t>During fiscal 2022, we reduced our pension benefit obligations</w:t>
      </w:r>
      <w:r>
        <w:rPr>
          <w:rFonts w:ascii="IBM Plex Sans" w:eastAsia="Times New Roman" w:hAnsi="IBM Plex Sans"/>
          <w:color w:val="283030"/>
          <w:sz w:val="20"/>
          <w:szCs w:val="20"/>
        </w:rPr>
        <w:t xml:space="preserve"> by approximately $64 million by purchasing group annuity policies and transferring approximately $64 million of pension plan assets to an insurance company. There was no gain or loss as a result of this transaction. </w:t>
      </w:r>
    </w:p>
    <w:p w:rsidR="00000000" w:rsidRDefault="00F5481A">
      <w:pPr>
        <w:ind w:firstLine="360"/>
        <w:divId w:val="680469512"/>
        <w:rPr>
          <w:rFonts w:eastAsia="Times New Roman"/>
        </w:rPr>
      </w:pPr>
      <w:r>
        <w:rPr>
          <w:rFonts w:ascii="IBM Plex Sans" w:eastAsia="Times New Roman" w:hAnsi="IBM Plex Sans"/>
          <w:color w:val="283030"/>
          <w:sz w:val="20"/>
          <w:szCs w:val="20"/>
        </w:rPr>
        <w:t>During fiscal 2021, we reduced our pen</w:t>
      </w:r>
      <w:r>
        <w:rPr>
          <w:rFonts w:ascii="IBM Plex Sans" w:eastAsia="Times New Roman" w:hAnsi="IBM Plex Sans"/>
          <w:color w:val="283030"/>
          <w:sz w:val="20"/>
          <w:szCs w:val="20"/>
        </w:rPr>
        <w:t>sion benefit obligations by approximately $250 million by purchasing group annuity policies and transferring approximately $250 million of pension plan assets to an insurance company. As a result of the annuity purchases, we recognized a pre-tax loss of $4</w:t>
      </w:r>
      <w:r>
        <w:rPr>
          <w:rFonts w:ascii="IBM Plex Sans" w:eastAsia="Times New Roman" w:hAnsi="IBM Plex Sans"/>
          <w:color w:val="283030"/>
          <w:sz w:val="20"/>
          <w:szCs w:val="20"/>
        </w:rPr>
        <w:t> million in fiscal 2021, which is included as a component of the “Non-operating income, net” line item in our Consolidated Statement of Operations. We also recognized a pre-tax curtailment gain of $3 million in fiscal 2021 as a result of employee terminati</w:t>
      </w:r>
      <w:r>
        <w:rPr>
          <w:rFonts w:ascii="IBM Plex Sans" w:eastAsia="Times New Roman" w:hAnsi="IBM Plex Sans"/>
          <w:color w:val="283030"/>
          <w:sz w:val="20"/>
          <w:szCs w:val="20"/>
        </w:rPr>
        <w:t>ons, which is included as a component of the “Non-operating income, net” line item in our Consolidated Statement of Operations.</w:t>
      </w:r>
    </w:p>
    <w:p w:rsidR="00000000" w:rsidRDefault="00F5481A">
      <w:pPr>
        <w:ind w:firstLine="360"/>
        <w:jc w:val="center"/>
        <w:divId w:val="1551384193"/>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89</w:t>
      </w:r>
    </w:p>
    <w:p w:rsidR="00000000" w:rsidRDefault="00F5481A">
      <w:pPr>
        <w:rPr>
          <w:rFonts w:eastAsia="Times New Roman"/>
        </w:rPr>
      </w:pPr>
      <w:r>
        <w:rPr>
          <w:rFonts w:eastAsia="Times New Roman"/>
        </w:rPr>
        <w:pict>
          <v:rect id="_x0000_i1120" style="width:0;height:1.5pt" o:hralign="center" o:hrstd="t" o:hr="t" fillcolor="#a0a0a0" stroked="f"/>
        </w:pict>
      </w:r>
    </w:p>
    <w:p w:rsidR="00000000" w:rsidRDefault="00F5481A">
      <w:pPr>
        <w:ind w:firstLine="360"/>
        <w:divId w:val="1581256894"/>
        <w:rPr>
          <w:rFonts w:eastAsia="Times New Roman"/>
        </w:rPr>
      </w:pPr>
    </w:p>
    <w:p w:rsidR="00000000" w:rsidRDefault="00F5481A">
      <w:pPr>
        <w:divId w:val="1342243336"/>
        <w:rPr>
          <w:rFonts w:eastAsia="Times New Roman"/>
        </w:rPr>
      </w:pPr>
      <w:r>
        <w:rPr>
          <w:rFonts w:ascii="IBM Plex Sans SemiBold" w:eastAsia="Times New Roman" w:hAnsi="IBM Plex Sans SemiBold"/>
          <w:b/>
          <w:bCs/>
          <w:color w:val="016676"/>
          <w:sz w:val="20"/>
          <w:szCs w:val="20"/>
        </w:rPr>
        <w:t>Balance Sheet In</w:t>
      </w:r>
      <w:r>
        <w:rPr>
          <w:rFonts w:ascii="IBM Plex Sans SemiBold" w:eastAsia="Times New Roman" w:hAnsi="IBM Plex Sans SemiBold"/>
          <w:b/>
          <w:bCs/>
          <w:color w:val="016676"/>
          <w:sz w:val="20"/>
          <w:szCs w:val="20"/>
        </w:rPr>
        <w:t>formation</w:t>
      </w:r>
    </w:p>
    <w:p w:rsidR="00000000" w:rsidRDefault="00F5481A">
      <w:pPr>
        <w:ind w:firstLine="360"/>
        <w:divId w:val="1653367319"/>
        <w:rPr>
          <w:rFonts w:eastAsia="Times New Roman"/>
        </w:rPr>
      </w:pPr>
      <w:r>
        <w:rPr>
          <w:rFonts w:ascii="IBM Plex Sans" w:eastAsia="Times New Roman" w:hAnsi="IBM Plex Sans"/>
          <w:color w:val="283030"/>
          <w:sz w:val="20"/>
          <w:szCs w:val="20"/>
        </w:rPr>
        <w:t xml:space="preserve">Amounts recognized in our Consolidated Balance Sheet for defined benefit plans reflect the funded status of our plans. The following table provides a summary of the funded status of our defined benefit plans and the presentation of such balances </w:t>
      </w:r>
      <w:r>
        <w:rPr>
          <w:rFonts w:ascii="IBM Plex Sans" w:eastAsia="Times New Roman" w:hAnsi="IBM Plex Sans"/>
          <w:color w:val="283030"/>
          <w:sz w:val="20"/>
          <w:szCs w:val="20"/>
        </w:rPr>
        <w:t>within our Consolidated Balance Sheet:</w:t>
      </w:r>
    </w:p>
    <w:tbl>
      <w:tblPr>
        <w:tblW w:w="5000" w:type="pct"/>
        <w:tblCellMar>
          <w:top w:w="15" w:type="dxa"/>
          <w:left w:w="15" w:type="dxa"/>
          <w:bottom w:w="15" w:type="dxa"/>
          <w:right w:w="15" w:type="dxa"/>
        </w:tblCellMar>
        <w:tblLook w:val="04A0" w:firstRow="1" w:lastRow="0" w:firstColumn="1" w:lastColumn="0" w:noHBand="0" w:noVBand="1"/>
      </w:tblPr>
      <w:tblGrid>
        <w:gridCol w:w="39"/>
        <w:gridCol w:w="2499"/>
        <w:gridCol w:w="38"/>
        <w:gridCol w:w="132"/>
        <w:gridCol w:w="557"/>
        <w:gridCol w:w="36"/>
        <w:gridCol w:w="36"/>
        <w:gridCol w:w="36"/>
        <w:gridCol w:w="36"/>
        <w:gridCol w:w="133"/>
        <w:gridCol w:w="596"/>
        <w:gridCol w:w="36"/>
        <w:gridCol w:w="36"/>
        <w:gridCol w:w="36"/>
        <w:gridCol w:w="36"/>
        <w:gridCol w:w="132"/>
        <w:gridCol w:w="557"/>
        <w:gridCol w:w="36"/>
        <w:gridCol w:w="36"/>
        <w:gridCol w:w="36"/>
        <w:gridCol w:w="36"/>
        <w:gridCol w:w="133"/>
        <w:gridCol w:w="684"/>
        <w:gridCol w:w="36"/>
        <w:gridCol w:w="36"/>
        <w:gridCol w:w="36"/>
        <w:gridCol w:w="36"/>
        <w:gridCol w:w="133"/>
        <w:gridCol w:w="596"/>
        <w:gridCol w:w="36"/>
        <w:gridCol w:w="36"/>
        <w:gridCol w:w="36"/>
        <w:gridCol w:w="36"/>
        <w:gridCol w:w="133"/>
        <w:gridCol w:w="684"/>
        <w:gridCol w:w="36"/>
        <w:gridCol w:w="36"/>
        <w:gridCol w:w="36"/>
        <w:gridCol w:w="36"/>
        <w:gridCol w:w="36"/>
        <w:gridCol w:w="36"/>
        <w:gridCol w:w="36"/>
        <w:gridCol w:w="36"/>
        <w:gridCol w:w="36"/>
        <w:gridCol w:w="36"/>
        <w:gridCol w:w="36"/>
        <w:gridCol w:w="36"/>
        <w:gridCol w:w="36"/>
        <w:gridCol w:w="36"/>
        <w:gridCol w:w="36"/>
      </w:tblGrid>
      <w:tr w:rsidR="00000000">
        <w:trPr>
          <w:divId w:val="1635941898"/>
        </w:trPr>
        <w:tc>
          <w:tcPr>
            <w:tcW w:w="50" w:type="pct"/>
            <w:vAlign w:val="center"/>
            <w:hideMark/>
          </w:tcPr>
          <w:p w:rsidR="00000000" w:rsidRDefault="00F5481A">
            <w:pPr>
              <w:ind w:firstLine="360"/>
              <w:rPr>
                <w:rFonts w:eastAsia="Times New Roman"/>
              </w:rPr>
            </w:pPr>
          </w:p>
        </w:tc>
        <w:tc>
          <w:tcPr>
            <w:tcW w:w="19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2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2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2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2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2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2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635941898"/>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15"/>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1635941898"/>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Other</w:t>
            </w:r>
            <w:r>
              <w:rPr>
                <w:rFonts w:ascii="IBM Plex Sans" w:eastAsia="Times New Roman" w:hAnsi="IBM Plex Sans"/>
                <w:b/>
                <w:bCs/>
                <w:color w:val="283030"/>
                <w:sz w:val="16"/>
                <w:szCs w:val="16"/>
              </w:rPr>
              <w:br/>
              <w:t>Benefits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Total</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Other</w:t>
            </w:r>
            <w:r>
              <w:rPr>
                <w:rFonts w:ascii="IBM Plex Sans" w:eastAsia="Times New Roman" w:hAnsi="IBM Plex Sans"/>
                <w:b/>
                <w:bCs/>
                <w:color w:val="283030"/>
                <w:sz w:val="16"/>
                <w:szCs w:val="16"/>
              </w:rPr>
              <w:br/>
              <w:t>Benefits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Total</w:t>
            </w:r>
          </w:p>
        </w:tc>
        <w:tc>
          <w:tcPr>
            <w:tcW w:w="0" w:type="auto"/>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635941898"/>
          <w:trHeight w:val="60"/>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635941898"/>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Fair value of plan assets</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7,411 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242 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7,653 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9,604 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320 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9,924 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635941898"/>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PBO</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(7,494)</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r>
              <w:rPr>
                <w:rFonts w:ascii="IBM Plex Sans" w:eastAsia="Times New Roman" w:hAnsi="IBM Plex Sans"/>
                <w:color w:val="283030"/>
                <w:sz w:val="20"/>
                <w:szCs w:val="20"/>
              </w:rPr>
              <w:t>228)</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(7,722)</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(10,007)</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(348)</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(10,355)</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635941898"/>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Funded status</w:t>
            </w: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(83)</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14 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(69)</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(403)</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(28)</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(431)</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635941898"/>
        </w:trPr>
        <w:tc>
          <w:tcPr>
            <w:tcW w:w="0" w:type="auto"/>
            <w:gridSpan w:val="36"/>
            <w:shd w:val="clear" w:color="auto" w:fill="FFFFFF"/>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Consolidated Balance Sheet line item amounts:</w:t>
            </w:r>
          </w:p>
        </w:tc>
        <w:tc>
          <w:tcPr>
            <w:tcW w:w="0" w:type="auto"/>
            <w:vAlign w:val="center"/>
            <w:hideMark/>
          </w:tcPr>
          <w:p w:rsidR="00000000" w:rsidRDefault="00F5481A">
            <w:pPr>
              <w:spacing w:after="100"/>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1635941898"/>
        </w:trPr>
        <w:tc>
          <w:tcPr>
            <w:tcW w:w="0" w:type="auto"/>
            <w:gridSpan w:val="3"/>
            <w:shd w:val="clear" w:color="auto" w:fill="D7EFF1"/>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Other non-current assets</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144 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66 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150 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201 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635941898"/>
        </w:trPr>
        <w:tc>
          <w:tcPr>
            <w:tcW w:w="0" w:type="auto"/>
            <w:gridSpan w:val="3"/>
            <w:shd w:val="clear" w:color="auto" w:fill="FFFFFF"/>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Compensation and benefits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(17)</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635941898"/>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635941898"/>
        </w:trPr>
        <w:tc>
          <w:tcPr>
            <w:tcW w:w="0" w:type="auto"/>
            <w:gridSpan w:val="3"/>
            <w:shd w:val="clear" w:color="auto" w:fill="D7EFF1"/>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Defined benefit plans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(216)</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(46)</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(262)</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(542)</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(72)</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(614)</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bl>
    <w:p w:rsidR="00000000" w:rsidRDefault="00F5481A">
      <w:pPr>
        <w:ind w:firstLine="360"/>
        <w:divId w:val="1931623197"/>
        <w:rPr>
          <w:rFonts w:eastAsia="Times New Roman"/>
        </w:rPr>
      </w:pPr>
      <w:r>
        <w:rPr>
          <w:rFonts w:ascii="IBM Plex Sans" w:eastAsia="Times New Roman" w:hAnsi="IBM Plex Sans"/>
          <w:color w:val="283030"/>
          <w:sz w:val="20"/>
          <w:szCs w:val="20"/>
        </w:rPr>
        <w:t>A portion of our PBO includes amounts that have not yet been recognized as expense (or reducti</w:t>
      </w:r>
      <w:r>
        <w:rPr>
          <w:rFonts w:ascii="IBM Plex Sans" w:eastAsia="Times New Roman" w:hAnsi="IBM Plex Sans"/>
          <w:color w:val="283030"/>
          <w:sz w:val="20"/>
          <w:szCs w:val="20"/>
        </w:rPr>
        <w:t>ons of expense) in our results of operations. Such amounts are recorded in the “Accumulated other comprehensive loss” line item in our Consolidated Balance Sheet until they are amortized as a component of net periodic benefit income. The following table pr</w:t>
      </w:r>
      <w:r>
        <w:rPr>
          <w:rFonts w:ascii="IBM Plex Sans" w:eastAsia="Times New Roman" w:hAnsi="IBM Plex Sans"/>
          <w:color w:val="283030"/>
          <w:sz w:val="20"/>
          <w:szCs w:val="20"/>
        </w:rPr>
        <w:t>ovides a summary of pre-tax amounts recorded within Accumulated other comprehensive loss:</w:t>
      </w:r>
    </w:p>
    <w:tbl>
      <w:tblPr>
        <w:tblW w:w="5000" w:type="pct"/>
        <w:tblCellMar>
          <w:top w:w="15" w:type="dxa"/>
          <w:left w:w="15" w:type="dxa"/>
          <w:bottom w:w="15" w:type="dxa"/>
          <w:right w:w="15" w:type="dxa"/>
        </w:tblCellMar>
        <w:tblLook w:val="04A0" w:firstRow="1" w:lastRow="0" w:firstColumn="1" w:lastColumn="0" w:noHBand="0" w:noVBand="1"/>
      </w:tblPr>
      <w:tblGrid>
        <w:gridCol w:w="38"/>
        <w:gridCol w:w="2815"/>
        <w:gridCol w:w="37"/>
        <w:gridCol w:w="133"/>
        <w:gridCol w:w="588"/>
        <w:gridCol w:w="36"/>
        <w:gridCol w:w="36"/>
        <w:gridCol w:w="36"/>
        <w:gridCol w:w="36"/>
        <w:gridCol w:w="133"/>
        <w:gridCol w:w="596"/>
        <w:gridCol w:w="36"/>
        <w:gridCol w:w="36"/>
        <w:gridCol w:w="36"/>
        <w:gridCol w:w="36"/>
        <w:gridCol w:w="132"/>
        <w:gridCol w:w="496"/>
        <w:gridCol w:w="36"/>
        <w:gridCol w:w="36"/>
        <w:gridCol w:w="36"/>
        <w:gridCol w:w="36"/>
        <w:gridCol w:w="133"/>
        <w:gridCol w:w="588"/>
        <w:gridCol w:w="36"/>
        <w:gridCol w:w="36"/>
        <w:gridCol w:w="36"/>
        <w:gridCol w:w="36"/>
        <w:gridCol w:w="133"/>
        <w:gridCol w:w="596"/>
        <w:gridCol w:w="36"/>
        <w:gridCol w:w="36"/>
        <w:gridCol w:w="36"/>
        <w:gridCol w:w="36"/>
        <w:gridCol w:w="132"/>
        <w:gridCol w:w="496"/>
        <w:gridCol w:w="36"/>
        <w:gridCol w:w="36"/>
        <w:gridCol w:w="36"/>
        <w:gridCol w:w="36"/>
        <w:gridCol w:w="36"/>
        <w:gridCol w:w="36"/>
        <w:gridCol w:w="36"/>
        <w:gridCol w:w="36"/>
        <w:gridCol w:w="36"/>
        <w:gridCol w:w="36"/>
        <w:gridCol w:w="36"/>
        <w:gridCol w:w="36"/>
        <w:gridCol w:w="36"/>
        <w:gridCol w:w="36"/>
        <w:gridCol w:w="36"/>
      </w:tblGrid>
      <w:tr w:rsidR="00000000">
        <w:trPr>
          <w:divId w:val="1103115604"/>
        </w:trPr>
        <w:tc>
          <w:tcPr>
            <w:tcW w:w="50" w:type="pct"/>
            <w:vAlign w:val="center"/>
            <w:hideMark/>
          </w:tcPr>
          <w:p w:rsidR="00000000" w:rsidRDefault="00F5481A">
            <w:pPr>
              <w:ind w:firstLine="360"/>
              <w:rPr>
                <w:rFonts w:eastAsia="Times New Roman"/>
              </w:rPr>
            </w:pPr>
          </w:p>
        </w:tc>
        <w:tc>
          <w:tcPr>
            <w:tcW w:w="19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2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2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2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2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2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2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03115604"/>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15"/>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1103115604"/>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Other</w:t>
            </w:r>
            <w:r>
              <w:rPr>
                <w:rFonts w:ascii="IBM Plex Sans" w:eastAsia="Times New Roman" w:hAnsi="IBM Plex Sans"/>
                <w:b/>
                <w:bCs/>
                <w:color w:val="283030"/>
                <w:sz w:val="16"/>
                <w:szCs w:val="16"/>
              </w:rPr>
              <w:br/>
              <w:t>Benefits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Total</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Other</w:t>
            </w:r>
            <w:r>
              <w:rPr>
                <w:rFonts w:ascii="IBM Plex Sans" w:eastAsia="Times New Roman" w:hAnsi="IBM Plex Sans"/>
                <w:b/>
                <w:bCs/>
                <w:color w:val="283030"/>
                <w:sz w:val="16"/>
                <w:szCs w:val="16"/>
              </w:rPr>
              <w:br/>
              <w:t>Benefits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Total</w:t>
            </w:r>
          </w:p>
        </w:tc>
        <w:tc>
          <w:tcPr>
            <w:tcW w:w="0" w:type="auto"/>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03115604"/>
          <w:trHeight w:val="60"/>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03115604"/>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Net actuarial loss (gain)</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243 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(100)</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143 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209 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(73)</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136 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03115604"/>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Net prior service (credit) cost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(183)</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(178)</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(218)</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(212)</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03115604"/>
        </w:trPr>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60 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(95)</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(35)</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(67)</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(76)</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bl>
    <w:p w:rsidR="00000000" w:rsidRDefault="00F5481A">
      <w:pPr>
        <w:ind w:firstLine="360"/>
        <w:divId w:val="2125997435"/>
        <w:rPr>
          <w:rFonts w:eastAsia="Times New Roman"/>
        </w:rPr>
      </w:pPr>
      <w:r>
        <w:rPr>
          <w:rFonts w:ascii="IBM Plex Sans" w:eastAsia="Times New Roman" w:hAnsi="IBM Plex Sans"/>
          <w:color w:val="283030"/>
          <w:sz w:val="20"/>
          <w:szCs w:val="20"/>
        </w:rPr>
        <w:t>The following table provides a roll-forward of the PBO for our defined benefit plans:</w:t>
      </w:r>
    </w:p>
    <w:tbl>
      <w:tblPr>
        <w:tblW w:w="5000" w:type="pct"/>
        <w:tblCellMar>
          <w:top w:w="15" w:type="dxa"/>
          <w:left w:w="15" w:type="dxa"/>
          <w:bottom w:w="15" w:type="dxa"/>
          <w:right w:w="15" w:type="dxa"/>
        </w:tblCellMar>
        <w:tblLook w:val="04A0" w:firstRow="1" w:lastRow="0" w:firstColumn="1" w:lastColumn="0" w:noHBand="0" w:noVBand="1"/>
      </w:tblPr>
      <w:tblGrid>
        <w:gridCol w:w="39"/>
        <w:gridCol w:w="2312"/>
        <w:gridCol w:w="37"/>
        <w:gridCol w:w="132"/>
        <w:gridCol w:w="668"/>
        <w:gridCol w:w="36"/>
        <w:gridCol w:w="36"/>
        <w:gridCol w:w="36"/>
        <w:gridCol w:w="36"/>
        <w:gridCol w:w="133"/>
        <w:gridCol w:w="596"/>
        <w:gridCol w:w="36"/>
        <w:gridCol w:w="36"/>
        <w:gridCol w:w="36"/>
        <w:gridCol w:w="36"/>
        <w:gridCol w:w="132"/>
        <w:gridCol w:w="668"/>
        <w:gridCol w:w="36"/>
        <w:gridCol w:w="36"/>
        <w:gridCol w:w="36"/>
        <w:gridCol w:w="36"/>
        <w:gridCol w:w="132"/>
        <w:gridCol w:w="668"/>
        <w:gridCol w:w="36"/>
        <w:gridCol w:w="36"/>
        <w:gridCol w:w="36"/>
        <w:gridCol w:w="36"/>
        <w:gridCol w:w="133"/>
        <w:gridCol w:w="596"/>
        <w:gridCol w:w="36"/>
        <w:gridCol w:w="36"/>
        <w:gridCol w:w="36"/>
        <w:gridCol w:w="36"/>
        <w:gridCol w:w="132"/>
        <w:gridCol w:w="668"/>
        <w:gridCol w:w="36"/>
        <w:gridCol w:w="36"/>
        <w:gridCol w:w="36"/>
        <w:gridCol w:w="36"/>
        <w:gridCol w:w="36"/>
        <w:gridCol w:w="36"/>
        <w:gridCol w:w="36"/>
        <w:gridCol w:w="36"/>
        <w:gridCol w:w="36"/>
        <w:gridCol w:w="36"/>
        <w:gridCol w:w="36"/>
        <w:gridCol w:w="36"/>
        <w:gridCol w:w="36"/>
        <w:gridCol w:w="36"/>
        <w:gridCol w:w="36"/>
      </w:tblGrid>
      <w:tr w:rsidR="00000000">
        <w:trPr>
          <w:divId w:val="1143621083"/>
        </w:trPr>
        <w:tc>
          <w:tcPr>
            <w:tcW w:w="50" w:type="pct"/>
            <w:vAlign w:val="center"/>
            <w:hideMark/>
          </w:tcPr>
          <w:p w:rsidR="00000000" w:rsidRDefault="00F5481A">
            <w:pPr>
              <w:ind w:firstLine="360"/>
              <w:rPr>
                <w:rFonts w:eastAsia="Times New Roman"/>
              </w:rPr>
            </w:pPr>
          </w:p>
        </w:tc>
        <w:tc>
          <w:tcPr>
            <w:tcW w:w="19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2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2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2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2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2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2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43621083"/>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15"/>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1143621083"/>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Other</w:t>
            </w:r>
            <w:r>
              <w:rPr>
                <w:rFonts w:ascii="IBM Plex Sans" w:eastAsia="Times New Roman" w:hAnsi="IBM Plex Sans"/>
                <w:b/>
                <w:bCs/>
                <w:color w:val="283030"/>
                <w:sz w:val="16"/>
                <w:szCs w:val="16"/>
              </w:rPr>
              <w:br/>
              <w:t>Benefits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Total</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Other</w:t>
            </w:r>
            <w:r>
              <w:rPr>
                <w:rFonts w:ascii="IBM Plex Sans" w:eastAsia="Times New Roman" w:hAnsi="IBM Plex Sans"/>
                <w:b/>
                <w:bCs/>
                <w:color w:val="283030"/>
                <w:sz w:val="16"/>
                <w:szCs w:val="16"/>
              </w:rPr>
              <w:br/>
              <w:t>Benefits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Total</w:t>
            </w:r>
          </w:p>
        </w:tc>
        <w:tc>
          <w:tcPr>
            <w:tcW w:w="0" w:type="auto"/>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43621083"/>
          <w:trHeight w:val="60"/>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43621083"/>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283030"/>
                <w:sz w:val="20"/>
                <w:szCs w:val="20"/>
              </w:rPr>
              <w:t>Change in benefit obligation</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43621083"/>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Benefit obligation at beginning of fiscal year</w:t>
            </w: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10,007 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348 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10,355 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11,045 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387 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11,432 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43621083"/>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43621083"/>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Service cost</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46 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66 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68 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43621083"/>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Interest cost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220 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227 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193 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43621083"/>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Actuarial gain</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(2,097)</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(107)</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(2,204)</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(381)</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(22)</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(403)</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43621083"/>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43621083"/>
        </w:trPr>
        <w:tc>
          <w:tcPr>
            <w:tcW w:w="0" w:type="auto"/>
            <w:gridSpan w:val="3"/>
            <w:shd w:val="clear" w:color="auto" w:fill="FFFFFF"/>
            <w:tcMar>
              <w:top w:w="30" w:type="dxa"/>
              <w:left w:w="20" w:type="dxa"/>
              <w:bottom w:w="30" w:type="dxa"/>
              <w:right w:w="20" w:type="dxa"/>
            </w:tcMar>
            <w:hideMark/>
          </w:tcPr>
          <w:p w:rsidR="00000000" w:rsidRDefault="00F5481A">
            <w:pPr>
              <w:spacing w:after="100"/>
              <w:divId w:val="1856726471"/>
              <w:rPr>
                <w:rFonts w:eastAsia="Times New Roman"/>
              </w:rPr>
            </w:pPr>
            <w:r>
              <w:rPr>
                <w:rFonts w:ascii="IBM Plex Sans" w:eastAsia="Times New Roman" w:hAnsi="IBM Plex Sans"/>
                <w:color w:val="283030"/>
                <w:sz w:val="20"/>
                <w:szCs w:val="20"/>
              </w:rPr>
              <w:t>Benefits pai</w:t>
            </w:r>
            <w:r>
              <w:rPr>
                <w:rFonts w:ascii="IBM Plex Sans" w:eastAsia="Times New Roman" w:hAnsi="IBM Plex Sans"/>
                <w:color w:val="283030"/>
                <w:sz w:val="20"/>
                <w:szCs w:val="20"/>
              </w:rPr>
              <w:t>d</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(626)</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(22)</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(648)</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(555)</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(24)</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(579)</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43621083"/>
        </w:trPr>
        <w:tc>
          <w:tcPr>
            <w:tcW w:w="0" w:type="auto"/>
            <w:gridSpan w:val="3"/>
            <w:shd w:val="clear" w:color="auto" w:fill="D7EFF1"/>
            <w:tcMar>
              <w:top w:w="30" w:type="dxa"/>
              <w:left w:w="20" w:type="dxa"/>
              <w:bottom w:w="30" w:type="dxa"/>
              <w:right w:w="20" w:type="dxa"/>
            </w:tcMar>
            <w:hideMark/>
          </w:tcPr>
          <w:p w:rsidR="00000000" w:rsidRDefault="00F5481A">
            <w:pPr>
              <w:spacing w:after="100"/>
              <w:divId w:val="731468864"/>
              <w:rPr>
                <w:rFonts w:eastAsia="Times New Roman"/>
              </w:rPr>
            </w:pPr>
            <w:r>
              <w:rPr>
                <w:rFonts w:ascii="IBM Plex Sans" w:eastAsia="Times New Roman" w:hAnsi="IBM Plex Sans"/>
                <w:color w:val="283030"/>
                <w:sz w:val="20"/>
                <w:szCs w:val="20"/>
              </w:rPr>
              <w:t>Settlement</w:t>
            </w:r>
            <w:r>
              <w:rPr>
                <w:rFonts w:ascii="IBM Plex Sans" w:eastAsia="Times New Roman" w:hAnsi="IBM Plex Sans"/>
                <w:color w:val="283030"/>
                <w:sz w:val="20"/>
                <w:szCs w:val="20"/>
              </w:rPr>
              <w:t>s</w:t>
            </w:r>
            <w:r>
              <w:rPr>
                <w:rFonts w:ascii="IBM Plex Sans" w:eastAsia="Times New Roman" w:hAnsi="IBM Plex Sans"/>
                <w:color w:val="283030"/>
                <w:sz w:val="13"/>
                <w:szCs w:val="13"/>
              </w:rPr>
              <w:t>(2</w:t>
            </w:r>
            <w:r>
              <w:rPr>
                <w:rFonts w:ascii="IBM Plex Sans" w:eastAsia="Times New Roman" w:hAnsi="IBM Plex Sans"/>
                <w:color w:val="283030"/>
                <w:sz w:val="13"/>
                <w:szCs w:val="13"/>
              </w:rPr>
              <w:t>)</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(268)</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(268)</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43621083"/>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43621083"/>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Expenses paid</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(26)</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(26)</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(31)</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(31)</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43621083"/>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43621083"/>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Foreign currency exchange rate changes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(28)</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(28)</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43621083"/>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43621083"/>
        </w:trPr>
        <w:tc>
          <w:tcPr>
            <w:tcW w:w="0" w:type="auto"/>
            <w:gridSpan w:val="3"/>
            <w:shd w:val="clear" w:color="auto" w:fill="FFFFFF"/>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Divestiture</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(65)</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(65)</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43621083"/>
        </w:trPr>
        <w:tc>
          <w:tcPr>
            <w:tcW w:w="0" w:type="auto"/>
            <w:gridSpan w:val="3"/>
            <w:shd w:val="clear" w:color="auto" w:fill="D7EFF1"/>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Other</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43621083"/>
        </w:trPr>
        <w:tc>
          <w:tcPr>
            <w:tcW w:w="0" w:type="auto"/>
            <w:gridSpan w:val="3"/>
            <w:shd w:val="clear" w:color="auto" w:fill="FFFFFF"/>
            <w:tcMar>
              <w:top w:w="30" w:type="dxa"/>
              <w:left w:w="3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Benefit obligation at end of fiscal year</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7,494 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228 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7,722 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10,007 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348 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10,355 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bl>
    <w:p w:rsidR="00000000" w:rsidRDefault="00F5481A">
      <w:pPr>
        <w:divId w:val="1143621083"/>
        <w:rPr>
          <w:rFonts w:eastAsia="Times New Roman"/>
        </w:rPr>
      </w:pPr>
      <w:r>
        <w:rPr>
          <w:rFonts w:ascii="IBM Plex Sans" w:eastAsia="Times New Roman" w:hAnsi="IBM Plex Sans"/>
          <w:color w:val="283030"/>
          <w:sz w:val="16"/>
          <w:szCs w:val="16"/>
        </w:rPr>
        <w:t>_______________</w:t>
      </w:r>
    </w:p>
    <w:p w:rsidR="00000000" w:rsidRDefault="00F5481A">
      <w:pPr>
        <w:ind w:hanging="360"/>
        <w:divId w:val="1961523857"/>
        <w:rPr>
          <w:rFonts w:eastAsia="Times New Roman"/>
        </w:rPr>
      </w:pPr>
      <w:r>
        <w:rPr>
          <w:rFonts w:ascii="IBM Plex Sans" w:eastAsia="Times New Roman" w:hAnsi="IBM Plex Sans"/>
          <w:color w:val="283030"/>
          <w:sz w:val="16"/>
          <w:szCs w:val="16"/>
        </w:rPr>
        <w:t>(1)Fiscal 2022 includes approximately $64 </w:t>
      </w:r>
      <w:r>
        <w:rPr>
          <w:rFonts w:ascii="IBM Plex Sans" w:eastAsia="Times New Roman" w:hAnsi="IBM Plex Sans"/>
          <w:color w:val="283030"/>
          <w:sz w:val="16"/>
          <w:szCs w:val="16"/>
        </w:rPr>
        <w:t>million associated with the purchase of group annuity policies. The transaction is reflected in Benefits paid as settlement accounting had not been met.</w:t>
      </w:r>
    </w:p>
    <w:p w:rsidR="00000000" w:rsidRDefault="00F5481A">
      <w:pPr>
        <w:ind w:hanging="360"/>
        <w:divId w:val="1239826350"/>
        <w:rPr>
          <w:rFonts w:eastAsia="Times New Roman"/>
        </w:rPr>
      </w:pPr>
      <w:r>
        <w:rPr>
          <w:rFonts w:ascii="IBM Plex Sans" w:eastAsia="Times New Roman" w:hAnsi="IBM Plex Sans"/>
          <w:color w:val="283030"/>
          <w:sz w:val="16"/>
          <w:szCs w:val="16"/>
        </w:rPr>
        <w:t>(2)Fiscal 2021 includes approximately $250 million associated with the purchase of group annuity polici</w:t>
      </w:r>
      <w:r>
        <w:rPr>
          <w:rFonts w:ascii="IBM Plex Sans" w:eastAsia="Times New Roman" w:hAnsi="IBM Plex Sans"/>
          <w:color w:val="283030"/>
          <w:sz w:val="16"/>
          <w:szCs w:val="16"/>
        </w:rPr>
        <w:t>es.</w:t>
      </w:r>
    </w:p>
    <w:p w:rsidR="00000000" w:rsidRDefault="00F5481A">
      <w:pPr>
        <w:ind w:firstLine="360"/>
        <w:jc w:val="center"/>
        <w:divId w:val="2054444"/>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90</w:t>
      </w:r>
    </w:p>
    <w:p w:rsidR="00000000" w:rsidRDefault="00F5481A">
      <w:pPr>
        <w:rPr>
          <w:rFonts w:eastAsia="Times New Roman"/>
        </w:rPr>
      </w:pPr>
      <w:r>
        <w:rPr>
          <w:rFonts w:eastAsia="Times New Roman"/>
        </w:rPr>
        <w:pict>
          <v:rect id="_x0000_i1121" style="width:0;height:1.5pt" o:hralign="center" o:hrstd="t" o:hr="t" fillcolor="#a0a0a0" stroked="f"/>
        </w:pict>
      </w:r>
    </w:p>
    <w:p w:rsidR="00000000" w:rsidRDefault="00F5481A">
      <w:pPr>
        <w:ind w:firstLine="360"/>
        <w:divId w:val="996304023"/>
        <w:rPr>
          <w:rFonts w:eastAsia="Times New Roman"/>
        </w:rPr>
      </w:pPr>
    </w:p>
    <w:p w:rsidR="00000000" w:rsidRDefault="00F5481A">
      <w:pPr>
        <w:ind w:firstLine="360"/>
        <w:divId w:val="2054649604"/>
        <w:rPr>
          <w:rFonts w:eastAsia="Times New Roman"/>
        </w:rPr>
      </w:pPr>
      <w:r>
        <w:rPr>
          <w:rFonts w:ascii="IBM Plex Sans" w:eastAsia="Times New Roman" w:hAnsi="IBM Plex Sans"/>
          <w:color w:val="283030"/>
          <w:sz w:val="20"/>
          <w:szCs w:val="20"/>
        </w:rPr>
        <w:t xml:space="preserve">Actuarial gains in the PBO as of December 30, 2022 were primarily the result of an increase in discount rates related to increased interest </w:t>
      </w:r>
      <w:r>
        <w:rPr>
          <w:rFonts w:ascii="IBM Plex Sans" w:eastAsia="Times New Roman" w:hAnsi="IBM Plex Sans"/>
          <w:color w:val="283030"/>
          <w:sz w:val="20"/>
          <w:szCs w:val="20"/>
        </w:rPr>
        <w:t xml:space="preserve">rates. Additionally, the legacy Harris Salaried medical plan replaced the self-insured arrangement with a fully-insured group Humana MAPD plan for the majority of Medicare-eligible participants, which resulted in a $23 million gain. Other sources of gains </w:t>
      </w:r>
      <w:r>
        <w:rPr>
          <w:rFonts w:ascii="IBM Plex Sans" w:eastAsia="Times New Roman" w:hAnsi="IBM Plex Sans"/>
          <w:color w:val="283030"/>
          <w:sz w:val="20"/>
          <w:szCs w:val="20"/>
        </w:rPr>
        <w:t>and losses such as plan experience, updated census data, mortality updates and minor adjustments to actuarial assumptions generated combined gains and losses of less than 1% of expected year end obligations.</w:t>
      </w:r>
    </w:p>
    <w:p w:rsidR="00000000" w:rsidRDefault="00F5481A">
      <w:pPr>
        <w:ind w:firstLine="360"/>
        <w:divId w:val="49501308"/>
        <w:rPr>
          <w:rFonts w:eastAsia="Times New Roman"/>
        </w:rPr>
      </w:pPr>
      <w:r>
        <w:rPr>
          <w:rFonts w:ascii="IBM Plex Sans" w:eastAsia="Times New Roman" w:hAnsi="IBM Plex Sans"/>
          <w:color w:val="283030"/>
          <w:sz w:val="20"/>
          <w:szCs w:val="20"/>
        </w:rPr>
        <w:t>The following table provides a roll-forward of t</w:t>
      </w:r>
      <w:r>
        <w:rPr>
          <w:rFonts w:ascii="IBM Plex Sans" w:eastAsia="Times New Roman" w:hAnsi="IBM Plex Sans"/>
          <w:color w:val="283030"/>
          <w:sz w:val="20"/>
          <w:szCs w:val="20"/>
        </w:rPr>
        <w:t>he assets and the ending funded status of our defined benefit plans:</w:t>
      </w:r>
    </w:p>
    <w:tbl>
      <w:tblPr>
        <w:tblW w:w="5000" w:type="pct"/>
        <w:tblCellMar>
          <w:top w:w="15" w:type="dxa"/>
          <w:left w:w="15" w:type="dxa"/>
          <w:bottom w:w="15" w:type="dxa"/>
          <w:right w:w="15" w:type="dxa"/>
        </w:tblCellMar>
        <w:tblLook w:val="04A0" w:firstRow="1" w:lastRow="0" w:firstColumn="1" w:lastColumn="0" w:noHBand="0" w:noVBand="1"/>
      </w:tblPr>
      <w:tblGrid>
        <w:gridCol w:w="40"/>
        <w:gridCol w:w="2753"/>
        <w:gridCol w:w="39"/>
        <w:gridCol w:w="132"/>
        <w:gridCol w:w="557"/>
        <w:gridCol w:w="36"/>
        <w:gridCol w:w="36"/>
        <w:gridCol w:w="36"/>
        <w:gridCol w:w="36"/>
        <w:gridCol w:w="133"/>
        <w:gridCol w:w="596"/>
        <w:gridCol w:w="36"/>
        <w:gridCol w:w="36"/>
        <w:gridCol w:w="36"/>
        <w:gridCol w:w="36"/>
        <w:gridCol w:w="132"/>
        <w:gridCol w:w="557"/>
        <w:gridCol w:w="36"/>
        <w:gridCol w:w="36"/>
        <w:gridCol w:w="36"/>
        <w:gridCol w:w="36"/>
        <w:gridCol w:w="132"/>
        <w:gridCol w:w="557"/>
        <w:gridCol w:w="36"/>
        <w:gridCol w:w="36"/>
        <w:gridCol w:w="36"/>
        <w:gridCol w:w="36"/>
        <w:gridCol w:w="133"/>
        <w:gridCol w:w="596"/>
        <w:gridCol w:w="36"/>
        <w:gridCol w:w="36"/>
        <w:gridCol w:w="36"/>
        <w:gridCol w:w="36"/>
        <w:gridCol w:w="132"/>
        <w:gridCol w:w="557"/>
        <w:gridCol w:w="36"/>
        <w:gridCol w:w="36"/>
        <w:gridCol w:w="36"/>
        <w:gridCol w:w="36"/>
        <w:gridCol w:w="36"/>
        <w:gridCol w:w="36"/>
        <w:gridCol w:w="36"/>
        <w:gridCol w:w="36"/>
        <w:gridCol w:w="36"/>
        <w:gridCol w:w="36"/>
        <w:gridCol w:w="36"/>
        <w:gridCol w:w="36"/>
        <w:gridCol w:w="36"/>
        <w:gridCol w:w="36"/>
        <w:gridCol w:w="36"/>
      </w:tblGrid>
      <w:tr w:rsidR="00000000">
        <w:trPr>
          <w:divId w:val="899941495"/>
        </w:trPr>
        <w:tc>
          <w:tcPr>
            <w:tcW w:w="50" w:type="pct"/>
            <w:vAlign w:val="center"/>
            <w:hideMark/>
          </w:tcPr>
          <w:p w:rsidR="00000000" w:rsidRDefault="00F5481A">
            <w:pPr>
              <w:ind w:firstLine="360"/>
              <w:rPr>
                <w:rFonts w:eastAsia="Times New Roman"/>
              </w:rPr>
            </w:pPr>
          </w:p>
        </w:tc>
        <w:tc>
          <w:tcPr>
            <w:tcW w:w="19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2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2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2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2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2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2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899941495"/>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15"/>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899941495"/>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Other</w:t>
            </w:r>
            <w:r>
              <w:rPr>
                <w:rFonts w:ascii="IBM Plex Sans" w:eastAsia="Times New Roman" w:hAnsi="IBM Plex Sans"/>
                <w:b/>
                <w:bCs/>
                <w:color w:val="283030"/>
                <w:sz w:val="16"/>
                <w:szCs w:val="16"/>
              </w:rPr>
              <w:br/>
            </w:r>
            <w:r>
              <w:rPr>
                <w:rFonts w:ascii="IBM Plex Sans" w:eastAsia="Times New Roman" w:hAnsi="IBM Plex Sans"/>
                <w:b/>
                <w:bCs/>
                <w:color w:val="283030"/>
                <w:sz w:val="16"/>
                <w:szCs w:val="16"/>
              </w:rPr>
              <w:t>Benefits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Total</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Other</w:t>
            </w:r>
            <w:r>
              <w:rPr>
                <w:rFonts w:ascii="IBM Plex Sans" w:eastAsia="Times New Roman" w:hAnsi="IBM Plex Sans"/>
                <w:b/>
                <w:bCs/>
                <w:color w:val="283030"/>
                <w:sz w:val="16"/>
                <w:szCs w:val="16"/>
              </w:rPr>
              <w:br/>
              <w:t>Benefits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Total</w:t>
            </w:r>
          </w:p>
        </w:tc>
        <w:tc>
          <w:tcPr>
            <w:tcW w:w="0" w:type="auto"/>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899941495"/>
          <w:trHeight w:val="60"/>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899941495"/>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283030"/>
                <w:sz w:val="20"/>
                <w:szCs w:val="20"/>
              </w:rPr>
              <w:t>Change in plan assets</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899941495"/>
        </w:trPr>
        <w:tc>
          <w:tcPr>
            <w:tcW w:w="0" w:type="auto"/>
            <w:gridSpan w:val="3"/>
            <w:shd w:val="clear" w:color="auto" w:fill="FFFFFF"/>
            <w:tcMar>
              <w:top w:w="30" w:type="dxa"/>
              <w:left w:w="3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Plan assets at beginning of fiscal year</w:t>
            </w: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9,604 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320 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9,924 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9,301 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299 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9,600 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899941495"/>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899941495"/>
        </w:trPr>
        <w:tc>
          <w:tcPr>
            <w:tcW w:w="0" w:type="auto"/>
            <w:gridSpan w:val="3"/>
            <w:shd w:val="clear" w:color="auto" w:fill="D7EFF1"/>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Actual return on plan assets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(1,516)</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(51)</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(1,567)</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1,215 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1,258 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899941495"/>
        </w:trPr>
        <w:tc>
          <w:tcPr>
            <w:tcW w:w="0" w:type="auto"/>
            <w:gridSpan w:val="3"/>
            <w:shd w:val="clear" w:color="auto" w:fill="FFFFFF"/>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Employer contributions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19 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899941495"/>
        </w:trPr>
        <w:tc>
          <w:tcPr>
            <w:tcW w:w="0" w:type="auto"/>
            <w:gridSpan w:val="3"/>
            <w:shd w:val="clear" w:color="auto" w:fill="D7EFF1"/>
            <w:tcMar>
              <w:top w:w="30" w:type="dxa"/>
              <w:left w:w="20" w:type="dxa"/>
              <w:bottom w:w="30" w:type="dxa"/>
              <w:right w:w="20" w:type="dxa"/>
            </w:tcMar>
            <w:hideMark/>
          </w:tcPr>
          <w:p w:rsidR="00000000" w:rsidRDefault="00F5481A">
            <w:pPr>
              <w:spacing w:after="100"/>
              <w:divId w:val="813983607"/>
              <w:rPr>
                <w:rFonts w:eastAsia="Times New Roman"/>
              </w:rPr>
            </w:pPr>
            <w:r>
              <w:rPr>
                <w:rFonts w:ascii="IBM Plex Sans" w:eastAsia="Times New Roman" w:hAnsi="IBM Plex Sans"/>
                <w:color w:val="283030"/>
                <w:sz w:val="20"/>
                <w:szCs w:val="20"/>
              </w:rPr>
              <w:t>Benefits pai</w:t>
            </w:r>
            <w:r>
              <w:rPr>
                <w:rFonts w:ascii="IBM Plex Sans" w:eastAsia="Times New Roman" w:hAnsi="IBM Plex Sans"/>
                <w:color w:val="283030"/>
                <w:sz w:val="20"/>
                <w:szCs w:val="20"/>
              </w:rPr>
              <w:t>d</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(626)</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(22)</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(648)</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(555)</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(24)</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(579)</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899941495"/>
        </w:trPr>
        <w:tc>
          <w:tcPr>
            <w:tcW w:w="0" w:type="auto"/>
            <w:gridSpan w:val="3"/>
            <w:shd w:val="clear" w:color="auto" w:fill="FFFFFF"/>
            <w:tcMar>
              <w:top w:w="30" w:type="dxa"/>
              <w:left w:w="20" w:type="dxa"/>
              <w:bottom w:w="30" w:type="dxa"/>
              <w:right w:w="20" w:type="dxa"/>
            </w:tcMar>
            <w:hideMark/>
          </w:tcPr>
          <w:p w:rsidR="00000000" w:rsidRDefault="00F5481A">
            <w:pPr>
              <w:spacing w:after="100"/>
              <w:divId w:val="1463767879"/>
              <w:rPr>
                <w:rFonts w:eastAsia="Times New Roman"/>
              </w:rPr>
            </w:pPr>
            <w:r>
              <w:rPr>
                <w:rFonts w:ascii="IBM Plex Sans" w:eastAsia="Times New Roman" w:hAnsi="IBM Plex Sans"/>
                <w:color w:val="283030"/>
                <w:sz w:val="20"/>
                <w:szCs w:val="20"/>
              </w:rPr>
              <w:t>Settlement</w:t>
            </w:r>
            <w:r>
              <w:rPr>
                <w:rFonts w:ascii="IBM Plex Sans" w:eastAsia="Times New Roman" w:hAnsi="IBM Plex Sans"/>
                <w:color w:val="283030"/>
                <w:sz w:val="20"/>
                <w:szCs w:val="20"/>
              </w:rPr>
              <w:t>s</w:t>
            </w:r>
            <w:r>
              <w:rPr>
                <w:rFonts w:ascii="IBM Plex Sans" w:eastAsia="Times New Roman" w:hAnsi="IBM Plex Sans"/>
                <w:color w:val="283030"/>
                <w:sz w:val="13"/>
                <w:szCs w:val="13"/>
              </w:rPr>
              <w:t>(2</w:t>
            </w:r>
            <w:r>
              <w:rPr>
                <w:rFonts w:ascii="IBM Plex Sans" w:eastAsia="Times New Roman" w:hAnsi="IBM Plex Sans"/>
                <w:color w:val="28303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(268)</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(268)</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899941495"/>
        </w:trPr>
        <w:tc>
          <w:tcPr>
            <w:tcW w:w="0" w:type="auto"/>
            <w:gridSpan w:val="3"/>
            <w:shd w:val="clear" w:color="auto" w:fill="D7EFF1"/>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Expenses paid</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(26)</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(26)</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(31)</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(31)</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899941495"/>
        </w:trPr>
        <w:tc>
          <w:tcPr>
            <w:tcW w:w="0" w:type="auto"/>
            <w:gridSpan w:val="3"/>
            <w:shd w:val="clear" w:color="auto" w:fill="FFFFFF"/>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Foreign currency exchange rate changes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(32)</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(32)</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899941495"/>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899941495"/>
        </w:trPr>
        <w:tc>
          <w:tcPr>
            <w:tcW w:w="0" w:type="auto"/>
            <w:gridSpan w:val="3"/>
            <w:shd w:val="clear" w:color="auto" w:fill="D7EFF1"/>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Divestiture</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(78)</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(78)</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899941495"/>
        </w:trPr>
        <w:tc>
          <w:tcPr>
            <w:tcW w:w="0" w:type="auto"/>
            <w:gridSpan w:val="3"/>
            <w:shd w:val="clear" w:color="auto" w:fill="FFFFFF"/>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899941495"/>
        </w:trPr>
        <w:tc>
          <w:tcPr>
            <w:tcW w:w="0" w:type="auto"/>
            <w:gridSpan w:val="3"/>
            <w:shd w:val="clear" w:color="auto" w:fill="D7EFF1"/>
            <w:tcMar>
              <w:top w:w="30" w:type="dxa"/>
              <w:left w:w="3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Plan assets at end of fiscal year</w:t>
            </w:r>
          </w:p>
        </w:tc>
        <w:tc>
          <w:tcPr>
            <w:tcW w:w="0" w:type="auto"/>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7,411 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242 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7,653 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9,604 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320 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9,924 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899941495"/>
          <w:trHeight w:val="300"/>
        </w:trPr>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899941495"/>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Funded status at end of fiscal year</w:t>
            </w: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(83)</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14 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(69)</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r>
              <w:rPr>
                <w:rFonts w:ascii="IBM Plex Sans" w:eastAsia="Times New Roman" w:hAnsi="IBM Plex Sans"/>
                <w:color w:val="283030"/>
                <w:sz w:val="20"/>
                <w:szCs w:val="20"/>
              </w:rPr>
              <w:t>403)</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(28)</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(431)</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bl>
    <w:p w:rsidR="00000000" w:rsidRDefault="00F5481A">
      <w:pPr>
        <w:divId w:val="899941495"/>
        <w:rPr>
          <w:rFonts w:eastAsia="Times New Roman"/>
        </w:rPr>
      </w:pPr>
      <w:r>
        <w:rPr>
          <w:rFonts w:ascii="IBM Plex Sans" w:eastAsia="Times New Roman" w:hAnsi="IBM Plex Sans"/>
          <w:color w:val="283030"/>
          <w:sz w:val="16"/>
          <w:szCs w:val="16"/>
        </w:rPr>
        <w:t>_______________</w:t>
      </w:r>
    </w:p>
    <w:p w:rsidR="00000000" w:rsidRDefault="00F5481A">
      <w:pPr>
        <w:ind w:hanging="360"/>
        <w:divId w:val="1109010484"/>
        <w:rPr>
          <w:rFonts w:eastAsia="Times New Roman"/>
        </w:rPr>
      </w:pPr>
      <w:r>
        <w:rPr>
          <w:rFonts w:ascii="IBM Plex Sans" w:eastAsia="Times New Roman" w:hAnsi="IBM Plex Sans"/>
          <w:color w:val="283030"/>
          <w:sz w:val="16"/>
          <w:szCs w:val="16"/>
        </w:rPr>
        <w:t>(1)Fiscal 2022 includes approximately $64 million associated with the transfer of plan assets to an insurance company. The t</w:t>
      </w:r>
      <w:r>
        <w:rPr>
          <w:rFonts w:ascii="IBM Plex Sans" w:eastAsia="Times New Roman" w:hAnsi="IBM Plex Sans"/>
          <w:color w:val="283030"/>
          <w:sz w:val="16"/>
          <w:szCs w:val="16"/>
        </w:rPr>
        <w:t>ransaction is reflected in Benefits paid as settlement accounting had not been met.</w:t>
      </w:r>
    </w:p>
    <w:p w:rsidR="00000000" w:rsidRDefault="00F5481A">
      <w:pPr>
        <w:ind w:hanging="360"/>
        <w:divId w:val="1934824783"/>
        <w:rPr>
          <w:rFonts w:eastAsia="Times New Roman"/>
        </w:rPr>
      </w:pPr>
      <w:r>
        <w:rPr>
          <w:rFonts w:ascii="IBM Plex Sans" w:eastAsia="Times New Roman" w:hAnsi="IBM Plex Sans"/>
          <w:color w:val="283030"/>
          <w:sz w:val="16"/>
          <w:szCs w:val="16"/>
        </w:rPr>
        <w:t>(2)Fiscal 2021 includes approximately $250 million associated with the transfer of plan assets to an insurance company.</w:t>
      </w:r>
    </w:p>
    <w:p w:rsidR="00000000" w:rsidRDefault="00F5481A">
      <w:pPr>
        <w:divId w:val="344942144"/>
        <w:rPr>
          <w:rFonts w:eastAsia="Times New Roman"/>
        </w:rPr>
      </w:pPr>
    </w:p>
    <w:p w:rsidR="00000000" w:rsidRDefault="00F5481A">
      <w:pPr>
        <w:ind w:firstLine="360"/>
        <w:divId w:val="976453321"/>
        <w:rPr>
          <w:rFonts w:eastAsia="Times New Roman"/>
        </w:rPr>
      </w:pPr>
      <w:r>
        <w:rPr>
          <w:rFonts w:ascii="IBM Plex Sans" w:eastAsia="Times New Roman" w:hAnsi="IBM Plex Sans"/>
          <w:color w:val="283030"/>
          <w:sz w:val="20"/>
          <w:szCs w:val="20"/>
        </w:rPr>
        <w:t xml:space="preserve">The accumulated benefit obligation for all defined benefit pension plans was $7.5 billion at December 30, 2022. The following tables provide information for benefit plans with accumulated benefit obligations in excess of plan assets and benefit plans with </w:t>
      </w:r>
      <w:r>
        <w:rPr>
          <w:rFonts w:ascii="IBM Plex Sans" w:eastAsia="Times New Roman" w:hAnsi="IBM Plex Sans"/>
          <w:color w:val="283030"/>
          <w:sz w:val="20"/>
          <w:szCs w:val="20"/>
        </w:rPr>
        <w:t>PBO in excess of plan assets:</w:t>
      </w:r>
    </w:p>
    <w:tbl>
      <w:tblPr>
        <w:tblW w:w="5000" w:type="pct"/>
        <w:tblCellMar>
          <w:top w:w="15" w:type="dxa"/>
          <w:left w:w="15" w:type="dxa"/>
          <w:bottom w:w="15" w:type="dxa"/>
          <w:right w:w="15" w:type="dxa"/>
        </w:tblCellMar>
        <w:tblLook w:val="04A0" w:firstRow="1" w:lastRow="0" w:firstColumn="1" w:lastColumn="0" w:noHBand="0" w:noVBand="1"/>
      </w:tblPr>
      <w:tblGrid>
        <w:gridCol w:w="38"/>
        <w:gridCol w:w="4039"/>
        <w:gridCol w:w="36"/>
        <w:gridCol w:w="132"/>
        <w:gridCol w:w="785"/>
        <w:gridCol w:w="36"/>
        <w:gridCol w:w="36"/>
        <w:gridCol w:w="36"/>
        <w:gridCol w:w="36"/>
        <w:gridCol w:w="59"/>
        <w:gridCol w:w="759"/>
        <w:gridCol w:w="36"/>
        <w:gridCol w:w="46"/>
        <w:gridCol w:w="36"/>
        <w:gridCol w:w="36"/>
        <w:gridCol w:w="36"/>
        <w:gridCol w:w="36"/>
        <w:gridCol w:w="132"/>
        <w:gridCol w:w="742"/>
        <w:gridCol w:w="36"/>
        <w:gridCol w:w="36"/>
        <w:gridCol w:w="36"/>
        <w:gridCol w:w="36"/>
        <w:gridCol w:w="59"/>
        <w:gridCol w:w="759"/>
        <w:gridCol w:w="36"/>
        <w:gridCol w:w="36"/>
        <w:gridCol w:w="36"/>
        <w:gridCol w:w="36"/>
        <w:gridCol w:w="36"/>
        <w:gridCol w:w="36"/>
        <w:gridCol w:w="36"/>
      </w:tblGrid>
      <w:tr w:rsidR="00000000">
        <w:trPr>
          <w:divId w:val="117842646"/>
        </w:trPr>
        <w:tc>
          <w:tcPr>
            <w:tcW w:w="50" w:type="pct"/>
            <w:vAlign w:val="center"/>
            <w:hideMark/>
          </w:tcPr>
          <w:p w:rsidR="00000000" w:rsidRDefault="00F5481A">
            <w:pPr>
              <w:ind w:firstLine="360"/>
              <w:rPr>
                <w:rFonts w:eastAsia="Times New Roman"/>
              </w:rPr>
            </w:pPr>
          </w:p>
        </w:tc>
        <w:tc>
          <w:tcPr>
            <w:tcW w:w="2552"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51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51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2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51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51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7842646"/>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7"/>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117842646"/>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Other</w:t>
            </w:r>
            <w:r>
              <w:rPr>
                <w:rFonts w:ascii="IBM Plex Sans" w:eastAsia="Times New Roman" w:hAnsi="IBM Plex Sans"/>
                <w:b/>
                <w:bCs/>
                <w:color w:val="283030"/>
                <w:sz w:val="16"/>
                <w:szCs w:val="16"/>
              </w:rPr>
              <w:br/>
              <w:t>Benefits</w:t>
            </w:r>
          </w:p>
        </w:tc>
        <w:tc>
          <w:tcPr>
            <w:tcW w:w="0" w:type="auto"/>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Other</w:t>
            </w:r>
            <w:r>
              <w:rPr>
                <w:rFonts w:ascii="IBM Plex Sans" w:eastAsia="Times New Roman" w:hAnsi="IBM Plex Sans"/>
                <w:b/>
                <w:bCs/>
                <w:color w:val="283030"/>
                <w:sz w:val="16"/>
                <w:szCs w:val="16"/>
              </w:rPr>
              <w:br/>
              <w:t>Benefits</w:t>
            </w:r>
          </w:p>
        </w:tc>
        <w:tc>
          <w:tcPr>
            <w:tcW w:w="0" w:type="auto"/>
            <w:gridSpan w:val="3"/>
            <w:vAlign w:val="center"/>
            <w:hideMark/>
          </w:tcPr>
          <w:p w:rsidR="00000000" w:rsidRDefault="00F5481A">
            <w:pPr>
              <w:spacing w:after="100"/>
              <w:jc w:val="center"/>
              <w:rPr>
                <w:rFonts w:eastAsia="Times New Roman"/>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7842646"/>
          <w:trHeight w:val="60"/>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7842646"/>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Accumulated benefit obligation</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6,698 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N/A</w:t>
            </w:r>
          </w:p>
        </w:tc>
        <w:tc>
          <w:tcPr>
            <w:tcW w:w="0" w:type="auto"/>
            <w:vAlign w:val="center"/>
            <w:hideMark/>
          </w:tcPr>
          <w:p w:rsidR="00000000" w:rsidRDefault="00F5481A">
            <w:pPr>
              <w:spacing w:after="100"/>
              <w:jc w:val="right"/>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9,216 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N/A</w:t>
            </w:r>
          </w:p>
        </w:tc>
        <w:tc>
          <w:tcPr>
            <w:tcW w:w="0" w:type="auto"/>
            <w:gridSpan w:val="3"/>
            <w:vAlign w:val="center"/>
            <w:hideMark/>
          </w:tcPr>
          <w:p w:rsidR="00000000" w:rsidRDefault="00F5481A">
            <w:pPr>
              <w:spacing w:after="100"/>
              <w:jc w:val="right"/>
              <w:rPr>
                <w:rFonts w:eastAsia="Times New Roman"/>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17842646"/>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Fair value of plan assets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6,472 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N/A</w:t>
            </w:r>
          </w:p>
        </w:tc>
        <w:tc>
          <w:tcPr>
            <w:tcW w:w="0" w:type="auto"/>
            <w:vAlign w:val="center"/>
            <w:hideMark/>
          </w:tcPr>
          <w:p w:rsidR="00000000" w:rsidRDefault="00F5481A">
            <w:pPr>
              <w:spacing w:after="100"/>
              <w:jc w:val="right"/>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8,672 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N/A</w:t>
            </w:r>
          </w:p>
        </w:tc>
        <w:tc>
          <w:tcPr>
            <w:tcW w:w="0" w:type="auto"/>
            <w:gridSpan w:val="3"/>
            <w:vAlign w:val="center"/>
            <w:hideMark/>
          </w:tcPr>
          <w:p w:rsidR="00000000" w:rsidRDefault="00F5481A">
            <w:pPr>
              <w:spacing w:after="100"/>
              <w:jc w:val="right"/>
              <w:rPr>
                <w:rFonts w:eastAsia="Times New Roman"/>
              </w:rPr>
            </w:pPr>
          </w:p>
        </w:tc>
        <w:tc>
          <w:tcPr>
            <w:tcW w:w="0" w:type="auto"/>
            <w:gridSpan w:val="3"/>
            <w:vAlign w:val="center"/>
            <w:hideMark/>
          </w:tcPr>
          <w:p w:rsidR="00000000" w:rsidRDefault="00F5481A">
            <w:pPr>
              <w:spacing w:after="100"/>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239"/>
        <w:gridCol w:w="144"/>
        <w:gridCol w:w="144"/>
        <w:gridCol w:w="862"/>
        <w:gridCol w:w="144"/>
        <w:gridCol w:w="144"/>
        <w:gridCol w:w="144"/>
        <w:gridCol w:w="144"/>
        <w:gridCol w:w="144"/>
        <w:gridCol w:w="862"/>
        <w:gridCol w:w="144"/>
        <w:gridCol w:w="480"/>
        <w:gridCol w:w="1440"/>
        <w:gridCol w:w="144"/>
        <w:gridCol w:w="144"/>
        <w:gridCol w:w="144"/>
        <w:gridCol w:w="144"/>
        <w:gridCol w:w="862"/>
        <w:gridCol w:w="144"/>
        <w:gridCol w:w="144"/>
        <w:gridCol w:w="144"/>
        <w:gridCol w:w="144"/>
        <w:gridCol w:w="144"/>
        <w:gridCol w:w="862"/>
        <w:gridCol w:w="144"/>
        <w:gridCol w:w="160"/>
        <w:gridCol w:w="160"/>
        <w:gridCol w:w="160"/>
        <w:gridCol w:w="480"/>
        <w:gridCol w:w="480"/>
        <w:gridCol w:w="480"/>
      </w:tblGrid>
      <w:tr w:rsidR="00000000">
        <w:tc>
          <w:tcPr>
            <w:tcW w:w="50" w:type="pct"/>
            <w:vAlign w:val="center"/>
            <w:hideMark/>
          </w:tcPr>
          <w:p w:rsidR="00000000" w:rsidRDefault="00F5481A">
            <w:pPr>
              <w:rPr>
                <w:rFonts w:eastAsia="Times New Roman"/>
              </w:rPr>
            </w:pPr>
          </w:p>
        </w:tc>
        <w:tc>
          <w:tcPr>
            <w:tcW w:w="2552"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51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51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2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51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51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7"/>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Other</w:t>
            </w:r>
            <w:r>
              <w:rPr>
                <w:rFonts w:ascii="IBM Plex Sans" w:eastAsia="Times New Roman" w:hAnsi="IBM Plex Sans"/>
                <w:b/>
                <w:bCs/>
                <w:color w:val="283030"/>
                <w:sz w:val="16"/>
                <w:szCs w:val="16"/>
              </w:rPr>
              <w:br/>
              <w:t>Benefits</w:t>
            </w:r>
          </w:p>
        </w:tc>
        <w:tc>
          <w:tcPr>
            <w:tcW w:w="0" w:type="auto"/>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Other</w:t>
            </w:r>
            <w:r>
              <w:rPr>
                <w:rFonts w:ascii="IBM Plex Sans" w:eastAsia="Times New Roman" w:hAnsi="IBM Plex Sans"/>
                <w:b/>
                <w:bCs/>
                <w:color w:val="283030"/>
                <w:sz w:val="16"/>
                <w:szCs w:val="16"/>
              </w:rPr>
              <w:br/>
            </w:r>
            <w:r>
              <w:rPr>
                <w:rFonts w:ascii="IBM Plex Sans" w:eastAsia="Times New Roman" w:hAnsi="IBM Plex Sans"/>
                <w:b/>
                <w:bCs/>
                <w:color w:val="283030"/>
                <w:sz w:val="16"/>
                <w:szCs w:val="16"/>
              </w:rPr>
              <w:t>Benefits</w:t>
            </w:r>
          </w:p>
        </w:tc>
        <w:tc>
          <w:tcPr>
            <w:tcW w:w="0" w:type="auto"/>
            <w:gridSpan w:val="3"/>
            <w:vAlign w:val="center"/>
            <w:hideMark/>
          </w:tcPr>
          <w:p w:rsidR="00000000" w:rsidRDefault="00F5481A">
            <w:pPr>
              <w:spacing w:after="100"/>
              <w:jc w:val="center"/>
              <w:rPr>
                <w:rFonts w:eastAsia="Times New Roman"/>
              </w:rPr>
            </w:pPr>
          </w:p>
        </w:tc>
        <w:tc>
          <w:tcPr>
            <w:tcW w:w="0" w:type="auto"/>
            <w:gridSpan w:val="3"/>
            <w:vAlign w:val="center"/>
            <w:hideMark/>
          </w:tcPr>
          <w:p w:rsidR="00000000" w:rsidRDefault="00F5481A">
            <w:pPr>
              <w:spacing w:after="100"/>
              <w:rPr>
                <w:rFonts w:eastAsia="Times New Roman"/>
                <w:sz w:val="20"/>
                <w:szCs w:val="20"/>
              </w:rPr>
            </w:pPr>
          </w:p>
        </w:tc>
      </w:tr>
      <w:tr w:rsidR="00000000">
        <w:trPr>
          <w:trHeight w:val="60"/>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PBO</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6,699 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9,340 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Fair value of plan assets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6,472 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8,786 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bl>
    <w:p w:rsidR="00000000" w:rsidRDefault="00F5481A">
      <w:pPr>
        <w:ind w:firstLine="360"/>
        <w:jc w:val="center"/>
        <w:divId w:val="637226481"/>
        <w:rPr>
          <w:rFonts w:eastAsia="Times New Roman"/>
        </w:rPr>
      </w:pPr>
      <w:r>
        <w:rPr>
          <w:rFonts w:ascii="Arial" w:eastAsia="Times New Roman" w:hAnsi="Arial" w:cs="Arial"/>
          <w:b/>
          <w:bCs/>
          <w:color w:val="016676"/>
        </w:rPr>
        <w:t>_________________________________________________</w:t>
      </w:r>
      <w:r>
        <w:rPr>
          <w:rFonts w:ascii="Arial" w:eastAsia="Times New Roman" w:hAnsi="Arial" w:cs="Arial"/>
          <w:b/>
          <w:bCs/>
          <w:color w:val="016676"/>
        </w:rPr>
        <w:t>____________________</w:t>
      </w:r>
      <w:r>
        <w:rPr>
          <w:rFonts w:ascii="Arial" w:eastAsia="Times New Roman" w:hAnsi="Arial" w:cs="Arial"/>
          <w:b/>
          <w:bCs/>
          <w:color w:val="233D6F"/>
        </w:rPr>
        <w:br/>
      </w:r>
      <w:r>
        <w:rPr>
          <w:rFonts w:ascii="IBM Plex Sans" w:eastAsia="Times New Roman" w:hAnsi="IBM Plex Sans"/>
          <w:color w:val="283030"/>
          <w:sz w:val="20"/>
          <w:szCs w:val="20"/>
        </w:rPr>
        <w:t>91</w:t>
      </w:r>
    </w:p>
    <w:p w:rsidR="00000000" w:rsidRDefault="00F5481A">
      <w:pPr>
        <w:rPr>
          <w:rFonts w:eastAsia="Times New Roman"/>
        </w:rPr>
      </w:pPr>
      <w:r>
        <w:rPr>
          <w:rFonts w:eastAsia="Times New Roman"/>
        </w:rPr>
        <w:pict>
          <v:rect id="_x0000_i1122" style="width:0;height:1.5pt" o:hralign="center" o:hrstd="t" o:hr="t" fillcolor="#a0a0a0" stroked="f"/>
        </w:pict>
      </w:r>
    </w:p>
    <w:p w:rsidR="00000000" w:rsidRDefault="00F5481A">
      <w:pPr>
        <w:ind w:firstLine="360"/>
        <w:divId w:val="1156460481"/>
        <w:rPr>
          <w:rFonts w:eastAsia="Times New Roman"/>
        </w:rPr>
      </w:pPr>
    </w:p>
    <w:p w:rsidR="00000000" w:rsidRDefault="00F5481A">
      <w:pPr>
        <w:divId w:val="18898617"/>
        <w:rPr>
          <w:rFonts w:eastAsia="Times New Roman"/>
        </w:rPr>
      </w:pPr>
      <w:r>
        <w:rPr>
          <w:rFonts w:ascii="IBM Plex Sans SemiBold" w:eastAsia="Times New Roman" w:hAnsi="IBM Plex Sans SemiBold"/>
          <w:b/>
          <w:bCs/>
          <w:color w:val="016676"/>
          <w:sz w:val="20"/>
          <w:szCs w:val="20"/>
        </w:rPr>
        <w:t>Statement of Operations Information</w:t>
      </w:r>
    </w:p>
    <w:p w:rsidR="00000000" w:rsidRDefault="00F5481A">
      <w:pPr>
        <w:ind w:firstLine="360"/>
        <w:divId w:val="303003570"/>
        <w:rPr>
          <w:rFonts w:eastAsia="Times New Roman"/>
        </w:rPr>
      </w:pPr>
      <w:r>
        <w:rPr>
          <w:rFonts w:ascii="IBM Plex Sans" w:eastAsia="Times New Roman" w:hAnsi="IBM Plex Sans"/>
          <w:color w:val="283030"/>
          <w:sz w:val="20"/>
          <w:szCs w:val="20"/>
        </w:rPr>
        <w:t>The following table provides the components of net periodic benefit (income) loss and other amounts recognized in other comprehensive income in fiscal 2022, 2021 and 2020 as they per</w:t>
      </w:r>
      <w:r>
        <w:rPr>
          <w:rFonts w:ascii="IBM Plex Sans" w:eastAsia="Times New Roman" w:hAnsi="IBM Plex Sans"/>
          <w:color w:val="283030"/>
          <w:sz w:val="20"/>
          <w:szCs w:val="20"/>
        </w:rPr>
        <w:t>tain to our defined benefit plans:</w:t>
      </w:r>
    </w:p>
    <w:tbl>
      <w:tblPr>
        <w:tblW w:w="5000" w:type="pct"/>
        <w:tblCellMar>
          <w:top w:w="15" w:type="dxa"/>
          <w:left w:w="15" w:type="dxa"/>
          <w:bottom w:w="15" w:type="dxa"/>
          <w:right w:w="15" w:type="dxa"/>
        </w:tblCellMar>
        <w:tblLook w:val="04A0" w:firstRow="1" w:lastRow="0" w:firstColumn="1" w:lastColumn="0" w:noHBand="0" w:noVBand="1"/>
      </w:tblPr>
      <w:tblGrid>
        <w:gridCol w:w="42"/>
        <w:gridCol w:w="4192"/>
        <w:gridCol w:w="41"/>
        <w:gridCol w:w="133"/>
        <w:gridCol w:w="1122"/>
        <w:gridCol w:w="36"/>
        <w:gridCol w:w="36"/>
        <w:gridCol w:w="36"/>
        <w:gridCol w:w="36"/>
        <w:gridCol w:w="133"/>
        <w:gridCol w:w="1064"/>
        <w:gridCol w:w="36"/>
        <w:gridCol w:w="36"/>
        <w:gridCol w:w="36"/>
        <w:gridCol w:w="36"/>
        <w:gridCol w:w="133"/>
        <w:gridCol w:w="1122"/>
        <w:gridCol w:w="36"/>
      </w:tblGrid>
      <w:tr w:rsidR="00000000">
        <w:trPr>
          <w:divId w:val="1361853560"/>
        </w:trPr>
        <w:tc>
          <w:tcPr>
            <w:tcW w:w="50" w:type="pct"/>
            <w:vAlign w:val="center"/>
            <w:hideMark/>
          </w:tcPr>
          <w:p w:rsidR="00000000" w:rsidRDefault="00F5481A">
            <w:pPr>
              <w:ind w:firstLine="360"/>
              <w:rPr>
                <w:rFonts w:eastAsia="Times New Roman"/>
              </w:rPr>
            </w:pPr>
          </w:p>
        </w:tc>
        <w:tc>
          <w:tcPr>
            <w:tcW w:w="2574"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2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1361853560"/>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Pension</w:t>
            </w:r>
          </w:p>
        </w:tc>
      </w:tr>
      <w:tr w:rsidR="00000000">
        <w:trPr>
          <w:divId w:val="136185356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Fiscal Year Ended</w:t>
            </w:r>
          </w:p>
        </w:tc>
      </w:tr>
      <w:tr w:rsidR="00000000">
        <w:trPr>
          <w:divId w:val="1361853560"/>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January 1, 2021</w:t>
            </w:r>
          </w:p>
        </w:tc>
      </w:tr>
      <w:tr w:rsidR="00000000">
        <w:trPr>
          <w:divId w:val="1361853560"/>
          <w:trHeight w:val="6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361853560"/>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Net periodic benefit income</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361853560"/>
        </w:trPr>
        <w:tc>
          <w:tcPr>
            <w:tcW w:w="0" w:type="auto"/>
            <w:gridSpan w:val="3"/>
            <w:shd w:val="clear" w:color="auto" w:fill="FFFFFF"/>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Service cost</w:t>
            </w: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44 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361853560"/>
        </w:trPr>
        <w:tc>
          <w:tcPr>
            <w:tcW w:w="0" w:type="auto"/>
            <w:gridSpan w:val="3"/>
            <w:shd w:val="clear" w:color="auto" w:fill="D7EFF1"/>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Interest cost</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220 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188 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273 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361853560"/>
        </w:trPr>
        <w:tc>
          <w:tcPr>
            <w:tcW w:w="0" w:type="auto"/>
            <w:gridSpan w:val="3"/>
            <w:shd w:val="clear" w:color="auto" w:fill="FFFFFF"/>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Expected return on plan assets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(624)</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(621)</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(630)</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361853560"/>
        </w:trPr>
        <w:tc>
          <w:tcPr>
            <w:tcW w:w="0" w:type="auto"/>
            <w:gridSpan w:val="3"/>
            <w:shd w:val="clear" w:color="auto" w:fill="D7EFF1"/>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Amortization of net actuarial loss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361853560"/>
        </w:trPr>
        <w:tc>
          <w:tcPr>
            <w:tcW w:w="0" w:type="auto"/>
            <w:gridSpan w:val="3"/>
            <w:shd w:val="clear" w:color="auto" w:fill="FFFFFF"/>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Amortization of prior service credit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(27)</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(28)</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(28)</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361853560"/>
        </w:trPr>
        <w:tc>
          <w:tcPr>
            <w:tcW w:w="0" w:type="auto"/>
            <w:gridSpan w:val="3"/>
            <w:shd w:val="clear" w:color="auto" w:fill="D7EFF1"/>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Cost for special termination benefits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361853560"/>
        </w:trPr>
        <w:tc>
          <w:tcPr>
            <w:tcW w:w="0" w:type="auto"/>
            <w:gridSpan w:val="3"/>
            <w:shd w:val="clear" w:color="auto" w:fill="FFFFFF"/>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Effect of curtailments or settlements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361853560"/>
        </w:trPr>
        <w:tc>
          <w:tcPr>
            <w:tcW w:w="0" w:type="auto"/>
            <w:gridSpan w:val="3"/>
            <w:shd w:val="clear" w:color="auto" w:fill="D7EFF1"/>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Net periodic benefit income</w:t>
            </w: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(378)</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(364)</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(309)</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361853560"/>
        </w:trPr>
        <w:tc>
          <w:tcPr>
            <w:tcW w:w="0" w:type="auto"/>
            <w:gridSpan w:val="18"/>
            <w:shd w:val="clear" w:color="auto" w:fill="FFFFFF"/>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Other changes in plan assets and benefit obligations recognized in other comprehensive income</w:t>
            </w:r>
          </w:p>
        </w:tc>
      </w:tr>
      <w:tr w:rsidR="00000000">
        <w:trPr>
          <w:divId w:val="1361853560"/>
        </w:trPr>
        <w:tc>
          <w:tcPr>
            <w:tcW w:w="0" w:type="auto"/>
            <w:gridSpan w:val="3"/>
            <w:shd w:val="clear" w:color="auto" w:fill="D7EFF1"/>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Net actuarial loss (gain)</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(972)</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403 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361853560"/>
        </w:trPr>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361853560"/>
        </w:trPr>
        <w:tc>
          <w:tcPr>
            <w:tcW w:w="0" w:type="auto"/>
            <w:gridSpan w:val="3"/>
            <w:shd w:val="clear" w:color="auto" w:fill="FFFFFF"/>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Prior service cost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361853560"/>
        </w:trPr>
        <w:tc>
          <w:tcPr>
            <w:tcW w:w="0" w:type="auto"/>
            <w:gridSpan w:val="3"/>
            <w:shd w:val="clear" w:color="auto" w:fill="D7EFF1"/>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Amortization of net actuarial loss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(30)</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361853560"/>
        </w:trPr>
        <w:tc>
          <w:tcPr>
            <w:tcW w:w="0" w:type="auto"/>
            <w:gridSpan w:val="3"/>
            <w:shd w:val="clear" w:color="auto" w:fill="FFFFFF"/>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Amortization of prior service credit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361853560"/>
        </w:trPr>
        <w:tc>
          <w:tcPr>
            <w:tcW w:w="0" w:type="auto"/>
            <w:gridSpan w:val="3"/>
            <w:shd w:val="clear" w:color="auto" w:fill="D7EFF1"/>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Currency translation adjustment</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361853560"/>
        </w:trPr>
        <w:tc>
          <w:tcPr>
            <w:tcW w:w="0" w:type="auto"/>
            <w:gridSpan w:val="3"/>
            <w:shd w:val="clear" w:color="auto" w:fill="FFFFFF"/>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Recognized prior service credit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361853560"/>
        </w:trPr>
        <w:tc>
          <w:tcPr>
            <w:tcW w:w="0" w:type="auto"/>
            <w:gridSpan w:val="3"/>
            <w:shd w:val="clear" w:color="auto" w:fill="D7EFF1"/>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Recognized net actuarial loss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361853560"/>
        </w:trPr>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361853560"/>
        </w:trPr>
        <w:tc>
          <w:tcPr>
            <w:tcW w:w="0" w:type="auto"/>
            <w:gridSpan w:val="3"/>
            <w:shd w:val="clear" w:color="auto" w:fill="FFFFFF"/>
            <w:tcMar>
              <w:top w:w="30" w:type="dxa"/>
              <w:left w:w="18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Total change recognized in other comprehensive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(971)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361853560"/>
        </w:trPr>
        <w:tc>
          <w:tcPr>
            <w:tcW w:w="0" w:type="auto"/>
            <w:gridSpan w:val="3"/>
            <w:shd w:val="clear" w:color="auto" w:fill="D7EFF1"/>
            <w:tcMar>
              <w:top w:w="30" w:type="dxa"/>
              <w:left w:w="380" w:type="dxa"/>
              <w:bottom w:w="30" w:type="dxa"/>
              <w:right w:w="20" w:type="dxa"/>
            </w:tcMar>
            <w:hideMark/>
          </w:tcPr>
          <w:p w:rsidR="00000000" w:rsidRDefault="00F5481A">
            <w:pPr>
              <w:spacing w:after="100"/>
              <w:ind w:hanging="180"/>
              <w:rPr>
                <w:rFonts w:eastAsia="Times New Roman"/>
              </w:rPr>
            </w:pPr>
            <w:r>
              <w:rPr>
                <w:rFonts w:ascii="IBM Plex Sans" w:eastAsia="Times New Roman" w:hAnsi="IBM Plex Sans"/>
                <w:color w:val="283030"/>
                <w:sz w:val="20"/>
                <w:szCs w:val="20"/>
              </w:rPr>
              <w:t>Total impact from net periodic benefit (income) loss and changes in other comprehensive income</w:t>
            </w: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(309)</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(1,335)</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115 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275"/>
        <w:gridCol w:w="144"/>
        <w:gridCol w:w="144"/>
        <w:gridCol w:w="1184"/>
        <w:gridCol w:w="144"/>
        <w:gridCol w:w="144"/>
        <w:gridCol w:w="144"/>
        <w:gridCol w:w="144"/>
        <w:gridCol w:w="144"/>
        <w:gridCol w:w="1184"/>
        <w:gridCol w:w="144"/>
        <w:gridCol w:w="144"/>
        <w:gridCol w:w="144"/>
        <w:gridCol w:w="144"/>
        <w:gridCol w:w="144"/>
        <w:gridCol w:w="1184"/>
        <w:gridCol w:w="144"/>
      </w:tblGrid>
      <w:tr w:rsidR="00000000">
        <w:tc>
          <w:tcPr>
            <w:tcW w:w="50" w:type="pct"/>
            <w:vAlign w:val="center"/>
            <w:hideMark/>
          </w:tcPr>
          <w:p w:rsidR="00000000" w:rsidRDefault="00F5481A">
            <w:pPr>
              <w:rPr>
                <w:rFonts w:eastAsia="Times New Roman"/>
              </w:rPr>
            </w:pPr>
          </w:p>
        </w:tc>
        <w:tc>
          <w:tcPr>
            <w:tcW w:w="2574"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2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Other Benefits</w:t>
            </w:r>
          </w:p>
        </w:tc>
      </w:tr>
      <w:tr w:rsidR="00000000">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Fiscal Year Ended</w:t>
            </w:r>
          </w:p>
        </w:tc>
      </w:tr>
      <w:tr w:rsidR="00000000">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January 1, 2021</w:t>
            </w:r>
          </w:p>
        </w:tc>
      </w:tr>
      <w:tr w:rsidR="00000000">
        <w:trPr>
          <w:trHeight w:val="6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Net periodic benefit income</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c>
          <w:tcPr>
            <w:tcW w:w="0" w:type="auto"/>
            <w:gridSpan w:val="3"/>
            <w:shd w:val="clear" w:color="auto" w:fill="FFFFFF"/>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Service cost</w:t>
            </w: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c>
          <w:tcPr>
            <w:tcW w:w="0" w:type="auto"/>
            <w:gridSpan w:val="3"/>
            <w:shd w:val="clear" w:color="auto" w:fill="D7EFF1"/>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Interest cost</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c>
          <w:tcPr>
            <w:tcW w:w="0" w:type="auto"/>
            <w:gridSpan w:val="3"/>
            <w:shd w:val="clear" w:color="auto" w:fill="FFFFFF"/>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Expected return on plan assets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(20)</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(20)</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c>
          <w:tcPr>
            <w:tcW w:w="0" w:type="auto"/>
            <w:gridSpan w:val="3"/>
            <w:shd w:val="clear" w:color="auto" w:fill="D7EFF1"/>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Amortization of net actuarial gain</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c>
          <w:tcPr>
            <w:tcW w:w="0" w:type="auto"/>
            <w:gridSpan w:val="3"/>
            <w:shd w:val="clear" w:color="auto" w:fill="FFFFFF"/>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Amortization of prior service cost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c>
          <w:tcPr>
            <w:tcW w:w="0" w:type="auto"/>
            <w:gridSpan w:val="3"/>
            <w:shd w:val="clear" w:color="auto" w:fill="D7EFF1"/>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Net periodic benefit income</w:t>
            </w: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(17)</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c>
          <w:tcPr>
            <w:tcW w:w="0" w:type="auto"/>
            <w:gridSpan w:val="18"/>
            <w:shd w:val="clear" w:color="auto" w:fill="FFFFFF"/>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Other changes in plan assets and benefit obligations recognized in other comprehensive income</w:t>
            </w:r>
          </w:p>
        </w:tc>
      </w:tr>
      <w:tr w:rsidR="00000000">
        <w:tc>
          <w:tcPr>
            <w:tcW w:w="0" w:type="auto"/>
            <w:gridSpan w:val="3"/>
            <w:shd w:val="clear" w:color="auto" w:fill="D7EFF1"/>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Net actuarial (gain) loss</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(34)</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(46)</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c>
          <w:tcPr>
            <w:tcW w:w="0" w:type="auto"/>
            <w:gridSpan w:val="3"/>
            <w:shd w:val="clear" w:color="auto" w:fill="FFFFFF"/>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 xml:space="preserve">Prior service cost </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c>
          <w:tcPr>
            <w:tcW w:w="0" w:type="auto"/>
            <w:gridSpan w:val="3"/>
            <w:shd w:val="clear" w:color="auto" w:fill="D7EFF1"/>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Amortization of net actuarial gain</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c>
          <w:tcPr>
            <w:tcW w:w="0" w:type="auto"/>
            <w:gridSpan w:val="3"/>
            <w:shd w:val="clear" w:color="auto" w:fill="FFFFFF"/>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Amortization of prior service cost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c>
          <w:tcPr>
            <w:tcW w:w="0" w:type="auto"/>
            <w:gridSpan w:val="3"/>
            <w:shd w:val="clear" w:color="auto" w:fill="D7EFF1"/>
            <w:tcMar>
              <w:top w:w="30" w:type="dxa"/>
              <w:left w:w="18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Total change recognized in other comprehensive income</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(28)</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(47)</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15 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c>
          <w:tcPr>
            <w:tcW w:w="0" w:type="auto"/>
            <w:gridSpan w:val="3"/>
            <w:shd w:val="clear" w:color="auto" w:fill="FFFFFF"/>
            <w:tcMar>
              <w:top w:w="30" w:type="dxa"/>
              <w:left w:w="380" w:type="dxa"/>
              <w:bottom w:w="30" w:type="dxa"/>
              <w:right w:w="20" w:type="dxa"/>
            </w:tcMar>
            <w:hideMark/>
          </w:tcPr>
          <w:p w:rsidR="00000000" w:rsidRDefault="00F5481A">
            <w:pPr>
              <w:spacing w:after="100"/>
              <w:ind w:hanging="180"/>
              <w:rPr>
                <w:rFonts w:eastAsia="Times New Roman"/>
              </w:rPr>
            </w:pPr>
            <w:r>
              <w:rPr>
                <w:rFonts w:ascii="IBM Plex Sans" w:eastAsia="Times New Roman" w:hAnsi="IBM Plex Sans"/>
                <w:color w:val="283030"/>
                <w:sz w:val="20"/>
                <w:szCs w:val="20"/>
              </w:rPr>
              <w:t>Total impact from net periodic benefit (income) loss and changes in other comprehensive income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bl>
    <w:p w:rsidR="00000000" w:rsidRDefault="00F5481A">
      <w:pPr>
        <w:ind w:firstLine="360"/>
        <w:jc w:val="center"/>
        <w:divId w:val="1382166123"/>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92</w:t>
      </w:r>
    </w:p>
    <w:p w:rsidR="00000000" w:rsidRDefault="00F5481A">
      <w:pPr>
        <w:rPr>
          <w:rFonts w:eastAsia="Times New Roman"/>
        </w:rPr>
      </w:pPr>
      <w:r>
        <w:rPr>
          <w:rFonts w:eastAsia="Times New Roman"/>
        </w:rPr>
        <w:pict>
          <v:rect id="_x0000_i1123" style="width:0;height:1.5pt" o:hralign="center" o:hrstd="t" o:hr="t" fillcolor="#a0a0a0" stroked="f"/>
        </w:pict>
      </w:r>
    </w:p>
    <w:p w:rsidR="00000000" w:rsidRDefault="00F5481A">
      <w:pPr>
        <w:ind w:firstLine="360"/>
        <w:divId w:val="30424521"/>
        <w:rPr>
          <w:rFonts w:eastAsia="Times New Roman"/>
        </w:rPr>
      </w:pPr>
    </w:p>
    <w:p w:rsidR="00000000" w:rsidRDefault="00F5481A">
      <w:pPr>
        <w:divId w:val="1896352653"/>
        <w:rPr>
          <w:rFonts w:eastAsia="Times New Roman"/>
        </w:rPr>
      </w:pPr>
      <w:r>
        <w:rPr>
          <w:rFonts w:ascii="IBM Plex Sans SemiBold" w:eastAsia="Times New Roman" w:hAnsi="IBM Plex Sans SemiBold"/>
          <w:b/>
          <w:bCs/>
          <w:color w:val="016676"/>
          <w:sz w:val="20"/>
          <w:szCs w:val="20"/>
        </w:rPr>
        <w:t>Defined Benefit Plan Assumptions</w:t>
      </w:r>
    </w:p>
    <w:p w:rsidR="00000000" w:rsidRDefault="00F5481A">
      <w:pPr>
        <w:ind w:firstLine="360"/>
        <w:divId w:val="430054673"/>
        <w:rPr>
          <w:rFonts w:eastAsia="Times New Roman"/>
        </w:rPr>
      </w:pPr>
      <w:r>
        <w:rPr>
          <w:rFonts w:ascii="IBM Plex Sans" w:eastAsia="Times New Roman" w:hAnsi="IBM Plex Sans"/>
          <w:color w:val="283030"/>
          <w:sz w:val="20"/>
          <w:szCs w:val="20"/>
        </w:rPr>
        <w:t>The determination of the assumptions related to defined benefit plans are based on the provisions of the applicable accounting pronouncements, review of various market data and discussions with our actuaries. We develop each assumption using relevant Compa</w:t>
      </w:r>
      <w:r>
        <w:rPr>
          <w:rFonts w:ascii="IBM Plex Sans" w:eastAsia="Times New Roman" w:hAnsi="IBM Plex Sans"/>
          <w:color w:val="283030"/>
          <w:sz w:val="20"/>
          <w:szCs w:val="20"/>
        </w:rPr>
        <w:t>ny experience in conjunction with market-related data. Assumptions are reviewed annually and adjusted as appropriate.</w:t>
      </w:r>
    </w:p>
    <w:p w:rsidR="00000000" w:rsidRDefault="00F5481A">
      <w:pPr>
        <w:ind w:firstLine="360"/>
        <w:divId w:val="755982297"/>
        <w:rPr>
          <w:rFonts w:eastAsia="Times New Roman"/>
        </w:rPr>
      </w:pPr>
      <w:r>
        <w:rPr>
          <w:rFonts w:ascii="IBM Plex Sans" w:eastAsia="Times New Roman" w:hAnsi="IBM Plex Sans"/>
          <w:color w:val="283030"/>
          <w:sz w:val="20"/>
          <w:szCs w:val="20"/>
        </w:rPr>
        <w:t>The following tables provide the weighted-average assumptions used to determine PBO and net periodic benefit income, as they pertain to ou</w:t>
      </w:r>
      <w:r>
        <w:rPr>
          <w:rFonts w:ascii="IBM Plex Sans" w:eastAsia="Times New Roman" w:hAnsi="IBM Plex Sans"/>
          <w:color w:val="283030"/>
          <w:sz w:val="20"/>
          <w:szCs w:val="20"/>
        </w:rPr>
        <w:t>r defined benefit pension plans:</w:t>
      </w:r>
    </w:p>
    <w:tbl>
      <w:tblPr>
        <w:tblW w:w="5000" w:type="pct"/>
        <w:tblCellMar>
          <w:top w:w="15" w:type="dxa"/>
          <w:left w:w="15" w:type="dxa"/>
          <w:bottom w:w="15" w:type="dxa"/>
          <w:right w:w="15" w:type="dxa"/>
        </w:tblCellMar>
        <w:tblLook w:val="04A0" w:firstRow="1" w:lastRow="0" w:firstColumn="1" w:lastColumn="0" w:noHBand="0" w:noVBand="1"/>
      </w:tblPr>
      <w:tblGrid>
        <w:gridCol w:w="38"/>
        <w:gridCol w:w="4154"/>
        <w:gridCol w:w="37"/>
        <w:gridCol w:w="53"/>
        <w:gridCol w:w="1036"/>
        <w:gridCol w:w="198"/>
        <w:gridCol w:w="36"/>
        <w:gridCol w:w="36"/>
        <w:gridCol w:w="36"/>
        <w:gridCol w:w="53"/>
        <w:gridCol w:w="1036"/>
        <w:gridCol w:w="198"/>
        <w:gridCol w:w="36"/>
        <w:gridCol w:w="36"/>
        <w:gridCol w:w="36"/>
        <w:gridCol w:w="43"/>
        <w:gridCol w:w="1046"/>
        <w:gridCol w:w="198"/>
      </w:tblGrid>
      <w:tr w:rsidR="00000000">
        <w:trPr>
          <w:divId w:val="263735548"/>
        </w:trPr>
        <w:tc>
          <w:tcPr>
            <w:tcW w:w="50" w:type="pct"/>
            <w:vAlign w:val="center"/>
            <w:hideMark/>
          </w:tcPr>
          <w:p w:rsidR="00000000" w:rsidRDefault="00F5481A">
            <w:pPr>
              <w:ind w:firstLine="360"/>
              <w:rPr>
                <w:rFonts w:eastAsia="Times New Roman"/>
              </w:rPr>
            </w:pPr>
          </w:p>
        </w:tc>
        <w:tc>
          <w:tcPr>
            <w:tcW w:w="2581"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263735548"/>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Obligation assumptions as of:</w:t>
            </w: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263735548"/>
        </w:trPr>
        <w:tc>
          <w:tcPr>
            <w:tcW w:w="0" w:type="auto"/>
            <w:gridSpan w:val="3"/>
            <w:shd w:val="clear" w:color="auto" w:fill="D7EFF1"/>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Discount rate</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5.18 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2.75 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263735548"/>
        </w:trPr>
        <w:tc>
          <w:tcPr>
            <w:tcW w:w="0" w:type="auto"/>
            <w:gridSpan w:val="3"/>
            <w:shd w:val="clear" w:color="auto" w:fill="FFFFFF"/>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Rate of future compensation increase</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3.01 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3.01 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263735548"/>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Cash balance interest crediting rate</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4.00 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3.50 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263735548"/>
          <w:trHeight w:val="280"/>
        </w:trPr>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263735548"/>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Cost assumptions for fiscal periods ended:</w:t>
            </w: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January 1, 2021</w:t>
            </w:r>
          </w:p>
        </w:tc>
      </w:tr>
      <w:tr w:rsidR="00000000">
        <w:trPr>
          <w:divId w:val="263735548"/>
        </w:trPr>
        <w:tc>
          <w:tcPr>
            <w:tcW w:w="0" w:type="auto"/>
            <w:gridSpan w:val="3"/>
            <w:shd w:val="clear" w:color="auto" w:fill="FFFFFF"/>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 xml:space="preserve">Discount rate to determine service cost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r>
      <w:tr w:rsidR="00000000">
        <w:trPr>
          <w:divId w:val="263735548"/>
        </w:trPr>
        <w:tc>
          <w:tcPr>
            <w:tcW w:w="0" w:type="auto"/>
            <w:gridSpan w:val="3"/>
            <w:shd w:val="clear" w:color="auto" w:fill="D7EFF1"/>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Discount rate to determine interest cost</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2.27 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2.74 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r>
      <w:tr w:rsidR="00000000">
        <w:trPr>
          <w:divId w:val="263735548"/>
        </w:trPr>
        <w:tc>
          <w:tcPr>
            <w:tcW w:w="0" w:type="auto"/>
            <w:gridSpan w:val="3"/>
            <w:shd w:val="clear" w:color="auto" w:fill="FFFFFF"/>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Expected return on plan assets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7.44 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7.43 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7.68 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r>
      <w:tr w:rsidR="00000000">
        <w:trPr>
          <w:divId w:val="263735548"/>
        </w:trPr>
        <w:tc>
          <w:tcPr>
            <w:tcW w:w="0" w:type="auto"/>
            <w:gridSpan w:val="3"/>
            <w:shd w:val="clear" w:color="auto" w:fill="D7EFF1"/>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Rate of future compensation increase</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3.01 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3.01 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2.80 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r>
      <w:tr w:rsidR="00000000">
        <w:trPr>
          <w:divId w:val="263735548"/>
        </w:trPr>
        <w:tc>
          <w:tcPr>
            <w:tcW w:w="0" w:type="auto"/>
            <w:gridSpan w:val="3"/>
            <w:shd w:val="clear" w:color="auto" w:fill="FFFFFF"/>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Cash balance interest crediting rate</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3.50 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3.50 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3.50 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r>
    </w:tbl>
    <w:p w:rsidR="00000000" w:rsidRDefault="00F5481A">
      <w:pPr>
        <w:ind w:firstLine="360"/>
        <w:divId w:val="184754497"/>
        <w:rPr>
          <w:rFonts w:eastAsia="Times New Roman"/>
        </w:rPr>
      </w:pPr>
      <w:r>
        <w:rPr>
          <w:rFonts w:ascii="IBM Plex Sans" w:eastAsia="Times New Roman" w:hAnsi="IBM Plex Sans"/>
          <w:color w:val="283030"/>
          <w:sz w:val="20"/>
          <w:szCs w:val="20"/>
        </w:rPr>
        <w:t>Key assumptions for our Aviation Products Pension Plan (our largest defined benefit pension plan with 87</w:t>
      </w:r>
      <w:r>
        <w:rPr>
          <w:rFonts w:ascii="IBM Plex Sans" w:eastAsia="Times New Roman" w:hAnsi="IBM Plex Sans"/>
          <w:color w:val="283030"/>
          <w:sz w:val="20"/>
          <w:szCs w:val="20"/>
        </w:rPr>
        <w:t xml:space="preserve">% of the total PBO included a discount rate for obligation assumptions of 5.19%, a cash balance interest crediting rate of 4.00% and expected return on plan assets of 7.50% for fiscal 2022, which is being maintained at 7.50% for fiscal 2023. There is also </w:t>
      </w:r>
      <w:r>
        <w:rPr>
          <w:rFonts w:ascii="IBM Plex Sans" w:eastAsia="Times New Roman" w:hAnsi="IBM Plex Sans"/>
          <w:color w:val="283030"/>
          <w:sz w:val="20"/>
          <w:szCs w:val="20"/>
        </w:rPr>
        <w:t>a frozen pension equity benefit that assumes a 3.75% interest crediting rate.</w:t>
      </w:r>
    </w:p>
    <w:p w:rsidR="00000000" w:rsidRDefault="00F5481A">
      <w:pPr>
        <w:ind w:firstLine="360"/>
        <w:divId w:val="1410273229"/>
        <w:rPr>
          <w:rFonts w:eastAsia="Times New Roman"/>
        </w:rPr>
      </w:pPr>
      <w:r>
        <w:rPr>
          <w:rFonts w:ascii="IBM Plex Sans" w:eastAsia="Times New Roman" w:hAnsi="IBM Plex Sans"/>
          <w:color w:val="283030"/>
          <w:sz w:val="20"/>
          <w:szCs w:val="20"/>
        </w:rPr>
        <w:t>The following table provides the weighted-average assumptions used to determine projected benefit obligations and net periodic benefit income, as they pertain to our other postretirement defined benefit plans:</w:t>
      </w:r>
    </w:p>
    <w:tbl>
      <w:tblPr>
        <w:tblW w:w="5000" w:type="pct"/>
        <w:tblCellMar>
          <w:top w:w="15" w:type="dxa"/>
          <w:left w:w="15" w:type="dxa"/>
          <w:bottom w:w="15" w:type="dxa"/>
          <w:right w:w="15" w:type="dxa"/>
        </w:tblCellMar>
        <w:tblLook w:val="04A0" w:firstRow="1" w:lastRow="0" w:firstColumn="1" w:lastColumn="0" w:noHBand="0" w:noVBand="1"/>
      </w:tblPr>
      <w:tblGrid>
        <w:gridCol w:w="38"/>
        <w:gridCol w:w="4154"/>
        <w:gridCol w:w="37"/>
        <w:gridCol w:w="53"/>
        <w:gridCol w:w="1036"/>
        <w:gridCol w:w="198"/>
        <w:gridCol w:w="36"/>
        <w:gridCol w:w="36"/>
        <w:gridCol w:w="36"/>
        <w:gridCol w:w="53"/>
        <w:gridCol w:w="1036"/>
        <w:gridCol w:w="198"/>
        <w:gridCol w:w="36"/>
        <w:gridCol w:w="36"/>
        <w:gridCol w:w="36"/>
        <w:gridCol w:w="43"/>
        <w:gridCol w:w="1046"/>
        <w:gridCol w:w="198"/>
      </w:tblGrid>
      <w:tr w:rsidR="00000000">
        <w:trPr>
          <w:divId w:val="1169638663"/>
        </w:trPr>
        <w:tc>
          <w:tcPr>
            <w:tcW w:w="50" w:type="pct"/>
            <w:vAlign w:val="center"/>
            <w:hideMark/>
          </w:tcPr>
          <w:p w:rsidR="00000000" w:rsidRDefault="00F5481A">
            <w:pPr>
              <w:ind w:firstLine="360"/>
              <w:rPr>
                <w:rFonts w:eastAsia="Times New Roman"/>
              </w:rPr>
            </w:pPr>
          </w:p>
        </w:tc>
        <w:tc>
          <w:tcPr>
            <w:tcW w:w="2581"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1169638663"/>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Obligation assumptions as o</w:t>
            </w:r>
            <w:r>
              <w:rPr>
                <w:rFonts w:ascii="IBM Plex Sans" w:eastAsia="Times New Roman" w:hAnsi="IBM Plex Sans"/>
                <w:b/>
                <w:bCs/>
                <w:color w:val="283030"/>
                <w:sz w:val="20"/>
                <w:szCs w:val="20"/>
              </w:rPr>
              <w:t>f:</w:t>
            </w: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169638663"/>
        </w:trPr>
        <w:tc>
          <w:tcPr>
            <w:tcW w:w="0" w:type="auto"/>
            <w:gridSpan w:val="3"/>
            <w:shd w:val="clear" w:color="auto" w:fill="D7EFF1"/>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Discount rate</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5.16 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2.60 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169638663"/>
        </w:trPr>
        <w:tc>
          <w:tcPr>
            <w:tcW w:w="0" w:type="auto"/>
            <w:gridSpan w:val="3"/>
            <w:shd w:val="clear" w:color="auto" w:fill="FFFFFF"/>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Rate of future compensation increase</w:t>
            </w: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169638663"/>
          <w:trHeight w:val="280"/>
        </w:trPr>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169638663"/>
        </w:trPr>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Cost assumptions for fiscal periods ended:</w:t>
            </w: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January 1, 2021</w:t>
            </w:r>
          </w:p>
        </w:tc>
      </w:tr>
      <w:tr w:rsidR="00000000">
        <w:trPr>
          <w:divId w:val="1169638663"/>
        </w:trPr>
        <w:tc>
          <w:tcPr>
            <w:tcW w:w="0" w:type="auto"/>
            <w:gridSpan w:val="3"/>
            <w:shd w:val="clear" w:color="auto" w:fill="D7EFF1"/>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 xml:space="preserve">Discount rate to determine service cost </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2.91 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2.49 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3.25 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r>
      <w:tr w:rsidR="00000000">
        <w:trPr>
          <w:divId w:val="1169638663"/>
        </w:trPr>
        <w:tc>
          <w:tcPr>
            <w:tcW w:w="0" w:type="auto"/>
            <w:gridSpan w:val="3"/>
            <w:shd w:val="clear" w:color="auto" w:fill="FFFFFF"/>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Discount rate to determine interest cost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2.06 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1.42 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2.55 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r>
      <w:tr w:rsidR="00000000">
        <w:trPr>
          <w:divId w:val="1169638663"/>
        </w:trPr>
        <w:tc>
          <w:tcPr>
            <w:tcW w:w="0" w:type="auto"/>
            <w:gridSpan w:val="3"/>
            <w:shd w:val="clear" w:color="auto" w:fill="D7EFF1"/>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Rate of future compensation increase</w:t>
            </w: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N/A</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N/A</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N/A</w:t>
            </w:r>
          </w:p>
        </w:tc>
      </w:tr>
    </w:tbl>
    <w:p w:rsidR="00000000" w:rsidRDefault="00F5481A">
      <w:pPr>
        <w:ind w:firstLine="360"/>
        <w:divId w:val="752623707"/>
        <w:rPr>
          <w:rFonts w:eastAsia="Times New Roman"/>
        </w:rPr>
      </w:pPr>
      <w:r>
        <w:rPr>
          <w:rFonts w:ascii="IBM Plex Sans" w:eastAsia="Times New Roman" w:hAnsi="IBM Plex Sans"/>
          <w:color w:val="283030"/>
          <w:sz w:val="20"/>
          <w:szCs w:val="20"/>
        </w:rPr>
        <w:t>The expected long-term rate of return on plan assets reflects the expected returns for each major asset class in which the plans invest, the weight of each asset class in the strategic allocation, the correlations among asset classes and their expected vol</w:t>
      </w:r>
      <w:r>
        <w:rPr>
          <w:rFonts w:ascii="IBM Plex Sans" w:eastAsia="Times New Roman" w:hAnsi="IBM Plex Sans"/>
          <w:color w:val="283030"/>
          <w:sz w:val="20"/>
          <w:szCs w:val="20"/>
        </w:rPr>
        <w:t>atilities. Our expected rate of return on plan assets is estimated by evaluating both historical returns and estimates of future returns. Specifically, the determination of the expected long-term rate of return takes into consideration: (1) the plan’s actu</w:t>
      </w:r>
      <w:r>
        <w:rPr>
          <w:rFonts w:ascii="IBM Plex Sans" w:eastAsia="Times New Roman" w:hAnsi="IBM Plex Sans"/>
          <w:color w:val="283030"/>
          <w:sz w:val="20"/>
          <w:szCs w:val="20"/>
        </w:rPr>
        <w:t>al historical annual return on assets over the past 15-, 20- and 25-year time periods, (2) historical broad market returns over long-term timeframes weighted by the plan’s strategic allocation and (3) independent estimates of future long-term asset class r</w:t>
      </w:r>
      <w:r>
        <w:rPr>
          <w:rFonts w:ascii="IBM Plex Sans" w:eastAsia="Times New Roman" w:hAnsi="IBM Plex Sans"/>
          <w:color w:val="283030"/>
          <w:sz w:val="20"/>
          <w:szCs w:val="20"/>
        </w:rPr>
        <w:t>eturns, weighted by the plan’s strategic allocation. Based on this approach, the long-term expected annual rate of return on assets is estimated at 7.50% for fiscal 2023 for the U.S. defined benefit pension plans. The weighted average long-term expected an</w:t>
      </w:r>
      <w:r>
        <w:rPr>
          <w:rFonts w:ascii="IBM Plex Sans" w:eastAsia="Times New Roman" w:hAnsi="IBM Plex Sans"/>
          <w:color w:val="283030"/>
          <w:sz w:val="20"/>
          <w:szCs w:val="20"/>
        </w:rPr>
        <w:t xml:space="preserve">nual rate of return on assets for all defined benefit pension plans is estimated to be 7.44% for fiscal 2023. </w:t>
      </w:r>
    </w:p>
    <w:p w:rsidR="00000000" w:rsidRDefault="00F5481A">
      <w:pPr>
        <w:ind w:firstLine="360"/>
        <w:divId w:val="1560046479"/>
        <w:rPr>
          <w:rFonts w:eastAsia="Times New Roman"/>
        </w:rPr>
      </w:pPr>
      <w:r>
        <w:rPr>
          <w:rFonts w:ascii="IBM Plex Sans" w:eastAsia="Times New Roman" w:hAnsi="IBM Plex Sans"/>
          <w:color w:val="283030"/>
          <w:sz w:val="20"/>
          <w:szCs w:val="20"/>
        </w:rPr>
        <w:t xml:space="preserve">In fiscal 2021, we adopted updated mortality tables, which resulted in an increase in the defined benefit plans’ PBO as of December 31, 2021 and </w:t>
      </w:r>
      <w:r>
        <w:rPr>
          <w:rFonts w:ascii="IBM Plex Sans" w:eastAsia="Times New Roman" w:hAnsi="IBM Plex Sans"/>
          <w:color w:val="283030"/>
          <w:sz w:val="20"/>
          <w:szCs w:val="20"/>
        </w:rPr>
        <w:t xml:space="preserve">estimated net periodic benefit income beginning with fiscal 2022. </w:t>
      </w:r>
    </w:p>
    <w:p w:rsidR="00000000" w:rsidRDefault="00F5481A">
      <w:pPr>
        <w:ind w:firstLine="360"/>
        <w:divId w:val="1884167812"/>
        <w:rPr>
          <w:rFonts w:eastAsia="Times New Roman"/>
        </w:rPr>
      </w:pPr>
      <w:r>
        <w:rPr>
          <w:rFonts w:ascii="IBM Plex Sans" w:eastAsia="Times New Roman" w:hAnsi="IBM Plex Sans"/>
          <w:color w:val="283030"/>
          <w:sz w:val="20"/>
          <w:szCs w:val="20"/>
        </w:rPr>
        <w:t>The assumed composite rate of future increases in the per capita healthcare costs (the healthcare trend rate) is 6.90% for fiscal 2023, decreasing ratably to 4.60% by fiscal 2033. To the ex</w:t>
      </w:r>
      <w:r>
        <w:rPr>
          <w:rFonts w:ascii="IBM Plex Sans" w:eastAsia="Times New Roman" w:hAnsi="IBM Plex Sans"/>
          <w:color w:val="283030"/>
          <w:sz w:val="20"/>
          <w:szCs w:val="20"/>
        </w:rPr>
        <w:t>tent that actual experience differs from these assumptions, the effect will be accumulated and generally amortized for each plan to the extent required over the estimated future life expectancy or, if applicable, the future working lifetime of the plan’s a</w:t>
      </w:r>
      <w:r>
        <w:rPr>
          <w:rFonts w:ascii="IBM Plex Sans" w:eastAsia="Times New Roman" w:hAnsi="IBM Plex Sans"/>
          <w:color w:val="283030"/>
          <w:sz w:val="20"/>
          <w:szCs w:val="20"/>
        </w:rPr>
        <w:t>ctive participants.</w:t>
      </w:r>
    </w:p>
    <w:p w:rsidR="00000000" w:rsidRDefault="00F5481A">
      <w:pPr>
        <w:ind w:firstLine="360"/>
        <w:jc w:val="center"/>
        <w:divId w:val="785007407"/>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93</w:t>
      </w:r>
    </w:p>
    <w:p w:rsidR="00000000" w:rsidRDefault="00F5481A">
      <w:pPr>
        <w:rPr>
          <w:rFonts w:eastAsia="Times New Roman"/>
        </w:rPr>
      </w:pPr>
      <w:r>
        <w:rPr>
          <w:rFonts w:eastAsia="Times New Roman"/>
        </w:rPr>
        <w:pict>
          <v:rect id="_x0000_i1124" style="width:0;height:1.5pt" o:hralign="center" o:hrstd="t" o:hr="t" fillcolor="#a0a0a0" stroked="f"/>
        </w:pict>
      </w:r>
    </w:p>
    <w:p w:rsidR="00000000" w:rsidRDefault="00F5481A">
      <w:pPr>
        <w:ind w:firstLine="360"/>
        <w:divId w:val="1808352620"/>
        <w:rPr>
          <w:rFonts w:eastAsia="Times New Roman"/>
        </w:rPr>
      </w:pPr>
    </w:p>
    <w:p w:rsidR="00000000" w:rsidRDefault="00F5481A">
      <w:pPr>
        <w:divId w:val="1635520691"/>
        <w:rPr>
          <w:rFonts w:eastAsia="Times New Roman"/>
        </w:rPr>
      </w:pPr>
      <w:r>
        <w:rPr>
          <w:rFonts w:ascii="IBM Plex Sans SemiBold" w:eastAsia="Times New Roman" w:hAnsi="IBM Plex Sans SemiBold"/>
          <w:b/>
          <w:bCs/>
          <w:color w:val="016676"/>
          <w:sz w:val="20"/>
          <w:szCs w:val="20"/>
        </w:rPr>
        <w:t>Investment Policy</w:t>
      </w:r>
    </w:p>
    <w:p w:rsidR="00000000" w:rsidRDefault="00F5481A">
      <w:pPr>
        <w:ind w:firstLine="360"/>
        <w:divId w:val="1021669289"/>
        <w:rPr>
          <w:rFonts w:eastAsia="Times New Roman"/>
        </w:rPr>
      </w:pPr>
      <w:r>
        <w:rPr>
          <w:rFonts w:ascii="IBM Plex Sans" w:eastAsia="Times New Roman" w:hAnsi="IBM Plex Sans"/>
          <w:color w:val="283030"/>
          <w:sz w:val="20"/>
          <w:szCs w:val="20"/>
        </w:rPr>
        <w:t>The investment strategy for managing defined benefit plan assets is to seek an optimal rate of return relative to an appropriate level of risk. We manage substantially all defined benefit plan assets on a commingled basis in a master investment trust. In m</w:t>
      </w:r>
      <w:r>
        <w:rPr>
          <w:rFonts w:ascii="IBM Plex Sans" w:eastAsia="Times New Roman" w:hAnsi="IBM Plex Sans"/>
          <w:color w:val="283030"/>
          <w:sz w:val="20"/>
          <w:szCs w:val="20"/>
        </w:rPr>
        <w:t xml:space="preserve">aking these asset allocation decisions, we take into account recent and expected returns and volatility of returns for each asset class, the expected correlation of returns among the different investments, as well as anticipated funding and cash flows. To </w:t>
      </w:r>
      <w:r>
        <w:rPr>
          <w:rFonts w:ascii="IBM Plex Sans" w:eastAsia="Times New Roman" w:hAnsi="IBM Plex Sans"/>
          <w:color w:val="283030"/>
          <w:sz w:val="20"/>
          <w:szCs w:val="20"/>
        </w:rPr>
        <w:t>enhance returns and mitigate risk, we diversify our investments by strategy, asset class, geography and sector and engage a large number of managers to gain broad exposure to the markets.</w:t>
      </w:r>
    </w:p>
    <w:p w:rsidR="00000000" w:rsidRDefault="00F5481A">
      <w:pPr>
        <w:ind w:firstLine="360"/>
        <w:divId w:val="1240285770"/>
        <w:rPr>
          <w:rFonts w:eastAsia="Times New Roman"/>
        </w:rPr>
      </w:pPr>
      <w:r>
        <w:rPr>
          <w:rFonts w:ascii="IBM Plex Sans" w:eastAsia="Times New Roman" w:hAnsi="IBM Plex Sans"/>
          <w:color w:val="283030"/>
          <w:sz w:val="20"/>
          <w:szCs w:val="20"/>
        </w:rPr>
        <w:t>The following table provides the current strategic target asset allocation ranges by asset category:</w:t>
      </w:r>
    </w:p>
    <w:tbl>
      <w:tblPr>
        <w:tblW w:w="4820" w:type="pct"/>
        <w:tblCellMar>
          <w:top w:w="15" w:type="dxa"/>
          <w:left w:w="15" w:type="dxa"/>
          <w:bottom w:w="15" w:type="dxa"/>
          <w:right w:w="15" w:type="dxa"/>
        </w:tblCellMar>
        <w:tblLook w:val="04A0" w:firstRow="1" w:lastRow="0" w:firstColumn="1" w:lastColumn="0" w:noHBand="0" w:noVBand="1"/>
      </w:tblPr>
      <w:tblGrid>
        <w:gridCol w:w="45"/>
        <w:gridCol w:w="6286"/>
        <w:gridCol w:w="36"/>
        <w:gridCol w:w="46"/>
        <w:gridCol w:w="438"/>
        <w:gridCol w:w="199"/>
        <w:gridCol w:w="46"/>
        <w:gridCol w:w="355"/>
        <w:gridCol w:w="36"/>
        <w:gridCol w:w="64"/>
        <w:gridCol w:w="420"/>
        <w:gridCol w:w="36"/>
      </w:tblGrid>
      <w:tr w:rsidR="00000000">
        <w:trPr>
          <w:divId w:val="628509746"/>
        </w:trPr>
        <w:tc>
          <w:tcPr>
            <w:tcW w:w="50" w:type="pct"/>
            <w:vAlign w:val="center"/>
            <w:hideMark/>
          </w:tcPr>
          <w:p w:rsidR="00000000" w:rsidRDefault="00F5481A">
            <w:pPr>
              <w:ind w:firstLine="360"/>
              <w:rPr>
                <w:rFonts w:eastAsia="Times New Roman"/>
              </w:rPr>
            </w:pPr>
          </w:p>
        </w:tc>
        <w:tc>
          <w:tcPr>
            <w:tcW w:w="394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29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24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29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628509746"/>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9"/>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Target Asset</w:t>
            </w:r>
            <w:r>
              <w:rPr>
                <w:rFonts w:ascii="IBM Plex Sans" w:eastAsia="Times New Roman" w:hAnsi="IBM Plex Sans"/>
                <w:b/>
                <w:bCs/>
                <w:color w:val="283030"/>
                <w:sz w:val="16"/>
                <w:szCs w:val="16"/>
              </w:rPr>
              <w:br/>
              <w:t>Allocation</w:t>
            </w:r>
          </w:p>
        </w:tc>
      </w:tr>
      <w:tr w:rsidR="00000000">
        <w:trPr>
          <w:divId w:val="628509746"/>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Equity investments</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35 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tcBorders>
              <w:top w:val="single" w:sz="8" w:space="0" w:color="000000"/>
            </w:tcBorders>
            <w:shd w:val="clear" w:color="auto" w:fill="D7EFF1"/>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w:t>
            </w:r>
          </w:p>
        </w:tc>
        <w:tc>
          <w:tcPr>
            <w:tcW w:w="0" w:type="auto"/>
            <w:gridSpan w:val="3"/>
            <w:tcBorders>
              <w:top w:val="single" w:sz="8" w:space="0" w:color="000000"/>
            </w:tcBorders>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55%</w:t>
            </w:r>
          </w:p>
        </w:tc>
      </w:tr>
      <w:tr w:rsidR="00000000">
        <w:trPr>
          <w:divId w:val="628509746"/>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Fixed income investments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35%</w:t>
            </w:r>
          </w:p>
        </w:tc>
      </w:tr>
      <w:tr w:rsidR="00000000">
        <w:trPr>
          <w:divId w:val="628509746"/>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Alternative investments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w:t>
            </w: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30%</w:t>
            </w:r>
          </w:p>
        </w:tc>
      </w:tr>
      <w:tr w:rsidR="00000000">
        <w:trPr>
          <w:divId w:val="628509746"/>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Cash and cash equivalents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10%</w:t>
            </w:r>
          </w:p>
        </w:tc>
      </w:tr>
    </w:tbl>
    <w:p w:rsidR="00000000" w:rsidRDefault="00F5481A">
      <w:pPr>
        <w:divId w:val="767702611"/>
        <w:rPr>
          <w:rFonts w:eastAsia="Times New Roman"/>
        </w:rPr>
      </w:pPr>
      <w:r>
        <w:rPr>
          <w:rFonts w:ascii="IBM Plex Sans SemiBold" w:eastAsia="Times New Roman" w:hAnsi="IBM Plex Sans SemiBold"/>
          <w:b/>
          <w:bCs/>
          <w:color w:val="016676"/>
          <w:sz w:val="20"/>
          <w:szCs w:val="20"/>
        </w:rPr>
        <w:t>Fair Value of Plan Assets</w:t>
      </w:r>
    </w:p>
    <w:p w:rsidR="00000000" w:rsidRDefault="00F5481A">
      <w:pPr>
        <w:ind w:firstLine="360"/>
        <w:divId w:val="618876052"/>
        <w:rPr>
          <w:rFonts w:eastAsia="Times New Roman"/>
        </w:rPr>
      </w:pPr>
      <w:r>
        <w:rPr>
          <w:rFonts w:ascii="IBM Plex Sans" w:eastAsia="Times New Roman" w:hAnsi="IBM Plex Sans"/>
          <w:color w:val="283030"/>
          <w:sz w:val="20"/>
          <w:szCs w:val="20"/>
        </w:rPr>
        <w:t>The following is a description of the valuation techniques and inputs used to measure fair value for major categories of investments as reflected in the table that follows such description:</w:t>
      </w:r>
    </w:p>
    <w:p w:rsidR="00000000" w:rsidRDefault="00F5481A">
      <w:pPr>
        <w:ind w:hanging="360"/>
        <w:divId w:val="1665669240"/>
        <w:rPr>
          <w:rFonts w:eastAsia="Times New Roman"/>
        </w:rPr>
      </w:pPr>
      <w:r>
        <w:rPr>
          <w:rFonts w:ascii="IBM Plex Sans" w:eastAsia="Times New Roman" w:hAnsi="IBM Plex Sans"/>
          <w:color w:val="283030"/>
          <w:sz w:val="20"/>
          <w:szCs w:val="20"/>
        </w:rPr>
        <w:t>•Domestic and international equities, which include common and pre</w:t>
      </w:r>
      <w:r>
        <w:rPr>
          <w:rFonts w:ascii="IBM Plex Sans" w:eastAsia="Times New Roman" w:hAnsi="IBM Plex Sans"/>
          <w:color w:val="283030"/>
          <w:sz w:val="20"/>
          <w:szCs w:val="20"/>
        </w:rPr>
        <w:t>ferred shares, domestic listed and foreign listed equity securities, open-ended and closed-ended mutual funds, real estate investment trusts and exchange traded funds, are generally valued at the closing price reported on the major market exchanges on whic</w:t>
      </w:r>
      <w:r>
        <w:rPr>
          <w:rFonts w:ascii="IBM Plex Sans" w:eastAsia="Times New Roman" w:hAnsi="IBM Plex Sans"/>
          <w:color w:val="283030"/>
          <w:sz w:val="20"/>
          <w:szCs w:val="20"/>
        </w:rPr>
        <w:t>h the individual securities are traded at the measurement date. Because these assets are traded predominantly on liquid, widely traded public exchanges, equity securities are categorized as Level 1 assets.</w:t>
      </w:r>
    </w:p>
    <w:p w:rsidR="00000000" w:rsidRDefault="00F5481A">
      <w:pPr>
        <w:ind w:hanging="360"/>
        <w:divId w:val="816068575"/>
        <w:rPr>
          <w:rFonts w:eastAsia="Times New Roman"/>
        </w:rPr>
      </w:pPr>
      <w:r>
        <w:rPr>
          <w:rFonts w:ascii="IBM Plex Sans" w:eastAsia="Times New Roman" w:hAnsi="IBM Plex Sans"/>
          <w:color w:val="283030"/>
          <w:sz w:val="20"/>
          <w:szCs w:val="20"/>
        </w:rPr>
        <w:t>•Private equity funds, which include buy-out, mezz</w:t>
      </w:r>
      <w:r>
        <w:rPr>
          <w:rFonts w:ascii="IBM Plex Sans" w:eastAsia="Times New Roman" w:hAnsi="IBM Plex Sans"/>
          <w:color w:val="283030"/>
          <w:sz w:val="20"/>
          <w:szCs w:val="20"/>
        </w:rPr>
        <w:t>anine, venture capital, distressed asset and secondary funds, are typically limited partnership investment structures. Private equity funds are valued using a market approach based on NAV calculated by the funds and are not publicly available. Private equi</w:t>
      </w:r>
      <w:r>
        <w:rPr>
          <w:rFonts w:ascii="IBM Plex Sans" w:eastAsia="Times New Roman" w:hAnsi="IBM Plex Sans"/>
          <w:color w:val="283030"/>
          <w:sz w:val="20"/>
          <w:szCs w:val="20"/>
        </w:rPr>
        <w:t>ty funds generally have liquidity restrictions that extend for</w:t>
      </w:r>
      <w:r>
        <w:rPr>
          <w:rFonts w:ascii="IBM Plex Sans" w:eastAsia="Times New Roman" w:hAnsi="IBM Plex Sans"/>
          <w:color w:val="283030"/>
          <w:sz w:val="20"/>
          <w:szCs w:val="20"/>
        </w:rPr>
        <w:t xml:space="preserve"> </w:t>
      </w:r>
      <w:r>
        <w:rPr>
          <w:rFonts w:ascii="IBM Plex Sans" w:eastAsia="Times New Roman" w:hAnsi="IBM Plex Sans"/>
          <w:color w:val="283030"/>
          <w:sz w:val="20"/>
          <w:szCs w:val="20"/>
        </w:rPr>
        <w:t>te</w:t>
      </w:r>
      <w:r>
        <w:rPr>
          <w:rFonts w:ascii="IBM Plex Sans" w:eastAsia="Times New Roman" w:hAnsi="IBM Plex Sans"/>
          <w:color w:val="283030"/>
          <w:sz w:val="20"/>
          <w:szCs w:val="20"/>
        </w:rPr>
        <w:t>n</w:t>
      </w:r>
      <w:r>
        <w:rPr>
          <w:rFonts w:ascii="IBM Plex Sans" w:eastAsia="Times New Roman" w:hAnsi="IBM Plex Sans"/>
          <w:color w:val="283030"/>
          <w:sz w:val="20"/>
          <w:szCs w:val="20"/>
        </w:rPr>
        <w:t xml:space="preserve"> or more years. At December 30, 2022 and December 31, 2021, our defined benefit plans had future unfunded commitments totaling $568 million and $504 million, respectively, related to private</w:t>
      </w:r>
      <w:r>
        <w:rPr>
          <w:rFonts w:ascii="IBM Plex Sans" w:eastAsia="Times New Roman" w:hAnsi="IBM Plex Sans"/>
          <w:color w:val="283030"/>
          <w:sz w:val="20"/>
          <w:szCs w:val="20"/>
        </w:rPr>
        <w:t xml:space="preserve"> equity fund investments.</w:t>
      </w:r>
    </w:p>
    <w:p w:rsidR="00000000" w:rsidRDefault="00F5481A">
      <w:pPr>
        <w:ind w:hanging="360"/>
        <w:divId w:val="1906064036"/>
        <w:rPr>
          <w:rFonts w:eastAsia="Times New Roman"/>
        </w:rPr>
      </w:pPr>
      <w:r>
        <w:rPr>
          <w:rFonts w:ascii="IBM Plex Sans" w:eastAsia="Times New Roman" w:hAnsi="IBM Plex Sans"/>
          <w:color w:val="283030"/>
          <w:sz w:val="20"/>
          <w:szCs w:val="20"/>
        </w:rPr>
        <w:t>•Real estate funds, which include core, core plus, value-add and opportunistic funds, are typically limited partnership investment structures. Real estate funds are valued using a market approach based on NAV calculated by the fun</w:t>
      </w:r>
      <w:r>
        <w:rPr>
          <w:rFonts w:ascii="IBM Plex Sans" w:eastAsia="Times New Roman" w:hAnsi="IBM Plex Sans"/>
          <w:color w:val="283030"/>
          <w:sz w:val="20"/>
          <w:szCs w:val="20"/>
        </w:rPr>
        <w:t xml:space="preserve">ds and are not publicly available. Real estate funds generally permit redemption on a quarterly basis with 90 or fewer days-notice. At December 30, 2022, our defined benefit plans had future unfunded commitments totaling $33 million related to real estate </w:t>
      </w:r>
      <w:r>
        <w:rPr>
          <w:rFonts w:ascii="IBM Plex Sans" w:eastAsia="Times New Roman" w:hAnsi="IBM Plex Sans"/>
          <w:color w:val="283030"/>
          <w:sz w:val="20"/>
          <w:szCs w:val="20"/>
        </w:rPr>
        <w:t>fund investments. At December 31, 2021, our defined benefit plans had future unfunded commitments totaling $100 million related to real estate fund investments.</w:t>
      </w:r>
    </w:p>
    <w:p w:rsidR="00000000" w:rsidRDefault="00F5481A">
      <w:pPr>
        <w:ind w:hanging="360"/>
        <w:divId w:val="1022786169"/>
        <w:rPr>
          <w:rFonts w:eastAsia="Times New Roman"/>
        </w:rPr>
      </w:pPr>
      <w:r>
        <w:rPr>
          <w:rFonts w:ascii="IBM Plex Sans" w:eastAsia="Times New Roman" w:hAnsi="IBM Plex Sans"/>
          <w:color w:val="283030"/>
          <w:sz w:val="20"/>
          <w:szCs w:val="20"/>
        </w:rPr>
        <w:t xml:space="preserve">•Hedge funds, which include equity long/short, event-driven, fixed-income arbitrage and global </w:t>
      </w:r>
      <w:r>
        <w:rPr>
          <w:rFonts w:ascii="IBM Plex Sans" w:eastAsia="Times New Roman" w:hAnsi="IBM Plex Sans"/>
          <w:color w:val="283030"/>
          <w:sz w:val="20"/>
          <w:szCs w:val="20"/>
        </w:rPr>
        <w:t>macro strategies, are typically limited partnership investment structures. Limited partnership interests in hedge funds are valued using a market approach based on NAV calculated by the funds and are not publicly available. Hedge funds generally permit red</w:t>
      </w:r>
      <w:r>
        <w:rPr>
          <w:rFonts w:ascii="IBM Plex Sans" w:eastAsia="Times New Roman" w:hAnsi="IBM Plex Sans"/>
          <w:color w:val="283030"/>
          <w:sz w:val="20"/>
          <w:szCs w:val="20"/>
        </w:rPr>
        <w:t xml:space="preserve">emption on a quarterly or more frequent basis with 90 or fewer days notice. At each of December 30, 2022 and December 31, 2021, our defined benefit plans had no future unfunded commitments related to hedge fund investments. </w:t>
      </w:r>
    </w:p>
    <w:p w:rsidR="00000000" w:rsidRDefault="00F5481A">
      <w:pPr>
        <w:ind w:hanging="360"/>
        <w:divId w:val="824787407"/>
        <w:rPr>
          <w:rFonts w:eastAsia="Times New Roman"/>
        </w:rPr>
      </w:pPr>
      <w:r>
        <w:rPr>
          <w:rFonts w:ascii="IBM Plex Sans" w:eastAsia="Times New Roman" w:hAnsi="IBM Plex Sans"/>
          <w:color w:val="283030"/>
          <w:sz w:val="20"/>
          <w:szCs w:val="20"/>
        </w:rPr>
        <w:t>•Fixed income investments, whic</w:t>
      </w:r>
      <w:r>
        <w:rPr>
          <w:rFonts w:ascii="IBM Plex Sans" w:eastAsia="Times New Roman" w:hAnsi="IBM Plex Sans"/>
          <w:color w:val="283030"/>
          <w:sz w:val="20"/>
          <w:szCs w:val="20"/>
        </w:rPr>
        <w:t>h include U.S. Government securities, investment and non-investment-grade corporate bonds and securitized bonds, are generally valued using pricing models that use verifiable, observable market data such as interest rates, benchmark yield curves and credit</w:t>
      </w:r>
      <w:r>
        <w:rPr>
          <w:rFonts w:ascii="IBM Plex Sans" w:eastAsia="Times New Roman" w:hAnsi="IBM Plex Sans"/>
          <w:color w:val="283030"/>
          <w:sz w:val="20"/>
          <w:szCs w:val="20"/>
        </w:rPr>
        <w:t xml:space="preserve"> spreads, bids provided by brokers or dealers or quoted prices of securities with similar characteristics. Fixed income investments are generally categorized as Level 2 assets. Fixed income funds valued at the closing price reported on the major market exc</w:t>
      </w:r>
      <w:r>
        <w:rPr>
          <w:rFonts w:ascii="IBM Plex Sans" w:eastAsia="Times New Roman" w:hAnsi="IBM Plex Sans"/>
          <w:color w:val="283030"/>
          <w:sz w:val="20"/>
          <w:szCs w:val="20"/>
        </w:rPr>
        <w:t>hanges on which the individual fund is traded are categorized as Level 1 assets.</w:t>
      </w:r>
    </w:p>
    <w:p w:rsidR="00000000" w:rsidRDefault="00F5481A">
      <w:pPr>
        <w:ind w:hanging="360"/>
        <w:divId w:val="775173297"/>
        <w:rPr>
          <w:rFonts w:eastAsia="Times New Roman"/>
        </w:rPr>
      </w:pPr>
      <w:r>
        <w:rPr>
          <w:rFonts w:ascii="IBM Plex Sans" w:eastAsia="Times New Roman" w:hAnsi="IBM Plex Sans"/>
          <w:color w:val="283030"/>
          <w:sz w:val="20"/>
          <w:szCs w:val="20"/>
        </w:rPr>
        <w:t>•Other is comprised of guaranteed insurance contracts valued at book value, which approximates fair value, calculated using the prior-year balance adjusted for investment retu</w:t>
      </w:r>
      <w:r>
        <w:rPr>
          <w:rFonts w:ascii="IBM Plex Sans" w:eastAsia="Times New Roman" w:hAnsi="IBM Plex Sans"/>
          <w:color w:val="283030"/>
          <w:sz w:val="20"/>
          <w:szCs w:val="20"/>
        </w:rPr>
        <w:t>rns and changes in cash flows and corporate owned life insurance policies valued at the accumulated benefit.</w:t>
      </w:r>
    </w:p>
    <w:p w:rsidR="00000000" w:rsidRDefault="00F5481A">
      <w:pPr>
        <w:ind w:hanging="360"/>
        <w:divId w:val="30737563"/>
        <w:rPr>
          <w:rFonts w:eastAsia="Times New Roman"/>
        </w:rPr>
      </w:pPr>
      <w:r>
        <w:rPr>
          <w:rFonts w:ascii="IBM Plex Sans" w:eastAsia="Times New Roman" w:hAnsi="IBM Plex Sans"/>
          <w:color w:val="283030"/>
          <w:sz w:val="20"/>
          <w:szCs w:val="20"/>
        </w:rPr>
        <w:t>•Cash and cash equivalents are primarily comprised of short-term money market funds valued at cost, which approximates fair value, or valued at quo</w:t>
      </w:r>
      <w:r>
        <w:rPr>
          <w:rFonts w:ascii="IBM Plex Sans" w:eastAsia="Times New Roman" w:hAnsi="IBM Plex Sans"/>
          <w:color w:val="283030"/>
          <w:sz w:val="20"/>
          <w:szCs w:val="20"/>
        </w:rPr>
        <w:t xml:space="preserve">ted market prices of identical instruments. Cash and currency are </w:t>
      </w:r>
    </w:p>
    <w:p w:rsidR="00000000" w:rsidRDefault="00F5481A">
      <w:pPr>
        <w:ind w:firstLine="360"/>
        <w:jc w:val="center"/>
        <w:divId w:val="1145196140"/>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94</w:t>
      </w:r>
    </w:p>
    <w:p w:rsidR="00000000" w:rsidRDefault="00F5481A">
      <w:pPr>
        <w:rPr>
          <w:rFonts w:eastAsia="Times New Roman"/>
        </w:rPr>
      </w:pPr>
      <w:r>
        <w:rPr>
          <w:rFonts w:eastAsia="Times New Roman"/>
        </w:rPr>
        <w:pict>
          <v:rect id="_x0000_i1125" style="width:0;height:1.5pt" o:hralign="center" o:hrstd="t" o:hr="t" fillcolor="#a0a0a0" stroked="f"/>
        </w:pict>
      </w:r>
    </w:p>
    <w:p w:rsidR="00000000" w:rsidRDefault="00F5481A">
      <w:pPr>
        <w:ind w:firstLine="360"/>
        <w:divId w:val="27144900"/>
        <w:rPr>
          <w:rFonts w:eastAsia="Times New Roman"/>
        </w:rPr>
      </w:pPr>
    </w:p>
    <w:p w:rsidR="00000000" w:rsidRDefault="00F5481A">
      <w:pPr>
        <w:divId w:val="601691874"/>
        <w:rPr>
          <w:rFonts w:eastAsia="Times New Roman"/>
        </w:rPr>
      </w:pPr>
      <w:r>
        <w:rPr>
          <w:rFonts w:ascii="IBM Plex Sans" w:eastAsia="Times New Roman" w:hAnsi="IBM Plex Sans"/>
          <w:color w:val="283030"/>
          <w:sz w:val="20"/>
          <w:szCs w:val="20"/>
        </w:rPr>
        <w:t>categorized as Level 1 assets; cash equivalents, such as money market funds or short-term commingled funds, are categorized as Level 2 assets.</w:t>
      </w:r>
    </w:p>
    <w:p w:rsidR="00000000" w:rsidRDefault="00F5481A">
      <w:pPr>
        <w:ind w:hanging="360"/>
        <w:divId w:val="1773696441"/>
        <w:rPr>
          <w:rFonts w:eastAsia="Times New Roman"/>
        </w:rPr>
      </w:pPr>
      <w:r>
        <w:rPr>
          <w:rFonts w:ascii="IBM Plex Sans" w:eastAsia="Times New Roman" w:hAnsi="IBM Plex Sans"/>
          <w:color w:val="283030"/>
          <w:sz w:val="20"/>
          <w:szCs w:val="20"/>
        </w:rPr>
        <w:t>•Certain investments that are valued using the NAV per share (or its equivalent) as a practical expedient are not</w:t>
      </w:r>
      <w:r>
        <w:rPr>
          <w:rFonts w:ascii="IBM Plex Sans" w:eastAsia="Times New Roman" w:hAnsi="IBM Plex Sans"/>
          <w:color w:val="283030"/>
          <w:sz w:val="20"/>
          <w:szCs w:val="20"/>
        </w:rPr>
        <w:t xml:space="preserve"> categorized in the fair value hierarchy and are included in the table to permit reconciliation of the fair value hierarchy to the aggregate defined benefit plan assets.</w:t>
      </w:r>
    </w:p>
    <w:p w:rsidR="00000000" w:rsidRDefault="00F5481A">
      <w:pPr>
        <w:ind w:firstLine="360"/>
        <w:divId w:val="1386174531"/>
        <w:rPr>
          <w:rFonts w:eastAsia="Times New Roman"/>
        </w:rPr>
      </w:pPr>
      <w:r>
        <w:rPr>
          <w:rFonts w:ascii="IBM Plex Sans" w:eastAsia="Times New Roman" w:hAnsi="IBM Plex Sans"/>
          <w:color w:val="283030"/>
          <w:sz w:val="20"/>
          <w:szCs w:val="20"/>
        </w:rPr>
        <w:t>The following tables provide the fair value of plan assets held by our defined benefit</w:t>
      </w:r>
      <w:r>
        <w:rPr>
          <w:rFonts w:ascii="IBM Plex Sans" w:eastAsia="Times New Roman" w:hAnsi="IBM Plex Sans"/>
          <w:color w:val="283030"/>
          <w:sz w:val="20"/>
          <w:szCs w:val="20"/>
        </w:rPr>
        <w:t xml:space="preserve"> plans by asset category and by fair value hierarchy level:</w:t>
      </w:r>
    </w:p>
    <w:tbl>
      <w:tblPr>
        <w:tblW w:w="5000" w:type="pct"/>
        <w:tblCellMar>
          <w:top w:w="15" w:type="dxa"/>
          <w:left w:w="15" w:type="dxa"/>
          <w:bottom w:w="15" w:type="dxa"/>
          <w:right w:w="15" w:type="dxa"/>
        </w:tblCellMar>
        <w:tblLook w:val="04A0" w:firstRow="1" w:lastRow="0" w:firstColumn="1" w:lastColumn="0" w:noHBand="0" w:noVBand="1"/>
      </w:tblPr>
      <w:tblGrid>
        <w:gridCol w:w="41"/>
        <w:gridCol w:w="4122"/>
        <w:gridCol w:w="40"/>
        <w:gridCol w:w="132"/>
        <w:gridCol w:w="776"/>
        <w:gridCol w:w="36"/>
        <w:gridCol w:w="36"/>
        <w:gridCol w:w="36"/>
        <w:gridCol w:w="36"/>
        <w:gridCol w:w="132"/>
        <w:gridCol w:w="777"/>
        <w:gridCol w:w="36"/>
        <w:gridCol w:w="36"/>
        <w:gridCol w:w="36"/>
        <w:gridCol w:w="36"/>
        <w:gridCol w:w="132"/>
        <w:gridCol w:w="777"/>
        <w:gridCol w:w="36"/>
        <w:gridCol w:w="36"/>
        <w:gridCol w:w="36"/>
        <w:gridCol w:w="36"/>
        <w:gridCol w:w="132"/>
        <w:gridCol w:w="777"/>
        <w:gridCol w:w="36"/>
      </w:tblGrid>
      <w:tr w:rsidR="00000000">
        <w:trPr>
          <w:divId w:val="1470900505"/>
        </w:trPr>
        <w:tc>
          <w:tcPr>
            <w:tcW w:w="50" w:type="pct"/>
            <w:vAlign w:val="center"/>
            <w:hideMark/>
          </w:tcPr>
          <w:p w:rsidR="00000000" w:rsidRDefault="00F5481A">
            <w:pPr>
              <w:ind w:firstLine="360"/>
              <w:rPr>
                <w:rFonts w:eastAsia="Times New Roman"/>
              </w:rPr>
            </w:pPr>
          </w:p>
        </w:tc>
        <w:tc>
          <w:tcPr>
            <w:tcW w:w="255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51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51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51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51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1470900505"/>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21"/>
            <w:shd w:val="clear" w:color="auto" w:fill="FFFFFF"/>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r>
      <w:tr w:rsidR="00000000">
        <w:trPr>
          <w:divId w:val="1470900505"/>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Level 3</w:t>
            </w:r>
          </w:p>
        </w:tc>
      </w:tr>
      <w:tr w:rsidR="00000000">
        <w:trPr>
          <w:divId w:val="1470900505"/>
          <w:trHeight w:val="6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470900505"/>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Asset Category</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470900505"/>
        </w:trPr>
        <w:tc>
          <w:tcPr>
            <w:tcW w:w="0" w:type="auto"/>
            <w:gridSpan w:val="3"/>
            <w:shd w:val="clear" w:color="auto" w:fill="FFFFFF"/>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Equities:</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470900505"/>
        </w:trPr>
        <w:tc>
          <w:tcPr>
            <w:tcW w:w="0" w:type="auto"/>
            <w:gridSpan w:val="3"/>
            <w:shd w:val="clear" w:color="auto" w:fill="D7EFF1"/>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Domestic equities</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1,275 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1,275 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470900505"/>
        </w:trPr>
        <w:tc>
          <w:tcPr>
            <w:tcW w:w="0" w:type="auto"/>
            <w:gridSpan w:val="3"/>
            <w:shd w:val="clear" w:color="auto" w:fill="FFFFFF"/>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International equities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1,044 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1,002 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470900505"/>
        </w:trPr>
        <w:tc>
          <w:tcPr>
            <w:tcW w:w="0" w:type="auto"/>
            <w:gridSpan w:val="3"/>
            <w:shd w:val="clear" w:color="auto" w:fill="D7EFF1"/>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Real Estate Investment Trusts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192 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192 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470900505"/>
        </w:trPr>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470900505"/>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470900505"/>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470900505"/>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470900505"/>
        </w:trPr>
        <w:tc>
          <w:tcPr>
            <w:tcW w:w="0" w:type="auto"/>
            <w:gridSpan w:val="3"/>
            <w:shd w:val="clear" w:color="auto" w:fill="FFFFFF"/>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Fixed income:</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470900505"/>
        </w:trPr>
        <w:tc>
          <w:tcPr>
            <w:tcW w:w="0" w:type="auto"/>
            <w:gridSpan w:val="3"/>
            <w:shd w:val="clear" w:color="auto" w:fill="D7EFF1"/>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Corporate bonds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1,118 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995 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470900505"/>
        </w:trPr>
        <w:tc>
          <w:tcPr>
            <w:tcW w:w="0" w:type="auto"/>
            <w:gridSpan w:val="3"/>
            <w:shd w:val="clear" w:color="auto" w:fill="FFFFFF"/>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Government securities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320 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320 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470900505"/>
        </w:trPr>
        <w:tc>
          <w:tcPr>
            <w:tcW w:w="0" w:type="auto"/>
            <w:gridSpan w:val="3"/>
            <w:shd w:val="clear" w:color="auto" w:fill="D7EFF1"/>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Securitized assets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166 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166 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470900505"/>
        </w:trPr>
        <w:tc>
          <w:tcPr>
            <w:tcW w:w="0" w:type="auto"/>
            <w:gridSpan w:val="3"/>
            <w:shd w:val="clear" w:color="auto" w:fill="FFFFFF"/>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Fixed income funds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470900505"/>
        </w:trPr>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470900505"/>
        </w:trPr>
        <w:tc>
          <w:tcPr>
            <w:tcW w:w="0" w:type="auto"/>
            <w:gridSpan w:val="3"/>
            <w:shd w:val="clear" w:color="auto" w:fill="D7EFF1"/>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Cash and cash equivalents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148 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126 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470900505"/>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Total</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4,355 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2,495 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1,737 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470900505"/>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Investments Measured at NAV:</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double" w:sz="6" w:space="0" w:color="000000"/>
            </w:tcBorders>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double" w:sz="6" w:space="0" w:color="000000"/>
            </w:tcBorders>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double" w:sz="6" w:space="0" w:color="000000"/>
            </w:tcBorders>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470900505"/>
        </w:trPr>
        <w:tc>
          <w:tcPr>
            <w:tcW w:w="0" w:type="auto"/>
            <w:gridSpan w:val="3"/>
            <w:shd w:val="clear" w:color="auto" w:fill="FFFFFF"/>
            <w:tcMar>
              <w:top w:w="30" w:type="dxa"/>
              <w:left w:w="36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Equity fund</w:t>
            </w:r>
            <w:r>
              <w:rPr>
                <w:rFonts w:ascii="IBM Plex Sans" w:eastAsia="Times New Roman" w:hAnsi="IBM Plex Sans"/>
                <w:color w:val="28303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1,661 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470900505"/>
        </w:trPr>
        <w:tc>
          <w:tcPr>
            <w:tcW w:w="0" w:type="auto"/>
            <w:gridSpan w:val="3"/>
            <w:shd w:val="clear" w:color="auto" w:fill="D7EFF1"/>
            <w:tcMar>
              <w:top w:w="30" w:type="dxa"/>
              <w:left w:w="36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Fixed income fund</w:t>
            </w:r>
            <w:r>
              <w:rPr>
                <w:rFonts w:ascii="IBM Plex Sans" w:eastAsia="Times New Roman" w:hAnsi="IBM Plex Sans"/>
                <w:color w:val="283030"/>
                <w:sz w:val="20"/>
                <w:szCs w:val="20"/>
              </w:rPr>
              <w:t>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299 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470900505"/>
        </w:trPr>
        <w:tc>
          <w:tcPr>
            <w:tcW w:w="0" w:type="auto"/>
            <w:gridSpan w:val="3"/>
            <w:shd w:val="clear" w:color="auto" w:fill="FFFFFF"/>
            <w:tcMar>
              <w:top w:w="30" w:type="dxa"/>
              <w:left w:w="36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Hedge fund</w:t>
            </w:r>
            <w:r>
              <w:rPr>
                <w:rFonts w:ascii="IBM Plex Sans" w:eastAsia="Times New Roman" w:hAnsi="IBM Plex Sans"/>
                <w:color w:val="283030"/>
                <w:sz w:val="20"/>
                <w:szCs w:val="20"/>
              </w:rPr>
              <w:t>s</w:t>
            </w:r>
            <w:r>
              <w:rPr>
                <w:rFonts w:ascii="IBM Plex Sans" w:eastAsia="Times New Roman" w:hAnsi="IBM Plex Sans"/>
                <w:color w:val="283030"/>
                <w:sz w:val="20"/>
                <w:szCs w:val="20"/>
              </w:rPr>
              <w:t xml:space="preserve"> </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294 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470900505"/>
        </w:trPr>
        <w:tc>
          <w:tcPr>
            <w:tcW w:w="0" w:type="auto"/>
            <w:gridSpan w:val="3"/>
            <w:shd w:val="clear" w:color="auto" w:fill="D7EFF1"/>
            <w:tcMar>
              <w:top w:w="30" w:type="dxa"/>
              <w:left w:w="36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Private equity fund</w:t>
            </w:r>
            <w:r>
              <w:rPr>
                <w:rFonts w:ascii="IBM Plex Sans" w:eastAsia="Times New Roman" w:hAnsi="IBM Plex Sans"/>
                <w:color w:val="283030"/>
                <w:sz w:val="20"/>
                <w:szCs w:val="20"/>
              </w:rPr>
              <w:t>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696 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470900505"/>
        </w:trPr>
        <w:tc>
          <w:tcPr>
            <w:tcW w:w="0" w:type="auto"/>
            <w:gridSpan w:val="3"/>
            <w:shd w:val="clear" w:color="auto" w:fill="FFFFFF"/>
            <w:tcMar>
              <w:top w:w="30" w:type="dxa"/>
              <w:left w:w="36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Real estate fund</w:t>
            </w:r>
            <w:r>
              <w:rPr>
                <w:rFonts w:ascii="IBM Plex Sans" w:eastAsia="Times New Roman" w:hAnsi="IBM Plex Sans"/>
                <w:color w:val="28303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372 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470900505"/>
        </w:trPr>
        <w:tc>
          <w:tcPr>
            <w:tcW w:w="0" w:type="auto"/>
            <w:gridSpan w:val="3"/>
            <w:shd w:val="clear" w:color="auto" w:fill="D7EFF1"/>
            <w:tcMar>
              <w:top w:w="30" w:type="dxa"/>
              <w:left w:w="36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Othe</w:t>
            </w:r>
            <w:r>
              <w:rPr>
                <w:rFonts w:ascii="IBM Plex Sans" w:eastAsia="Times New Roman" w:hAnsi="IBM Plex Sans"/>
                <w:color w:val="283030"/>
                <w:sz w:val="20"/>
                <w:szCs w:val="20"/>
              </w:rPr>
              <w:t>r</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470900505"/>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Total Investments Measured at NAV</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3,324 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470900505"/>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Payables, net</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(26)</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470900505"/>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Total fair value of plan assets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7,653 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r>
    </w:tbl>
    <w:p w:rsidR="00000000" w:rsidRDefault="00F5481A">
      <w:pPr>
        <w:ind w:firstLine="360"/>
        <w:divId w:val="1180047309"/>
        <w:rPr>
          <w:rFonts w:eastAsia="Times New Roman"/>
        </w:rPr>
      </w:pPr>
    </w:p>
    <w:p w:rsidR="00000000" w:rsidRDefault="00F5481A">
      <w:pPr>
        <w:ind w:firstLine="360"/>
        <w:jc w:val="center"/>
        <w:divId w:val="487751019"/>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95</w:t>
      </w:r>
    </w:p>
    <w:p w:rsidR="00000000" w:rsidRDefault="00F5481A">
      <w:pPr>
        <w:rPr>
          <w:rFonts w:eastAsia="Times New Roman"/>
        </w:rPr>
      </w:pPr>
      <w:r>
        <w:rPr>
          <w:rFonts w:eastAsia="Times New Roman"/>
        </w:rPr>
        <w:pict>
          <v:rect id="_x0000_i1126" style="width:0;height:1.5pt" o:hralign="center" o:hrstd="t" o:hr="t" fillcolor="#a0a0a0" stroked="f"/>
        </w:pict>
      </w:r>
    </w:p>
    <w:p w:rsidR="00000000" w:rsidRDefault="00F5481A">
      <w:pPr>
        <w:ind w:firstLine="360"/>
        <w:divId w:val="30142371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1"/>
        <w:gridCol w:w="4122"/>
        <w:gridCol w:w="40"/>
        <w:gridCol w:w="132"/>
        <w:gridCol w:w="776"/>
        <w:gridCol w:w="36"/>
        <w:gridCol w:w="36"/>
        <w:gridCol w:w="36"/>
        <w:gridCol w:w="36"/>
        <w:gridCol w:w="132"/>
        <w:gridCol w:w="777"/>
        <w:gridCol w:w="36"/>
        <w:gridCol w:w="36"/>
        <w:gridCol w:w="36"/>
        <w:gridCol w:w="36"/>
        <w:gridCol w:w="132"/>
        <w:gridCol w:w="777"/>
        <w:gridCol w:w="36"/>
        <w:gridCol w:w="36"/>
        <w:gridCol w:w="36"/>
        <w:gridCol w:w="36"/>
        <w:gridCol w:w="132"/>
        <w:gridCol w:w="777"/>
        <w:gridCol w:w="36"/>
      </w:tblGrid>
      <w:tr w:rsidR="00000000">
        <w:trPr>
          <w:divId w:val="1232691922"/>
        </w:trPr>
        <w:tc>
          <w:tcPr>
            <w:tcW w:w="50" w:type="pct"/>
            <w:vAlign w:val="center"/>
            <w:hideMark/>
          </w:tcPr>
          <w:p w:rsidR="00000000" w:rsidRDefault="00F5481A">
            <w:pPr>
              <w:ind w:firstLine="360"/>
              <w:rPr>
                <w:rFonts w:eastAsia="Times New Roman"/>
              </w:rPr>
            </w:pPr>
          </w:p>
        </w:tc>
        <w:tc>
          <w:tcPr>
            <w:tcW w:w="255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51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51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51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51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1232691922"/>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r>
      <w:tr w:rsidR="00000000">
        <w:trPr>
          <w:divId w:val="1232691922"/>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Level 3</w:t>
            </w:r>
          </w:p>
        </w:tc>
      </w:tr>
      <w:tr w:rsidR="00000000">
        <w:trPr>
          <w:divId w:val="1232691922"/>
          <w:trHeight w:val="6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232691922"/>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Asset Category</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232691922"/>
        </w:trPr>
        <w:tc>
          <w:tcPr>
            <w:tcW w:w="0" w:type="auto"/>
            <w:gridSpan w:val="3"/>
            <w:shd w:val="clear" w:color="auto" w:fill="FFFFFF"/>
            <w:tcMar>
              <w:top w:w="30" w:type="dxa"/>
              <w:left w:w="12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Equities:</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232691922"/>
        </w:trPr>
        <w:tc>
          <w:tcPr>
            <w:tcW w:w="0" w:type="auto"/>
            <w:gridSpan w:val="3"/>
            <w:shd w:val="clear" w:color="auto" w:fill="D7EFF1"/>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Domestic equities</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1,684 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1,684 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232691922"/>
        </w:trPr>
        <w:tc>
          <w:tcPr>
            <w:tcW w:w="0" w:type="auto"/>
            <w:gridSpan w:val="3"/>
            <w:shd w:val="clear" w:color="auto" w:fill="FFFFFF"/>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International equities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1,367 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1,278 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89 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232691922"/>
        </w:trPr>
        <w:tc>
          <w:tcPr>
            <w:tcW w:w="0" w:type="auto"/>
            <w:gridSpan w:val="3"/>
            <w:shd w:val="clear" w:color="auto" w:fill="D7EFF1"/>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Real Estate Investment Trusts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259 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259 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232691922"/>
        </w:trPr>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232691922"/>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232691922"/>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232691922"/>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232691922"/>
        </w:trPr>
        <w:tc>
          <w:tcPr>
            <w:tcW w:w="0" w:type="auto"/>
            <w:gridSpan w:val="3"/>
            <w:shd w:val="clear" w:color="auto" w:fill="FFFFFF"/>
            <w:tcMar>
              <w:top w:w="30" w:type="dxa"/>
              <w:left w:w="12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Fixed income:</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232691922"/>
        </w:trPr>
        <w:tc>
          <w:tcPr>
            <w:tcW w:w="0" w:type="auto"/>
            <w:gridSpan w:val="3"/>
            <w:shd w:val="clear" w:color="auto" w:fill="D7EFF1"/>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Corporate bonds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1,411 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1,335 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76 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232691922"/>
        </w:trPr>
        <w:tc>
          <w:tcPr>
            <w:tcW w:w="0" w:type="auto"/>
            <w:gridSpan w:val="3"/>
            <w:shd w:val="clear" w:color="auto" w:fill="FFFFFF"/>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Government securities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448 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448 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232691922"/>
        </w:trPr>
        <w:tc>
          <w:tcPr>
            <w:tcW w:w="0" w:type="auto"/>
            <w:gridSpan w:val="3"/>
            <w:shd w:val="clear" w:color="auto" w:fill="D7EFF1"/>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Securitized assets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232691922"/>
        </w:trPr>
        <w:tc>
          <w:tcPr>
            <w:tcW w:w="0" w:type="auto"/>
            <w:gridSpan w:val="3"/>
            <w:shd w:val="clear" w:color="auto" w:fill="FFFFFF"/>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Fixed income funds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232691922"/>
        </w:trPr>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232691922"/>
        </w:trPr>
        <w:tc>
          <w:tcPr>
            <w:tcW w:w="0" w:type="auto"/>
            <w:gridSpan w:val="3"/>
            <w:shd w:val="clear" w:color="auto" w:fill="D7EFF1"/>
            <w:tcMar>
              <w:top w:w="30" w:type="dxa"/>
              <w:left w:w="12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Cash and cash equivalents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337 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328 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232691922"/>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Total</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5,707 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3,235 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2,396 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232691922"/>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Investments Measured at NAV:</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double" w:sz="6" w:space="0" w:color="000000"/>
            </w:tcBorders>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double" w:sz="6" w:space="0" w:color="000000"/>
            </w:tcBorders>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double" w:sz="6" w:space="0" w:color="000000"/>
            </w:tcBorders>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232691922"/>
        </w:trPr>
        <w:tc>
          <w:tcPr>
            <w:tcW w:w="0" w:type="auto"/>
            <w:gridSpan w:val="3"/>
            <w:shd w:val="clear" w:color="auto" w:fill="FFFFFF"/>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Equity fund</w:t>
            </w:r>
            <w:r>
              <w:rPr>
                <w:rFonts w:ascii="IBM Plex Sans" w:eastAsia="Times New Roman" w:hAnsi="IBM Plex Sans"/>
                <w:color w:val="28303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2,667 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232691922"/>
        </w:trPr>
        <w:tc>
          <w:tcPr>
            <w:tcW w:w="0" w:type="auto"/>
            <w:gridSpan w:val="3"/>
            <w:shd w:val="clear" w:color="auto" w:fill="D7EFF1"/>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Fixed income fund</w:t>
            </w:r>
            <w:r>
              <w:rPr>
                <w:rFonts w:ascii="IBM Plex Sans" w:eastAsia="Times New Roman" w:hAnsi="IBM Plex Sans"/>
                <w:color w:val="283030"/>
                <w:sz w:val="20"/>
                <w:szCs w:val="20"/>
              </w:rPr>
              <w:t>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444 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232691922"/>
        </w:trPr>
        <w:tc>
          <w:tcPr>
            <w:tcW w:w="0" w:type="auto"/>
            <w:gridSpan w:val="3"/>
            <w:shd w:val="clear" w:color="auto" w:fill="FFFFFF"/>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Hedge fund</w:t>
            </w:r>
            <w:r>
              <w:rPr>
                <w:rFonts w:ascii="IBM Plex Sans" w:eastAsia="Times New Roman" w:hAnsi="IBM Plex Sans"/>
                <w:color w:val="283030"/>
                <w:sz w:val="20"/>
                <w:szCs w:val="20"/>
              </w:rPr>
              <w:t>s</w:t>
            </w:r>
            <w:r>
              <w:rPr>
                <w:rFonts w:ascii="IBM Plex Sans" w:eastAsia="Times New Roman" w:hAnsi="IBM Plex Sans"/>
                <w:color w:val="283030"/>
                <w:sz w:val="20"/>
                <w:szCs w:val="20"/>
              </w:rPr>
              <w:t xml:space="preserve"> </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386 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232691922"/>
        </w:trPr>
        <w:tc>
          <w:tcPr>
            <w:tcW w:w="0" w:type="auto"/>
            <w:gridSpan w:val="3"/>
            <w:shd w:val="clear" w:color="auto" w:fill="D7EFF1"/>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Private equity fund</w:t>
            </w:r>
            <w:r>
              <w:rPr>
                <w:rFonts w:ascii="IBM Plex Sans" w:eastAsia="Times New Roman" w:hAnsi="IBM Plex Sans"/>
                <w:color w:val="283030"/>
                <w:sz w:val="20"/>
                <w:szCs w:val="20"/>
              </w:rPr>
              <w:t>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559 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232691922"/>
        </w:trPr>
        <w:tc>
          <w:tcPr>
            <w:tcW w:w="0" w:type="auto"/>
            <w:gridSpan w:val="3"/>
            <w:shd w:val="clear" w:color="auto" w:fill="FFFFFF"/>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Real estate fund</w:t>
            </w:r>
            <w:r>
              <w:rPr>
                <w:rFonts w:ascii="IBM Plex Sans" w:eastAsia="Times New Roman" w:hAnsi="IBM Plex Sans"/>
                <w:color w:val="28303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232691922"/>
        </w:trPr>
        <w:tc>
          <w:tcPr>
            <w:tcW w:w="0" w:type="auto"/>
            <w:gridSpan w:val="3"/>
            <w:shd w:val="clear" w:color="auto" w:fill="D7EFF1"/>
            <w:tcMar>
              <w:top w:w="30" w:type="dxa"/>
              <w:left w:w="38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Othe</w:t>
            </w:r>
            <w:r>
              <w:rPr>
                <w:rFonts w:ascii="IBM Plex Sans" w:eastAsia="Times New Roman" w:hAnsi="IBM Plex Sans"/>
                <w:color w:val="283030"/>
                <w:sz w:val="20"/>
                <w:szCs w:val="20"/>
              </w:rPr>
              <w:t>r</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232691922"/>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Total Investments Measured at NAV</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4,239 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232691922"/>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Payables, net</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(22)</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232691922"/>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Total fair value of plan assets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9,924 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r>
    </w:tbl>
    <w:p w:rsidR="00000000" w:rsidRDefault="00F5481A">
      <w:pPr>
        <w:divId w:val="951017741"/>
        <w:rPr>
          <w:rFonts w:eastAsia="Times New Roman"/>
        </w:rPr>
      </w:pPr>
      <w:r>
        <w:rPr>
          <w:rFonts w:ascii="IBM Plex Sans SemiBold" w:eastAsia="Times New Roman" w:hAnsi="IBM Plex Sans SemiBold"/>
          <w:b/>
          <w:bCs/>
          <w:color w:val="016676"/>
          <w:sz w:val="20"/>
          <w:szCs w:val="20"/>
        </w:rPr>
        <w:t>Contributions</w:t>
      </w:r>
    </w:p>
    <w:p w:rsidR="00000000" w:rsidRDefault="00F5481A">
      <w:pPr>
        <w:ind w:firstLine="360"/>
        <w:divId w:val="1713768411"/>
        <w:rPr>
          <w:rFonts w:eastAsia="Times New Roman"/>
        </w:rPr>
      </w:pPr>
      <w:r>
        <w:rPr>
          <w:rFonts w:ascii="IBM Plex Sans" w:eastAsia="Times New Roman" w:hAnsi="IBM Plex Sans"/>
          <w:color w:val="283030"/>
          <w:sz w:val="20"/>
          <w:szCs w:val="20"/>
        </w:rPr>
        <w:t>Funding requirements under IRS rules are a major consideration in making contributions to our postretirement benefit plans. With respect to U.S. qualified pension plans, we intend to contribute annually not less than the required minimum funding thresholds</w:t>
      </w:r>
      <w:r>
        <w:rPr>
          <w:rFonts w:ascii="IBM Plex Sans" w:eastAsia="Times New Roman" w:hAnsi="IBM Plex Sans"/>
          <w:color w:val="283030"/>
          <w:sz w:val="20"/>
          <w:szCs w:val="20"/>
        </w:rPr>
        <w:t>.</w:t>
      </w:r>
    </w:p>
    <w:p w:rsidR="00000000" w:rsidRDefault="00F5481A">
      <w:pPr>
        <w:ind w:firstLine="360"/>
        <w:divId w:val="1564639213"/>
        <w:rPr>
          <w:rFonts w:eastAsia="Times New Roman"/>
        </w:rPr>
      </w:pPr>
      <w:r>
        <w:rPr>
          <w:rFonts w:ascii="IBM Plex Sans" w:eastAsia="Times New Roman" w:hAnsi="IBM Plex Sans"/>
          <w:color w:val="283030"/>
          <w:sz w:val="20"/>
          <w:szCs w:val="20"/>
        </w:rPr>
        <w:t>The Employee Retirement Income Security Act of 1974, as amended by the Pension Protection Act of 2006 and further amended by the Worker, Retiree, and Employer Recovery Act of 2008, MAP-21 and applicable Internal Revenue Code regulations mandate minimum f</w:t>
      </w:r>
      <w:r>
        <w:rPr>
          <w:rFonts w:ascii="IBM Plex Sans" w:eastAsia="Times New Roman" w:hAnsi="IBM Plex Sans"/>
          <w:color w:val="283030"/>
          <w:sz w:val="20"/>
          <w:szCs w:val="20"/>
        </w:rPr>
        <w:t>unding thresholds.</w:t>
      </w:r>
      <w:r>
        <w:rPr>
          <w:rFonts w:eastAsia="Times New Roman"/>
          <w:color w:val="283030"/>
          <w:sz w:val="20"/>
          <w:szCs w:val="20"/>
        </w:rPr>
        <w:t xml:space="preserve"> </w:t>
      </w:r>
      <w:r>
        <w:rPr>
          <w:rFonts w:ascii="IBM Plex Sans" w:eastAsia="Times New Roman" w:hAnsi="IBM Plex Sans"/>
          <w:color w:val="283030"/>
          <w:sz w:val="20"/>
          <w:szCs w:val="20"/>
        </w:rPr>
        <w:t>The Highway and Transportation Funding Act of 2014, the Bipartisan Budget Act of 2015, the American Rescue Plan Act of 2021 and the Infrastructure Investment and Jobs Act further extended the interest rate stabilization provision of MAP-</w:t>
      </w:r>
      <w:r>
        <w:rPr>
          <w:rFonts w:ascii="IBM Plex Sans" w:eastAsia="Times New Roman" w:hAnsi="IBM Plex Sans"/>
          <w:color w:val="283030"/>
          <w:sz w:val="20"/>
          <w:szCs w:val="20"/>
        </w:rPr>
        <w:t>21. As a result of prior voluntary contributions, we made no material contributions to our U.S. qualified defined benefit pension plans in fiscal 2022, 2021 or 2020 and are not required to make any contributions to these plans during fiscal 2023 or for sev</w:t>
      </w:r>
      <w:r>
        <w:rPr>
          <w:rFonts w:ascii="IBM Plex Sans" w:eastAsia="Times New Roman" w:hAnsi="IBM Plex Sans"/>
          <w:color w:val="283030"/>
          <w:sz w:val="20"/>
          <w:szCs w:val="20"/>
        </w:rPr>
        <w:t>eral years thereafter.</w:t>
      </w:r>
    </w:p>
    <w:p w:rsidR="00000000" w:rsidRDefault="00F5481A">
      <w:pPr>
        <w:divId w:val="1696879728"/>
        <w:rPr>
          <w:rFonts w:eastAsia="Times New Roman"/>
        </w:rPr>
      </w:pPr>
      <w:r>
        <w:rPr>
          <w:rFonts w:ascii="IBM Plex Sans SemiBold" w:eastAsia="Times New Roman" w:hAnsi="IBM Plex Sans SemiBold"/>
          <w:b/>
          <w:bCs/>
          <w:color w:val="016676"/>
          <w:sz w:val="20"/>
          <w:szCs w:val="20"/>
        </w:rPr>
        <w:t>Estimated Future Benefit Payments</w:t>
      </w:r>
    </w:p>
    <w:p w:rsidR="00000000" w:rsidRDefault="00F5481A">
      <w:pPr>
        <w:ind w:firstLine="360"/>
        <w:divId w:val="2099792538"/>
        <w:rPr>
          <w:rFonts w:eastAsia="Times New Roman"/>
        </w:rPr>
      </w:pPr>
      <w:r>
        <w:rPr>
          <w:rFonts w:ascii="IBM Plex Sans" w:eastAsia="Times New Roman" w:hAnsi="IBM Plex Sans"/>
          <w:color w:val="283030"/>
          <w:sz w:val="20"/>
          <w:szCs w:val="20"/>
        </w:rPr>
        <w:t>The following table provides the projected timing of payments for benefits earned to date and benefits expected to be earned for future service by current active employees under our defined benefit p</w:t>
      </w:r>
      <w:r>
        <w:rPr>
          <w:rFonts w:ascii="IBM Plex Sans" w:eastAsia="Times New Roman" w:hAnsi="IBM Plex Sans"/>
          <w:color w:val="283030"/>
          <w:sz w:val="20"/>
          <w:szCs w:val="20"/>
        </w:rPr>
        <w:t xml:space="preserve">lans: </w:t>
      </w:r>
    </w:p>
    <w:tbl>
      <w:tblPr>
        <w:tblW w:w="5000" w:type="pct"/>
        <w:tblCellMar>
          <w:top w:w="15" w:type="dxa"/>
          <w:left w:w="15" w:type="dxa"/>
          <w:bottom w:w="15" w:type="dxa"/>
          <w:right w:w="15" w:type="dxa"/>
        </w:tblCellMar>
        <w:tblLook w:val="04A0" w:firstRow="1" w:lastRow="0" w:firstColumn="1" w:lastColumn="0" w:noHBand="0" w:noVBand="1"/>
      </w:tblPr>
      <w:tblGrid>
        <w:gridCol w:w="37"/>
        <w:gridCol w:w="4183"/>
        <w:gridCol w:w="36"/>
        <w:gridCol w:w="133"/>
        <w:gridCol w:w="1109"/>
        <w:gridCol w:w="36"/>
        <w:gridCol w:w="36"/>
        <w:gridCol w:w="36"/>
        <w:gridCol w:w="36"/>
        <w:gridCol w:w="133"/>
        <w:gridCol w:w="1109"/>
        <w:gridCol w:w="36"/>
        <w:gridCol w:w="36"/>
        <w:gridCol w:w="36"/>
        <w:gridCol w:w="36"/>
        <w:gridCol w:w="133"/>
        <w:gridCol w:w="1109"/>
        <w:gridCol w:w="36"/>
      </w:tblGrid>
      <w:tr w:rsidR="00000000">
        <w:trPr>
          <w:divId w:val="125465146"/>
        </w:trPr>
        <w:tc>
          <w:tcPr>
            <w:tcW w:w="50" w:type="pct"/>
            <w:vAlign w:val="center"/>
            <w:hideMark/>
          </w:tcPr>
          <w:p w:rsidR="00000000" w:rsidRDefault="00F5481A">
            <w:pPr>
              <w:ind w:firstLine="360"/>
              <w:rPr>
                <w:rFonts w:eastAsia="Times New Roman"/>
              </w:rPr>
            </w:pPr>
          </w:p>
        </w:tc>
        <w:tc>
          <w:tcPr>
            <w:tcW w:w="2581"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125465146"/>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Pension</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Other</w:t>
            </w:r>
          </w:p>
          <w:p w:rsidR="00000000" w:rsidRDefault="00F5481A">
            <w:pPr>
              <w:spacing w:after="100"/>
              <w:jc w:val="center"/>
              <w:rPr>
                <w:rFonts w:eastAsia="Times New Roman"/>
              </w:rPr>
            </w:pPr>
            <w:r>
              <w:rPr>
                <w:rFonts w:ascii="IBM Plex Sans" w:eastAsia="Times New Roman" w:hAnsi="IBM Plex Sans"/>
                <w:b/>
                <w:bCs/>
                <w:color w:val="283030"/>
                <w:sz w:val="16"/>
                <w:szCs w:val="16"/>
              </w:rPr>
              <w:t>    Benefit</w:t>
            </w:r>
            <w:r>
              <w:rPr>
                <w:rFonts w:ascii="IBM Plex Sans" w:eastAsia="Times New Roman" w:hAnsi="IBM Plex Sans"/>
                <w:b/>
                <w:bCs/>
                <w:color w:val="283030"/>
                <w:sz w:val="16"/>
                <w:szCs w:val="16"/>
              </w:rPr>
              <w:t>s</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Total</w:t>
            </w:r>
          </w:p>
        </w:tc>
      </w:tr>
      <w:tr w:rsidR="00000000">
        <w:trPr>
          <w:divId w:val="125465146"/>
          <w:trHeight w:val="6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25465146"/>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Fiscal Years:</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25465146"/>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2023</w:t>
            </w: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564 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585 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25465146"/>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2024</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568 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589 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25465146"/>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2025</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569 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589 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25465146"/>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2026</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569 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588 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25465146"/>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2027</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565 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19 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584 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25465146"/>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2028 — 2032</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2,730 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2,812 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bl>
    <w:p w:rsidR="00000000" w:rsidRDefault="00F5481A">
      <w:pPr>
        <w:divId w:val="1246845658"/>
        <w:rPr>
          <w:rFonts w:eastAsia="Times New Roman"/>
        </w:rPr>
      </w:pPr>
      <w:r>
        <w:rPr>
          <w:rFonts w:ascii="IBM Plex Sans" w:eastAsia="Times New Roman" w:hAnsi="IBM Plex Sans"/>
          <w:color w:val="283030"/>
          <w:sz w:val="16"/>
          <w:szCs w:val="16"/>
        </w:rPr>
        <w:t>_______________</w:t>
      </w:r>
    </w:p>
    <w:p w:rsidR="00000000" w:rsidRDefault="00F5481A">
      <w:pPr>
        <w:ind w:hanging="360"/>
        <w:divId w:val="2075927471"/>
        <w:rPr>
          <w:rFonts w:eastAsia="Times New Roman"/>
        </w:rPr>
      </w:pPr>
      <w:r>
        <w:rPr>
          <w:rFonts w:ascii="IBM Plex Sans" w:eastAsia="Times New Roman" w:hAnsi="IBM Plex Sans"/>
          <w:color w:val="283030"/>
          <w:sz w:val="16"/>
          <w:szCs w:val="16"/>
        </w:rPr>
        <w:t>(1)</w:t>
      </w:r>
      <w:r>
        <w:rPr>
          <w:rFonts w:ascii="IBM Plex Sans" w:eastAsia="Times New Roman" w:hAnsi="IBM Plex Sans"/>
          <w:color w:val="283030"/>
          <w:sz w:val="16"/>
          <w:szCs w:val="16"/>
        </w:rPr>
        <w:t>Projected payments for Other Benefits reflect net payments from the Company, which include subsidies that reduce the gross payments by less than 1%.</w:t>
      </w:r>
    </w:p>
    <w:p w:rsidR="00000000" w:rsidRDefault="00F5481A">
      <w:pPr>
        <w:ind w:firstLine="360"/>
        <w:jc w:val="center"/>
        <w:divId w:val="120615129"/>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96</w:t>
      </w:r>
    </w:p>
    <w:p w:rsidR="00000000" w:rsidRDefault="00F5481A">
      <w:pPr>
        <w:rPr>
          <w:rFonts w:eastAsia="Times New Roman"/>
        </w:rPr>
      </w:pPr>
      <w:r>
        <w:rPr>
          <w:rFonts w:eastAsia="Times New Roman"/>
        </w:rPr>
        <w:pict>
          <v:rect id="_x0000_i1127" style="width:0;height:1.5pt" o:hralign="center" o:hrstd="t" o:hr="t" fillcolor="#a0a0a0" stroked="f"/>
        </w:pict>
      </w:r>
    </w:p>
    <w:p w:rsidR="00000000" w:rsidRDefault="00F5481A">
      <w:pPr>
        <w:ind w:firstLine="360"/>
        <w:divId w:val="1786541147"/>
        <w:rPr>
          <w:rFonts w:eastAsia="Times New Roman"/>
        </w:rPr>
      </w:pPr>
    </w:p>
    <w:p w:rsidR="00000000" w:rsidRDefault="00F5481A">
      <w:pPr>
        <w:divId w:val="726609876"/>
        <w:rPr>
          <w:rFonts w:eastAsia="Times New Roman"/>
        </w:rPr>
      </w:pPr>
      <w:r>
        <w:rPr>
          <w:rFonts w:ascii="IBM Plex Sans SemiBold" w:eastAsia="Times New Roman" w:hAnsi="IBM Plex Sans SemiBold"/>
          <w:b/>
          <w:bCs/>
          <w:color w:val="016676"/>
          <w:sz w:val="20"/>
          <w:szCs w:val="20"/>
        </w:rPr>
        <w:t>Multi-employer Benefit Plans</w:t>
      </w:r>
    </w:p>
    <w:p w:rsidR="00000000" w:rsidRDefault="00F5481A">
      <w:pPr>
        <w:ind w:firstLine="360"/>
        <w:divId w:val="1753551445"/>
        <w:rPr>
          <w:rFonts w:eastAsia="Times New Roman"/>
        </w:rPr>
      </w:pPr>
      <w:r>
        <w:rPr>
          <w:rFonts w:ascii="IBM Plex Sans" w:eastAsia="Times New Roman" w:hAnsi="IBM Plex Sans"/>
          <w:color w:val="283030"/>
          <w:sz w:val="20"/>
          <w:szCs w:val="20"/>
        </w:rPr>
        <w:t>Certain of our businesses participate in multi-employer defined benefit pension plans. We make cash contributions to these plans under the terms of collective-bargaining agreements that cov</w:t>
      </w:r>
      <w:r>
        <w:rPr>
          <w:rFonts w:ascii="IBM Plex Sans" w:eastAsia="Times New Roman" w:hAnsi="IBM Plex Sans"/>
          <w:color w:val="283030"/>
          <w:sz w:val="20"/>
          <w:szCs w:val="20"/>
        </w:rPr>
        <w:t>er union employees based on a fixed rate per hour of service worked by the covered employees. The risks of participating in these multi-employer plans are different from single-employer plans in the following aspects: (1) assets contributed to the multi-em</w:t>
      </w:r>
      <w:r>
        <w:rPr>
          <w:rFonts w:ascii="IBM Plex Sans" w:eastAsia="Times New Roman" w:hAnsi="IBM Plex Sans"/>
          <w:color w:val="283030"/>
          <w:sz w:val="20"/>
          <w:szCs w:val="20"/>
        </w:rPr>
        <w:t>ployer plan by one employer may be used to provide benefits to employees of other participating employers, (2) if a participating employer stops contributing to the plan, the unfunded obligations of the plan may be borne by the remaining participating empl</w:t>
      </w:r>
      <w:r>
        <w:rPr>
          <w:rFonts w:ascii="IBM Plex Sans" w:eastAsia="Times New Roman" w:hAnsi="IBM Plex Sans"/>
          <w:color w:val="283030"/>
          <w:sz w:val="20"/>
          <w:szCs w:val="20"/>
        </w:rPr>
        <w:t>oyers and (3) if we choose to stop participating in some of our multi-employer plans, we may be required to pay those plans an amount based on the underfunded status of the plan, referred to as a withdrawal liability. Cash contributed and expenses recorded</w:t>
      </w:r>
      <w:r>
        <w:rPr>
          <w:rFonts w:ascii="IBM Plex Sans" w:eastAsia="Times New Roman" w:hAnsi="IBM Plex Sans"/>
          <w:color w:val="283030"/>
          <w:sz w:val="20"/>
          <w:szCs w:val="20"/>
        </w:rPr>
        <w:t xml:space="preserve"> for our multi-employer plans were not material in fiscal 2022, 2021 or 2020.</w:t>
      </w:r>
    </w:p>
    <w:p w:rsidR="00000000" w:rsidRDefault="00F5481A">
      <w:pPr>
        <w:divId w:val="1403143779"/>
        <w:rPr>
          <w:rFonts w:eastAsia="Times New Roman"/>
        </w:rPr>
      </w:pPr>
      <w:r>
        <w:rPr>
          <w:rFonts w:ascii="IBM Plex Sans SemiBold" w:eastAsia="Times New Roman" w:hAnsi="IBM Plex Sans SemiBold"/>
          <w:b/>
          <w:bCs/>
          <w:color w:val="016676"/>
          <w:sz w:val="20"/>
          <w:szCs w:val="20"/>
        </w:rPr>
        <w:t>NOTE 15: STOCK OPTIONS AND OTHER SHARE-BASED COMPENSATION</w:t>
      </w:r>
      <w:r>
        <w:rPr>
          <w:rFonts w:ascii="IBM Plex Sans" w:eastAsia="Times New Roman" w:hAnsi="IBM Plex Sans"/>
          <w:b/>
          <w:bCs/>
          <w:i/>
          <w:iCs/>
          <w:color w:val="283030"/>
          <w:sz w:val="20"/>
          <w:szCs w:val="20"/>
        </w:rPr>
        <w:t xml:space="preserve"> </w:t>
      </w:r>
    </w:p>
    <w:p w:rsidR="00000000" w:rsidRDefault="00F5481A">
      <w:pPr>
        <w:ind w:firstLine="360"/>
        <w:divId w:val="1909000530"/>
        <w:rPr>
          <w:rFonts w:eastAsia="Times New Roman"/>
        </w:rPr>
      </w:pPr>
      <w:r>
        <w:rPr>
          <w:rFonts w:ascii="IBM Plex Sans" w:eastAsia="Times New Roman" w:hAnsi="IBM Plex Sans"/>
          <w:color w:val="283030"/>
          <w:sz w:val="20"/>
          <w:szCs w:val="20"/>
        </w:rPr>
        <w:t>At December 30, 2022, we had options or other share-based compensation outstanding under two Harris shareholder-approve</w:t>
      </w:r>
      <w:r>
        <w:rPr>
          <w:rFonts w:ascii="IBM Plex Sans" w:eastAsia="Times New Roman" w:hAnsi="IBM Plex Sans"/>
          <w:color w:val="283030"/>
          <w:sz w:val="20"/>
          <w:szCs w:val="20"/>
        </w:rPr>
        <w:t>d employee stock incentive plans (“SIPs”), the Harris Corporation 2005 Equity Incentive Plan (As Amended and Restated Effective August 27, 2010) and the L3Harris Technologies, Inc. 2015 Equity Incentive Plan (As Amended and Restated Effective August 28, 20</w:t>
      </w:r>
      <w:r>
        <w:rPr>
          <w:rFonts w:ascii="IBM Plex Sans" w:eastAsia="Times New Roman" w:hAnsi="IBM Plex Sans"/>
          <w:color w:val="283030"/>
          <w:sz w:val="20"/>
          <w:szCs w:val="20"/>
        </w:rPr>
        <w:t xml:space="preserve">20) (the “2015 EIP”), as well as under employee stock incentive plans of L3 assumed by L3Harris (collectively, “L3Harris SIPs”). We believe that share-based awards more closely align the interests of participants with those of shareholders. </w:t>
      </w:r>
    </w:p>
    <w:p w:rsidR="00000000" w:rsidRDefault="00F5481A">
      <w:pPr>
        <w:divId w:val="363943439"/>
        <w:rPr>
          <w:rFonts w:eastAsia="Times New Roman"/>
        </w:rPr>
      </w:pPr>
      <w:r>
        <w:rPr>
          <w:rFonts w:ascii="IBM Plex Sans SemiBold" w:eastAsia="Times New Roman" w:hAnsi="IBM Plex Sans SemiBold"/>
          <w:b/>
          <w:bCs/>
          <w:color w:val="016676"/>
          <w:sz w:val="20"/>
          <w:szCs w:val="20"/>
        </w:rPr>
        <w:t>Summary of Sha</w:t>
      </w:r>
      <w:r>
        <w:rPr>
          <w:rFonts w:ascii="IBM Plex Sans SemiBold" w:eastAsia="Times New Roman" w:hAnsi="IBM Plex Sans SemiBold"/>
          <w:b/>
          <w:bCs/>
          <w:color w:val="016676"/>
          <w:sz w:val="20"/>
          <w:szCs w:val="20"/>
        </w:rPr>
        <w:t>re-Based Compensation Expense</w:t>
      </w:r>
    </w:p>
    <w:p w:rsidR="00000000" w:rsidRDefault="00F5481A">
      <w:pPr>
        <w:ind w:firstLine="360"/>
        <w:divId w:val="674919943"/>
        <w:rPr>
          <w:rFonts w:eastAsia="Times New Roman"/>
        </w:rPr>
      </w:pPr>
      <w:r>
        <w:rPr>
          <w:rFonts w:ascii="IBM Plex Sans" w:eastAsia="Times New Roman" w:hAnsi="IBM Plex Sans"/>
          <w:color w:val="283030"/>
          <w:sz w:val="20"/>
          <w:szCs w:val="20"/>
        </w:rPr>
        <w:t>The following table summarizes the amounts and classification of share-based compensation expense:</w:t>
      </w:r>
    </w:p>
    <w:tbl>
      <w:tblPr>
        <w:tblW w:w="5000" w:type="pct"/>
        <w:tblCellMar>
          <w:top w:w="15" w:type="dxa"/>
          <w:left w:w="15" w:type="dxa"/>
          <w:bottom w:w="15" w:type="dxa"/>
          <w:right w:w="15" w:type="dxa"/>
        </w:tblCellMar>
        <w:tblLook w:val="04A0" w:firstRow="1" w:lastRow="0" w:firstColumn="1" w:lastColumn="0" w:noHBand="0" w:noVBand="1"/>
      </w:tblPr>
      <w:tblGrid>
        <w:gridCol w:w="40"/>
        <w:gridCol w:w="4178"/>
        <w:gridCol w:w="39"/>
        <w:gridCol w:w="133"/>
        <w:gridCol w:w="1108"/>
        <w:gridCol w:w="36"/>
        <w:gridCol w:w="36"/>
        <w:gridCol w:w="36"/>
        <w:gridCol w:w="36"/>
        <w:gridCol w:w="133"/>
        <w:gridCol w:w="1109"/>
        <w:gridCol w:w="36"/>
        <w:gridCol w:w="36"/>
        <w:gridCol w:w="36"/>
        <w:gridCol w:w="36"/>
        <w:gridCol w:w="133"/>
        <w:gridCol w:w="1109"/>
        <w:gridCol w:w="36"/>
      </w:tblGrid>
      <w:tr w:rsidR="00000000">
        <w:trPr>
          <w:divId w:val="900097088"/>
        </w:trPr>
        <w:tc>
          <w:tcPr>
            <w:tcW w:w="50" w:type="pct"/>
            <w:vAlign w:val="center"/>
            <w:hideMark/>
          </w:tcPr>
          <w:p w:rsidR="00000000" w:rsidRDefault="00F5481A">
            <w:pPr>
              <w:ind w:firstLine="360"/>
              <w:rPr>
                <w:rFonts w:eastAsia="Times New Roman"/>
              </w:rPr>
            </w:pPr>
          </w:p>
        </w:tc>
        <w:tc>
          <w:tcPr>
            <w:tcW w:w="2581"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900097088"/>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Fiscal Year Ended</w:t>
            </w:r>
          </w:p>
        </w:tc>
      </w:tr>
      <w:tr w:rsidR="00000000">
        <w:trPr>
          <w:divId w:val="900097088"/>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January 1, 2021</w:t>
            </w:r>
          </w:p>
        </w:tc>
      </w:tr>
      <w:tr w:rsidR="00000000">
        <w:trPr>
          <w:divId w:val="900097088"/>
          <w:trHeight w:val="6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900097088"/>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Total expense</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900097088"/>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Included in:</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900097088"/>
        </w:trPr>
        <w:tc>
          <w:tcPr>
            <w:tcW w:w="0" w:type="auto"/>
            <w:gridSpan w:val="3"/>
            <w:shd w:val="clear" w:color="auto" w:fill="D7EFF1"/>
            <w:tcMar>
              <w:top w:w="30" w:type="dxa"/>
              <w:left w:w="24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Cost of product sales and services</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900097088"/>
        </w:trPr>
        <w:tc>
          <w:tcPr>
            <w:tcW w:w="0" w:type="auto"/>
            <w:gridSpan w:val="3"/>
            <w:shd w:val="clear" w:color="auto" w:fill="FFFFFF"/>
            <w:tcMar>
              <w:top w:w="30" w:type="dxa"/>
              <w:left w:w="24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Engineering, selling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83 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900097088"/>
        </w:trPr>
        <w:tc>
          <w:tcPr>
            <w:tcW w:w="0" w:type="auto"/>
            <w:gridSpan w:val="3"/>
            <w:shd w:val="clear" w:color="auto" w:fill="D7EFF1"/>
            <w:tcMar>
              <w:top w:w="30" w:type="dxa"/>
              <w:left w:w="24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Income from continuing operations</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109 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129 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94 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900097088"/>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Tax effect on share-based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(27)</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(33)</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(24)</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900097088"/>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Total share-based compensation expense after-tax</w:t>
            </w: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82 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96 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70 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bl>
    <w:p w:rsidR="00000000" w:rsidRDefault="00F5481A">
      <w:pPr>
        <w:ind w:firstLine="360"/>
        <w:divId w:val="114954480"/>
        <w:rPr>
          <w:rFonts w:eastAsia="Times New Roman"/>
        </w:rPr>
      </w:pPr>
      <w:r>
        <w:rPr>
          <w:rFonts w:ascii="IBM Plex Sans" w:eastAsia="Times New Roman" w:hAnsi="IBM Plex Sans"/>
          <w:color w:val="283030"/>
          <w:sz w:val="20"/>
          <w:szCs w:val="20"/>
        </w:rPr>
        <w:t xml:space="preserve">As of December 30, 2022, a total of 14.3 </w:t>
      </w:r>
      <w:r>
        <w:rPr>
          <w:rFonts w:ascii="IBM Plex Sans" w:eastAsia="Times New Roman" w:hAnsi="IBM Plex Sans"/>
          <w:color w:val="283030"/>
          <w:sz w:val="20"/>
          <w:szCs w:val="20"/>
        </w:rPr>
        <w:t>million shares of common stock remained available under our 2015 EIP for future issuance (excluding shares to be issued in respect of outstanding options and other share-based awards, and with each full-value award (e.g., restricted stock and restricted st</w:t>
      </w:r>
      <w:r>
        <w:rPr>
          <w:rFonts w:ascii="IBM Plex Sans" w:eastAsia="Times New Roman" w:hAnsi="IBM Plex Sans"/>
          <w:color w:val="283030"/>
          <w:sz w:val="20"/>
          <w:szCs w:val="20"/>
        </w:rPr>
        <w:t>ock unit awards and performance share and performance share unit awards) counting as 4.6 shares against the total remaining for future issuance). During fiscal 2022, we issued an aggregate of 0.8 million shares of common stock under the terms of our L3Harr</w:t>
      </w:r>
      <w:r>
        <w:rPr>
          <w:rFonts w:ascii="IBM Plex Sans" w:eastAsia="Times New Roman" w:hAnsi="IBM Plex Sans"/>
          <w:color w:val="283030"/>
          <w:sz w:val="20"/>
          <w:szCs w:val="20"/>
        </w:rPr>
        <w:t>is SIPs, which is net of shares withheld for tax purposes.</w:t>
      </w:r>
    </w:p>
    <w:p w:rsidR="00000000" w:rsidRDefault="00F5481A">
      <w:pPr>
        <w:divId w:val="1218082524"/>
        <w:rPr>
          <w:rFonts w:eastAsia="Times New Roman"/>
        </w:rPr>
      </w:pPr>
      <w:r>
        <w:rPr>
          <w:rFonts w:ascii="IBM Plex Sans SemiBold" w:eastAsia="Times New Roman" w:hAnsi="IBM Plex Sans SemiBold"/>
          <w:b/>
          <w:bCs/>
          <w:color w:val="016676"/>
          <w:sz w:val="20"/>
          <w:szCs w:val="20"/>
        </w:rPr>
        <w:t>Stock Options</w:t>
      </w:r>
    </w:p>
    <w:p w:rsidR="00000000" w:rsidRDefault="00F5481A">
      <w:pPr>
        <w:ind w:firstLine="360"/>
        <w:divId w:val="1902783757"/>
        <w:rPr>
          <w:rFonts w:eastAsia="Times New Roman"/>
        </w:rPr>
      </w:pPr>
      <w:r>
        <w:rPr>
          <w:rFonts w:ascii="IBM Plex Sans" w:eastAsia="Times New Roman" w:hAnsi="IBM Plex Sans"/>
          <w:color w:val="283030"/>
          <w:sz w:val="20"/>
          <w:szCs w:val="20"/>
        </w:rPr>
        <w:t>The following information relates to stock options, including performance stock options, that have been granted under shareholder-approved L3Harris SIPs. Option exercise prices are eq</w:t>
      </w:r>
      <w:r>
        <w:rPr>
          <w:rFonts w:ascii="IBM Plex Sans" w:eastAsia="Times New Roman" w:hAnsi="IBM Plex Sans"/>
          <w:color w:val="283030"/>
          <w:sz w:val="20"/>
          <w:szCs w:val="20"/>
        </w:rPr>
        <w:t>ual to or greater than the fair market value of our common stock on the date the options are granted, using the closing stock price of our common stock. Options may be exercised for a period of ten years after the date of grant, and options, other than per</w:t>
      </w:r>
      <w:r>
        <w:rPr>
          <w:rFonts w:ascii="IBM Plex Sans" w:eastAsia="Times New Roman" w:hAnsi="IBM Plex Sans"/>
          <w:color w:val="283030"/>
          <w:sz w:val="20"/>
          <w:szCs w:val="20"/>
        </w:rPr>
        <w:t>formance stock options, generally become exercisable in installments, which are typically 33.3% one year from the grant date, 33.3% two years from the grant date and 33.3% three years from the grant date. In certain instances, vesting and exercisability ar</w:t>
      </w:r>
      <w:r>
        <w:rPr>
          <w:rFonts w:ascii="IBM Plex Sans" w:eastAsia="Times New Roman" w:hAnsi="IBM Plex Sans"/>
          <w:color w:val="283030"/>
          <w:sz w:val="20"/>
          <w:szCs w:val="20"/>
        </w:rPr>
        <w:t>e also subject to performance criteria.</w:t>
      </w:r>
    </w:p>
    <w:p w:rsidR="00000000" w:rsidRDefault="00F5481A">
      <w:pPr>
        <w:ind w:firstLine="360"/>
        <w:divId w:val="1658920122"/>
        <w:rPr>
          <w:rFonts w:eastAsia="Times New Roman"/>
        </w:rPr>
      </w:pPr>
      <w:r>
        <w:rPr>
          <w:rFonts w:ascii="IBM Plex Sans" w:eastAsia="Times New Roman" w:hAnsi="IBM Plex Sans"/>
          <w:color w:val="283030"/>
          <w:sz w:val="20"/>
          <w:szCs w:val="20"/>
        </w:rPr>
        <w:t>The fair value as of the grant date of each option award was determined using the Black-Scholes-Merton option-pricing model which uses assumptions noted in the following table. Expected volatility over the expected t</w:t>
      </w:r>
      <w:r>
        <w:rPr>
          <w:rFonts w:ascii="IBM Plex Sans" w:eastAsia="Times New Roman" w:hAnsi="IBM Plex Sans"/>
          <w:color w:val="283030"/>
          <w:sz w:val="20"/>
          <w:szCs w:val="20"/>
        </w:rPr>
        <w:t xml:space="preserve">erm of the options is based on implied volatility from traded options on our common stock and the historical volatility of our stock price. The expected term of the options is based on historical observations of our common stock, considering average years </w:t>
      </w:r>
      <w:r>
        <w:rPr>
          <w:rFonts w:ascii="IBM Plex Sans" w:eastAsia="Times New Roman" w:hAnsi="IBM Plex Sans"/>
          <w:color w:val="283030"/>
          <w:sz w:val="20"/>
          <w:szCs w:val="20"/>
        </w:rPr>
        <w:t>to exercise for all options exercised and average years to cancellation for all options canceled, as well as average years remaining for vested outstanding options, which is calculated based on the weighted-average of these three inputs. The risk-free inte</w:t>
      </w:r>
      <w:r>
        <w:rPr>
          <w:rFonts w:ascii="IBM Plex Sans" w:eastAsia="Times New Roman" w:hAnsi="IBM Plex Sans"/>
          <w:color w:val="283030"/>
          <w:sz w:val="20"/>
          <w:szCs w:val="20"/>
        </w:rPr>
        <w:t>rest rate for periods within the contractual life of the option is based on the U.S. Treasury yield curve in effect at the time of grant.</w:t>
      </w:r>
    </w:p>
    <w:p w:rsidR="00000000" w:rsidRDefault="00F5481A">
      <w:pPr>
        <w:ind w:firstLine="360"/>
        <w:jc w:val="center"/>
        <w:divId w:val="502163946"/>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97</w:t>
      </w:r>
    </w:p>
    <w:p w:rsidR="00000000" w:rsidRDefault="00F5481A">
      <w:pPr>
        <w:rPr>
          <w:rFonts w:eastAsia="Times New Roman"/>
        </w:rPr>
      </w:pPr>
      <w:r>
        <w:rPr>
          <w:rFonts w:eastAsia="Times New Roman"/>
        </w:rPr>
        <w:pict>
          <v:rect id="_x0000_i1128" style="width:0;height:1.5pt" o:hralign="center" o:hrstd="t" o:hr="t" fillcolor="#a0a0a0" stroked="f"/>
        </w:pict>
      </w:r>
    </w:p>
    <w:p w:rsidR="00000000" w:rsidRDefault="00F5481A">
      <w:pPr>
        <w:ind w:firstLine="360"/>
        <w:divId w:val="632250097"/>
        <w:rPr>
          <w:rFonts w:eastAsia="Times New Roman"/>
        </w:rPr>
      </w:pPr>
    </w:p>
    <w:p w:rsidR="00000000" w:rsidRDefault="00F5481A">
      <w:pPr>
        <w:ind w:firstLine="360"/>
        <w:divId w:val="710568607"/>
        <w:rPr>
          <w:rFonts w:eastAsia="Times New Roman"/>
        </w:rPr>
      </w:pPr>
      <w:r>
        <w:rPr>
          <w:rFonts w:ascii="IBM Plex Sans" w:eastAsia="Times New Roman" w:hAnsi="IBM Plex Sans"/>
          <w:color w:val="283030"/>
          <w:sz w:val="20"/>
          <w:szCs w:val="20"/>
        </w:rPr>
        <w:t>A summary of the assumptions used in determining the fair value of the stock option grants under our L3Harris SIPs is as follows:</w:t>
      </w:r>
    </w:p>
    <w:tbl>
      <w:tblPr>
        <w:tblW w:w="5000" w:type="pct"/>
        <w:tblCellMar>
          <w:top w:w="15" w:type="dxa"/>
          <w:left w:w="15" w:type="dxa"/>
          <w:bottom w:w="15" w:type="dxa"/>
          <w:right w:w="15" w:type="dxa"/>
        </w:tblCellMar>
        <w:tblLook w:val="04A0" w:firstRow="1" w:lastRow="0" w:firstColumn="1" w:lastColumn="0" w:noHBand="0" w:noVBand="1"/>
      </w:tblPr>
      <w:tblGrid>
        <w:gridCol w:w="53"/>
        <w:gridCol w:w="4071"/>
        <w:gridCol w:w="36"/>
        <w:gridCol w:w="77"/>
        <w:gridCol w:w="524"/>
        <w:gridCol w:w="37"/>
        <w:gridCol w:w="37"/>
        <w:gridCol w:w="98"/>
        <w:gridCol w:w="36"/>
        <w:gridCol w:w="77"/>
        <w:gridCol w:w="524"/>
        <w:gridCol w:w="36"/>
        <w:gridCol w:w="36"/>
        <w:gridCol w:w="36"/>
        <w:gridCol w:w="36"/>
        <w:gridCol w:w="53"/>
        <w:gridCol w:w="1147"/>
        <w:gridCol w:w="36"/>
        <w:gridCol w:w="36"/>
        <w:gridCol w:w="36"/>
        <w:gridCol w:w="36"/>
        <w:gridCol w:w="54"/>
        <w:gridCol w:w="1157"/>
        <w:gridCol w:w="37"/>
      </w:tblGrid>
      <w:tr w:rsidR="00000000">
        <w:trPr>
          <w:divId w:val="1520699761"/>
        </w:trPr>
        <w:tc>
          <w:tcPr>
            <w:tcW w:w="50" w:type="pct"/>
            <w:vAlign w:val="center"/>
            <w:hideMark/>
          </w:tcPr>
          <w:p w:rsidR="00000000" w:rsidRDefault="00F5481A">
            <w:pPr>
              <w:ind w:firstLine="360"/>
              <w:rPr>
                <w:rFonts w:eastAsia="Times New Roman"/>
              </w:rPr>
            </w:pPr>
          </w:p>
        </w:tc>
        <w:tc>
          <w:tcPr>
            <w:tcW w:w="246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340"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8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340"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1520699761"/>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Fiscal Year Ended</w:t>
            </w:r>
          </w:p>
        </w:tc>
      </w:tr>
      <w:tr w:rsidR="00000000">
        <w:trPr>
          <w:divId w:val="1520699761"/>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January 1, 2021</w:t>
            </w:r>
          </w:p>
        </w:tc>
      </w:tr>
      <w:tr w:rsidR="00000000">
        <w:trPr>
          <w:divId w:val="1520699761"/>
          <w:trHeight w:val="6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520699761"/>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Expected dividends</w:t>
            </w:r>
          </w:p>
        </w:tc>
        <w:tc>
          <w:tcPr>
            <w:tcW w:w="0" w:type="auto"/>
            <w:gridSpan w:val="9"/>
            <w:shd w:val="clear" w:color="auto" w:fill="D7EFF1"/>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2.00%</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1.99%</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1.55%</w:t>
            </w:r>
          </w:p>
        </w:tc>
      </w:tr>
      <w:tr w:rsidR="00000000">
        <w:trPr>
          <w:divId w:val="1520699761"/>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Expected volatility</w:t>
            </w:r>
          </w:p>
        </w:tc>
        <w:tc>
          <w:tcPr>
            <w:tcW w:w="0" w:type="auto"/>
            <w:gridSpan w:val="9"/>
            <w:shd w:val="clear" w:color="auto" w:fill="FFFFFF"/>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29.09%</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31.71%</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22.74%</w:t>
            </w:r>
          </w:p>
        </w:tc>
      </w:tr>
      <w:tr w:rsidR="00000000">
        <w:trPr>
          <w:divId w:val="1520699761"/>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Risk-free interest rate range</w:t>
            </w: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1.63%</w:t>
            </w: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w:t>
            </w: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4.27%</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0.75%</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0.89%</w:t>
            </w:r>
          </w:p>
        </w:tc>
      </w:tr>
      <w:tr w:rsidR="00000000">
        <w:trPr>
          <w:divId w:val="1520699761"/>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Expected term (years)</w:t>
            </w:r>
          </w:p>
        </w:tc>
        <w:tc>
          <w:tcPr>
            <w:tcW w:w="0" w:type="auto"/>
            <w:gridSpan w:val="9"/>
            <w:shd w:val="clear" w:color="auto" w:fill="FFFFFF"/>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5.02</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5.05</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color w:val="283030"/>
                <w:sz w:val="20"/>
                <w:szCs w:val="20"/>
              </w:rPr>
              <w:t>5.04</w:t>
            </w:r>
          </w:p>
        </w:tc>
      </w:tr>
    </w:tbl>
    <w:p w:rsidR="00000000" w:rsidRDefault="00F5481A">
      <w:pPr>
        <w:ind w:firstLine="360"/>
        <w:divId w:val="1251962166"/>
        <w:rPr>
          <w:rFonts w:eastAsia="Times New Roman"/>
        </w:rPr>
      </w:pPr>
      <w:r>
        <w:rPr>
          <w:rFonts w:ascii="IBM Plex Sans" w:eastAsia="Times New Roman" w:hAnsi="IBM Plex Sans"/>
          <w:color w:val="283030"/>
          <w:sz w:val="20"/>
          <w:szCs w:val="20"/>
        </w:rPr>
        <w:t>A summary of stock option activity under our L3Harris SIPs as of December 30, 2022 and changes during fiscal 2022 is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4112"/>
        <w:gridCol w:w="36"/>
        <w:gridCol w:w="85"/>
        <w:gridCol w:w="881"/>
        <w:gridCol w:w="36"/>
        <w:gridCol w:w="36"/>
        <w:gridCol w:w="36"/>
        <w:gridCol w:w="36"/>
        <w:gridCol w:w="132"/>
        <w:gridCol w:w="749"/>
        <w:gridCol w:w="36"/>
        <w:gridCol w:w="36"/>
        <w:gridCol w:w="36"/>
        <w:gridCol w:w="36"/>
        <w:gridCol w:w="81"/>
        <w:gridCol w:w="840"/>
        <w:gridCol w:w="36"/>
        <w:gridCol w:w="36"/>
        <w:gridCol w:w="36"/>
        <w:gridCol w:w="36"/>
        <w:gridCol w:w="133"/>
        <w:gridCol w:w="752"/>
        <w:gridCol w:w="36"/>
      </w:tblGrid>
      <w:tr w:rsidR="00000000">
        <w:trPr>
          <w:divId w:val="1313025166"/>
        </w:trPr>
        <w:tc>
          <w:tcPr>
            <w:tcW w:w="50" w:type="pct"/>
            <w:vAlign w:val="center"/>
            <w:hideMark/>
          </w:tcPr>
          <w:p w:rsidR="00000000" w:rsidRDefault="00F5481A">
            <w:pPr>
              <w:ind w:firstLine="360"/>
              <w:rPr>
                <w:rFonts w:eastAsia="Times New Roman"/>
              </w:rPr>
            </w:pPr>
          </w:p>
        </w:tc>
        <w:tc>
          <w:tcPr>
            <w:tcW w:w="255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51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51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51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51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1313025166"/>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Shares</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Weighted</w:t>
            </w:r>
            <w:r>
              <w:rPr>
                <w:rFonts w:ascii="IBM Plex Sans" w:eastAsia="Times New Roman" w:hAnsi="IBM Plex Sans"/>
                <w:b/>
                <w:bCs/>
                <w:color w:val="283030"/>
                <w:sz w:val="16"/>
                <w:szCs w:val="16"/>
              </w:rPr>
              <w:br/>
              <w:t>Average</w:t>
            </w:r>
            <w:r>
              <w:rPr>
                <w:rFonts w:ascii="IBM Plex Sans" w:eastAsia="Times New Roman" w:hAnsi="IBM Plex Sans"/>
                <w:b/>
                <w:bCs/>
                <w:color w:val="283030"/>
                <w:sz w:val="16"/>
                <w:szCs w:val="16"/>
              </w:rPr>
              <w:br/>
              <w:t>Exercise</w:t>
            </w:r>
            <w:r>
              <w:rPr>
                <w:rFonts w:ascii="IBM Plex Sans" w:eastAsia="Times New Roman" w:hAnsi="IBM Plex Sans"/>
                <w:b/>
                <w:bCs/>
                <w:color w:val="283030"/>
                <w:sz w:val="16"/>
                <w:szCs w:val="16"/>
              </w:rPr>
              <w:br/>
              <w:t>Price</w:t>
            </w:r>
            <w:r>
              <w:rPr>
                <w:rFonts w:ascii="IBM Plex Sans" w:eastAsia="Times New Roman" w:hAnsi="IBM Plex Sans"/>
                <w:b/>
                <w:bCs/>
                <w:color w:val="283030"/>
                <w:sz w:val="16"/>
                <w:szCs w:val="16"/>
              </w:rPr>
              <w:br/>
              <w:t>Per Share</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Weighted</w:t>
            </w:r>
            <w:r>
              <w:rPr>
                <w:rFonts w:ascii="IBM Plex Sans" w:eastAsia="Times New Roman" w:hAnsi="IBM Plex Sans"/>
                <w:b/>
                <w:bCs/>
                <w:color w:val="283030"/>
                <w:sz w:val="16"/>
                <w:szCs w:val="16"/>
              </w:rPr>
              <w:br/>
              <w:t>Average</w:t>
            </w:r>
            <w:r>
              <w:rPr>
                <w:rFonts w:ascii="IBM Plex Sans" w:eastAsia="Times New Roman" w:hAnsi="IBM Plex Sans"/>
                <w:b/>
                <w:bCs/>
                <w:color w:val="283030"/>
                <w:sz w:val="16"/>
                <w:szCs w:val="16"/>
              </w:rPr>
              <w:br/>
              <w:t>Remaining</w:t>
            </w:r>
            <w:r>
              <w:rPr>
                <w:rFonts w:ascii="IBM Plex Sans" w:eastAsia="Times New Roman" w:hAnsi="IBM Plex Sans"/>
                <w:b/>
                <w:bCs/>
                <w:color w:val="283030"/>
                <w:sz w:val="16"/>
                <w:szCs w:val="16"/>
              </w:rPr>
              <w:br/>
            </w:r>
            <w:r>
              <w:rPr>
                <w:rFonts w:ascii="IBM Plex Sans" w:eastAsia="Times New Roman" w:hAnsi="IBM Plex Sans"/>
                <w:b/>
                <w:bCs/>
                <w:color w:val="283030"/>
                <w:sz w:val="16"/>
                <w:szCs w:val="16"/>
              </w:rPr>
              <w:t>Contractual</w:t>
            </w:r>
            <w:r>
              <w:rPr>
                <w:rFonts w:ascii="IBM Plex Sans" w:eastAsia="Times New Roman" w:hAnsi="IBM Plex Sans"/>
                <w:b/>
                <w:bCs/>
                <w:color w:val="283030"/>
                <w:sz w:val="16"/>
                <w:szCs w:val="16"/>
              </w:rPr>
              <w:br/>
              <w:t>Term (In years)</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Aggregate</w:t>
            </w:r>
            <w:r>
              <w:rPr>
                <w:rFonts w:ascii="IBM Plex Sans" w:eastAsia="Times New Roman" w:hAnsi="IBM Plex Sans"/>
                <w:b/>
                <w:bCs/>
                <w:color w:val="283030"/>
                <w:sz w:val="16"/>
                <w:szCs w:val="16"/>
              </w:rPr>
              <w:br/>
              <w:t>Intrinsic </w:t>
            </w:r>
            <w:r>
              <w:rPr>
                <w:rFonts w:ascii="IBM Plex Sans" w:eastAsia="Times New Roman" w:hAnsi="IBM Plex Sans"/>
                <w:b/>
                <w:bCs/>
                <w:color w:val="283030"/>
                <w:sz w:val="16"/>
                <w:szCs w:val="16"/>
              </w:rPr>
              <w:br/>
              <w:t>Value (In millions)</w:t>
            </w:r>
          </w:p>
        </w:tc>
      </w:tr>
      <w:tr w:rsidR="00000000">
        <w:trPr>
          <w:divId w:val="1313025166"/>
          <w:trHeight w:val="6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313025166"/>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Stock options outstanding at December 31, 2021</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3,529,088 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150.68 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313025166"/>
        </w:trPr>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Granted</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390,347 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231.89 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313025166"/>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Exercised</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(469,241)</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120.58 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313025166"/>
        </w:trPr>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Forfeited or expired</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(144,065)</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196.26 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313025166"/>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313025166"/>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Stock options outstanding at December 30, 2022</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3,306,129 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162.56 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5.97</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160 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313025166"/>
        </w:trPr>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Stock options exercisable at December 30, 2022</w:t>
            </w: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2,620,411 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150.11 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5.30</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153 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bl>
    <w:p w:rsidR="00000000" w:rsidRDefault="00F5481A">
      <w:pPr>
        <w:ind w:firstLine="360"/>
        <w:divId w:val="1571647176"/>
        <w:rPr>
          <w:rFonts w:eastAsia="Times New Roman"/>
        </w:rPr>
      </w:pPr>
      <w:r>
        <w:rPr>
          <w:rFonts w:ascii="IBM Plex Sans" w:eastAsia="Times New Roman" w:hAnsi="IBM Plex Sans"/>
          <w:color w:val="283030"/>
          <w:sz w:val="20"/>
          <w:szCs w:val="20"/>
        </w:rPr>
        <w:t>The weighted-average grant-date fair value per share was $53.66, $42.16 and $34.49 for options granted in fiscal 2022, 2021 and 2020, res</w:t>
      </w:r>
      <w:r>
        <w:rPr>
          <w:rFonts w:ascii="IBM Plex Sans" w:eastAsia="Times New Roman" w:hAnsi="IBM Plex Sans"/>
          <w:color w:val="283030"/>
          <w:sz w:val="20"/>
          <w:szCs w:val="20"/>
        </w:rPr>
        <w:t>pectively. The total intrinsic value of options at the time of exercise was $56 million, $173 million and $103 million for options exercised in fiscal 2022, 2021 and 2020, respectively.</w:t>
      </w:r>
    </w:p>
    <w:p w:rsidR="00000000" w:rsidRDefault="00F5481A">
      <w:pPr>
        <w:ind w:firstLine="360"/>
        <w:divId w:val="155272385"/>
        <w:rPr>
          <w:rFonts w:eastAsia="Times New Roman"/>
        </w:rPr>
      </w:pPr>
      <w:r>
        <w:rPr>
          <w:rFonts w:ascii="IBM Plex Sans" w:eastAsia="Times New Roman" w:hAnsi="IBM Plex Sans"/>
          <w:color w:val="283030"/>
          <w:sz w:val="20"/>
          <w:szCs w:val="20"/>
        </w:rPr>
        <w:t>A summary of the status of our nonvested stock options at December 30,</w:t>
      </w:r>
      <w:r>
        <w:rPr>
          <w:rFonts w:ascii="IBM Plex Sans" w:eastAsia="Times New Roman" w:hAnsi="IBM Plex Sans"/>
          <w:color w:val="283030"/>
          <w:sz w:val="20"/>
          <w:szCs w:val="20"/>
        </w:rPr>
        <w:t xml:space="preserve"> 2022 and changes during fiscal 2022 is as follows:</w:t>
      </w:r>
    </w:p>
    <w:tbl>
      <w:tblPr>
        <w:tblW w:w="5000" w:type="pct"/>
        <w:tblCellMar>
          <w:top w:w="15" w:type="dxa"/>
          <w:left w:w="15" w:type="dxa"/>
          <w:bottom w:w="15" w:type="dxa"/>
          <w:right w:w="15" w:type="dxa"/>
        </w:tblCellMar>
        <w:tblLook w:val="04A0" w:firstRow="1" w:lastRow="0" w:firstColumn="1" w:lastColumn="0" w:noHBand="0" w:noVBand="1"/>
      </w:tblPr>
      <w:tblGrid>
        <w:gridCol w:w="44"/>
        <w:gridCol w:w="5576"/>
        <w:gridCol w:w="37"/>
        <w:gridCol w:w="69"/>
        <w:gridCol w:w="1121"/>
        <w:gridCol w:w="36"/>
        <w:gridCol w:w="36"/>
        <w:gridCol w:w="36"/>
        <w:gridCol w:w="36"/>
        <w:gridCol w:w="133"/>
        <w:gridCol w:w="1146"/>
        <w:gridCol w:w="36"/>
      </w:tblGrid>
      <w:tr w:rsidR="00000000">
        <w:trPr>
          <w:divId w:val="1953441813"/>
        </w:trPr>
        <w:tc>
          <w:tcPr>
            <w:tcW w:w="50" w:type="pct"/>
            <w:vAlign w:val="center"/>
            <w:hideMark/>
          </w:tcPr>
          <w:p w:rsidR="00000000" w:rsidRDefault="00F5481A">
            <w:pPr>
              <w:ind w:firstLine="360"/>
              <w:rPr>
                <w:rFonts w:eastAsia="Times New Roman"/>
              </w:rPr>
            </w:pPr>
          </w:p>
        </w:tc>
        <w:tc>
          <w:tcPr>
            <w:tcW w:w="337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1953441813"/>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Shares</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Weighted-Average</w:t>
            </w:r>
            <w:r>
              <w:rPr>
                <w:rFonts w:ascii="IBM Plex Sans" w:eastAsia="Times New Roman" w:hAnsi="IBM Plex Sans"/>
                <w:b/>
                <w:bCs/>
                <w:color w:val="283030"/>
                <w:sz w:val="16"/>
                <w:szCs w:val="16"/>
              </w:rPr>
              <w:br/>
              <w:t>Grant-Date Fair Value</w:t>
            </w:r>
            <w:r>
              <w:rPr>
                <w:rFonts w:ascii="IBM Plex Sans" w:eastAsia="Times New Roman" w:hAnsi="IBM Plex Sans"/>
                <w:b/>
                <w:bCs/>
                <w:color w:val="283030"/>
                <w:sz w:val="16"/>
                <w:szCs w:val="16"/>
              </w:rPr>
              <w:br/>
              <w:t>Per Share</w:t>
            </w:r>
          </w:p>
        </w:tc>
      </w:tr>
      <w:tr w:rsidR="00000000">
        <w:trPr>
          <w:divId w:val="1953441813"/>
          <w:trHeight w:val="6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953441813"/>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Nonvested stock options at December 31, 2021</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1,519,321 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38.79 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953441813"/>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Granted</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390,347 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53.66 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953441813"/>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Vested/forfeited, net</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(1,223,950)</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38.91 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953441813"/>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Nonvested stock options at December 30, 2022</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685,718 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46.76 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bl>
    <w:p w:rsidR="00000000" w:rsidRDefault="00F5481A">
      <w:pPr>
        <w:ind w:firstLine="360"/>
        <w:divId w:val="1296329896"/>
        <w:rPr>
          <w:rFonts w:eastAsia="Times New Roman"/>
        </w:rPr>
      </w:pPr>
      <w:r>
        <w:rPr>
          <w:rFonts w:ascii="IBM Plex Sans" w:eastAsia="Times New Roman" w:hAnsi="IBM Plex Sans"/>
          <w:color w:val="283030"/>
          <w:sz w:val="20"/>
          <w:szCs w:val="20"/>
        </w:rPr>
        <w:t xml:space="preserve">As of December 30, 2022, there was $20 </w:t>
      </w:r>
      <w:r>
        <w:rPr>
          <w:rFonts w:ascii="IBM Plex Sans" w:eastAsia="Times New Roman" w:hAnsi="IBM Plex Sans"/>
          <w:color w:val="283030"/>
          <w:sz w:val="20"/>
          <w:szCs w:val="20"/>
        </w:rPr>
        <w:t>million of total unrecognized compensation expense related to nonvested stock options granted under our L3Harris SIPs. This expense is expected to be recognized over a weighted-average period of 1.92 years. The total fair value of stock options that vested</w:t>
      </w:r>
      <w:r>
        <w:rPr>
          <w:rFonts w:ascii="IBM Plex Sans" w:eastAsia="Times New Roman" w:hAnsi="IBM Plex Sans"/>
          <w:color w:val="283030"/>
          <w:sz w:val="20"/>
          <w:szCs w:val="20"/>
        </w:rPr>
        <w:t xml:space="preserve"> in fiscal 2022 was $42 million and $6 million in fiscal 2021. No stock options vested in fiscal 2020. </w:t>
      </w:r>
    </w:p>
    <w:p w:rsidR="00000000" w:rsidRDefault="00F5481A">
      <w:pPr>
        <w:divId w:val="389690355"/>
        <w:rPr>
          <w:rFonts w:eastAsia="Times New Roman"/>
        </w:rPr>
      </w:pPr>
      <w:r>
        <w:rPr>
          <w:rFonts w:ascii="IBM Plex Sans SemiBold" w:eastAsia="Times New Roman" w:hAnsi="IBM Plex Sans SemiBold"/>
          <w:b/>
          <w:bCs/>
          <w:color w:val="016676"/>
          <w:sz w:val="20"/>
          <w:szCs w:val="20"/>
        </w:rPr>
        <w:t>Restricted Stock and Restricted Stock Unit Awards</w:t>
      </w:r>
    </w:p>
    <w:p w:rsidR="00000000" w:rsidRDefault="00F5481A">
      <w:pPr>
        <w:ind w:firstLine="360"/>
        <w:divId w:val="2823662"/>
        <w:rPr>
          <w:rFonts w:eastAsia="Times New Roman"/>
        </w:rPr>
      </w:pPr>
      <w:r>
        <w:rPr>
          <w:rFonts w:ascii="IBM Plex Sans" w:eastAsia="Times New Roman" w:hAnsi="IBM Plex Sans"/>
          <w:color w:val="283030"/>
          <w:sz w:val="20"/>
          <w:szCs w:val="20"/>
        </w:rPr>
        <w:t>The following information relates to awards of restricted stock and restricted stock units that have b</w:t>
      </w:r>
      <w:r>
        <w:rPr>
          <w:rFonts w:ascii="IBM Plex Sans" w:eastAsia="Times New Roman" w:hAnsi="IBM Plex Sans"/>
          <w:color w:val="283030"/>
          <w:sz w:val="20"/>
          <w:szCs w:val="20"/>
        </w:rPr>
        <w:t>een granted to employees and non-employee directors under our L3Harris SIPs. These awards are not transferable until vested and the restrictions generally lapse upon the achievement of continued employment (or board membership) over a specified time period</w:t>
      </w:r>
      <w:r>
        <w:rPr>
          <w:rFonts w:ascii="IBM Plex Sans" w:eastAsia="Times New Roman" w:hAnsi="IBM Plex Sans"/>
          <w:color w:val="283030"/>
          <w:sz w:val="20"/>
          <w:szCs w:val="20"/>
        </w:rPr>
        <w:t>.</w:t>
      </w:r>
    </w:p>
    <w:p w:rsidR="00000000" w:rsidRDefault="00F5481A">
      <w:pPr>
        <w:ind w:firstLine="360"/>
        <w:divId w:val="1780828348"/>
        <w:rPr>
          <w:rFonts w:eastAsia="Times New Roman"/>
        </w:rPr>
      </w:pPr>
      <w:r>
        <w:rPr>
          <w:rFonts w:ascii="IBM Plex Sans" w:eastAsia="Times New Roman" w:hAnsi="IBM Plex Sans"/>
          <w:color w:val="283030"/>
          <w:sz w:val="20"/>
          <w:szCs w:val="20"/>
        </w:rPr>
        <w:t xml:space="preserve">The fair value as of the grant date of these awards was based on the closing price of our common stock on the grant date and is amortized to compensation expense over the vesting period. At December 30, 2022, there were no shares of restricted stock and </w:t>
      </w:r>
      <w:r>
        <w:rPr>
          <w:rFonts w:ascii="IBM Plex Sans" w:eastAsia="Times New Roman" w:hAnsi="IBM Plex Sans"/>
          <w:color w:val="283030"/>
          <w:sz w:val="20"/>
          <w:szCs w:val="20"/>
        </w:rPr>
        <w:t>673,495 restricted stock units outstanding which were payable in shares.</w:t>
      </w:r>
    </w:p>
    <w:p w:rsidR="00000000" w:rsidRDefault="00F5481A">
      <w:pPr>
        <w:ind w:firstLine="360"/>
        <w:jc w:val="center"/>
        <w:divId w:val="1654286768"/>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98</w:t>
      </w:r>
    </w:p>
    <w:p w:rsidR="00000000" w:rsidRDefault="00F5481A">
      <w:pPr>
        <w:rPr>
          <w:rFonts w:eastAsia="Times New Roman"/>
        </w:rPr>
      </w:pPr>
      <w:r>
        <w:rPr>
          <w:rFonts w:eastAsia="Times New Roman"/>
        </w:rPr>
        <w:pict>
          <v:rect id="_x0000_i1129" style="width:0;height:1.5pt" o:hralign="center" o:hrstd="t" o:hr="t" fillcolor="#a0a0a0" stroked="f"/>
        </w:pict>
      </w:r>
    </w:p>
    <w:p w:rsidR="00000000" w:rsidRDefault="00F5481A">
      <w:pPr>
        <w:ind w:firstLine="360"/>
        <w:divId w:val="651108071"/>
        <w:rPr>
          <w:rFonts w:eastAsia="Times New Roman"/>
        </w:rPr>
      </w:pPr>
    </w:p>
    <w:p w:rsidR="00000000" w:rsidRDefault="00F5481A">
      <w:pPr>
        <w:ind w:firstLine="360"/>
        <w:divId w:val="679506990"/>
        <w:rPr>
          <w:rFonts w:eastAsia="Times New Roman"/>
        </w:rPr>
      </w:pPr>
      <w:r>
        <w:rPr>
          <w:rFonts w:ascii="IBM Plex Sans" w:eastAsia="Times New Roman" w:hAnsi="IBM Plex Sans"/>
          <w:color w:val="283030"/>
          <w:sz w:val="20"/>
          <w:szCs w:val="20"/>
        </w:rPr>
        <w:t>A summary of the status of these awards at December 30, 2022 and changes during fiscal 2022 is as follows:</w:t>
      </w:r>
    </w:p>
    <w:tbl>
      <w:tblPr>
        <w:tblW w:w="5000" w:type="pct"/>
        <w:tblCellMar>
          <w:top w:w="15" w:type="dxa"/>
          <w:left w:w="15" w:type="dxa"/>
          <w:bottom w:w="15" w:type="dxa"/>
          <w:right w:w="15" w:type="dxa"/>
        </w:tblCellMar>
        <w:tblLook w:val="04A0" w:firstRow="1" w:lastRow="0" w:firstColumn="1" w:lastColumn="0" w:noHBand="0" w:noVBand="1"/>
      </w:tblPr>
      <w:tblGrid>
        <w:gridCol w:w="44"/>
        <w:gridCol w:w="5577"/>
        <w:gridCol w:w="36"/>
        <w:gridCol w:w="58"/>
        <w:gridCol w:w="1133"/>
        <w:gridCol w:w="36"/>
        <w:gridCol w:w="36"/>
        <w:gridCol w:w="36"/>
        <w:gridCol w:w="36"/>
        <w:gridCol w:w="132"/>
        <w:gridCol w:w="1146"/>
        <w:gridCol w:w="36"/>
      </w:tblGrid>
      <w:tr w:rsidR="00000000">
        <w:trPr>
          <w:divId w:val="926689735"/>
        </w:trPr>
        <w:tc>
          <w:tcPr>
            <w:tcW w:w="50" w:type="pct"/>
            <w:vAlign w:val="center"/>
            <w:hideMark/>
          </w:tcPr>
          <w:p w:rsidR="00000000" w:rsidRDefault="00F5481A">
            <w:pPr>
              <w:ind w:firstLine="360"/>
              <w:rPr>
                <w:rFonts w:eastAsia="Times New Roman"/>
              </w:rPr>
            </w:pPr>
          </w:p>
        </w:tc>
        <w:tc>
          <w:tcPr>
            <w:tcW w:w="337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926689735"/>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Shares or Units</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Weighted-Average</w:t>
            </w:r>
            <w:r>
              <w:rPr>
                <w:rFonts w:ascii="IBM Plex Sans" w:eastAsia="Times New Roman" w:hAnsi="IBM Plex Sans"/>
                <w:b/>
                <w:bCs/>
                <w:color w:val="283030"/>
                <w:sz w:val="16"/>
                <w:szCs w:val="16"/>
              </w:rPr>
              <w:br/>
              <w:t>Grant Price Per Share or Unit</w:t>
            </w:r>
          </w:p>
        </w:tc>
      </w:tr>
      <w:tr w:rsidR="00000000">
        <w:trPr>
          <w:divId w:val="926689735"/>
          <w:trHeight w:val="6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926689735"/>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Restricted stock and restricted stock units outstanding at December 31, 2021</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803,226 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192.33 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926689735"/>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Granted</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330,379 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225.58 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926689735"/>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Vested</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(369,368)</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198.15 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926689735"/>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Forfeited</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(90,742)</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201.41 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926689735"/>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Restricted stock and restricted stock units outstanding at December 30, 2022</w:t>
            </w:r>
          </w:p>
        </w:tc>
        <w:tc>
          <w:tcPr>
            <w:tcW w:w="0" w:type="auto"/>
            <w:gridSpan w:val="2"/>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673,495 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211.16 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bl>
    <w:p w:rsidR="00000000" w:rsidRDefault="00F5481A">
      <w:pPr>
        <w:ind w:firstLine="360"/>
        <w:divId w:val="1339885376"/>
        <w:rPr>
          <w:rFonts w:eastAsia="Times New Roman"/>
        </w:rPr>
      </w:pPr>
      <w:r>
        <w:rPr>
          <w:rFonts w:ascii="IBM Plex Sans" w:eastAsia="Times New Roman" w:hAnsi="IBM Plex Sans"/>
          <w:color w:val="283030"/>
          <w:sz w:val="20"/>
          <w:szCs w:val="20"/>
        </w:rPr>
        <w:t xml:space="preserve">As of December 30, 2022, there was $77 </w:t>
      </w:r>
      <w:r>
        <w:rPr>
          <w:rFonts w:ascii="IBM Plex Sans" w:eastAsia="Times New Roman" w:hAnsi="IBM Plex Sans"/>
          <w:color w:val="283030"/>
          <w:sz w:val="20"/>
          <w:szCs w:val="20"/>
        </w:rPr>
        <w:t>million of total unrecognized compensation expense related to these awards under our L3Harris SIPs. This expense is expected to be recognized over a weighted-average period of 2.67 years. The weighted-average grant date price per share or per unit was $225</w:t>
      </w:r>
      <w:r>
        <w:rPr>
          <w:rFonts w:ascii="IBM Plex Sans" w:eastAsia="Times New Roman" w:hAnsi="IBM Plex Sans"/>
          <w:color w:val="283030"/>
          <w:sz w:val="20"/>
          <w:szCs w:val="20"/>
        </w:rPr>
        <w:t>.58, $202.10 and $195.66 for awards granted in fiscal 2022, 2021 and 2020, respectively. The total fair value of these awards was $69 million, $19 million and $9 million for awards that vested in fiscal 2022, 2021 and 2020, respectively.</w:t>
      </w:r>
    </w:p>
    <w:p w:rsidR="00000000" w:rsidRDefault="00F5481A">
      <w:pPr>
        <w:divId w:val="889390080"/>
        <w:rPr>
          <w:rFonts w:eastAsia="Times New Roman"/>
        </w:rPr>
      </w:pPr>
      <w:r>
        <w:rPr>
          <w:rFonts w:ascii="IBM Plex Sans SemiBold" w:eastAsia="Times New Roman" w:hAnsi="IBM Plex Sans SemiBold"/>
          <w:b/>
          <w:bCs/>
          <w:color w:val="016676"/>
          <w:sz w:val="20"/>
          <w:szCs w:val="20"/>
        </w:rPr>
        <w:t xml:space="preserve">Performance Share </w:t>
      </w:r>
      <w:r>
        <w:rPr>
          <w:rFonts w:ascii="IBM Plex Sans SemiBold" w:eastAsia="Times New Roman" w:hAnsi="IBM Plex Sans SemiBold"/>
          <w:b/>
          <w:bCs/>
          <w:color w:val="016676"/>
          <w:sz w:val="20"/>
          <w:szCs w:val="20"/>
        </w:rPr>
        <w:t>Unit Awards</w:t>
      </w:r>
    </w:p>
    <w:p w:rsidR="00000000" w:rsidRDefault="00F5481A">
      <w:pPr>
        <w:ind w:firstLine="360"/>
        <w:divId w:val="202138425"/>
        <w:rPr>
          <w:rFonts w:eastAsia="Times New Roman"/>
        </w:rPr>
      </w:pPr>
      <w:r>
        <w:rPr>
          <w:rFonts w:ascii="IBM Plex Sans" w:eastAsia="Times New Roman" w:hAnsi="IBM Plex Sans"/>
          <w:color w:val="283030"/>
          <w:sz w:val="20"/>
          <w:szCs w:val="20"/>
        </w:rPr>
        <w:t>The following information relates to awards of performance share units that have been granted to employees under our L3Harris SIPs. Generally, these awards are subject to performance criteria, such as meeting predetermined operating income or e</w:t>
      </w:r>
      <w:r>
        <w:rPr>
          <w:rFonts w:ascii="IBM Plex Sans" w:eastAsia="Times New Roman" w:hAnsi="IBM Plex Sans"/>
          <w:color w:val="283030"/>
          <w:sz w:val="20"/>
          <w:szCs w:val="20"/>
        </w:rPr>
        <w:t>arnings per share, return on invested capital targets and market conditions, such as total shareholder return, for a 3-year performance period. These awards also generally vest after a 3-year performance period. The final determination of the number of sha</w:t>
      </w:r>
      <w:r>
        <w:rPr>
          <w:rFonts w:ascii="IBM Plex Sans" w:eastAsia="Times New Roman" w:hAnsi="IBM Plex Sans"/>
          <w:color w:val="283030"/>
          <w:sz w:val="20"/>
          <w:szCs w:val="20"/>
        </w:rPr>
        <w:t>res to be issued in respect of an award is made by our Board of Directors or a committee thereof.</w:t>
      </w:r>
    </w:p>
    <w:p w:rsidR="00000000" w:rsidRDefault="00F5481A">
      <w:pPr>
        <w:ind w:firstLine="360"/>
        <w:divId w:val="705789112"/>
        <w:rPr>
          <w:rFonts w:eastAsia="Times New Roman"/>
        </w:rPr>
      </w:pPr>
      <w:r>
        <w:rPr>
          <w:rFonts w:ascii="IBM Plex Sans" w:eastAsia="Times New Roman" w:hAnsi="IBM Plex Sans"/>
          <w:color w:val="283030"/>
          <w:sz w:val="20"/>
          <w:szCs w:val="20"/>
        </w:rPr>
        <w:t>The fair value as of the grant date of awards with market conditions was determined based on a multifactor Monte Carlo valuation model that simulates our stoc</w:t>
      </w:r>
      <w:r>
        <w:rPr>
          <w:rFonts w:ascii="IBM Plex Sans" w:eastAsia="Times New Roman" w:hAnsi="IBM Plex Sans"/>
          <w:color w:val="283030"/>
          <w:sz w:val="20"/>
          <w:szCs w:val="20"/>
        </w:rPr>
        <w:t>k price and TSR relative to other companies in the S&amp;P 500, less a discount to reflect the delay in payments of cash dividend-equivalents that are made only upon vesting. The fair value of these awards is amortized to compensation expense over the performa</w:t>
      </w:r>
      <w:r>
        <w:rPr>
          <w:rFonts w:ascii="IBM Plex Sans" w:eastAsia="Times New Roman" w:hAnsi="IBM Plex Sans"/>
          <w:color w:val="283030"/>
          <w:sz w:val="20"/>
          <w:szCs w:val="20"/>
        </w:rPr>
        <w:t xml:space="preserve">nce period if achievement of the performance measures is considered probable. </w:t>
      </w:r>
    </w:p>
    <w:p w:rsidR="00000000" w:rsidRDefault="00F5481A">
      <w:pPr>
        <w:ind w:firstLine="360"/>
        <w:divId w:val="1547136846"/>
        <w:rPr>
          <w:rFonts w:eastAsia="Times New Roman"/>
        </w:rPr>
      </w:pPr>
      <w:r>
        <w:rPr>
          <w:rFonts w:ascii="IBM Plex Sans" w:eastAsia="Times New Roman" w:hAnsi="IBM Plex Sans"/>
          <w:color w:val="283030"/>
          <w:sz w:val="20"/>
          <w:szCs w:val="20"/>
        </w:rPr>
        <w:t>A summary of the status of these awards at December 30, 2022 and changes during fiscal 2022 is as follows:</w:t>
      </w:r>
    </w:p>
    <w:tbl>
      <w:tblPr>
        <w:tblW w:w="5000" w:type="pct"/>
        <w:tblCellMar>
          <w:top w:w="15" w:type="dxa"/>
          <w:left w:w="15" w:type="dxa"/>
          <w:bottom w:w="15" w:type="dxa"/>
          <w:right w:w="15" w:type="dxa"/>
        </w:tblCellMar>
        <w:tblLook w:val="04A0" w:firstRow="1" w:lastRow="0" w:firstColumn="1" w:lastColumn="0" w:noHBand="0" w:noVBand="1"/>
      </w:tblPr>
      <w:tblGrid>
        <w:gridCol w:w="44"/>
        <w:gridCol w:w="5577"/>
        <w:gridCol w:w="36"/>
        <w:gridCol w:w="58"/>
        <w:gridCol w:w="1133"/>
        <w:gridCol w:w="36"/>
        <w:gridCol w:w="36"/>
        <w:gridCol w:w="36"/>
        <w:gridCol w:w="36"/>
        <w:gridCol w:w="132"/>
        <w:gridCol w:w="1146"/>
        <w:gridCol w:w="36"/>
      </w:tblGrid>
      <w:tr w:rsidR="00000000">
        <w:trPr>
          <w:divId w:val="1929844940"/>
        </w:trPr>
        <w:tc>
          <w:tcPr>
            <w:tcW w:w="50" w:type="pct"/>
            <w:vAlign w:val="center"/>
            <w:hideMark/>
          </w:tcPr>
          <w:p w:rsidR="00000000" w:rsidRDefault="00F5481A">
            <w:pPr>
              <w:ind w:firstLine="360"/>
              <w:rPr>
                <w:rFonts w:eastAsia="Times New Roman"/>
              </w:rPr>
            </w:pPr>
          </w:p>
        </w:tc>
        <w:tc>
          <w:tcPr>
            <w:tcW w:w="337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1929844940"/>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Shares or Units</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Weighted-Average</w:t>
            </w:r>
          </w:p>
          <w:p w:rsidR="00000000" w:rsidRDefault="00F5481A">
            <w:pPr>
              <w:spacing w:after="100"/>
              <w:jc w:val="center"/>
              <w:rPr>
                <w:rFonts w:eastAsia="Times New Roman"/>
              </w:rPr>
            </w:pPr>
            <w:r>
              <w:rPr>
                <w:rFonts w:ascii="IBM Plex Sans" w:eastAsia="Times New Roman" w:hAnsi="IBM Plex Sans"/>
                <w:b/>
                <w:bCs/>
                <w:color w:val="283030"/>
                <w:sz w:val="16"/>
                <w:szCs w:val="16"/>
              </w:rPr>
              <w:t>Grant Price</w:t>
            </w:r>
          </w:p>
          <w:p w:rsidR="00000000" w:rsidRDefault="00F5481A">
            <w:pPr>
              <w:spacing w:after="100"/>
              <w:jc w:val="center"/>
              <w:rPr>
                <w:rFonts w:eastAsia="Times New Roman"/>
              </w:rPr>
            </w:pPr>
            <w:r>
              <w:rPr>
                <w:rFonts w:ascii="IBM Plex Sans" w:eastAsia="Times New Roman" w:hAnsi="IBM Plex Sans"/>
                <w:b/>
                <w:bCs/>
                <w:color w:val="283030"/>
                <w:sz w:val="16"/>
                <w:szCs w:val="16"/>
              </w:rPr>
              <w:t>Per Share or Uni</w:t>
            </w:r>
            <w:r>
              <w:rPr>
                <w:rFonts w:ascii="IBM Plex Sans" w:eastAsia="Times New Roman" w:hAnsi="IBM Plex Sans"/>
                <w:b/>
                <w:bCs/>
                <w:color w:val="283030"/>
                <w:sz w:val="16"/>
                <w:szCs w:val="16"/>
              </w:rPr>
              <w:t>t</w:t>
            </w:r>
            <w:r>
              <w:rPr>
                <w:rFonts w:ascii="IBM Plex Sans" w:eastAsia="Times New Roman" w:hAnsi="IBM Plex Sans"/>
                <w:b/>
                <w:bCs/>
                <w:color w:val="283030"/>
                <w:sz w:val="10"/>
                <w:szCs w:val="10"/>
              </w:rPr>
              <w:t>(1</w:t>
            </w:r>
            <w:r>
              <w:rPr>
                <w:rFonts w:ascii="IBM Plex Sans" w:eastAsia="Times New Roman" w:hAnsi="IBM Plex Sans"/>
                <w:b/>
                <w:bCs/>
                <w:color w:val="283030"/>
                <w:sz w:val="10"/>
                <w:szCs w:val="10"/>
              </w:rPr>
              <w:t>)</w:t>
            </w:r>
          </w:p>
        </w:tc>
      </w:tr>
      <w:tr w:rsidR="00000000">
        <w:trPr>
          <w:divId w:val="1929844940"/>
          <w:trHeight w:val="6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929844940"/>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Performance share units outstanding at December 31, 2021</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458,171 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210.18 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929844940"/>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Granted</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163,660 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258.83 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929844940"/>
        </w:trPr>
        <w:tc>
          <w:tcPr>
            <w:tcW w:w="0" w:type="auto"/>
            <w:gridSpan w:val="3"/>
            <w:shd w:val="clear" w:color="auto" w:fill="D7EFF1"/>
            <w:tcMar>
              <w:top w:w="30" w:type="dxa"/>
              <w:left w:w="20" w:type="dxa"/>
              <w:bottom w:w="30" w:type="dxa"/>
              <w:right w:w="20" w:type="dxa"/>
            </w:tcMar>
            <w:hideMark/>
          </w:tcPr>
          <w:p w:rsidR="00000000" w:rsidRDefault="00F5481A">
            <w:pPr>
              <w:spacing w:after="100"/>
              <w:divId w:val="825821089"/>
              <w:rPr>
                <w:rFonts w:eastAsia="Times New Roman"/>
              </w:rPr>
            </w:pPr>
            <w:r>
              <w:rPr>
                <w:rFonts w:ascii="IBM Plex Sans" w:eastAsia="Times New Roman" w:hAnsi="IBM Plex Sans"/>
                <w:color w:val="283030"/>
                <w:sz w:val="20"/>
                <w:szCs w:val="20"/>
              </w:rPr>
              <w:t>Adjustmen</w:t>
            </w:r>
            <w:r>
              <w:rPr>
                <w:rFonts w:ascii="IBM Plex Sans" w:eastAsia="Times New Roman" w:hAnsi="IBM Plex Sans"/>
                <w:color w:val="283030"/>
                <w:sz w:val="20"/>
                <w:szCs w:val="20"/>
              </w:rPr>
              <w:t>t</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148,950 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204.85 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929844940"/>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Vested</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(198,600)</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204.85 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929844940"/>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Forfeited</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(47,838)</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212.51 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929844940"/>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Performance share units outstanding at December 30, 2022</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524,343 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224.94 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bl>
    <w:p w:rsidR="00000000" w:rsidRDefault="00F5481A">
      <w:pPr>
        <w:divId w:val="1274096427"/>
        <w:rPr>
          <w:rFonts w:eastAsia="Times New Roman"/>
        </w:rPr>
      </w:pPr>
      <w:r>
        <w:rPr>
          <w:rFonts w:ascii="IBM Plex Sans" w:eastAsia="Times New Roman" w:hAnsi="IBM Plex Sans"/>
          <w:color w:val="283030"/>
          <w:sz w:val="16"/>
          <w:szCs w:val="16"/>
        </w:rPr>
        <w:t>______________</w:t>
      </w:r>
    </w:p>
    <w:p w:rsidR="00000000" w:rsidRDefault="00F5481A">
      <w:pPr>
        <w:divId w:val="776798615"/>
        <w:rPr>
          <w:rFonts w:eastAsia="Times New Roman"/>
        </w:rPr>
      </w:pPr>
      <w:r>
        <w:rPr>
          <w:rFonts w:ascii="IBM Plex Sans" w:eastAsia="Times New Roman" w:hAnsi="IBM Plex Sans"/>
          <w:color w:val="283030"/>
          <w:sz w:val="16"/>
          <w:szCs w:val="16"/>
        </w:rPr>
        <w:t>(1) Adjustment for achievement of performance measures</w:t>
      </w:r>
    </w:p>
    <w:p w:rsidR="00000000" w:rsidRDefault="00F5481A">
      <w:pPr>
        <w:ind w:firstLine="360"/>
        <w:divId w:val="278144680"/>
        <w:rPr>
          <w:rFonts w:eastAsia="Times New Roman"/>
        </w:rPr>
      </w:pPr>
      <w:r>
        <w:rPr>
          <w:rFonts w:ascii="IBM Plex Sans" w:eastAsia="Times New Roman" w:hAnsi="IBM Plex Sans"/>
          <w:color w:val="283030"/>
          <w:sz w:val="20"/>
          <w:szCs w:val="20"/>
        </w:rPr>
        <w:t>As of December </w:t>
      </w:r>
      <w:r>
        <w:rPr>
          <w:rFonts w:ascii="IBM Plex Sans" w:eastAsia="Times New Roman" w:hAnsi="IBM Plex Sans"/>
          <w:color w:val="283030"/>
          <w:sz w:val="20"/>
          <w:szCs w:val="20"/>
        </w:rPr>
        <w:t>30, 2022, there was $38 million of total unrecognized compensation expense related to these awards under our L3Harris SIPs. This expense is expected to be recognized over a weighted-average period of 2.48 years. The weighted-average grant date price per un</w:t>
      </w:r>
      <w:r>
        <w:rPr>
          <w:rFonts w:ascii="IBM Plex Sans" w:eastAsia="Times New Roman" w:hAnsi="IBM Plex Sans"/>
          <w:color w:val="283030"/>
          <w:sz w:val="20"/>
          <w:szCs w:val="20"/>
        </w:rPr>
        <w:t xml:space="preserve">it was $258.83, $201.32 and $228.29 for awards granted in fiscal 2022, 2021 and 2020, respectively. The total fair value of the awards that vested in fiscal 2022 was $41 million. There were no awards that vested in fiscal 2021 or fiscal 2020. </w:t>
      </w:r>
    </w:p>
    <w:p w:rsidR="00000000" w:rsidRDefault="00F5481A">
      <w:pPr>
        <w:ind w:firstLine="360"/>
        <w:jc w:val="center"/>
        <w:divId w:val="410539837"/>
        <w:rPr>
          <w:rFonts w:eastAsia="Times New Roman"/>
        </w:rPr>
      </w:pPr>
      <w:r>
        <w:rPr>
          <w:rFonts w:ascii="Arial" w:eastAsia="Times New Roman" w:hAnsi="Arial" w:cs="Arial"/>
          <w:b/>
          <w:bCs/>
          <w:color w:val="016676"/>
        </w:rPr>
        <w:t>____________</w:t>
      </w:r>
      <w:r>
        <w:rPr>
          <w:rFonts w:ascii="Arial" w:eastAsia="Times New Roman" w:hAnsi="Arial" w:cs="Arial"/>
          <w:b/>
          <w:bCs/>
          <w:color w:val="016676"/>
        </w:rPr>
        <w:t>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99</w:t>
      </w:r>
    </w:p>
    <w:p w:rsidR="00000000" w:rsidRDefault="00F5481A">
      <w:pPr>
        <w:rPr>
          <w:rFonts w:eastAsia="Times New Roman"/>
        </w:rPr>
      </w:pPr>
      <w:r>
        <w:rPr>
          <w:rFonts w:eastAsia="Times New Roman"/>
        </w:rPr>
        <w:pict>
          <v:rect id="_x0000_i1130" style="width:0;height:1.5pt" o:hralign="center" o:hrstd="t" o:hr="t" fillcolor="#a0a0a0" stroked="f"/>
        </w:pict>
      </w:r>
    </w:p>
    <w:p w:rsidR="00000000" w:rsidRDefault="00F5481A">
      <w:pPr>
        <w:ind w:firstLine="360"/>
        <w:divId w:val="1897010793"/>
        <w:rPr>
          <w:rFonts w:eastAsia="Times New Roman"/>
        </w:rPr>
      </w:pPr>
    </w:p>
    <w:p w:rsidR="00000000" w:rsidRDefault="00F5481A">
      <w:pPr>
        <w:divId w:val="1894922949"/>
        <w:rPr>
          <w:rFonts w:eastAsia="Times New Roman"/>
        </w:rPr>
      </w:pPr>
      <w:r>
        <w:rPr>
          <w:rFonts w:ascii="IBM Plex Sans SemiBold" w:eastAsia="Times New Roman" w:hAnsi="IBM Plex Sans SemiBold"/>
          <w:b/>
          <w:bCs/>
          <w:color w:val="016676"/>
          <w:sz w:val="20"/>
          <w:szCs w:val="20"/>
        </w:rPr>
        <w:t>NOTE 16: EARNINGS PER SHARE</w:t>
      </w:r>
      <w:r>
        <w:rPr>
          <w:rFonts w:ascii="IBM Plex Sans" w:eastAsia="Times New Roman" w:hAnsi="IBM Plex Sans"/>
          <w:b/>
          <w:bCs/>
          <w:i/>
          <w:iCs/>
          <w:color w:val="283030"/>
          <w:sz w:val="20"/>
          <w:szCs w:val="20"/>
        </w:rPr>
        <w:t xml:space="preserve"> </w:t>
      </w:r>
    </w:p>
    <w:p w:rsidR="00000000" w:rsidRDefault="00F5481A">
      <w:pPr>
        <w:ind w:firstLine="360"/>
        <w:divId w:val="815881240"/>
        <w:rPr>
          <w:rFonts w:eastAsia="Times New Roman"/>
        </w:rPr>
      </w:pPr>
      <w:r>
        <w:rPr>
          <w:rFonts w:ascii="IBM Plex Sans" w:eastAsia="Times New Roman" w:hAnsi="IBM Plex Sans"/>
          <w:color w:val="283030"/>
          <w:sz w:val="20"/>
          <w:szCs w:val="20"/>
        </w:rPr>
        <w:t>We define EPS as income from continuing operations per common share attributable to L3Harris common shareholders divided by either our weighted average number of basic or diluted shares out</w:t>
      </w:r>
      <w:r>
        <w:rPr>
          <w:rFonts w:ascii="IBM Plex Sans" w:eastAsia="Times New Roman" w:hAnsi="IBM Plex Sans"/>
          <w:color w:val="283030"/>
          <w:sz w:val="20"/>
          <w:szCs w:val="20"/>
        </w:rPr>
        <w:t>standing. The weighted average number of shares outstanding used to compute basic and diluted EPS are as follows:</w:t>
      </w:r>
    </w:p>
    <w:tbl>
      <w:tblPr>
        <w:tblW w:w="5000" w:type="pct"/>
        <w:tblCellMar>
          <w:top w:w="15" w:type="dxa"/>
          <w:left w:w="15" w:type="dxa"/>
          <w:bottom w:w="15" w:type="dxa"/>
          <w:right w:w="15" w:type="dxa"/>
        </w:tblCellMar>
        <w:tblLook w:val="04A0" w:firstRow="1" w:lastRow="0" w:firstColumn="1" w:lastColumn="0" w:noHBand="0" w:noVBand="1"/>
      </w:tblPr>
      <w:tblGrid>
        <w:gridCol w:w="53"/>
        <w:gridCol w:w="4261"/>
        <w:gridCol w:w="37"/>
        <w:gridCol w:w="53"/>
        <w:gridCol w:w="1156"/>
        <w:gridCol w:w="36"/>
        <w:gridCol w:w="36"/>
        <w:gridCol w:w="36"/>
        <w:gridCol w:w="36"/>
        <w:gridCol w:w="54"/>
        <w:gridCol w:w="1157"/>
        <w:gridCol w:w="36"/>
        <w:gridCol w:w="36"/>
        <w:gridCol w:w="36"/>
        <w:gridCol w:w="36"/>
        <w:gridCol w:w="54"/>
        <w:gridCol w:w="1157"/>
        <w:gridCol w:w="36"/>
      </w:tblGrid>
      <w:tr w:rsidR="00000000">
        <w:trPr>
          <w:divId w:val="120848759"/>
        </w:trPr>
        <w:tc>
          <w:tcPr>
            <w:tcW w:w="50" w:type="pct"/>
            <w:vAlign w:val="center"/>
            <w:hideMark/>
          </w:tcPr>
          <w:p w:rsidR="00000000" w:rsidRDefault="00F5481A">
            <w:pPr>
              <w:ind w:firstLine="360"/>
              <w:rPr>
                <w:rFonts w:eastAsia="Times New Roman"/>
              </w:rPr>
            </w:pPr>
          </w:p>
        </w:tc>
        <w:tc>
          <w:tcPr>
            <w:tcW w:w="2581"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120848759"/>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Fiscal Year Ended</w:t>
            </w:r>
          </w:p>
        </w:tc>
      </w:tr>
      <w:tr w:rsidR="00000000">
        <w:trPr>
          <w:divId w:val="120848759"/>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January 1, 2021</w:t>
            </w:r>
          </w:p>
        </w:tc>
      </w:tr>
      <w:tr w:rsidR="00000000">
        <w:trPr>
          <w:divId w:val="120848759"/>
          <w:trHeight w:val="6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20848759"/>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20848759"/>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20848759"/>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20848759"/>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Basic weighted average common shares outstanding</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191.8 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201.3 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214.0 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20848759"/>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Impact of dilutive share-based awards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1.9 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1.9 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20848759"/>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Diluted weighted average common shares outstanding</w:t>
            </w:r>
          </w:p>
        </w:tc>
        <w:tc>
          <w:tcPr>
            <w:tcW w:w="0" w:type="auto"/>
            <w:gridSpan w:val="2"/>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193.5 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203.2 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215.9 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20848759"/>
        </w:trPr>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20848759"/>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bl>
    <w:p w:rsidR="00000000" w:rsidRDefault="00F5481A">
      <w:pPr>
        <w:ind w:firstLine="360"/>
        <w:divId w:val="1153915963"/>
        <w:rPr>
          <w:rFonts w:eastAsia="Times New Roman"/>
        </w:rPr>
      </w:pPr>
      <w:r>
        <w:rPr>
          <w:rFonts w:ascii="IBM Plex Sans" w:eastAsia="Times New Roman" w:hAnsi="IBM Plex Sans"/>
          <w:color w:val="283030"/>
          <w:sz w:val="20"/>
          <w:szCs w:val="20"/>
        </w:rPr>
        <w:t>Potential dilutive common shares primarily consist of employee stock options and restricted and performance unit awards. Income from continuing operations per diluted common share excludes the antidilutive impact of 0.3 million, 0.8 million and 1.3 million</w:t>
      </w:r>
      <w:r>
        <w:rPr>
          <w:rFonts w:ascii="IBM Plex Sans" w:eastAsia="Times New Roman" w:hAnsi="IBM Plex Sans"/>
          <w:color w:val="283030"/>
          <w:sz w:val="20"/>
          <w:szCs w:val="20"/>
        </w:rPr>
        <w:t xml:space="preserve"> weighted average share-based awards outstanding in fiscal 2022, 2021 and 2020, respectively.</w:t>
      </w:r>
    </w:p>
    <w:p w:rsidR="00000000" w:rsidRDefault="00F5481A">
      <w:pPr>
        <w:divId w:val="1958562889"/>
        <w:rPr>
          <w:rFonts w:eastAsia="Times New Roman"/>
        </w:rPr>
      </w:pPr>
      <w:r>
        <w:rPr>
          <w:rFonts w:ascii="IBM Plex Sans SemiBold" w:eastAsia="Times New Roman" w:hAnsi="IBM Plex Sans SemiBold"/>
          <w:b/>
          <w:bCs/>
          <w:color w:val="016676"/>
          <w:sz w:val="20"/>
          <w:szCs w:val="20"/>
        </w:rPr>
        <w:t xml:space="preserve">NOTE 17: RESEARCH AND DEVELOPMENT </w:t>
      </w:r>
    </w:p>
    <w:p w:rsidR="00000000" w:rsidRDefault="00F5481A">
      <w:pPr>
        <w:ind w:firstLine="360"/>
        <w:divId w:val="491533257"/>
        <w:rPr>
          <w:rFonts w:eastAsia="Times New Roman"/>
        </w:rPr>
      </w:pPr>
      <w:r>
        <w:rPr>
          <w:rFonts w:ascii="IBM Plex Sans" w:eastAsia="Times New Roman" w:hAnsi="IBM Plex Sans"/>
          <w:color w:val="283030"/>
          <w:sz w:val="20"/>
          <w:szCs w:val="20"/>
        </w:rPr>
        <w:t>Company-sponsored R&amp;D costs are expensed as incurred and are included in the “Engineering, selling and administrative expenses”</w:t>
      </w:r>
      <w:r>
        <w:rPr>
          <w:rFonts w:ascii="IBM Plex Sans" w:eastAsia="Times New Roman" w:hAnsi="IBM Plex Sans"/>
          <w:color w:val="283030"/>
          <w:sz w:val="20"/>
          <w:szCs w:val="20"/>
        </w:rPr>
        <w:t xml:space="preserve"> line item in our Consolidated Statement of Operations. These costs were $603 million, $692 million and $684 million in fiscal 2022, 2021, and 2020, respectively. Customer-sponsored R&amp;D costs are incurred pursuant to contractual arrangements, principally U</w:t>
      </w:r>
      <w:r>
        <w:rPr>
          <w:rFonts w:ascii="IBM Plex Sans" w:eastAsia="Times New Roman" w:hAnsi="IBM Plex Sans"/>
          <w:color w:val="283030"/>
          <w:sz w:val="20"/>
          <w:szCs w:val="20"/>
        </w:rPr>
        <w:t>.S. Government-sponsored contracts requiring us to provide a product or service meeting certain defined performance or other specifications (such as designs), and such contractual arrangements are accounted for principally by the POC cost-to-cost revenue r</w:t>
      </w:r>
      <w:r>
        <w:rPr>
          <w:rFonts w:ascii="IBM Plex Sans" w:eastAsia="Times New Roman" w:hAnsi="IBM Plex Sans"/>
          <w:color w:val="283030"/>
          <w:sz w:val="20"/>
          <w:szCs w:val="20"/>
        </w:rPr>
        <w:t>ecognition method. Customer-sponsored R&amp;D is included in the “cost of product sales and services” line item in our Consolidated Statement of Operations.</w:t>
      </w:r>
    </w:p>
    <w:p w:rsidR="00000000" w:rsidRDefault="00F5481A">
      <w:pPr>
        <w:divId w:val="766924682"/>
        <w:rPr>
          <w:rFonts w:eastAsia="Times New Roman"/>
        </w:rPr>
      </w:pPr>
      <w:r>
        <w:rPr>
          <w:rFonts w:ascii="IBM Plex Sans SemiBold" w:eastAsia="Times New Roman" w:hAnsi="IBM Plex Sans SemiBold"/>
          <w:b/>
          <w:bCs/>
          <w:color w:val="016676"/>
          <w:sz w:val="20"/>
          <w:szCs w:val="20"/>
        </w:rPr>
        <w:t>NOTE 18: LEASE COMMITMENTS</w:t>
      </w:r>
      <w:r>
        <w:rPr>
          <w:rFonts w:ascii="IBM Plex Sans" w:eastAsia="Times New Roman" w:hAnsi="IBM Plex Sans"/>
          <w:b/>
          <w:bCs/>
          <w:i/>
          <w:iCs/>
          <w:color w:val="283030"/>
          <w:sz w:val="20"/>
          <w:szCs w:val="20"/>
        </w:rPr>
        <w:t xml:space="preserve"> </w:t>
      </w:r>
    </w:p>
    <w:p w:rsidR="00000000" w:rsidRDefault="00F5481A">
      <w:pPr>
        <w:ind w:firstLine="360"/>
        <w:divId w:val="2050259615"/>
        <w:rPr>
          <w:rFonts w:eastAsia="Times New Roman"/>
        </w:rPr>
      </w:pPr>
      <w:r>
        <w:rPr>
          <w:rFonts w:ascii="IBM Plex Sans" w:eastAsia="Times New Roman" w:hAnsi="IBM Plex Sans"/>
          <w:color w:val="283030"/>
          <w:sz w:val="20"/>
          <w:szCs w:val="20"/>
        </w:rPr>
        <w:t>Our operating and finance leases at December 30, 2022 and December 31, 2021</w:t>
      </w:r>
      <w:r>
        <w:rPr>
          <w:rFonts w:ascii="IBM Plex Sans" w:eastAsia="Times New Roman" w:hAnsi="IBM Plex Sans"/>
          <w:color w:val="283030"/>
          <w:sz w:val="20"/>
          <w:szCs w:val="20"/>
        </w:rPr>
        <w:t xml:space="preserve"> primarily consisted of real estate leases for office space, warehouses, manufacturing, research and development facilities, tower space and land and equipment leases.</w:t>
      </w:r>
    </w:p>
    <w:p w:rsidR="00000000" w:rsidRDefault="00F5481A">
      <w:pPr>
        <w:ind w:firstLine="360"/>
        <w:divId w:val="1201435767"/>
        <w:rPr>
          <w:rFonts w:eastAsia="Times New Roman"/>
        </w:rPr>
      </w:pPr>
      <w:r>
        <w:rPr>
          <w:rFonts w:ascii="IBM Plex Sans" w:eastAsia="Times New Roman" w:hAnsi="IBM Plex Sans"/>
          <w:color w:val="283030"/>
          <w:sz w:val="20"/>
          <w:szCs w:val="20"/>
        </w:rPr>
        <w:t>The components of lease costs are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4180"/>
        <w:gridCol w:w="37"/>
        <w:gridCol w:w="133"/>
        <w:gridCol w:w="1109"/>
        <w:gridCol w:w="36"/>
        <w:gridCol w:w="36"/>
        <w:gridCol w:w="36"/>
        <w:gridCol w:w="36"/>
        <w:gridCol w:w="133"/>
        <w:gridCol w:w="1109"/>
        <w:gridCol w:w="36"/>
        <w:gridCol w:w="36"/>
        <w:gridCol w:w="36"/>
        <w:gridCol w:w="36"/>
        <w:gridCol w:w="133"/>
        <w:gridCol w:w="1109"/>
        <w:gridCol w:w="36"/>
      </w:tblGrid>
      <w:tr w:rsidR="00000000">
        <w:trPr>
          <w:divId w:val="996541681"/>
        </w:trPr>
        <w:tc>
          <w:tcPr>
            <w:tcW w:w="50" w:type="pct"/>
            <w:vAlign w:val="center"/>
            <w:hideMark/>
          </w:tcPr>
          <w:p w:rsidR="00000000" w:rsidRDefault="00F5481A">
            <w:pPr>
              <w:ind w:firstLine="360"/>
              <w:rPr>
                <w:rFonts w:eastAsia="Times New Roman"/>
              </w:rPr>
            </w:pPr>
          </w:p>
        </w:tc>
        <w:tc>
          <w:tcPr>
            <w:tcW w:w="2581"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996541681"/>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Fiscal Year Ended</w:t>
            </w:r>
          </w:p>
        </w:tc>
      </w:tr>
      <w:tr w:rsidR="00000000">
        <w:trPr>
          <w:divId w:val="996541681"/>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000000"/>
                <w:sz w:val="16"/>
                <w:szCs w:val="16"/>
              </w:rPr>
              <w:t>December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00000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000000"/>
                <w:sz w:val="16"/>
                <w:szCs w:val="16"/>
              </w:rPr>
              <w:t>January 1, 2021</w:t>
            </w:r>
          </w:p>
        </w:tc>
      </w:tr>
      <w:tr w:rsidR="00000000">
        <w:trPr>
          <w:divId w:val="996541681"/>
          <w:trHeight w:val="6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996541681"/>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Operating lease cost</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151 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172 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176 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996541681"/>
        </w:trPr>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996541681"/>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996541681"/>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996541681"/>
        </w:trPr>
        <w:tc>
          <w:tcPr>
            <w:tcW w:w="0" w:type="auto"/>
            <w:gridSpan w:val="3"/>
            <w:shd w:val="clear" w:color="auto" w:fill="FFFFFF"/>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Short-term and equipment lease cost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996541681"/>
        </w:trPr>
        <w:tc>
          <w:tcPr>
            <w:tcW w:w="0" w:type="auto"/>
            <w:gridSpan w:val="3"/>
            <w:shd w:val="clear" w:color="auto" w:fill="D7EFF1"/>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Variable lease cost</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25 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25 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996541681"/>
        </w:trPr>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996541681"/>
        </w:trPr>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divId w:val="870070313"/>
              <w:rPr>
                <w:rFonts w:eastAsia="Times New Roman"/>
              </w:rPr>
            </w:pPr>
            <w:r>
              <w:rPr>
                <w:rFonts w:ascii="IBM Plex Sans" w:eastAsia="Times New Roman" w:hAnsi="IBM Plex Sans"/>
                <w:color w:val="283030"/>
                <w:sz w:val="20"/>
                <w:szCs w:val="20"/>
              </w:rPr>
              <w:t>Other, ne</w:t>
            </w:r>
            <w:r>
              <w:rPr>
                <w:rFonts w:ascii="IBM Plex Sans" w:eastAsia="Times New Roman" w:hAnsi="IBM Plex Sans"/>
                <w:color w:val="283030"/>
                <w:sz w:val="20"/>
                <w:szCs w:val="20"/>
              </w:rPr>
              <w:t>t</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996541681"/>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Total lease cost</w:t>
            </w: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203 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215 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209 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996541681"/>
        </w:trPr>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bl>
    <w:p w:rsidR="00000000" w:rsidRDefault="00F5481A">
      <w:pPr>
        <w:divId w:val="205800036"/>
        <w:rPr>
          <w:rFonts w:eastAsia="Times New Roman"/>
        </w:rPr>
      </w:pPr>
      <w:r>
        <w:rPr>
          <w:rFonts w:ascii="IBM Plex Sans" w:eastAsia="Times New Roman" w:hAnsi="IBM Plex Sans"/>
          <w:color w:val="283030"/>
          <w:sz w:val="16"/>
          <w:szCs w:val="16"/>
        </w:rPr>
        <w:t>______________</w:t>
      </w:r>
    </w:p>
    <w:p w:rsidR="00000000" w:rsidRDefault="00F5481A">
      <w:pPr>
        <w:divId w:val="422646859"/>
        <w:rPr>
          <w:rFonts w:eastAsia="Times New Roman"/>
        </w:rPr>
      </w:pPr>
      <w:r>
        <w:rPr>
          <w:rFonts w:ascii="IBM Plex Sans" w:eastAsia="Times New Roman" w:hAnsi="IBM Plex Sans"/>
          <w:color w:val="283030"/>
          <w:sz w:val="16"/>
          <w:szCs w:val="16"/>
        </w:rPr>
        <w:t>(1) Consists of finance amortization and interest costs as well as sublease income.</w:t>
      </w:r>
    </w:p>
    <w:p w:rsidR="00000000" w:rsidRDefault="00F5481A">
      <w:pPr>
        <w:divId w:val="354044029"/>
        <w:rPr>
          <w:rFonts w:eastAsia="Times New Roman"/>
        </w:rPr>
      </w:pPr>
      <w:r>
        <w:rPr>
          <w:rFonts w:ascii="IBM Plex Sans SemiBold" w:eastAsia="Times New Roman" w:hAnsi="IBM Plex Sans SemiBold"/>
          <w:b/>
          <w:bCs/>
          <w:color w:val="016676"/>
          <w:sz w:val="20"/>
          <w:szCs w:val="20"/>
        </w:rPr>
        <w:t>Lease Impairment — Fiscal 2021</w:t>
      </w:r>
    </w:p>
    <w:p w:rsidR="00000000" w:rsidRDefault="00F5481A">
      <w:pPr>
        <w:ind w:firstLine="360"/>
        <w:divId w:val="1891187884"/>
        <w:rPr>
          <w:rFonts w:eastAsia="Times New Roman"/>
        </w:rPr>
      </w:pPr>
      <w:r>
        <w:rPr>
          <w:rFonts w:ascii="IBM Plex Sans" w:eastAsia="Times New Roman" w:hAnsi="IBM Plex Sans"/>
          <w:color w:val="283030"/>
          <w:sz w:val="20"/>
          <w:szCs w:val="20"/>
        </w:rPr>
        <w:t xml:space="preserve">As discussed in more detail in </w:t>
      </w:r>
      <w:r>
        <w:rPr>
          <w:rFonts w:ascii="IBM Plex Sans" w:eastAsia="Times New Roman" w:hAnsi="IBM Plex Sans"/>
          <w:i/>
          <w:iCs/>
          <w:color w:val="283030"/>
          <w:sz w:val="20"/>
          <w:szCs w:val="20"/>
        </w:rPr>
        <w:t>Note 10: Intangible Assets</w:t>
      </w:r>
      <w:r>
        <w:rPr>
          <w:rFonts w:ascii="IBM Plex Sans" w:eastAsia="Times New Roman" w:hAnsi="IBM Plex Sans"/>
          <w:color w:val="283030"/>
          <w:sz w:val="20"/>
          <w:szCs w:val="20"/>
        </w:rPr>
        <w:t xml:space="preserve"> in these Notes, during the quarter ended July 2, 2021, we tested the CTS reporting unit for potential impairment of the long-lived assets, including identifiable assets and property, plant and equip</w:t>
      </w:r>
      <w:r>
        <w:rPr>
          <w:rFonts w:ascii="IBM Plex Sans" w:eastAsia="Times New Roman" w:hAnsi="IBM Plex Sans"/>
          <w:color w:val="283030"/>
          <w:sz w:val="20"/>
          <w:szCs w:val="20"/>
        </w:rPr>
        <w:t>ment, and recorded a $145 million non-cash charge for the impairment of CTS long-lived assets, including $19 million for impairment of ROU assets, which is included in the “Impairment of goodwill and other assets” line item in our Consolidated Statement of</w:t>
      </w:r>
      <w:r>
        <w:rPr>
          <w:rFonts w:ascii="IBM Plex Sans" w:eastAsia="Times New Roman" w:hAnsi="IBM Plex Sans"/>
          <w:color w:val="283030"/>
          <w:sz w:val="20"/>
          <w:szCs w:val="20"/>
        </w:rPr>
        <w:t xml:space="preserve"> Operations for fiscal 2021.</w:t>
      </w:r>
    </w:p>
    <w:p w:rsidR="00000000" w:rsidRDefault="00F5481A">
      <w:pPr>
        <w:divId w:val="538929806"/>
        <w:rPr>
          <w:rFonts w:eastAsia="Times New Roman"/>
        </w:rPr>
      </w:pPr>
      <w:r>
        <w:rPr>
          <w:rFonts w:ascii="IBM Plex Sans SemiBold" w:eastAsia="Times New Roman" w:hAnsi="IBM Plex Sans SemiBold"/>
          <w:b/>
          <w:bCs/>
          <w:color w:val="016676"/>
          <w:sz w:val="20"/>
          <w:szCs w:val="20"/>
        </w:rPr>
        <w:t>Lease Impairment — Fiscal 2020</w:t>
      </w:r>
    </w:p>
    <w:p w:rsidR="00000000" w:rsidRDefault="00F5481A">
      <w:pPr>
        <w:ind w:firstLine="360"/>
        <w:divId w:val="1829902440"/>
        <w:rPr>
          <w:rFonts w:eastAsia="Times New Roman"/>
        </w:rPr>
      </w:pPr>
      <w:r>
        <w:rPr>
          <w:rFonts w:ascii="IBM Plex Sans" w:eastAsia="Times New Roman" w:hAnsi="IBM Plex Sans"/>
          <w:color w:val="283030"/>
          <w:sz w:val="20"/>
          <w:szCs w:val="20"/>
        </w:rPr>
        <w:t xml:space="preserve">During fiscal 2020, as discussed in more detail in </w:t>
      </w:r>
      <w:r>
        <w:rPr>
          <w:rFonts w:ascii="IBM Plex Sans" w:eastAsia="Times New Roman" w:hAnsi="IBM Plex Sans"/>
          <w:i/>
          <w:iCs/>
          <w:color w:val="283030"/>
          <w:sz w:val="20"/>
          <w:szCs w:val="20"/>
        </w:rPr>
        <w:t xml:space="preserve">Note 9: Goodwill </w:t>
      </w:r>
      <w:r>
        <w:rPr>
          <w:rFonts w:ascii="IBM Plex Sans" w:eastAsia="Times New Roman" w:hAnsi="IBM Plex Sans"/>
          <w:color w:val="283030"/>
          <w:sz w:val="20"/>
          <w:szCs w:val="20"/>
        </w:rPr>
        <w:t>in these Notes, in conjunction with, and in advance of, the tests of goodwill related to our Commercial Aviation Solutions repor</w:t>
      </w:r>
      <w:r>
        <w:rPr>
          <w:rFonts w:ascii="IBM Plex Sans" w:eastAsia="Times New Roman" w:hAnsi="IBM Plex Sans"/>
          <w:color w:val="283030"/>
          <w:sz w:val="20"/>
          <w:szCs w:val="20"/>
        </w:rPr>
        <w:t xml:space="preserve">ting unit, we recorded a $257 million non-cash impairment charge for long lived assets, including $31 million for impairment of ROU assets. Additionally, in connection with COVID restructuring actions, we recognized $5 million of non-cash impairment </w:t>
      </w:r>
    </w:p>
    <w:p w:rsidR="00000000" w:rsidRDefault="00F5481A">
      <w:pPr>
        <w:ind w:firstLine="360"/>
        <w:jc w:val="center"/>
        <w:divId w:val="1564214283"/>
        <w:rPr>
          <w:rFonts w:eastAsia="Times New Roman"/>
        </w:rPr>
      </w:pPr>
      <w:r>
        <w:rPr>
          <w:rFonts w:ascii="Arial" w:eastAsia="Times New Roman" w:hAnsi="Arial" w:cs="Arial"/>
          <w:b/>
          <w:bCs/>
          <w:color w:val="016676"/>
        </w:rPr>
        <w:t>_____</w:t>
      </w:r>
      <w:r>
        <w:rPr>
          <w:rFonts w:ascii="Arial" w:eastAsia="Times New Roman" w:hAnsi="Arial" w:cs="Arial"/>
          <w:b/>
          <w:bCs/>
          <w:color w:val="016676"/>
        </w:rPr>
        <w:t>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100</w:t>
      </w:r>
    </w:p>
    <w:p w:rsidR="00000000" w:rsidRDefault="00F5481A">
      <w:pPr>
        <w:rPr>
          <w:rFonts w:eastAsia="Times New Roman"/>
        </w:rPr>
      </w:pPr>
      <w:r>
        <w:rPr>
          <w:rFonts w:eastAsia="Times New Roman"/>
        </w:rPr>
        <w:pict>
          <v:rect id="_x0000_i1131" style="width:0;height:1.5pt" o:hralign="center" o:hrstd="t" o:hr="t" fillcolor="#a0a0a0" stroked="f"/>
        </w:pict>
      </w:r>
    </w:p>
    <w:p w:rsidR="00000000" w:rsidRDefault="00F5481A">
      <w:pPr>
        <w:ind w:firstLine="360"/>
        <w:divId w:val="2096440523"/>
        <w:rPr>
          <w:rFonts w:eastAsia="Times New Roman"/>
        </w:rPr>
      </w:pPr>
    </w:p>
    <w:p w:rsidR="00000000" w:rsidRDefault="00F5481A">
      <w:pPr>
        <w:divId w:val="1061321467"/>
        <w:rPr>
          <w:rFonts w:eastAsia="Times New Roman"/>
        </w:rPr>
      </w:pPr>
      <w:r>
        <w:rPr>
          <w:rFonts w:ascii="IBM Plex Sans" w:eastAsia="Times New Roman" w:hAnsi="IBM Plex Sans"/>
          <w:color w:val="283030"/>
          <w:sz w:val="20"/>
          <w:szCs w:val="20"/>
        </w:rPr>
        <w:t>charges for ROU assets associated with consolidated facilities. These impairments are included in the “Impairment of goodwill and other assets” line</w:t>
      </w:r>
      <w:r>
        <w:rPr>
          <w:rFonts w:ascii="IBM Plex Sans" w:eastAsia="Times New Roman" w:hAnsi="IBM Plex Sans"/>
          <w:color w:val="283030"/>
          <w:sz w:val="20"/>
          <w:szCs w:val="20"/>
        </w:rPr>
        <w:t xml:space="preserve"> item in our Consolidated Statement of Operations for fiscal 2020.</w:t>
      </w:r>
    </w:p>
    <w:p w:rsidR="00000000" w:rsidRDefault="00F5481A">
      <w:pPr>
        <w:divId w:val="296880044"/>
        <w:rPr>
          <w:rFonts w:eastAsia="Times New Roman"/>
        </w:rPr>
      </w:pPr>
      <w:r>
        <w:rPr>
          <w:rFonts w:ascii="IBM Plex Sans SemiBold" w:eastAsia="Times New Roman" w:hAnsi="IBM Plex Sans SemiBold"/>
          <w:b/>
          <w:bCs/>
          <w:color w:val="016676"/>
          <w:sz w:val="20"/>
          <w:szCs w:val="20"/>
        </w:rPr>
        <w:t>Sale and Leaseback Transaction — Fiscal 2020</w:t>
      </w:r>
    </w:p>
    <w:p w:rsidR="00000000" w:rsidRDefault="00F5481A">
      <w:pPr>
        <w:ind w:firstLine="360"/>
        <w:divId w:val="1247617625"/>
        <w:rPr>
          <w:rFonts w:eastAsia="Times New Roman"/>
        </w:rPr>
      </w:pPr>
      <w:r>
        <w:rPr>
          <w:rFonts w:ascii="IBM Plex Sans" w:eastAsia="Times New Roman" w:hAnsi="IBM Plex Sans"/>
          <w:color w:val="283030"/>
          <w:sz w:val="20"/>
          <w:szCs w:val="20"/>
        </w:rPr>
        <w:t>On November 24, 2020, we completed a sale and leaseback transaction of a parcel of land and manufacturing facility located in Los Angeles, Calif</w:t>
      </w:r>
      <w:r>
        <w:rPr>
          <w:rFonts w:ascii="IBM Plex Sans" w:eastAsia="Times New Roman" w:hAnsi="IBM Plex Sans"/>
          <w:color w:val="283030"/>
          <w:sz w:val="20"/>
          <w:szCs w:val="20"/>
        </w:rPr>
        <w:t xml:space="preserve">ornia for $92 million (net cash proceeds of $66 million after $2 million of closing costs and $24 million for a residual value guarantee payment). The lease had a maximum term of sixteen months (including two options to extend the lease by one month). Due </w:t>
      </w:r>
      <w:r>
        <w:rPr>
          <w:rFonts w:ascii="IBM Plex Sans" w:eastAsia="Times New Roman" w:hAnsi="IBM Plex Sans"/>
          <w:color w:val="283030"/>
          <w:sz w:val="20"/>
          <w:szCs w:val="20"/>
        </w:rPr>
        <w:t>to its short term nature relative to the property’s remaining economic life, the lease is accounted for as an operating lease. We recognized a pre-tax gain on this sale and leaseback transaction of $22 million, which is included in the “Engineering, sellin</w:t>
      </w:r>
      <w:r>
        <w:rPr>
          <w:rFonts w:ascii="IBM Plex Sans" w:eastAsia="Times New Roman" w:hAnsi="IBM Plex Sans"/>
          <w:color w:val="283030"/>
          <w:sz w:val="20"/>
          <w:szCs w:val="20"/>
        </w:rPr>
        <w:t>g and administrative expenses” line item in our Consolidated Statement of Operations for fiscal 2020.</w:t>
      </w:r>
    </w:p>
    <w:p w:rsidR="00000000" w:rsidRDefault="00F5481A">
      <w:pPr>
        <w:ind w:firstLine="360"/>
        <w:divId w:val="838271659"/>
        <w:rPr>
          <w:rFonts w:eastAsia="Times New Roman"/>
        </w:rPr>
      </w:pPr>
      <w:r>
        <w:rPr>
          <w:rFonts w:ascii="IBM Plex Sans" w:eastAsia="Times New Roman" w:hAnsi="IBM Plex Sans"/>
          <w:color w:val="283030"/>
          <w:sz w:val="20"/>
          <w:szCs w:val="20"/>
        </w:rPr>
        <w:t>Supplemental operating and finance lease balance sheet information at December 30, 2022 and December 31, 2021 is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536"/>
        <w:gridCol w:w="38"/>
        <w:gridCol w:w="133"/>
        <w:gridCol w:w="1123"/>
        <w:gridCol w:w="36"/>
        <w:gridCol w:w="36"/>
        <w:gridCol w:w="36"/>
        <w:gridCol w:w="36"/>
        <w:gridCol w:w="133"/>
        <w:gridCol w:w="1123"/>
        <w:gridCol w:w="36"/>
      </w:tblGrid>
      <w:tr w:rsidR="00000000">
        <w:trPr>
          <w:divId w:val="313530547"/>
        </w:trPr>
        <w:tc>
          <w:tcPr>
            <w:tcW w:w="50" w:type="pct"/>
            <w:vAlign w:val="center"/>
            <w:hideMark/>
          </w:tcPr>
          <w:p w:rsidR="00000000" w:rsidRDefault="00F5481A">
            <w:pPr>
              <w:ind w:firstLine="360"/>
              <w:rPr>
                <w:rFonts w:eastAsia="Times New Roman"/>
              </w:rPr>
            </w:pPr>
          </w:p>
        </w:tc>
        <w:tc>
          <w:tcPr>
            <w:tcW w:w="337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313530547"/>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r>
      <w:tr w:rsidR="00000000">
        <w:trPr>
          <w:divId w:val="313530547"/>
          <w:trHeight w:val="6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313530547"/>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Operating Leases</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313530547"/>
        </w:trPr>
        <w:tc>
          <w:tcPr>
            <w:tcW w:w="0" w:type="auto"/>
            <w:gridSpan w:val="3"/>
            <w:shd w:val="clear" w:color="auto" w:fill="FFFFFF"/>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Operating lease ROU assets</w:t>
            </w: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756 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769 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313530547"/>
          <w:trHeight w:val="300"/>
        </w:trPr>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313530547"/>
        </w:trPr>
        <w:tc>
          <w:tcPr>
            <w:tcW w:w="0" w:type="auto"/>
            <w:gridSpan w:val="3"/>
            <w:shd w:val="clear" w:color="auto" w:fill="FFFFFF"/>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Other accrued item</w:t>
            </w:r>
            <w:r>
              <w:rPr>
                <w:rFonts w:ascii="IBM Plex Sans" w:eastAsia="Times New Roman" w:hAnsi="IBM Plex Sans"/>
                <w:color w:val="28303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109 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313530547"/>
        </w:trPr>
        <w:tc>
          <w:tcPr>
            <w:tcW w:w="0" w:type="auto"/>
            <w:gridSpan w:val="3"/>
            <w:shd w:val="clear" w:color="auto" w:fill="D7EFF1"/>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Operating lease liabilitie</w:t>
            </w:r>
            <w:r>
              <w:rPr>
                <w:rFonts w:ascii="IBM Plex Sans" w:eastAsia="Times New Roman" w:hAnsi="IBM Plex Sans"/>
                <w:color w:val="283030"/>
                <w:sz w:val="20"/>
                <w:szCs w:val="20"/>
              </w:rPr>
              <w:t>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741 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768 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313530547"/>
        </w:trPr>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Total operating lease liabilities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313530547"/>
          <w:trHeight w:val="300"/>
        </w:trPr>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tcBorders>
              <w:top w:val="double" w:sz="6" w:space="0" w:color="000000"/>
            </w:tcBorders>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double" w:sz="6" w:space="0" w:color="000000"/>
            </w:tcBorders>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313530547"/>
        </w:trPr>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Finance Leases</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313530547"/>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313530547"/>
        </w:trPr>
        <w:tc>
          <w:tcPr>
            <w:tcW w:w="0" w:type="auto"/>
            <w:gridSpan w:val="3"/>
            <w:shd w:val="clear" w:color="auto" w:fill="D7EFF1"/>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Property, plant and equipment</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170 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163 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313530547"/>
        </w:trPr>
        <w:tc>
          <w:tcPr>
            <w:tcW w:w="0" w:type="auto"/>
            <w:gridSpan w:val="3"/>
            <w:shd w:val="clear" w:color="auto" w:fill="FFFFFF"/>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Accumulated amortization</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(15)</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313530547"/>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Property, plant and equipment, net</w:t>
            </w:r>
          </w:p>
        </w:tc>
        <w:tc>
          <w:tcPr>
            <w:tcW w:w="0" w:type="auto"/>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155 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154 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313530547"/>
          <w:trHeight w:val="300"/>
        </w:trPr>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313530547"/>
        </w:trPr>
        <w:tc>
          <w:tcPr>
            <w:tcW w:w="0" w:type="auto"/>
            <w:gridSpan w:val="3"/>
            <w:shd w:val="clear" w:color="auto" w:fill="D7EFF1"/>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Current portion of long-term deb</w:t>
            </w:r>
            <w:r>
              <w:rPr>
                <w:rFonts w:ascii="IBM Plex Sans" w:eastAsia="Times New Roman" w:hAnsi="IBM Plex Sans"/>
                <w:color w:val="283030"/>
                <w:sz w:val="20"/>
                <w:szCs w:val="20"/>
              </w:rPr>
              <w:t>t</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313530547"/>
        </w:trPr>
        <w:tc>
          <w:tcPr>
            <w:tcW w:w="0" w:type="auto"/>
            <w:gridSpan w:val="3"/>
            <w:shd w:val="clear" w:color="auto" w:fill="FFFFFF"/>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Long-term deb</w:t>
            </w:r>
            <w:r>
              <w:rPr>
                <w:rFonts w:ascii="IBM Plex Sans" w:eastAsia="Times New Roman" w:hAnsi="IBM Plex Sans"/>
                <w:color w:val="28303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165 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157 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313530547"/>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Total finance lease liabilities</w:t>
            </w: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170 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161 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bl>
    <w:p w:rsidR="00000000" w:rsidRDefault="00F5481A">
      <w:pPr>
        <w:ind w:firstLine="360"/>
        <w:divId w:val="178279170"/>
        <w:rPr>
          <w:rFonts w:eastAsia="Times New Roman"/>
        </w:rPr>
      </w:pPr>
      <w:r>
        <w:rPr>
          <w:rFonts w:ascii="IBM Plex Sans" w:eastAsia="Times New Roman" w:hAnsi="IBM Plex Sans"/>
          <w:color w:val="283030"/>
          <w:sz w:val="20"/>
          <w:szCs w:val="20"/>
        </w:rPr>
        <w:t>Other supplemental lease information for fiscal 2022 and 2021 is as follows:</w:t>
      </w:r>
    </w:p>
    <w:p w:rsidR="00000000" w:rsidRDefault="00F5481A">
      <w:pPr>
        <w:ind w:firstLine="360"/>
        <w:jc w:val="center"/>
        <w:divId w:val="589434883"/>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101</w:t>
      </w:r>
    </w:p>
    <w:p w:rsidR="00000000" w:rsidRDefault="00F5481A">
      <w:pPr>
        <w:rPr>
          <w:rFonts w:eastAsia="Times New Roman"/>
        </w:rPr>
      </w:pPr>
      <w:r>
        <w:rPr>
          <w:rFonts w:eastAsia="Times New Roman"/>
        </w:rPr>
        <w:pict>
          <v:rect id="_x0000_i1132" style="width:0;height:1.5pt" o:hralign="center" o:hrstd="t" o:hr="t" fillcolor="#a0a0a0" stroked="f"/>
        </w:pict>
      </w:r>
    </w:p>
    <w:p w:rsidR="00000000" w:rsidRDefault="00F5481A">
      <w:pPr>
        <w:ind w:firstLine="360"/>
        <w:divId w:val="115037084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5376"/>
        <w:gridCol w:w="37"/>
        <w:gridCol w:w="133"/>
        <w:gridCol w:w="1042"/>
        <w:gridCol w:w="198"/>
        <w:gridCol w:w="36"/>
        <w:gridCol w:w="36"/>
        <w:gridCol w:w="36"/>
        <w:gridCol w:w="133"/>
        <w:gridCol w:w="1043"/>
        <w:gridCol w:w="198"/>
      </w:tblGrid>
      <w:tr w:rsidR="00000000">
        <w:trPr>
          <w:divId w:val="1171532880"/>
        </w:trPr>
        <w:tc>
          <w:tcPr>
            <w:tcW w:w="50" w:type="pct"/>
            <w:vAlign w:val="center"/>
            <w:hideMark/>
          </w:tcPr>
          <w:p w:rsidR="00000000" w:rsidRDefault="00F5481A">
            <w:pPr>
              <w:ind w:firstLine="360"/>
              <w:rPr>
                <w:rFonts w:eastAsia="Times New Roman"/>
              </w:rPr>
            </w:pPr>
          </w:p>
        </w:tc>
        <w:tc>
          <w:tcPr>
            <w:tcW w:w="337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1171532880"/>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Fiscal Year Ended</w:t>
            </w:r>
          </w:p>
        </w:tc>
      </w:tr>
      <w:tr w:rsidR="00000000">
        <w:trPr>
          <w:divId w:val="1171532880"/>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 except lease term and discount rate)</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r>
      <w:tr w:rsidR="00000000">
        <w:trPr>
          <w:divId w:val="1171532880"/>
          <w:trHeight w:val="6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171532880"/>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Cash paid for amounts included in the measurement of lease liabilities</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171532880"/>
        </w:trPr>
        <w:tc>
          <w:tcPr>
            <w:tcW w:w="0" w:type="auto"/>
            <w:gridSpan w:val="3"/>
            <w:shd w:val="clear" w:color="auto" w:fill="FFFFFF"/>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Net cash provided by operating activities - operating lease payments</w:t>
            </w: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148</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154</w:t>
            </w:r>
          </w:p>
        </w:tc>
      </w:tr>
      <w:tr w:rsidR="00000000">
        <w:trPr>
          <w:divId w:val="1171532880"/>
        </w:trPr>
        <w:tc>
          <w:tcPr>
            <w:tcW w:w="0" w:type="auto"/>
            <w:gridSpan w:val="3"/>
            <w:shd w:val="clear" w:color="auto" w:fill="D7EFF1"/>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Net cash provided by operating activities - finance lease interest payments</w:t>
            </w:r>
          </w:p>
        </w:tc>
        <w:tc>
          <w:tcPr>
            <w:tcW w:w="0" w:type="auto"/>
            <w:gridSpan w:val="3"/>
            <w:shd w:val="clear" w:color="auto" w:fill="D7EFF1"/>
            <w:tcMar>
              <w:top w:w="30" w:type="dxa"/>
              <w:left w:w="20" w:type="dxa"/>
              <w:bottom w:w="30" w:type="dxa"/>
              <w:right w:w="14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5</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shd w:val="clear" w:color="auto" w:fill="D7EFF1"/>
            <w:tcMar>
              <w:top w:w="30" w:type="dxa"/>
              <w:left w:w="20" w:type="dxa"/>
              <w:bottom w:w="30" w:type="dxa"/>
              <w:right w:w="14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5</w:t>
            </w:r>
          </w:p>
        </w:tc>
      </w:tr>
      <w:tr w:rsidR="00000000">
        <w:trPr>
          <w:divId w:val="1171532880"/>
        </w:trPr>
        <w:tc>
          <w:tcPr>
            <w:tcW w:w="0" w:type="auto"/>
            <w:gridSpan w:val="3"/>
            <w:shd w:val="clear" w:color="auto" w:fill="FFFFFF"/>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Net cash used in financing activities - finance lease obligation payments</w:t>
            </w:r>
          </w:p>
        </w:tc>
        <w:tc>
          <w:tcPr>
            <w:tcW w:w="0" w:type="auto"/>
            <w:gridSpan w:val="3"/>
            <w:shd w:val="clear" w:color="auto" w:fill="FFFFFF"/>
            <w:tcMar>
              <w:top w:w="30" w:type="dxa"/>
              <w:left w:w="20" w:type="dxa"/>
              <w:bottom w:w="30" w:type="dxa"/>
              <w:right w:w="14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4</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3</w:t>
            </w:r>
          </w:p>
        </w:tc>
      </w:tr>
      <w:tr w:rsidR="00000000">
        <w:trPr>
          <w:divId w:val="1171532880"/>
          <w:trHeight w:val="300"/>
        </w:trPr>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171532880"/>
        </w:trPr>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Assets obtained in exchange for new lease obligations</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171532880"/>
        </w:trPr>
        <w:tc>
          <w:tcPr>
            <w:tcW w:w="0" w:type="auto"/>
            <w:gridSpan w:val="3"/>
            <w:shd w:val="clear" w:color="auto" w:fill="D7EFF1"/>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ROU assets obtained with operating leases</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000000"/>
                <w:sz w:val="20"/>
                <w:szCs w:val="20"/>
              </w:rPr>
              <w:t>$</w:t>
            </w:r>
          </w:p>
        </w:tc>
        <w:tc>
          <w:tcPr>
            <w:tcW w:w="0" w:type="auto"/>
            <w:gridSpan w:val="2"/>
            <w:shd w:val="clear" w:color="auto" w:fill="D7EFF1"/>
            <w:tcMar>
              <w:top w:w="30" w:type="dxa"/>
              <w:left w:w="0" w:type="dxa"/>
              <w:bottom w:w="30" w:type="dxa"/>
              <w:right w:w="14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123</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000000"/>
                <w:sz w:val="20"/>
                <w:szCs w:val="20"/>
              </w:rPr>
              <w:t>$</w:t>
            </w:r>
          </w:p>
        </w:tc>
        <w:tc>
          <w:tcPr>
            <w:tcW w:w="0" w:type="auto"/>
            <w:gridSpan w:val="2"/>
            <w:shd w:val="clear" w:color="auto" w:fill="D7EFF1"/>
            <w:tcMar>
              <w:top w:w="30" w:type="dxa"/>
              <w:left w:w="0" w:type="dxa"/>
              <w:bottom w:w="30" w:type="dxa"/>
              <w:right w:w="14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260</w:t>
            </w:r>
          </w:p>
        </w:tc>
      </w:tr>
      <w:tr w:rsidR="00000000">
        <w:trPr>
          <w:divId w:val="1171532880"/>
        </w:trPr>
        <w:tc>
          <w:tcPr>
            <w:tcW w:w="0" w:type="auto"/>
            <w:gridSpan w:val="3"/>
            <w:shd w:val="clear" w:color="auto" w:fill="FFFFFF"/>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Property, plant and equipment obtained with finance leases</w:t>
            </w:r>
          </w:p>
        </w:tc>
        <w:tc>
          <w:tcPr>
            <w:tcW w:w="0" w:type="auto"/>
            <w:gridSpan w:val="3"/>
            <w:shd w:val="clear" w:color="auto" w:fill="FFFFFF"/>
            <w:tcMar>
              <w:top w:w="30" w:type="dxa"/>
              <w:left w:w="20" w:type="dxa"/>
              <w:bottom w:w="30" w:type="dxa"/>
              <w:right w:w="14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20</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120</w:t>
            </w:r>
          </w:p>
        </w:tc>
      </w:tr>
      <w:tr w:rsidR="00000000">
        <w:trPr>
          <w:divId w:val="1171532880"/>
          <w:trHeight w:val="300"/>
        </w:trPr>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171532880"/>
        </w:trPr>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Weighted average remaining lease term (in years)</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171532880"/>
        </w:trPr>
        <w:tc>
          <w:tcPr>
            <w:tcW w:w="0" w:type="auto"/>
            <w:gridSpan w:val="3"/>
            <w:shd w:val="clear" w:color="auto" w:fill="D7EFF1"/>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Operating leases</w:t>
            </w:r>
          </w:p>
        </w:tc>
        <w:tc>
          <w:tcPr>
            <w:tcW w:w="0" w:type="auto"/>
            <w:gridSpan w:val="3"/>
            <w:shd w:val="clear" w:color="auto" w:fill="D7EFF1"/>
            <w:tcMar>
              <w:top w:w="30" w:type="dxa"/>
              <w:left w:w="20" w:type="dxa"/>
              <w:bottom w:w="30" w:type="dxa"/>
              <w:right w:w="14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9.3</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shd w:val="clear" w:color="auto" w:fill="D7EFF1"/>
            <w:tcMar>
              <w:top w:w="30" w:type="dxa"/>
              <w:left w:w="20" w:type="dxa"/>
              <w:bottom w:w="30" w:type="dxa"/>
              <w:right w:w="14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9.8</w:t>
            </w:r>
          </w:p>
        </w:tc>
      </w:tr>
      <w:tr w:rsidR="00000000">
        <w:trPr>
          <w:divId w:val="1171532880"/>
        </w:trPr>
        <w:tc>
          <w:tcPr>
            <w:tcW w:w="0" w:type="auto"/>
            <w:gridSpan w:val="3"/>
            <w:shd w:val="clear" w:color="auto" w:fill="FFFFFF"/>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Finance leases</w:t>
            </w:r>
          </w:p>
        </w:tc>
        <w:tc>
          <w:tcPr>
            <w:tcW w:w="0" w:type="auto"/>
            <w:gridSpan w:val="3"/>
            <w:shd w:val="clear" w:color="auto" w:fill="FFFFFF"/>
            <w:tcMar>
              <w:top w:w="30" w:type="dxa"/>
              <w:left w:w="20" w:type="dxa"/>
              <w:bottom w:w="30" w:type="dxa"/>
              <w:right w:w="14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21.3</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23.8</w:t>
            </w:r>
          </w:p>
        </w:tc>
      </w:tr>
      <w:tr w:rsidR="00000000">
        <w:trPr>
          <w:divId w:val="1171532880"/>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Weighted average discount rate</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171532880"/>
        </w:trPr>
        <w:tc>
          <w:tcPr>
            <w:tcW w:w="0" w:type="auto"/>
            <w:gridSpan w:val="3"/>
            <w:shd w:val="clear" w:color="auto" w:fill="FFFFFF"/>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Operating leases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3.5 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3.7 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w:t>
            </w:r>
          </w:p>
        </w:tc>
      </w:tr>
      <w:tr w:rsidR="00000000">
        <w:trPr>
          <w:divId w:val="1171532880"/>
        </w:trPr>
        <w:tc>
          <w:tcPr>
            <w:tcW w:w="0" w:type="auto"/>
            <w:gridSpan w:val="3"/>
            <w:shd w:val="clear" w:color="auto" w:fill="D7EFF1"/>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Finance leases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3.4 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3.1 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w:t>
            </w:r>
          </w:p>
        </w:tc>
      </w:tr>
    </w:tbl>
    <w:p w:rsidR="00000000" w:rsidRDefault="00F5481A">
      <w:pPr>
        <w:ind w:firstLine="360"/>
        <w:divId w:val="552422699"/>
        <w:rPr>
          <w:rFonts w:eastAsia="Times New Roman"/>
        </w:rPr>
      </w:pPr>
    </w:p>
    <w:p w:rsidR="00000000" w:rsidRDefault="00F5481A">
      <w:pPr>
        <w:ind w:firstLine="360"/>
        <w:divId w:val="2141221672"/>
        <w:rPr>
          <w:rFonts w:eastAsia="Times New Roman"/>
        </w:rPr>
      </w:pPr>
      <w:r>
        <w:rPr>
          <w:rFonts w:ascii="IBM Plex Sans" w:eastAsia="Times New Roman" w:hAnsi="IBM Plex Sans"/>
          <w:color w:val="283030"/>
          <w:sz w:val="20"/>
          <w:szCs w:val="20"/>
        </w:rPr>
        <w:t>Maturities under non-cancelable operating and finance leases at December 30, 2022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5538"/>
        <w:gridCol w:w="36"/>
        <w:gridCol w:w="133"/>
        <w:gridCol w:w="1124"/>
        <w:gridCol w:w="36"/>
        <w:gridCol w:w="36"/>
        <w:gridCol w:w="36"/>
        <w:gridCol w:w="36"/>
        <w:gridCol w:w="133"/>
        <w:gridCol w:w="1124"/>
        <w:gridCol w:w="36"/>
      </w:tblGrid>
      <w:tr w:rsidR="00000000">
        <w:trPr>
          <w:divId w:val="306671670"/>
        </w:trPr>
        <w:tc>
          <w:tcPr>
            <w:tcW w:w="50" w:type="pct"/>
            <w:vAlign w:val="center"/>
            <w:hideMark/>
          </w:tcPr>
          <w:p w:rsidR="00000000" w:rsidRDefault="00F5481A">
            <w:pPr>
              <w:ind w:firstLine="360"/>
              <w:rPr>
                <w:rFonts w:eastAsia="Times New Roman"/>
              </w:rPr>
            </w:pPr>
          </w:p>
        </w:tc>
        <w:tc>
          <w:tcPr>
            <w:tcW w:w="337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306671670"/>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Operating Leases</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Finance Leases</w:t>
            </w:r>
          </w:p>
        </w:tc>
      </w:tr>
      <w:tr w:rsidR="00000000">
        <w:trPr>
          <w:divId w:val="306671670"/>
          <w:trHeight w:val="6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306671670"/>
        </w:trPr>
        <w:tc>
          <w:tcPr>
            <w:tcW w:w="0" w:type="auto"/>
            <w:gridSpan w:val="3"/>
            <w:shd w:val="clear" w:color="auto" w:fill="D7EFF1"/>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2023</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145 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306671670"/>
        </w:trPr>
        <w:tc>
          <w:tcPr>
            <w:tcW w:w="0" w:type="auto"/>
            <w:gridSpan w:val="3"/>
            <w:shd w:val="clear" w:color="auto" w:fill="FFFFFF"/>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2024</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143 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306671670"/>
        </w:trPr>
        <w:tc>
          <w:tcPr>
            <w:tcW w:w="0" w:type="auto"/>
            <w:gridSpan w:val="3"/>
            <w:shd w:val="clear" w:color="auto" w:fill="D7EFF1"/>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2025</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118 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306671670"/>
        </w:trPr>
        <w:tc>
          <w:tcPr>
            <w:tcW w:w="0" w:type="auto"/>
            <w:gridSpan w:val="3"/>
            <w:shd w:val="clear" w:color="auto" w:fill="FFFFFF"/>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2026</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89 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306671670"/>
        </w:trPr>
        <w:tc>
          <w:tcPr>
            <w:tcW w:w="0" w:type="auto"/>
            <w:gridSpan w:val="3"/>
            <w:shd w:val="clear" w:color="auto" w:fill="D7EFF1"/>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2027</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306671670"/>
        </w:trPr>
        <w:tc>
          <w:tcPr>
            <w:tcW w:w="0" w:type="auto"/>
            <w:gridSpan w:val="3"/>
            <w:shd w:val="clear" w:color="auto" w:fill="FFFFFF"/>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Thereafter</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420 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306671670"/>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divId w:val="2054694848"/>
              <w:rPr>
                <w:rFonts w:eastAsia="Times New Roman"/>
              </w:rPr>
            </w:pPr>
            <w:r>
              <w:rPr>
                <w:rFonts w:ascii="IBM Plex Sans" w:eastAsia="Times New Roman" w:hAnsi="IBM Plex Sans"/>
                <w:color w:val="283030"/>
                <w:sz w:val="20"/>
                <w:szCs w:val="20"/>
              </w:rPr>
              <w:t>Total future lease payments require</w:t>
            </w:r>
            <w:r>
              <w:rPr>
                <w:rFonts w:ascii="IBM Plex Sans" w:eastAsia="Times New Roman" w:hAnsi="IBM Plex Sans"/>
                <w:color w:val="283030"/>
                <w:sz w:val="20"/>
                <w:szCs w:val="20"/>
              </w:rPr>
              <w:t>d</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997 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241 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306671670"/>
        </w:trPr>
        <w:tc>
          <w:tcPr>
            <w:tcW w:w="0" w:type="auto"/>
            <w:gridSpan w:val="3"/>
            <w:shd w:val="clear" w:color="auto" w:fill="FFFFFF"/>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Less: imputed interest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306671670"/>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Total</w:t>
            </w: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862 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170 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bl>
    <w:p w:rsidR="00000000" w:rsidRDefault="00F5481A">
      <w:pPr>
        <w:divId w:val="2051146918"/>
        <w:rPr>
          <w:rFonts w:eastAsia="Times New Roman"/>
        </w:rPr>
      </w:pPr>
      <w:r>
        <w:rPr>
          <w:rFonts w:ascii="IBM Plex Sans" w:eastAsia="Times New Roman" w:hAnsi="IBM Plex Sans"/>
          <w:color w:val="283030"/>
          <w:sz w:val="16"/>
          <w:szCs w:val="16"/>
        </w:rPr>
        <w:t>_______________</w:t>
      </w:r>
    </w:p>
    <w:p w:rsidR="00000000" w:rsidRDefault="00F5481A">
      <w:pPr>
        <w:ind w:hanging="360"/>
        <w:divId w:val="1549610510"/>
        <w:rPr>
          <w:rFonts w:eastAsia="Times New Roman"/>
        </w:rPr>
      </w:pPr>
      <w:r>
        <w:rPr>
          <w:rFonts w:ascii="IBM Plex Sans" w:eastAsia="Times New Roman" w:hAnsi="IBM Plex Sans"/>
          <w:color w:val="283030"/>
          <w:sz w:val="16"/>
          <w:szCs w:val="16"/>
        </w:rPr>
        <w:t>(1)On December 30, 2022, we had additional future payments on leases of $12 million that had not yet commenced. These leases will commence in 2023, and have lease terms of 7 years to 15 years.</w:t>
      </w:r>
    </w:p>
    <w:p w:rsidR="00000000" w:rsidRDefault="00F5481A">
      <w:pPr>
        <w:ind w:firstLine="360"/>
        <w:divId w:val="1405952942"/>
        <w:rPr>
          <w:rFonts w:eastAsia="Times New Roman"/>
        </w:rPr>
      </w:pPr>
      <w:r>
        <w:rPr>
          <w:rFonts w:ascii="IBM Plex Sans" w:eastAsia="Times New Roman" w:hAnsi="IBM Plex Sans"/>
          <w:color w:val="283030"/>
          <w:sz w:val="20"/>
          <w:szCs w:val="20"/>
        </w:rPr>
        <w:t xml:space="preserve">These commitments do not contain any material rent escalations, rent holidays, contingent rent, rent concessions, leasehold improvement incentives or unusual provisions or conditions. We do not consider any individual lease material to our operations. </w:t>
      </w:r>
    </w:p>
    <w:p w:rsidR="00000000" w:rsidRDefault="00F5481A">
      <w:pPr>
        <w:divId w:val="1861309349"/>
        <w:rPr>
          <w:rFonts w:eastAsia="Times New Roman"/>
        </w:rPr>
      </w:pPr>
      <w:r>
        <w:rPr>
          <w:rFonts w:ascii="IBM Plex Sans SemiBold" w:eastAsia="Times New Roman" w:hAnsi="IBM Plex Sans SemiBold"/>
          <w:b/>
          <w:bCs/>
          <w:color w:val="016676"/>
          <w:sz w:val="20"/>
          <w:szCs w:val="20"/>
        </w:rPr>
        <w:t>NOT</w:t>
      </w:r>
      <w:r>
        <w:rPr>
          <w:rFonts w:ascii="IBM Plex Sans SemiBold" w:eastAsia="Times New Roman" w:hAnsi="IBM Plex Sans SemiBold"/>
          <w:b/>
          <w:bCs/>
          <w:color w:val="016676"/>
          <w:sz w:val="20"/>
          <w:szCs w:val="20"/>
        </w:rPr>
        <w:t>E 19: DERIVATIVE INSTRUMENTS AND HEDGING ACTIVITIES</w:t>
      </w:r>
      <w:r>
        <w:rPr>
          <w:rFonts w:ascii="IBM Plex Sans" w:eastAsia="Times New Roman" w:hAnsi="IBM Plex Sans"/>
          <w:b/>
          <w:bCs/>
          <w:i/>
          <w:iCs/>
          <w:color w:val="283030"/>
          <w:sz w:val="20"/>
          <w:szCs w:val="20"/>
        </w:rPr>
        <w:t xml:space="preserve"> </w:t>
      </w:r>
    </w:p>
    <w:p w:rsidR="00000000" w:rsidRDefault="00F5481A">
      <w:pPr>
        <w:ind w:firstLine="360"/>
        <w:divId w:val="2035037859"/>
        <w:rPr>
          <w:rFonts w:eastAsia="Times New Roman"/>
        </w:rPr>
      </w:pPr>
      <w:r>
        <w:rPr>
          <w:rFonts w:ascii="IBM Plex Sans" w:eastAsia="Times New Roman" w:hAnsi="IBM Plex Sans"/>
          <w:color w:val="283030"/>
          <w:sz w:val="20"/>
          <w:szCs w:val="20"/>
        </w:rPr>
        <w:t>In the normal course of business, we are exposed to global market risks, including the effect of changes in foreign currency exchange rates and changes in interest rates. We use derivative instruments to manage our exposure to such risks and formally docum</w:t>
      </w:r>
      <w:r>
        <w:rPr>
          <w:rFonts w:ascii="IBM Plex Sans" w:eastAsia="Times New Roman" w:hAnsi="IBM Plex Sans"/>
          <w:color w:val="283030"/>
          <w:sz w:val="20"/>
          <w:szCs w:val="20"/>
        </w:rPr>
        <w:t>ent all relationships between hedging instruments and hedged items, as well as the risk-management objective and strategy for undertaking hedge transactions. We also may enter into derivative instruments that are not designated as hedges and do not qualify</w:t>
      </w:r>
      <w:r>
        <w:rPr>
          <w:rFonts w:ascii="IBM Plex Sans" w:eastAsia="Times New Roman" w:hAnsi="IBM Plex Sans"/>
          <w:color w:val="283030"/>
          <w:sz w:val="20"/>
          <w:szCs w:val="20"/>
        </w:rPr>
        <w:t xml:space="preserve"> for hedge accounting. We recognize all derivatives in our Consolidated Balance Sheet at fair value. We do not hold or issue derivatives for speculative trading purposes.</w:t>
      </w:r>
    </w:p>
    <w:p w:rsidR="00000000" w:rsidRDefault="00F5481A">
      <w:pPr>
        <w:ind w:firstLine="360"/>
        <w:jc w:val="center"/>
        <w:divId w:val="665325630"/>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102</w:t>
      </w:r>
    </w:p>
    <w:p w:rsidR="00000000" w:rsidRDefault="00F5481A">
      <w:pPr>
        <w:rPr>
          <w:rFonts w:eastAsia="Times New Roman"/>
        </w:rPr>
      </w:pPr>
      <w:r>
        <w:rPr>
          <w:rFonts w:eastAsia="Times New Roman"/>
        </w:rPr>
        <w:pict>
          <v:rect id="_x0000_i1133" style="width:0;height:1.5pt" o:hralign="center" o:hrstd="t" o:hr="t" fillcolor="#a0a0a0" stroked="f"/>
        </w:pict>
      </w:r>
    </w:p>
    <w:p w:rsidR="00000000" w:rsidRDefault="00F5481A">
      <w:pPr>
        <w:ind w:firstLine="360"/>
        <w:divId w:val="1818573807"/>
        <w:rPr>
          <w:rFonts w:eastAsia="Times New Roman"/>
        </w:rPr>
      </w:pPr>
    </w:p>
    <w:p w:rsidR="00000000" w:rsidRDefault="00F5481A">
      <w:pPr>
        <w:divId w:val="1368145713"/>
        <w:rPr>
          <w:rFonts w:eastAsia="Times New Roman"/>
        </w:rPr>
      </w:pPr>
      <w:r>
        <w:rPr>
          <w:rFonts w:ascii="IBM Plex Sans SemiBold" w:eastAsia="Times New Roman" w:hAnsi="IBM Plex Sans SemiBold"/>
          <w:b/>
          <w:bCs/>
          <w:color w:val="016676"/>
          <w:sz w:val="20"/>
          <w:szCs w:val="20"/>
        </w:rPr>
        <w:t>Exchange Rate Risk — Cash Flow Hedges</w:t>
      </w:r>
    </w:p>
    <w:p w:rsidR="00000000" w:rsidRDefault="00F5481A">
      <w:pPr>
        <w:ind w:firstLine="360"/>
        <w:divId w:val="1396397257"/>
        <w:rPr>
          <w:rFonts w:eastAsia="Times New Roman"/>
        </w:rPr>
      </w:pPr>
      <w:r>
        <w:rPr>
          <w:rFonts w:ascii="IBM Plex Sans" w:eastAsia="Times New Roman" w:hAnsi="IBM Plex Sans"/>
          <w:color w:val="283030"/>
          <w:sz w:val="20"/>
          <w:szCs w:val="20"/>
        </w:rPr>
        <w:t>To manage our exposure to currency risk and market fluctuation risk associated with anticipated cash flows that are probable of occurring in the future, we implement cash flow hedges. More s</w:t>
      </w:r>
      <w:r>
        <w:rPr>
          <w:rFonts w:ascii="IBM Plex Sans" w:eastAsia="Times New Roman" w:hAnsi="IBM Plex Sans"/>
          <w:color w:val="283030"/>
          <w:sz w:val="20"/>
          <w:szCs w:val="20"/>
        </w:rPr>
        <w:t>pecifically, we use foreign currency forward contracts and options to hedge off-balance sheet future foreign currency commitments, including purchase commitments to suppliers, future committed sales to customers and intersegment transactions. These derivat</w:t>
      </w:r>
      <w:r>
        <w:rPr>
          <w:rFonts w:ascii="IBM Plex Sans" w:eastAsia="Times New Roman" w:hAnsi="IBM Plex Sans"/>
          <w:color w:val="283030"/>
          <w:sz w:val="20"/>
          <w:szCs w:val="20"/>
        </w:rPr>
        <w:t>ives are used to hedge currency exposures from cash flows anticipated across our business segments. We also hedge U.S. Dollar payments to suppliers to maintain our anticipated profit margins in our international operations. These derivatives have only nomi</w:t>
      </w:r>
      <w:r>
        <w:rPr>
          <w:rFonts w:ascii="IBM Plex Sans" w:eastAsia="Times New Roman" w:hAnsi="IBM Plex Sans"/>
          <w:color w:val="283030"/>
          <w:sz w:val="20"/>
          <w:szCs w:val="20"/>
        </w:rPr>
        <w:t>nal intrinsic value at the time of purchase and have a high degree of correlation to the anticipated cash flows they are designated to hedge. Hedge effectiveness is determined by the correlation of the anticipated cash flows from the hedging instruments an</w:t>
      </w:r>
      <w:r>
        <w:rPr>
          <w:rFonts w:ascii="IBM Plex Sans" w:eastAsia="Times New Roman" w:hAnsi="IBM Plex Sans"/>
          <w:color w:val="283030"/>
          <w:sz w:val="20"/>
          <w:szCs w:val="20"/>
        </w:rPr>
        <w:t>d the anticipated cash flows from the future foreign currency commitments through the maturity dates of the derivatives used to hedge these cash flows. These financial instruments are marked-to-market using forward prices and fair value quotes with the off</w:t>
      </w:r>
      <w:r>
        <w:rPr>
          <w:rFonts w:ascii="IBM Plex Sans" w:eastAsia="Times New Roman" w:hAnsi="IBM Plex Sans"/>
          <w:color w:val="283030"/>
          <w:sz w:val="20"/>
          <w:szCs w:val="20"/>
        </w:rPr>
        <w:t>set to other comprehensive income (loss) and are categorized in Level 2 of the fair value hierarchy. Gains and losses in accumulated other comprehensive loss are reclassified to earnings when the related hedged item is recognized in earnings. The cash flow</w:t>
      </w:r>
      <w:r>
        <w:rPr>
          <w:rFonts w:ascii="IBM Plex Sans" w:eastAsia="Times New Roman" w:hAnsi="IBM Plex Sans"/>
          <w:color w:val="283030"/>
          <w:sz w:val="20"/>
          <w:szCs w:val="20"/>
        </w:rPr>
        <w:t xml:space="preserve"> impact of our derivatives is included in the same category in our Consolidated Statement of Cash Flows as the cash flows of the related hedged items. Notional amounts are used to measure the volume of foreign currency forward contracts and do not represen</w:t>
      </w:r>
      <w:r>
        <w:rPr>
          <w:rFonts w:ascii="IBM Plex Sans" w:eastAsia="Times New Roman" w:hAnsi="IBM Plex Sans"/>
          <w:color w:val="283030"/>
          <w:sz w:val="20"/>
          <w:szCs w:val="20"/>
        </w:rPr>
        <w:t>t exposure to foreign currency losses. At December 30, 2022, we had open foreign currency forward contracts with an aggregate notional amount of $275 million, hedging certain forecasted transactions denominated in Canadian Dollars, U.S. Dollars, British Po</w:t>
      </w:r>
      <w:r>
        <w:rPr>
          <w:rFonts w:ascii="IBM Plex Sans" w:eastAsia="Times New Roman" w:hAnsi="IBM Plex Sans"/>
          <w:color w:val="283030"/>
          <w:sz w:val="20"/>
          <w:szCs w:val="20"/>
        </w:rPr>
        <w:t>unds and Euros. At December 31, 2021, we had open foreign currency forward contracts with an aggregate notional amount of $328 million, hedging certain forecasted transactions denominated in U.S. Dollars, Canadian Dollars, British Pounds, Euros and Austral</w:t>
      </w:r>
      <w:r>
        <w:rPr>
          <w:rFonts w:ascii="IBM Plex Sans" w:eastAsia="Times New Roman" w:hAnsi="IBM Plex Sans"/>
          <w:color w:val="283030"/>
          <w:sz w:val="20"/>
          <w:szCs w:val="20"/>
        </w:rPr>
        <w:t xml:space="preserve">ian Dollars. </w:t>
      </w:r>
    </w:p>
    <w:p w:rsidR="00000000" w:rsidRDefault="00F5481A">
      <w:pPr>
        <w:ind w:firstLine="360"/>
        <w:divId w:val="1419523328"/>
        <w:rPr>
          <w:rFonts w:eastAsia="Times New Roman"/>
        </w:rPr>
      </w:pPr>
      <w:r>
        <w:rPr>
          <w:rFonts w:ascii="IBM Plex Sans" w:eastAsia="Times New Roman" w:hAnsi="IBM Plex Sans"/>
          <w:color w:val="283030"/>
          <w:sz w:val="20"/>
          <w:szCs w:val="20"/>
        </w:rPr>
        <w:t>At December 30, 2022, our foreign currency forward contracts had maturities through 2025.</w:t>
      </w:r>
    </w:p>
    <w:p w:rsidR="00000000" w:rsidRDefault="00F5481A">
      <w:pPr>
        <w:ind w:firstLine="360"/>
        <w:divId w:val="1205102189"/>
        <w:rPr>
          <w:rFonts w:eastAsia="Times New Roman"/>
        </w:rPr>
      </w:pPr>
      <w:r>
        <w:rPr>
          <w:rFonts w:ascii="IBM Plex Sans" w:eastAsia="Times New Roman" w:hAnsi="IBM Plex Sans"/>
          <w:color w:val="283030"/>
          <w:sz w:val="20"/>
          <w:szCs w:val="20"/>
        </w:rPr>
        <w:t>The table below presents the fair values of our derivatives designated as foreign currency hedging instruments in our Consolidated Balance Sheet at Dece</w:t>
      </w:r>
      <w:r>
        <w:rPr>
          <w:rFonts w:ascii="IBM Plex Sans" w:eastAsia="Times New Roman" w:hAnsi="IBM Plex Sans"/>
          <w:color w:val="283030"/>
          <w:sz w:val="20"/>
          <w:szCs w:val="20"/>
        </w:rPr>
        <w:t xml:space="preserve">mber 30, 2022 and December 31, 2021: </w:t>
      </w:r>
    </w:p>
    <w:tbl>
      <w:tblPr>
        <w:tblW w:w="5000" w:type="pct"/>
        <w:tblCellMar>
          <w:top w:w="15" w:type="dxa"/>
          <w:left w:w="15" w:type="dxa"/>
          <w:bottom w:w="15" w:type="dxa"/>
          <w:right w:w="15" w:type="dxa"/>
        </w:tblCellMar>
        <w:tblLook w:val="04A0" w:firstRow="1" w:lastRow="0" w:firstColumn="1" w:lastColumn="0" w:noHBand="0" w:noVBand="1"/>
      </w:tblPr>
      <w:tblGrid>
        <w:gridCol w:w="38"/>
        <w:gridCol w:w="4881"/>
        <w:gridCol w:w="36"/>
        <w:gridCol w:w="133"/>
        <w:gridCol w:w="984"/>
        <w:gridCol w:w="36"/>
        <w:gridCol w:w="36"/>
        <w:gridCol w:w="36"/>
        <w:gridCol w:w="36"/>
        <w:gridCol w:w="133"/>
        <w:gridCol w:w="9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divId w:val="2093621448"/>
        </w:trPr>
        <w:tc>
          <w:tcPr>
            <w:tcW w:w="50" w:type="pct"/>
            <w:vAlign w:val="center"/>
            <w:hideMark/>
          </w:tcPr>
          <w:p w:rsidR="00000000" w:rsidRDefault="00F5481A">
            <w:pPr>
              <w:ind w:firstLine="360"/>
              <w:rPr>
                <w:rFonts w:eastAsia="Times New Roman"/>
              </w:rPr>
            </w:pPr>
          </w:p>
        </w:tc>
        <w:tc>
          <w:tcPr>
            <w:tcW w:w="337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2093621448"/>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2093621448"/>
          <w:trHeight w:val="60"/>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2093621448"/>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283030"/>
                <w:sz w:val="20"/>
                <w:szCs w:val="20"/>
              </w:rPr>
              <w:t>Derivatives designated as hedging instruments:</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2093621448"/>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Foreign currency forward contracts</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2093621448"/>
        </w:trPr>
        <w:tc>
          <w:tcPr>
            <w:tcW w:w="0" w:type="auto"/>
            <w:gridSpan w:val="3"/>
            <w:shd w:val="clear" w:color="auto" w:fill="D7EFF1"/>
            <w:tcMar>
              <w:top w:w="30" w:type="dxa"/>
              <w:left w:w="29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Other current assets</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2093621448"/>
        </w:trPr>
        <w:tc>
          <w:tcPr>
            <w:tcW w:w="0" w:type="auto"/>
            <w:gridSpan w:val="3"/>
            <w:shd w:val="clear" w:color="auto" w:fill="FFFFFF"/>
            <w:tcMar>
              <w:top w:w="30" w:type="dxa"/>
              <w:left w:w="29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Other non-current assets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2093621448"/>
        </w:trPr>
        <w:tc>
          <w:tcPr>
            <w:tcW w:w="0" w:type="auto"/>
            <w:gridSpan w:val="3"/>
            <w:shd w:val="clear" w:color="auto" w:fill="D7EFF1"/>
            <w:tcMar>
              <w:top w:w="30" w:type="dxa"/>
              <w:left w:w="29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Other accrued items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2093621448"/>
        </w:trPr>
        <w:tc>
          <w:tcPr>
            <w:tcW w:w="0" w:type="auto"/>
            <w:gridSpan w:val="3"/>
            <w:shd w:val="clear" w:color="auto" w:fill="FFFFFF"/>
            <w:tcMar>
              <w:top w:w="30" w:type="dxa"/>
              <w:left w:w="29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Other long-term liabilities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2093621448"/>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bl>
    <w:p w:rsidR="00000000" w:rsidRDefault="00F5481A">
      <w:pPr>
        <w:ind w:firstLine="360"/>
        <w:divId w:val="418798511"/>
        <w:rPr>
          <w:rFonts w:eastAsia="Times New Roman"/>
        </w:rPr>
      </w:pPr>
      <w:r>
        <w:rPr>
          <w:rFonts w:ascii="IBM Plex Sans" w:eastAsia="Times New Roman" w:hAnsi="IBM Plex Sans"/>
          <w:color w:val="283030"/>
          <w:sz w:val="20"/>
          <w:szCs w:val="20"/>
        </w:rPr>
        <w:t>Net unrealized gains and losses recognized in other comprehensive income from foreign currency derivatives designated as cash flow hedges were $22 million and $12 million in fiscal 2022 and fiscal 2020, respectively, and were not material in fiscal 2021. N</w:t>
      </w:r>
      <w:r>
        <w:rPr>
          <w:rFonts w:ascii="IBM Plex Sans" w:eastAsia="Times New Roman" w:hAnsi="IBM Plex Sans"/>
          <w:color w:val="283030"/>
          <w:sz w:val="20"/>
          <w:szCs w:val="20"/>
        </w:rPr>
        <w:t>et gains and losses reclassified from AOCI in to earnings from foreign currency derivatives designated as cash flow hedges were $11 million and $20 million in fiscal 2022 and 2021, respectively, and were not material in fiscal 2020.</w:t>
      </w:r>
    </w:p>
    <w:p w:rsidR="00000000" w:rsidRDefault="00F5481A">
      <w:pPr>
        <w:ind w:firstLine="360"/>
        <w:divId w:val="1707563143"/>
        <w:rPr>
          <w:rFonts w:eastAsia="Times New Roman"/>
        </w:rPr>
      </w:pPr>
      <w:r>
        <w:rPr>
          <w:rFonts w:ascii="IBM Plex Sans" w:eastAsia="Times New Roman" w:hAnsi="IBM Plex Sans"/>
          <w:color w:val="283030"/>
          <w:sz w:val="20"/>
          <w:szCs w:val="20"/>
        </w:rPr>
        <w:t>Gains and losses from f</w:t>
      </w:r>
      <w:r>
        <w:rPr>
          <w:rFonts w:ascii="IBM Plex Sans" w:eastAsia="Times New Roman" w:hAnsi="IBM Plex Sans"/>
          <w:color w:val="283030"/>
          <w:sz w:val="20"/>
          <w:szCs w:val="20"/>
        </w:rPr>
        <w:t>oreign currency derivatives designated as cash flow hedges are included in the line item in our Consolidated Statement of Operations associated with the hedged transaction, with the exception of the losses resulting from discontinued cash flow hedges, whic</w:t>
      </w:r>
      <w:r>
        <w:rPr>
          <w:rFonts w:ascii="IBM Plex Sans" w:eastAsia="Times New Roman" w:hAnsi="IBM Plex Sans"/>
          <w:color w:val="283030"/>
          <w:sz w:val="20"/>
          <w:szCs w:val="20"/>
        </w:rPr>
        <w:t xml:space="preserve">h are included in the “Engineering, selling and administrative expenses” line item in our Consolidated Statement of Operations. </w:t>
      </w:r>
    </w:p>
    <w:p w:rsidR="00000000" w:rsidRDefault="00F5481A">
      <w:pPr>
        <w:ind w:firstLine="360"/>
        <w:divId w:val="1452824107"/>
        <w:rPr>
          <w:rFonts w:eastAsia="Times New Roman"/>
        </w:rPr>
      </w:pPr>
      <w:r>
        <w:rPr>
          <w:rFonts w:ascii="IBM Plex Sans" w:eastAsia="Times New Roman" w:hAnsi="IBM Plex Sans"/>
          <w:color w:val="283030"/>
          <w:sz w:val="20"/>
          <w:szCs w:val="20"/>
        </w:rPr>
        <w:t>At December 30, 2022, the estimated amount of existing losses to be reclassified into earnings within the next twelve months wa</w:t>
      </w:r>
      <w:r>
        <w:rPr>
          <w:rFonts w:ascii="IBM Plex Sans" w:eastAsia="Times New Roman" w:hAnsi="IBM Plex Sans"/>
          <w:color w:val="283030"/>
          <w:sz w:val="20"/>
          <w:szCs w:val="20"/>
        </w:rPr>
        <w:t>s $8 million.</w:t>
      </w:r>
    </w:p>
    <w:p w:rsidR="00000000" w:rsidRDefault="00F5481A">
      <w:pPr>
        <w:divId w:val="1524397057"/>
        <w:rPr>
          <w:rFonts w:eastAsia="Times New Roman"/>
        </w:rPr>
      </w:pPr>
      <w:r>
        <w:rPr>
          <w:rFonts w:ascii="IBM Plex Sans SemiBold" w:eastAsia="Times New Roman" w:hAnsi="IBM Plex Sans SemiBold"/>
          <w:b/>
          <w:bCs/>
          <w:color w:val="016676"/>
          <w:sz w:val="20"/>
          <w:szCs w:val="20"/>
        </w:rPr>
        <w:t>Interest-Rate Risk — Cash Flow Hedges</w:t>
      </w:r>
      <w:r>
        <w:rPr>
          <w:rFonts w:ascii="IBM Plex Sans" w:eastAsia="Times New Roman" w:hAnsi="IBM Plex Sans"/>
          <w:b/>
          <w:bCs/>
          <w:color w:val="283030"/>
          <w:sz w:val="20"/>
          <w:szCs w:val="20"/>
        </w:rPr>
        <w:t xml:space="preserve"> </w:t>
      </w:r>
    </w:p>
    <w:p w:rsidR="00000000" w:rsidRDefault="00F5481A">
      <w:pPr>
        <w:ind w:firstLine="360"/>
        <w:divId w:val="18748421"/>
        <w:rPr>
          <w:rFonts w:eastAsia="Times New Roman"/>
        </w:rPr>
      </w:pPr>
      <w:r>
        <w:rPr>
          <w:rFonts w:ascii="IBM Plex Sans" w:eastAsia="Times New Roman" w:hAnsi="IBM Plex Sans"/>
          <w:color w:val="283030"/>
          <w:sz w:val="20"/>
          <w:szCs w:val="20"/>
        </w:rPr>
        <w:t xml:space="preserve">On November 22, 2022, we established a new $2.25 billion, three-year senior unsecured term loan facility by entering into the Term Loan 2025 as described in </w:t>
      </w:r>
      <w:r>
        <w:rPr>
          <w:rFonts w:ascii="IBM Plex Sans" w:eastAsia="Times New Roman" w:hAnsi="IBM Plex Sans"/>
          <w:i/>
          <w:iCs/>
          <w:color w:val="283030"/>
          <w:sz w:val="20"/>
          <w:szCs w:val="20"/>
        </w:rPr>
        <w:t>Note 13: Debt</w:t>
      </w:r>
      <w:r>
        <w:rPr>
          <w:rFonts w:ascii="IBM Plex Sans" w:eastAsia="Times New Roman" w:hAnsi="IBM Plex Sans"/>
          <w:color w:val="283030"/>
          <w:sz w:val="20"/>
          <w:szCs w:val="20"/>
        </w:rPr>
        <w:t xml:space="preserve"> in these Notes</w:t>
      </w:r>
      <w:r>
        <w:rPr>
          <w:rFonts w:ascii="IBM Plex Sans" w:eastAsia="Times New Roman" w:hAnsi="IBM Plex Sans"/>
          <w:i/>
          <w:iCs/>
          <w:color w:val="283030"/>
          <w:sz w:val="20"/>
          <w:szCs w:val="20"/>
        </w:rPr>
        <w:t>.</w:t>
      </w:r>
      <w:r>
        <w:rPr>
          <w:rFonts w:ascii="IBM Plex Sans" w:eastAsia="Times New Roman" w:hAnsi="IBM Plex Sans"/>
          <w:color w:val="283030"/>
          <w:sz w:val="20"/>
          <w:szCs w:val="20"/>
        </w:rPr>
        <w:t xml:space="preserve"> We entered into </w:t>
      </w:r>
      <w:r>
        <w:rPr>
          <w:rFonts w:ascii="IBM Plex Sans" w:eastAsia="Times New Roman" w:hAnsi="IBM Plex Sans"/>
          <w:color w:val="283030"/>
          <w:sz w:val="20"/>
          <w:szCs w:val="20"/>
        </w:rPr>
        <w:t>a 1-year interest rate cap derivative to hedge the variability of the cash flows attributable to the changes in the 1-month Term SOFR Cap Rate, effective December 14, 2022. The fair value of our derivatives designated as interest rate hedges was $15 millio</w:t>
      </w:r>
      <w:r>
        <w:rPr>
          <w:rFonts w:ascii="IBM Plex Sans" w:eastAsia="Times New Roman" w:hAnsi="IBM Plex Sans"/>
          <w:color w:val="283030"/>
          <w:sz w:val="20"/>
          <w:szCs w:val="20"/>
        </w:rPr>
        <w:t xml:space="preserve">n and was included in the “Other current assets” line item in our Consolidated Balance Sheet at December 30, 2022. </w:t>
      </w:r>
    </w:p>
    <w:p w:rsidR="00000000" w:rsidRDefault="00F5481A">
      <w:pPr>
        <w:ind w:firstLine="360"/>
        <w:divId w:val="547763525"/>
        <w:rPr>
          <w:rFonts w:eastAsia="Times New Roman"/>
        </w:rPr>
      </w:pPr>
      <w:r>
        <w:rPr>
          <w:rFonts w:ascii="IBM Plex Sans" w:eastAsia="Times New Roman" w:hAnsi="IBM Plex Sans"/>
          <w:color w:val="283030"/>
          <w:sz w:val="20"/>
          <w:szCs w:val="20"/>
        </w:rPr>
        <w:t xml:space="preserve">On November 25, 2020, in order to fund our optional redemption of the 4.95% 2021 Notes as described in </w:t>
      </w:r>
      <w:r>
        <w:rPr>
          <w:rFonts w:ascii="IBM Plex Sans" w:eastAsia="Times New Roman" w:hAnsi="IBM Plex Sans"/>
          <w:i/>
          <w:iCs/>
          <w:color w:val="283030"/>
          <w:sz w:val="20"/>
          <w:szCs w:val="20"/>
        </w:rPr>
        <w:t>Note 13: Debt</w:t>
      </w:r>
      <w:r>
        <w:rPr>
          <w:rFonts w:ascii="IBM Plex Sans" w:eastAsia="Times New Roman" w:hAnsi="IBM Plex Sans"/>
          <w:color w:val="283030"/>
          <w:sz w:val="20"/>
          <w:szCs w:val="20"/>
        </w:rPr>
        <w:t xml:space="preserve"> in these Notes, we comp</w:t>
      </w:r>
      <w:r>
        <w:rPr>
          <w:rFonts w:ascii="IBM Plex Sans" w:eastAsia="Times New Roman" w:hAnsi="IBM Plex Sans"/>
          <w:color w:val="283030"/>
          <w:sz w:val="20"/>
          <w:szCs w:val="20"/>
        </w:rPr>
        <w:t xml:space="preserve">leted the issuance of $650 million in aggregate principal amount of the 1.80% </w:t>
      </w:r>
    </w:p>
    <w:p w:rsidR="00000000" w:rsidRDefault="00F5481A">
      <w:pPr>
        <w:ind w:firstLine="360"/>
        <w:jc w:val="center"/>
        <w:divId w:val="898133978"/>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103</w:t>
      </w:r>
    </w:p>
    <w:p w:rsidR="00000000" w:rsidRDefault="00F5481A">
      <w:pPr>
        <w:rPr>
          <w:rFonts w:eastAsia="Times New Roman"/>
        </w:rPr>
      </w:pPr>
      <w:r>
        <w:rPr>
          <w:rFonts w:eastAsia="Times New Roman"/>
        </w:rPr>
        <w:pict>
          <v:rect id="_x0000_i1134" style="width:0;height:1.5pt" o:hralign="center" o:hrstd="t" o:hr="t" fillcolor="#a0a0a0" stroked="f"/>
        </w:pict>
      </w:r>
    </w:p>
    <w:p w:rsidR="00000000" w:rsidRDefault="00F5481A">
      <w:pPr>
        <w:ind w:firstLine="360"/>
        <w:divId w:val="1284269738"/>
        <w:rPr>
          <w:rFonts w:eastAsia="Times New Roman"/>
        </w:rPr>
      </w:pPr>
    </w:p>
    <w:p w:rsidR="00000000" w:rsidRDefault="00F5481A">
      <w:pPr>
        <w:divId w:val="5905578"/>
        <w:rPr>
          <w:rFonts w:eastAsia="Times New Roman"/>
        </w:rPr>
      </w:pPr>
      <w:r>
        <w:rPr>
          <w:rFonts w:ascii="IBM Plex Sans" w:eastAsia="Times New Roman" w:hAnsi="IBM Plex Sans"/>
          <w:color w:val="283030"/>
          <w:sz w:val="20"/>
          <w:szCs w:val="20"/>
        </w:rPr>
        <w:t>2031 Notes. In connection with the L3Harris Merger, we assumed t</w:t>
      </w:r>
      <w:r>
        <w:rPr>
          <w:rFonts w:ascii="IBM Plex Sans" w:eastAsia="Times New Roman" w:hAnsi="IBM Plex Sans"/>
          <w:color w:val="283030"/>
          <w:sz w:val="20"/>
          <w:szCs w:val="20"/>
        </w:rPr>
        <w:t>wo treasury locks that were initiated in January 2019 to hedge against fluctuations in interest payments due to changes in the benchmark interest rate (10-year U.S. Treasury rate) associated with the anticipated issuance of debt to redeem or repay the 4.95</w:t>
      </w:r>
      <w:r>
        <w:rPr>
          <w:rFonts w:ascii="IBM Plex Sans" w:eastAsia="Times New Roman" w:hAnsi="IBM Plex Sans"/>
          <w:color w:val="283030"/>
          <w:sz w:val="20"/>
          <w:szCs w:val="20"/>
        </w:rPr>
        <w:t>% 2021 Notes. These treasury locks were terminated as planned in connection with our issuance of the 1.80% 2031 Notes during the quarter ended January 1, 2021, and because interest rates decreased during the period of the treasury locks, we made a cash pay</w:t>
      </w:r>
      <w:r>
        <w:rPr>
          <w:rFonts w:ascii="IBM Plex Sans" w:eastAsia="Times New Roman" w:hAnsi="IBM Plex Sans"/>
          <w:color w:val="283030"/>
          <w:sz w:val="20"/>
          <w:szCs w:val="20"/>
        </w:rPr>
        <w:t>ment to our counterparty and recorded an after-tax loss of $58 million in the “Accumulated other comprehensive loss” line item of our Consolidated Balance Sheet. The accumulated other comprehensive loss balance will be amortized to interest expense over th</w:t>
      </w:r>
      <w:r>
        <w:rPr>
          <w:rFonts w:ascii="IBM Plex Sans" w:eastAsia="Times New Roman" w:hAnsi="IBM Plex Sans"/>
          <w:color w:val="283030"/>
          <w:sz w:val="20"/>
          <w:szCs w:val="20"/>
        </w:rPr>
        <w:t>e life of the 1.80% 2031 Notes. We classified the cash outflow from the termination of these treasury locks as cash used in financing activities in our Consolidated Statement of Cash Flows.</w:t>
      </w:r>
    </w:p>
    <w:p w:rsidR="00000000" w:rsidRDefault="00F5481A">
      <w:pPr>
        <w:divId w:val="1216625278"/>
        <w:rPr>
          <w:rFonts w:eastAsia="Times New Roman"/>
        </w:rPr>
      </w:pPr>
      <w:r>
        <w:rPr>
          <w:rFonts w:ascii="IBM Plex Sans SemiBold" w:eastAsia="Times New Roman" w:hAnsi="IBM Plex Sans SemiBold"/>
          <w:b/>
          <w:bCs/>
          <w:color w:val="016676"/>
          <w:sz w:val="20"/>
          <w:szCs w:val="20"/>
        </w:rPr>
        <w:t>Credit Risk</w:t>
      </w:r>
    </w:p>
    <w:p w:rsidR="00000000" w:rsidRDefault="00F5481A">
      <w:pPr>
        <w:ind w:firstLine="360"/>
        <w:divId w:val="99884236"/>
        <w:rPr>
          <w:rFonts w:eastAsia="Times New Roman"/>
        </w:rPr>
      </w:pPr>
      <w:r>
        <w:rPr>
          <w:rFonts w:ascii="IBM Plex Sans" w:eastAsia="Times New Roman" w:hAnsi="IBM Plex Sans"/>
          <w:color w:val="283030"/>
          <w:sz w:val="20"/>
          <w:szCs w:val="20"/>
        </w:rPr>
        <w:t>We are exposed to the risk of credit losses from non-performance by counterparties to the financial instruments discussed above, but we do not expect any of the counterparties to fail to meet their obligations. To manage credit risks, we select counterpart</w:t>
      </w:r>
      <w:r>
        <w:rPr>
          <w:rFonts w:ascii="IBM Plex Sans" w:eastAsia="Times New Roman" w:hAnsi="IBM Plex Sans"/>
          <w:color w:val="283030"/>
          <w:sz w:val="20"/>
          <w:szCs w:val="20"/>
        </w:rPr>
        <w:t>ies based on credit ratings, limit our exposure to any single counterparty under defined guidelines and monitor the market position with each counterparty.</w:t>
      </w:r>
    </w:p>
    <w:p w:rsidR="00000000" w:rsidRDefault="00F5481A">
      <w:pPr>
        <w:divId w:val="1031691163"/>
        <w:rPr>
          <w:rFonts w:eastAsia="Times New Roman"/>
        </w:rPr>
      </w:pPr>
      <w:r>
        <w:rPr>
          <w:rFonts w:ascii="IBM Plex Sans SemiBold" w:eastAsia="Times New Roman" w:hAnsi="IBM Plex Sans SemiBold"/>
          <w:b/>
          <w:bCs/>
          <w:color w:val="016676"/>
          <w:sz w:val="20"/>
          <w:szCs w:val="20"/>
        </w:rPr>
        <w:t>NOTE 20: NON-OPERATING INCOME, NET</w:t>
      </w:r>
    </w:p>
    <w:p w:rsidR="00000000" w:rsidRDefault="00F5481A">
      <w:pPr>
        <w:ind w:firstLine="360"/>
        <w:divId w:val="2033144240"/>
        <w:rPr>
          <w:rFonts w:eastAsia="Times New Roman"/>
        </w:rPr>
      </w:pPr>
      <w:r>
        <w:rPr>
          <w:rFonts w:ascii="IBM Plex Sans" w:eastAsia="Times New Roman" w:hAnsi="IBM Plex Sans"/>
          <w:color w:val="283030"/>
          <w:sz w:val="20"/>
          <w:szCs w:val="20"/>
        </w:rPr>
        <w:t>The components of Non-operating income, net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4179"/>
        <w:gridCol w:w="38"/>
        <w:gridCol w:w="133"/>
        <w:gridCol w:w="1109"/>
        <w:gridCol w:w="36"/>
        <w:gridCol w:w="36"/>
        <w:gridCol w:w="36"/>
        <w:gridCol w:w="36"/>
        <w:gridCol w:w="133"/>
        <w:gridCol w:w="1109"/>
        <w:gridCol w:w="36"/>
        <w:gridCol w:w="36"/>
        <w:gridCol w:w="36"/>
        <w:gridCol w:w="36"/>
        <w:gridCol w:w="133"/>
        <w:gridCol w:w="1109"/>
        <w:gridCol w:w="36"/>
      </w:tblGrid>
      <w:tr w:rsidR="00000000">
        <w:trPr>
          <w:divId w:val="1917932973"/>
        </w:trPr>
        <w:tc>
          <w:tcPr>
            <w:tcW w:w="50" w:type="pct"/>
            <w:vAlign w:val="center"/>
            <w:hideMark/>
          </w:tcPr>
          <w:p w:rsidR="00000000" w:rsidRDefault="00F5481A">
            <w:pPr>
              <w:ind w:firstLine="360"/>
              <w:rPr>
                <w:rFonts w:eastAsia="Times New Roman"/>
              </w:rPr>
            </w:pPr>
          </w:p>
        </w:tc>
        <w:tc>
          <w:tcPr>
            <w:tcW w:w="2581"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1917932973"/>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15"/>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Fiscal Year Ended</w:t>
            </w:r>
          </w:p>
        </w:tc>
      </w:tr>
      <w:tr w:rsidR="00000000">
        <w:trPr>
          <w:divId w:val="1917932973"/>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January 1, 2021</w:t>
            </w:r>
          </w:p>
        </w:tc>
      </w:tr>
      <w:tr w:rsidR="00000000">
        <w:trPr>
          <w:divId w:val="1917932973"/>
          <w:trHeight w:val="6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917932973"/>
        </w:trPr>
        <w:tc>
          <w:tcPr>
            <w:tcW w:w="0" w:type="auto"/>
            <w:gridSpan w:val="3"/>
            <w:shd w:val="clear" w:color="auto" w:fill="D7EFF1"/>
            <w:tcMar>
              <w:top w:w="30" w:type="dxa"/>
              <w:left w:w="20" w:type="dxa"/>
              <w:bottom w:w="30" w:type="dxa"/>
              <w:right w:w="20" w:type="dxa"/>
            </w:tcMar>
            <w:hideMark/>
          </w:tcPr>
          <w:p w:rsidR="00000000" w:rsidRDefault="00F5481A">
            <w:pPr>
              <w:spacing w:after="100"/>
              <w:ind w:hanging="270"/>
              <w:divId w:val="1584993884"/>
              <w:rPr>
                <w:rFonts w:eastAsia="Times New Roman"/>
              </w:rPr>
            </w:pPr>
            <w:r>
              <w:rPr>
                <w:rFonts w:ascii="IBM Plex Sans" w:eastAsia="Times New Roman" w:hAnsi="IBM Plex Sans"/>
                <w:color w:val="283030"/>
                <w:sz w:val="20"/>
                <w:szCs w:val="20"/>
              </w:rPr>
              <w:t>Non-service FAS pension incom</w:t>
            </w:r>
            <w:r>
              <w:rPr>
                <w:rFonts w:ascii="IBM Plex Sans" w:eastAsia="Times New Roman" w:hAnsi="IBM Plex Sans"/>
                <w:color w:val="283030"/>
                <w:sz w:val="20"/>
                <w:szCs w:val="20"/>
              </w:rPr>
              <w:t>e</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441 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445 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389 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917932973"/>
        </w:trPr>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917932973"/>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917932973"/>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917932973"/>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917932973"/>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Equity investment (losses) gains, net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917932973"/>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Impairment of equity method investment</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(35)</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917932973"/>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Other, net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24 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917932973"/>
        </w:trPr>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425 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439 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401 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bl>
    <w:p w:rsidR="00000000" w:rsidRDefault="00F5481A">
      <w:pPr>
        <w:divId w:val="1917932973"/>
        <w:rPr>
          <w:rFonts w:eastAsia="Times New Roman"/>
        </w:rPr>
      </w:pPr>
      <w:r>
        <w:rPr>
          <w:rFonts w:ascii="IBM Plex Sans" w:eastAsia="Times New Roman" w:hAnsi="IBM Plex Sans"/>
          <w:color w:val="283030"/>
          <w:sz w:val="16"/>
          <w:szCs w:val="16"/>
        </w:rPr>
        <w:t>_______________</w:t>
      </w:r>
    </w:p>
    <w:p w:rsidR="00000000" w:rsidRDefault="00F5481A">
      <w:pPr>
        <w:ind w:hanging="360"/>
        <w:divId w:val="2105178337"/>
        <w:rPr>
          <w:rFonts w:eastAsia="Times New Roman"/>
        </w:rPr>
      </w:pPr>
      <w:r>
        <w:rPr>
          <w:rFonts w:ascii="IBM Plex Sans" w:eastAsia="Times New Roman" w:hAnsi="IBM Plex Sans"/>
          <w:color w:val="283030"/>
          <w:sz w:val="16"/>
          <w:szCs w:val="16"/>
        </w:rPr>
        <w:t xml:space="preserve">(1)Non-service cost components of net periodic benefit income recorded in the “Non-operating income, net” </w:t>
      </w:r>
      <w:r>
        <w:rPr>
          <w:rFonts w:ascii="IBM Plex Sans" w:eastAsia="Times New Roman" w:hAnsi="IBM Plex Sans"/>
          <w:color w:val="283030"/>
          <w:sz w:val="16"/>
          <w:szCs w:val="16"/>
        </w:rPr>
        <w:t>line item in our Consolidated Statement of Operations include interest cost, expected return on plan assets, amortization of net actuarial gain and effect of curtailments or settlements under our pension and postretirement benefit plans.</w:t>
      </w:r>
    </w:p>
    <w:p w:rsidR="00000000" w:rsidRDefault="00F5481A">
      <w:pPr>
        <w:ind w:firstLine="360"/>
        <w:jc w:val="center"/>
        <w:divId w:val="9070257"/>
        <w:rPr>
          <w:rFonts w:eastAsia="Times New Roman"/>
        </w:rPr>
      </w:pPr>
      <w:r>
        <w:rPr>
          <w:rFonts w:ascii="Arial" w:eastAsia="Times New Roman" w:hAnsi="Arial" w:cs="Arial"/>
          <w:b/>
          <w:bCs/>
          <w:color w:val="016676"/>
        </w:rPr>
        <w:t>__________________</w:t>
      </w:r>
      <w:r>
        <w:rPr>
          <w:rFonts w:ascii="Arial" w:eastAsia="Times New Roman" w:hAnsi="Arial" w:cs="Arial"/>
          <w:b/>
          <w:bCs/>
          <w:color w:val="016676"/>
        </w:rPr>
        <w:t>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104</w:t>
      </w:r>
    </w:p>
    <w:p w:rsidR="00000000" w:rsidRDefault="00F5481A">
      <w:pPr>
        <w:rPr>
          <w:rFonts w:eastAsia="Times New Roman"/>
        </w:rPr>
      </w:pPr>
      <w:r>
        <w:rPr>
          <w:rFonts w:eastAsia="Times New Roman"/>
        </w:rPr>
        <w:pict>
          <v:rect id="_x0000_i1135" style="width:0;height:1.5pt" o:hralign="center" o:hrstd="t" o:hr="t" fillcolor="#a0a0a0" stroked="f"/>
        </w:pict>
      </w:r>
    </w:p>
    <w:p w:rsidR="00000000" w:rsidRDefault="00F5481A">
      <w:pPr>
        <w:ind w:firstLine="360"/>
        <w:divId w:val="969941016"/>
        <w:rPr>
          <w:rFonts w:eastAsia="Times New Roman"/>
        </w:rPr>
      </w:pPr>
    </w:p>
    <w:p w:rsidR="00000000" w:rsidRDefault="00F5481A">
      <w:pPr>
        <w:divId w:val="96869833"/>
        <w:rPr>
          <w:rFonts w:eastAsia="Times New Roman"/>
        </w:rPr>
      </w:pPr>
      <w:r>
        <w:rPr>
          <w:rFonts w:ascii="IBM Plex Sans SemiBold" w:eastAsia="Times New Roman" w:hAnsi="IBM Plex Sans SemiBold"/>
          <w:b/>
          <w:bCs/>
          <w:color w:val="016676"/>
          <w:sz w:val="20"/>
          <w:szCs w:val="20"/>
        </w:rPr>
        <w:t>NOTE 21: ACCUMULATED OTHER COMPREHENSIVE LOSS</w:t>
      </w:r>
      <w:r>
        <w:rPr>
          <w:rFonts w:ascii="IBM Plex Sans" w:eastAsia="Times New Roman" w:hAnsi="IBM Plex Sans"/>
          <w:b/>
          <w:bCs/>
          <w:i/>
          <w:iCs/>
          <w:color w:val="283030"/>
          <w:sz w:val="20"/>
          <w:szCs w:val="20"/>
        </w:rPr>
        <w:t xml:space="preserve"> </w:t>
      </w:r>
    </w:p>
    <w:p w:rsidR="00000000" w:rsidRDefault="00F5481A">
      <w:pPr>
        <w:ind w:firstLine="360"/>
        <w:divId w:val="653030365"/>
        <w:rPr>
          <w:rFonts w:eastAsia="Times New Roman"/>
        </w:rPr>
      </w:pPr>
      <w:r>
        <w:rPr>
          <w:rFonts w:ascii="IBM Plex Sans" w:eastAsia="Times New Roman" w:hAnsi="IBM Plex Sans"/>
          <w:color w:val="283030"/>
          <w:sz w:val="20"/>
          <w:szCs w:val="20"/>
        </w:rPr>
        <w:t>The components of AOCI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40"/>
        <w:gridCol w:w="3977"/>
        <w:gridCol w:w="38"/>
        <w:gridCol w:w="133"/>
        <w:gridCol w:w="776"/>
        <w:gridCol w:w="36"/>
        <w:gridCol w:w="36"/>
        <w:gridCol w:w="36"/>
        <w:gridCol w:w="36"/>
        <w:gridCol w:w="133"/>
        <w:gridCol w:w="793"/>
        <w:gridCol w:w="36"/>
        <w:gridCol w:w="36"/>
        <w:gridCol w:w="36"/>
        <w:gridCol w:w="36"/>
        <w:gridCol w:w="133"/>
        <w:gridCol w:w="1056"/>
        <w:gridCol w:w="36"/>
        <w:gridCol w:w="36"/>
        <w:gridCol w:w="36"/>
        <w:gridCol w:w="36"/>
        <w:gridCol w:w="132"/>
        <w:gridCol w:w="627"/>
        <w:gridCol w:w="36"/>
      </w:tblGrid>
      <w:tr w:rsidR="00000000">
        <w:trPr>
          <w:divId w:val="1625503428"/>
        </w:trPr>
        <w:tc>
          <w:tcPr>
            <w:tcW w:w="50" w:type="pct"/>
            <w:vAlign w:val="center"/>
            <w:hideMark/>
          </w:tcPr>
          <w:p w:rsidR="00000000" w:rsidRDefault="00F5481A">
            <w:pPr>
              <w:ind w:firstLine="360"/>
              <w:rPr>
                <w:rFonts w:eastAsia="Times New Roman"/>
              </w:rPr>
            </w:pPr>
          </w:p>
        </w:tc>
        <w:tc>
          <w:tcPr>
            <w:tcW w:w="2524"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51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51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55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51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1625503428"/>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Foreign currency translation</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Net unrealized losses on hedging derivatives</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Unrecognized postretirement obligations</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Total AOCI</w:t>
            </w:r>
          </w:p>
        </w:tc>
      </w:tr>
      <w:tr w:rsidR="00000000">
        <w:trPr>
          <w:divId w:val="1625503428"/>
          <w:trHeight w:val="6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625503428"/>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Balance at December 31, 2021</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(118)</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(89)</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61</w:t>
            </w: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(146)</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5503428"/>
        </w:trPr>
        <w:tc>
          <w:tcPr>
            <w:tcW w:w="0" w:type="auto"/>
            <w:gridSpan w:val="3"/>
            <w:shd w:val="clear" w:color="auto" w:fill="FFFFFF"/>
            <w:tcMar>
              <w:top w:w="30" w:type="dxa"/>
              <w:left w:w="335" w:type="dxa"/>
              <w:bottom w:w="30" w:type="dxa"/>
              <w:right w:w="20" w:type="dxa"/>
            </w:tcMar>
            <w:vAlign w:val="bottom"/>
            <w:hideMark/>
          </w:tcPr>
          <w:p w:rsidR="00000000" w:rsidRDefault="00F5481A">
            <w:pPr>
              <w:spacing w:after="100"/>
              <w:ind w:hanging="180"/>
              <w:rPr>
                <w:rFonts w:eastAsia="Times New Roman"/>
              </w:rPr>
            </w:pPr>
            <w:r>
              <w:rPr>
                <w:rFonts w:ascii="IBM Plex Sans" w:eastAsia="Times New Roman" w:hAnsi="IBM Plex Sans"/>
                <w:color w:val="283030"/>
                <w:sz w:val="20"/>
                <w:szCs w:val="20"/>
              </w:rPr>
              <w:t>Other comprehensive loss, before income taxes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(124)</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(33)</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(167)</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5503428"/>
        </w:trPr>
        <w:tc>
          <w:tcPr>
            <w:tcW w:w="0" w:type="auto"/>
            <w:gridSpan w:val="3"/>
            <w:shd w:val="clear" w:color="auto" w:fill="D7EFF1"/>
            <w:tcMar>
              <w:top w:w="30" w:type="dxa"/>
              <w:left w:w="155"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Income taxes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5503428"/>
        </w:trPr>
        <w:tc>
          <w:tcPr>
            <w:tcW w:w="0" w:type="auto"/>
            <w:gridSpan w:val="3"/>
            <w:shd w:val="clear" w:color="auto" w:fill="FFFFFF"/>
            <w:tcMar>
              <w:top w:w="30" w:type="dxa"/>
              <w:left w:w="335" w:type="dxa"/>
              <w:bottom w:w="30" w:type="dxa"/>
              <w:right w:w="20" w:type="dxa"/>
            </w:tcMar>
            <w:vAlign w:val="bottom"/>
            <w:hideMark/>
          </w:tcPr>
          <w:p w:rsidR="00000000" w:rsidRDefault="00F5481A">
            <w:pPr>
              <w:spacing w:after="100"/>
              <w:ind w:hanging="180"/>
              <w:rPr>
                <w:rFonts w:eastAsia="Times New Roman"/>
              </w:rPr>
            </w:pPr>
            <w:r>
              <w:rPr>
                <w:rFonts w:ascii="IBM Plex Sans" w:eastAsia="Times New Roman" w:hAnsi="IBM Plex Sans"/>
                <w:color w:val="283030"/>
                <w:sz w:val="20"/>
                <w:szCs w:val="20"/>
              </w:rPr>
              <w:t>Other comprehensive loss before reclassifications to earnings, net of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(153)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5503428"/>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divId w:val="235364243"/>
              <w:rPr>
                <w:rFonts w:eastAsia="Times New Roman"/>
              </w:rPr>
            </w:pPr>
            <w:r>
              <w:rPr>
                <w:rFonts w:ascii="IBM Plex Sans" w:eastAsia="Times New Roman" w:hAnsi="IBM Plex Sans"/>
                <w:color w:val="283030"/>
                <w:sz w:val="20"/>
                <w:szCs w:val="20"/>
              </w:rPr>
              <w:t>Losses (gains) reclassified to earning</w:t>
            </w:r>
            <w:r>
              <w:rPr>
                <w:rFonts w:ascii="IBM Plex Sans" w:eastAsia="Times New Roman" w:hAnsi="IBM Plex Sans"/>
                <w:color w:val="283030"/>
                <w:sz w:val="20"/>
                <w:szCs w:val="20"/>
              </w:rPr>
              <w:t>s</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22 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5503428"/>
        </w:trPr>
        <w:tc>
          <w:tcPr>
            <w:tcW w:w="0" w:type="auto"/>
            <w:gridSpan w:val="3"/>
            <w:shd w:val="clear" w:color="auto" w:fill="FFFFFF"/>
            <w:tcMar>
              <w:top w:w="30" w:type="dxa"/>
              <w:left w:w="155"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Income taxes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5503428"/>
        </w:trPr>
        <w:tc>
          <w:tcPr>
            <w:tcW w:w="0" w:type="auto"/>
            <w:gridSpan w:val="3"/>
            <w:shd w:val="clear" w:color="auto" w:fill="D7EFF1"/>
            <w:tcMar>
              <w:top w:w="30" w:type="dxa"/>
              <w:left w:w="335" w:type="dxa"/>
              <w:bottom w:w="30" w:type="dxa"/>
              <w:right w:w="20" w:type="dxa"/>
            </w:tcMar>
            <w:vAlign w:val="bottom"/>
            <w:hideMark/>
          </w:tcPr>
          <w:p w:rsidR="00000000" w:rsidRDefault="00F5481A">
            <w:pPr>
              <w:spacing w:after="100"/>
              <w:ind w:hanging="180"/>
              <w:rPr>
                <w:rFonts w:eastAsia="Times New Roman"/>
              </w:rPr>
            </w:pPr>
            <w:r>
              <w:rPr>
                <w:rFonts w:ascii="IBM Plex Sans" w:eastAsia="Times New Roman" w:hAnsi="IBM Plex Sans"/>
                <w:color w:val="283030"/>
                <w:sz w:val="20"/>
                <w:szCs w:val="20"/>
              </w:rPr>
              <w:t>Losses (gains) reclassified to earnings, net of income taxes</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5503428"/>
        </w:trPr>
        <w:tc>
          <w:tcPr>
            <w:tcW w:w="0" w:type="auto"/>
            <w:gridSpan w:val="3"/>
            <w:shd w:val="clear" w:color="auto" w:fill="FFFFFF"/>
            <w:tcMar>
              <w:top w:w="30" w:type="dxa"/>
              <w:left w:w="200" w:type="dxa"/>
              <w:bottom w:w="30" w:type="dxa"/>
              <w:right w:w="20" w:type="dxa"/>
            </w:tcMar>
            <w:vAlign w:val="bottom"/>
            <w:hideMark/>
          </w:tcPr>
          <w:p w:rsidR="00000000" w:rsidRDefault="00F5481A">
            <w:pPr>
              <w:spacing w:after="100"/>
              <w:ind w:hanging="180"/>
              <w:rPr>
                <w:rFonts w:eastAsia="Times New Roman"/>
              </w:rPr>
            </w:pPr>
            <w:r>
              <w:rPr>
                <w:rFonts w:ascii="IBM Plex Sans" w:eastAsia="Times New Roman" w:hAnsi="IBM Plex Sans"/>
                <w:color w:val="283030"/>
                <w:sz w:val="20"/>
                <w:szCs w:val="20"/>
              </w:rPr>
              <w:t>Other comprehensive (loss) income, net of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(142)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5503428"/>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Balance at December 30, 2022</w:t>
            </w:r>
          </w:p>
        </w:tc>
        <w:tc>
          <w:tcPr>
            <w:tcW w:w="0" w:type="auto"/>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(237)</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(79)</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28</w:t>
            </w:r>
            <w:r>
              <w:rPr>
                <w:rFonts w:ascii="IBM Plex Sans" w:eastAsia="Times New Roman" w:hAnsi="IBM Plex Sans"/>
                <w:color w:val="283030"/>
                <w:sz w:val="20"/>
                <w:szCs w:val="20"/>
              </w:rPr>
              <w:t>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(288)</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5503428"/>
          <w:trHeight w:val="280"/>
        </w:trPr>
        <w:tc>
          <w:tcPr>
            <w:tcW w:w="0" w:type="auto"/>
            <w:gridSpan w:val="3"/>
            <w:shd w:val="clear" w:color="auto" w:fill="FFFFFF"/>
            <w:tcMar>
              <w:top w:w="0" w:type="dxa"/>
              <w:left w:w="335"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5481A">
            <w:pPr>
              <w:spacing w:after="100"/>
              <w:ind w:hanging="18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625503428"/>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Balance at January 1, 2021</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(58)</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(80)</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(701)</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(839)</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5503428"/>
        </w:trPr>
        <w:tc>
          <w:tcPr>
            <w:tcW w:w="0" w:type="auto"/>
            <w:gridSpan w:val="3"/>
            <w:shd w:val="clear" w:color="auto" w:fill="FFFFFF"/>
            <w:tcMar>
              <w:top w:w="30" w:type="dxa"/>
              <w:left w:w="335" w:type="dxa"/>
              <w:bottom w:w="30" w:type="dxa"/>
              <w:right w:w="20" w:type="dxa"/>
            </w:tcMar>
            <w:vAlign w:val="bottom"/>
            <w:hideMark/>
          </w:tcPr>
          <w:p w:rsidR="00000000" w:rsidRDefault="00F5481A">
            <w:pPr>
              <w:spacing w:after="100"/>
              <w:ind w:hanging="180"/>
              <w:rPr>
                <w:rFonts w:eastAsia="Times New Roman"/>
              </w:rPr>
            </w:pPr>
            <w:r>
              <w:rPr>
                <w:rFonts w:ascii="IBM Plex Sans" w:eastAsia="Times New Roman" w:hAnsi="IBM Plex Sans"/>
                <w:color w:val="283030"/>
                <w:sz w:val="20"/>
                <w:szCs w:val="20"/>
              </w:rPr>
              <w:t>Other comprehensive (loss) income, before income taxes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(63)</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1,013 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946 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5503428"/>
        </w:trPr>
        <w:tc>
          <w:tcPr>
            <w:tcW w:w="0" w:type="auto"/>
            <w:gridSpan w:val="3"/>
            <w:shd w:val="clear" w:color="auto" w:fill="D7EFF1"/>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Income taxes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(255)</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(254)</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5503428"/>
        </w:trPr>
        <w:tc>
          <w:tcPr>
            <w:tcW w:w="0" w:type="auto"/>
            <w:gridSpan w:val="3"/>
            <w:shd w:val="clear" w:color="auto" w:fill="FFFFFF"/>
            <w:tcMar>
              <w:top w:w="30" w:type="dxa"/>
              <w:left w:w="335" w:type="dxa"/>
              <w:bottom w:w="30" w:type="dxa"/>
              <w:right w:w="20" w:type="dxa"/>
            </w:tcMar>
            <w:vAlign w:val="bottom"/>
            <w:hideMark/>
          </w:tcPr>
          <w:p w:rsidR="00000000" w:rsidRDefault="00F5481A">
            <w:pPr>
              <w:spacing w:after="100"/>
              <w:ind w:hanging="180"/>
              <w:rPr>
                <w:rFonts w:eastAsia="Times New Roman"/>
              </w:rPr>
            </w:pPr>
            <w:r>
              <w:rPr>
                <w:rFonts w:ascii="IBM Plex Sans" w:eastAsia="Times New Roman" w:hAnsi="IBM Plex Sans"/>
                <w:color w:val="283030"/>
                <w:sz w:val="20"/>
                <w:szCs w:val="20"/>
              </w:rPr>
              <w:t>Other comprehensive (loss) income before reclassifications to earnings, net of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5503428"/>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divId w:val="931279500"/>
              <w:rPr>
                <w:rFonts w:eastAsia="Times New Roman"/>
              </w:rPr>
            </w:pPr>
            <w:r>
              <w:rPr>
                <w:rFonts w:ascii="IBM Plex Sans" w:eastAsia="Times New Roman" w:hAnsi="IBM Plex Sans"/>
                <w:color w:val="283030"/>
                <w:sz w:val="20"/>
                <w:szCs w:val="20"/>
              </w:rPr>
              <w:t>Losses (gains) reclassified to earning</w:t>
            </w:r>
            <w:r>
              <w:rPr>
                <w:rFonts w:ascii="IBM Plex Sans" w:eastAsia="Times New Roman" w:hAnsi="IBM Plex Sans"/>
                <w:color w:val="283030"/>
                <w:sz w:val="20"/>
                <w:szCs w:val="20"/>
              </w:rPr>
              <w:t>s</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5503428"/>
        </w:trPr>
        <w:tc>
          <w:tcPr>
            <w:tcW w:w="0" w:type="auto"/>
            <w:gridSpan w:val="3"/>
            <w:shd w:val="clear" w:color="auto" w:fill="FFFFFF"/>
            <w:tcMar>
              <w:top w:w="30" w:type="dxa"/>
              <w:left w:w="155"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Income taxes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5503428"/>
        </w:trPr>
        <w:tc>
          <w:tcPr>
            <w:tcW w:w="0" w:type="auto"/>
            <w:gridSpan w:val="3"/>
            <w:shd w:val="clear" w:color="auto" w:fill="D7EFF1"/>
            <w:tcMar>
              <w:top w:w="30" w:type="dxa"/>
              <w:left w:w="335" w:type="dxa"/>
              <w:bottom w:w="30" w:type="dxa"/>
              <w:right w:w="20" w:type="dxa"/>
            </w:tcMar>
            <w:vAlign w:val="bottom"/>
            <w:hideMark/>
          </w:tcPr>
          <w:p w:rsidR="00000000" w:rsidRDefault="00F5481A">
            <w:pPr>
              <w:spacing w:after="100"/>
              <w:ind w:hanging="180"/>
              <w:rPr>
                <w:rFonts w:eastAsia="Times New Roman"/>
              </w:rPr>
            </w:pPr>
            <w:r>
              <w:rPr>
                <w:rFonts w:ascii="IBM Plex Sans" w:eastAsia="Times New Roman" w:hAnsi="IBM Plex Sans"/>
                <w:color w:val="283030"/>
                <w:sz w:val="20"/>
                <w:szCs w:val="20"/>
              </w:rPr>
              <w:t>Losses (gains) reclassified to earnings, net of income taxes</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5503428"/>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Other comprehensive (loss) income, net of income taxes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(60)</w:t>
            </w:r>
          </w:p>
        </w:tc>
        <w:tc>
          <w:tcPr>
            <w:tcW w:w="0" w:type="auto"/>
            <w:tcBorders>
              <w:top w:val="single" w:sz="8" w:space="0" w:color="000000"/>
            </w:tcBorders>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w:t>
            </w:r>
          </w:p>
        </w:tc>
        <w:tc>
          <w:tcPr>
            <w:tcW w:w="0" w:type="auto"/>
            <w:tcBorders>
              <w:top w:val="single" w:sz="8" w:space="0" w:color="000000"/>
            </w:tcBorders>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762 </w:t>
            </w:r>
          </w:p>
        </w:tc>
        <w:tc>
          <w:tcPr>
            <w:tcW w:w="0" w:type="auto"/>
            <w:tcBorders>
              <w:top w:val="single" w:sz="8" w:space="0" w:color="000000"/>
            </w:tcBorders>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693 </w:t>
            </w:r>
          </w:p>
        </w:tc>
        <w:tc>
          <w:tcPr>
            <w:tcW w:w="0" w:type="auto"/>
            <w:tcBorders>
              <w:top w:val="single" w:sz="8" w:space="0" w:color="000000"/>
            </w:tcBorders>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25503428"/>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Balance at December 31, 2021</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(118)</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(89)</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61</w:t>
            </w:r>
            <w:r>
              <w:rPr>
                <w:rFonts w:ascii="IBM Plex Sans" w:eastAsia="Times New Roman" w:hAnsi="IBM Plex Sans"/>
                <w:color w:val="283030"/>
                <w:sz w:val="20"/>
                <w:szCs w:val="20"/>
              </w:rPr>
              <w:t>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b/>
                <w:bCs/>
                <w:color w:val="283030"/>
                <w:sz w:val="20"/>
                <w:szCs w:val="20"/>
              </w:rPr>
              <w:t>(</w:t>
            </w:r>
            <w:r>
              <w:rPr>
                <w:rFonts w:ascii="IBM Plex Sans" w:eastAsia="Times New Roman" w:hAnsi="IBM Plex Sans"/>
                <w:b/>
                <w:bCs/>
                <w:color w:val="283030"/>
                <w:sz w:val="20"/>
                <w:szCs w:val="20"/>
              </w:rPr>
              <w:t>146)</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F5481A">
            <w:pPr>
              <w:spacing w:after="100"/>
              <w:jc w:val="right"/>
              <w:rPr>
                <w:rFonts w:eastAsia="Times New Roman"/>
              </w:rPr>
            </w:pPr>
          </w:p>
        </w:tc>
      </w:tr>
    </w:tbl>
    <w:p w:rsidR="00000000" w:rsidRDefault="00F5481A">
      <w:pPr>
        <w:divId w:val="265500816"/>
        <w:rPr>
          <w:rFonts w:eastAsia="Times New Roman"/>
        </w:rPr>
      </w:pPr>
      <w:r>
        <w:rPr>
          <w:rFonts w:ascii="IBM Plex Sans" w:eastAsia="Times New Roman" w:hAnsi="IBM Plex Sans"/>
          <w:color w:val="283030"/>
          <w:sz w:val="16"/>
          <w:szCs w:val="16"/>
        </w:rPr>
        <w:t>_______________</w:t>
      </w:r>
    </w:p>
    <w:p w:rsidR="00000000" w:rsidRDefault="00F5481A">
      <w:pPr>
        <w:ind w:hanging="360"/>
        <w:divId w:val="141042963"/>
        <w:rPr>
          <w:rFonts w:eastAsia="Times New Roman"/>
        </w:rPr>
      </w:pPr>
      <w:r>
        <w:rPr>
          <w:rFonts w:ascii="IBM Plex Sans" w:eastAsia="Times New Roman" w:hAnsi="IBM Plex Sans"/>
          <w:color w:val="283030"/>
          <w:sz w:val="16"/>
          <w:szCs w:val="16"/>
        </w:rPr>
        <w:t>(1)Losses (gains) reclassified to earnings are included in the “Revenue from product sales and services,” “Business divestiture-related gains (</w:t>
      </w:r>
      <w:r>
        <w:rPr>
          <w:rFonts w:ascii="IBM Plex Sans" w:eastAsia="Times New Roman" w:hAnsi="IBM Plex Sans"/>
          <w:color w:val="283030"/>
          <w:sz w:val="16"/>
          <w:szCs w:val="16"/>
        </w:rPr>
        <w:t>losses), net,” “Interest expense” and “Non-operating income, net</w:t>
      </w:r>
      <w:r>
        <w:rPr>
          <w:rFonts w:ascii="IBM Plex Sans" w:eastAsia="Times New Roman" w:hAnsi="IBM Plex Sans"/>
          <w:color w:val="283030"/>
          <w:sz w:val="20"/>
          <w:szCs w:val="20"/>
        </w:rPr>
        <w:t>”</w:t>
      </w:r>
      <w:r>
        <w:rPr>
          <w:rFonts w:ascii="IBM Plex Sans" w:eastAsia="Times New Roman" w:hAnsi="IBM Plex Sans"/>
          <w:color w:val="283030"/>
          <w:sz w:val="16"/>
          <w:szCs w:val="16"/>
        </w:rPr>
        <w:t xml:space="preserve"> line items in our Consolidated Statement of Operations.</w:t>
      </w:r>
    </w:p>
    <w:p w:rsidR="00000000" w:rsidRDefault="00F5481A">
      <w:pPr>
        <w:divId w:val="1836071323"/>
        <w:rPr>
          <w:rFonts w:eastAsia="Times New Roman"/>
        </w:rPr>
      </w:pPr>
      <w:r>
        <w:rPr>
          <w:rFonts w:ascii="IBM Plex Sans SemiBold" w:eastAsia="Times New Roman" w:hAnsi="IBM Plex Sans SemiBold"/>
          <w:b/>
          <w:bCs/>
          <w:color w:val="016676"/>
          <w:sz w:val="20"/>
          <w:szCs w:val="20"/>
        </w:rPr>
        <w:t>NOTE 22: INCOME TAXES</w:t>
      </w:r>
      <w:r>
        <w:rPr>
          <w:rFonts w:ascii="IBM Plex Sans" w:eastAsia="Times New Roman" w:hAnsi="IBM Plex Sans"/>
          <w:b/>
          <w:bCs/>
          <w:i/>
          <w:iCs/>
          <w:color w:val="283030"/>
          <w:sz w:val="20"/>
          <w:szCs w:val="20"/>
        </w:rPr>
        <w:t xml:space="preserve"> </w:t>
      </w:r>
    </w:p>
    <w:p w:rsidR="00000000" w:rsidRDefault="00F5481A">
      <w:pPr>
        <w:divId w:val="20984655"/>
        <w:rPr>
          <w:rFonts w:eastAsia="Times New Roman"/>
        </w:rPr>
      </w:pPr>
      <w:r>
        <w:rPr>
          <w:rFonts w:ascii="IBM Plex Sans SemiBold" w:eastAsia="Times New Roman" w:hAnsi="IBM Plex Sans SemiBold"/>
          <w:b/>
          <w:bCs/>
          <w:color w:val="016676"/>
          <w:sz w:val="20"/>
          <w:szCs w:val="20"/>
        </w:rPr>
        <w:t>Income Tax Provision</w:t>
      </w:r>
    </w:p>
    <w:p w:rsidR="00000000" w:rsidRDefault="00F5481A">
      <w:pPr>
        <w:ind w:firstLine="360"/>
        <w:divId w:val="704141885"/>
        <w:rPr>
          <w:rFonts w:eastAsia="Times New Roman"/>
        </w:rPr>
      </w:pPr>
      <w:r>
        <w:rPr>
          <w:rFonts w:ascii="IBM Plex Sans" w:eastAsia="Times New Roman" w:hAnsi="IBM Plex Sans"/>
          <w:color w:val="283030"/>
          <w:sz w:val="20"/>
          <w:szCs w:val="20"/>
        </w:rPr>
        <w:t>The provisions for current and deferred income taxes are summarized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4179"/>
        <w:gridCol w:w="38"/>
        <w:gridCol w:w="133"/>
        <w:gridCol w:w="1109"/>
        <w:gridCol w:w="36"/>
        <w:gridCol w:w="36"/>
        <w:gridCol w:w="36"/>
        <w:gridCol w:w="36"/>
        <w:gridCol w:w="133"/>
        <w:gridCol w:w="1109"/>
        <w:gridCol w:w="36"/>
        <w:gridCol w:w="36"/>
        <w:gridCol w:w="36"/>
        <w:gridCol w:w="36"/>
        <w:gridCol w:w="133"/>
        <w:gridCol w:w="1109"/>
        <w:gridCol w:w="36"/>
      </w:tblGrid>
      <w:tr w:rsidR="00000000">
        <w:trPr>
          <w:divId w:val="704141885"/>
        </w:trPr>
        <w:tc>
          <w:tcPr>
            <w:tcW w:w="50" w:type="pct"/>
            <w:vAlign w:val="center"/>
            <w:hideMark/>
          </w:tcPr>
          <w:p w:rsidR="00000000" w:rsidRDefault="00F5481A">
            <w:pPr>
              <w:ind w:firstLine="360"/>
              <w:rPr>
                <w:rFonts w:eastAsia="Times New Roman"/>
              </w:rPr>
            </w:pPr>
          </w:p>
        </w:tc>
        <w:tc>
          <w:tcPr>
            <w:tcW w:w="2581"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704141885"/>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Fiscal Year Ended</w:t>
            </w:r>
          </w:p>
        </w:tc>
      </w:tr>
      <w:tr w:rsidR="00000000">
        <w:trPr>
          <w:divId w:val="704141885"/>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January 1, 2021</w:t>
            </w:r>
          </w:p>
        </w:tc>
      </w:tr>
      <w:tr w:rsidR="00000000">
        <w:trPr>
          <w:divId w:val="704141885"/>
          <w:trHeight w:val="6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704141885"/>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Current: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704141885"/>
        </w:trPr>
        <w:tc>
          <w:tcPr>
            <w:tcW w:w="0" w:type="auto"/>
            <w:gridSpan w:val="3"/>
            <w:shd w:val="clear" w:color="auto" w:fill="FFFFFF"/>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United States</w:t>
            </w: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633 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415 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337 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704141885"/>
        </w:trPr>
        <w:tc>
          <w:tcPr>
            <w:tcW w:w="0" w:type="auto"/>
            <w:gridSpan w:val="3"/>
            <w:shd w:val="clear" w:color="auto" w:fill="D7EFF1"/>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International</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76 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704141885"/>
        </w:trPr>
        <w:tc>
          <w:tcPr>
            <w:tcW w:w="0" w:type="auto"/>
            <w:gridSpan w:val="3"/>
            <w:shd w:val="clear" w:color="auto" w:fill="FFFFFF"/>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State and local</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704141885"/>
        </w:trPr>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813 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550 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458 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704141885"/>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Deferred:</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704141885"/>
        </w:trPr>
        <w:tc>
          <w:tcPr>
            <w:tcW w:w="0" w:type="auto"/>
            <w:gridSpan w:val="3"/>
            <w:shd w:val="clear" w:color="auto" w:fill="D7EFF1"/>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United States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(523)</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(55)</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(150)</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704141885"/>
        </w:trPr>
        <w:tc>
          <w:tcPr>
            <w:tcW w:w="0" w:type="auto"/>
            <w:gridSpan w:val="3"/>
            <w:shd w:val="clear" w:color="auto" w:fill="FFFFFF"/>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International</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(61)</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(34)</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(73)</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704141885"/>
        </w:trPr>
        <w:tc>
          <w:tcPr>
            <w:tcW w:w="0" w:type="auto"/>
            <w:gridSpan w:val="3"/>
            <w:shd w:val="clear" w:color="auto" w:fill="D7EFF1"/>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State and local</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(17)</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704141885"/>
        </w:trPr>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(601)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(224)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704141885"/>
        </w:trPr>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212 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440 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234 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bl>
    <w:p w:rsidR="00000000" w:rsidRDefault="00F5481A">
      <w:pPr>
        <w:ind w:firstLine="360"/>
        <w:jc w:val="center"/>
        <w:divId w:val="149372031"/>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105</w:t>
      </w:r>
    </w:p>
    <w:p w:rsidR="00000000" w:rsidRDefault="00F5481A">
      <w:pPr>
        <w:rPr>
          <w:rFonts w:eastAsia="Times New Roman"/>
        </w:rPr>
      </w:pPr>
      <w:r>
        <w:rPr>
          <w:rFonts w:eastAsia="Times New Roman"/>
        </w:rPr>
        <w:pict>
          <v:rect id="_x0000_i1136" style="width:0;height:1.5pt" o:hralign="center" o:hrstd="t" o:hr="t" fillcolor="#a0a0a0" stroked="f"/>
        </w:pict>
      </w:r>
    </w:p>
    <w:p w:rsidR="00000000" w:rsidRDefault="00F5481A">
      <w:pPr>
        <w:ind w:firstLine="360"/>
        <w:divId w:val="881795437"/>
        <w:rPr>
          <w:rFonts w:eastAsia="Times New Roman"/>
        </w:rPr>
      </w:pPr>
    </w:p>
    <w:p w:rsidR="00000000" w:rsidRDefault="00F5481A">
      <w:pPr>
        <w:ind w:firstLine="360"/>
        <w:divId w:val="850027896"/>
        <w:rPr>
          <w:rFonts w:eastAsia="Times New Roman"/>
        </w:rPr>
      </w:pPr>
      <w:r>
        <w:rPr>
          <w:rFonts w:ascii="IBM Plex Sans" w:eastAsia="Times New Roman" w:hAnsi="IBM Plex Sans"/>
          <w:color w:val="283030"/>
          <w:sz w:val="20"/>
          <w:szCs w:val="20"/>
        </w:rPr>
        <w:t>The total income tax provision above was attributable to continuing op</w:t>
      </w:r>
      <w:r>
        <w:rPr>
          <w:rFonts w:ascii="IBM Plex Sans" w:eastAsia="Times New Roman" w:hAnsi="IBM Plex Sans"/>
          <w:color w:val="283030"/>
          <w:sz w:val="20"/>
          <w:szCs w:val="20"/>
        </w:rPr>
        <w:t>erations.</w:t>
      </w:r>
    </w:p>
    <w:tbl>
      <w:tblPr>
        <w:tblW w:w="5000" w:type="pct"/>
        <w:tblCellMar>
          <w:top w:w="15" w:type="dxa"/>
          <w:left w:w="15" w:type="dxa"/>
          <w:bottom w:w="15" w:type="dxa"/>
          <w:right w:w="15" w:type="dxa"/>
        </w:tblCellMar>
        <w:tblLook w:val="04A0" w:firstRow="1" w:lastRow="0" w:firstColumn="1" w:lastColumn="0" w:noHBand="0" w:noVBand="1"/>
      </w:tblPr>
      <w:tblGrid>
        <w:gridCol w:w="53"/>
        <w:gridCol w:w="4261"/>
        <w:gridCol w:w="36"/>
        <w:gridCol w:w="53"/>
        <w:gridCol w:w="1157"/>
        <w:gridCol w:w="36"/>
        <w:gridCol w:w="36"/>
        <w:gridCol w:w="36"/>
        <w:gridCol w:w="36"/>
        <w:gridCol w:w="54"/>
        <w:gridCol w:w="1157"/>
        <w:gridCol w:w="36"/>
        <w:gridCol w:w="36"/>
        <w:gridCol w:w="36"/>
        <w:gridCol w:w="36"/>
        <w:gridCol w:w="54"/>
        <w:gridCol w:w="1157"/>
        <w:gridCol w:w="36"/>
      </w:tblGrid>
      <w:tr w:rsidR="00000000">
        <w:trPr>
          <w:divId w:val="2109084534"/>
        </w:trPr>
        <w:tc>
          <w:tcPr>
            <w:tcW w:w="50" w:type="pct"/>
            <w:vAlign w:val="center"/>
            <w:hideMark/>
          </w:tcPr>
          <w:p w:rsidR="00000000" w:rsidRDefault="00F5481A">
            <w:pPr>
              <w:ind w:firstLine="360"/>
              <w:rPr>
                <w:rFonts w:eastAsia="Times New Roman"/>
              </w:rPr>
            </w:pPr>
          </w:p>
        </w:tc>
        <w:tc>
          <w:tcPr>
            <w:tcW w:w="2581"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2109084534"/>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2109084534"/>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2109084534"/>
          <w:trHeight w:val="60"/>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2109084534"/>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2109084534"/>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2109084534"/>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bl>
    <w:p w:rsidR="00000000" w:rsidRDefault="00F5481A">
      <w:pPr>
        <w:ind w:firstLine="360"/>
        <w:divId w:val="917717228"/>
        <w:rPr>
          <w:rFonts w:eastAsia="Times New Roman"/>
        </w:rPr>
      </w:pPr>
      <w:r>
        <w:rPr>
          <w:rFonts w:ascii="IBM Plex Sans" w:eastAsia="Times New Roman" w:hAnsi="IBM Plex Sans"/>
          <w:color w:val="283030"/>
          <w:sz w:val="20"/>
          <w:szCs w:val="20"/>
        </w:rPr>
        <w:t>A reconciliation of the U.S. statutory income tax rate to our effective income tax rate is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4153"/>
        <w:gridCol w:w="38"/>
        <w:gridCol w:w="53"/>
        <w:gridCol w:w="1035"/>
        <w:gridCol w:w="198"/>
        <w:gridCol w:w="36"/>
        <w:gridCol w:w="36"/>
        <w:gridCol w:w="36"/>
        <w:gridCol w:w="53"/>
        <w:gridCol w:w="1036"/>
        <w:gridCol w:w="198"/>
        <w:gridCol w:w="36"/>
        <w:gridCol w:w="36"/>
        <w:gridCol w:w="36"/>
        <w:gridCol w:w="43"/>
        <w:gridCol w:w="1046"/>
        <w:gridCol w:w="198"/>
      </w:tblGrid>
      <w:tr w:rsidR="00000000">
        <w:trPr>
          <w:divId w:val="918445850"/>
        </w:trPr>
        <w:tc>
          <w:tcPr>
            <w:tcW w:w="50" w:type="pct"/>
            <w:vAlign w:val="center"/>
            <w:hideMark/>
          </w:tcPr>
          <w:p w:rsidR="00000000" w:rsidRDefault="00F5481A">
            <w:pPr>
              <w:ind w:firstLine="360"/>
              <w:rPr>
                <w:rFonts w:eastAsia="Times New Roman"/>
              </w:rPr>
            </w:pPr>
          </w:p>
        </w:tc>
        <w:tc>
          <w:tcPr>
            <w:tcW w:w="2581"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918445850"/>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Fiscal Year Ended</w:t>
            </w:r>
          </w:p>
        </w:tc>
      </w:tr>
      <w:tr w:rsidR="00000000">
        <w:trPr>
          <w:divId w:val="91844585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January 1, 2021</w:t>
            </w:r>
          </w:p>
        </w:tc>
      </w:tr>
      <w:tr w:rsidR="00000000">
        <w:trPr>
          <w:divId w:val="918445850"/>
          <w:trHeight w:val="6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918445850"/>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U.S. statutory income tax rate</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r>
      <w:tr w:rsidR="00000000">
        <w:trPr>
          <w:divId w:val="918445850"/>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State taxes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918445850"/>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International income</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0.4 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0.4 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918445850"/>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Non-deductible goodwill impairment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14.2 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0.6 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918445850"/>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Research and development tax credit</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(13.0)</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(5.9)</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(9.2)</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918445850"/>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 xml:space="preserve">FDII deduction </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(5.1)</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(1.4)</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918445850"/>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Change in valuation allowance</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0.1 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0.9 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0.5 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918445850"/>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Impact of divestitures and reorganizations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918445850"/>
        </w:trPr>
        <w:tc>
          <w:tcPr>
            <w:tcW w:w="0" w:type="auto"/>
            <w:gridSpan w:val="3"/>
            <w:shd w:val="clear" w:color="auto" w:fill="D7EFF1"/>
            <w:tcMar>
              <w:top w:w="30" w:type="dxa"/>
              <w:left w:w="20" w:type="dxa"/>
              <w:bottom w:w="30" w:type="dxa"/>
              <w:right w:w="20" w:type="dxa"/>
            </w:tcMar>
            <w:hideMark/>
          </w:tcPr>
          <w:p w:rsidR="00000000" w:rsidRDefault="00F5481A">
            <w:pPr>
              <w:spacing w:after="100"/>
              <w:divId w:val="799759585"/>
              <w:rPr>
                <w:rFonts w:eastAsia="Times New Roman"/>
              </w:rPr>
            </w:pPr>
            <w:r>
              <w:rPr>
                <w:rFonts w:ascii="IBM Plex Sans" w:eastAsia="Times New Roman" w:hAnsi="IBM Plex Sans"/>
                <w:color w:val="283030"/>
                <w:sz w:val="20"/>
                <w:szCs w:val="20"/>
              </w:rPr>
              <w:t>Equity-based compensatio</w:t>
            </w:r>
            <w:r>
              <w:rPr>
                <w:rFonts w:ascii="IBM Plex Sans" w:eastAsia="Times New Roman" w:hAnsi="IBM Plex Sans"/>
                <w:color w:val="283030"/>
                <w:sz w:val="20"/>
                <w:szCs w:val="20"/>
              </w:rPr>
              <w:t>n</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(0.2)</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918445850"/>
        </w:trPr>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918445850"/>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Settlement of tax audits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(0.7)</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918445850"/>
        </w:trPr>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918445850"/>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Other items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(0.5)</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0.1 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918445850"/>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Effective income tax rate</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16.7 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19.3 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17.7 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p>
        </w:tc>
      </w:tr>
    </w:tbl>
    <w:p w:rsidR="00000000" w:rsidRDefault="00F5481A">
      <w:pPr>
        <w:divId w:val="135029252"/>
        <w:rPr>
          <w:rFonts w:eastAsia="Times New Roman"/>
        </w:rPr>
      </w:pPr>
      <w:r>
        <w:rPr>
          <w:rFonts w:ascii="IBM Plex Sans" w:eastAsia="Times New Roman" w:hAnsi="IBM Plex Sans"/>
          <w:color w:val="283030"/>
          <w:sz w:val="16"/>
          <w:szCs w:val="16"/>
        </w:rPr>
        <w:t>_______________</w:t>
      </w:r>
    </w:p>
    <w:p w:rsidR="00000000" w:rsidRDefault="00F5481A">
      <w:pPr>
        <w:ind w:hanging="360"/>
        <w:divId w:val="1793985612"/>
        <w:rPr>
          <w:rFonts w:eastAsia="Times New Roman"/>
        </w:rPr>
      </w:pPr>
      <w:r>
        <w:rPr>
          <w:rFonts w:ascii="IBM Plex Sans" w:eastAsia="Times New Roman" w:hAnsi="IBM Plex Sans"/>
          <w:color w:val="283030"/>
          <w:sz w:val="16"/>
          <w:szCs w:val="16"/>
        </w:rPr>
        <w:t xml:space="preserve">(1)Includes non-deductible equity-based compensation and excess tax benefits from equity-based compensation. </w:t>
      </w:r>
    </w:p>
    <w:p w:rsidR="00000000" w:rsidRDefault="00F5481A">
      <w:pPr>
        <w:ind w:firstLine="360"/>
        <w:divId w:val="1489008242"/>
        <w:rPr>
          <w:rFonts w:eastAsia="Times New Roman"/>
        </w:rPr>
      </w:pPr>
      <w:r>
        <w:rPr>
          <w:rFonts w:ascii="IBM Plex Sans" w:eastAsia="Times New Roman" w:hAnsi="IBM Plex Sans"/>
          <w:color w:val="283030"/>
          <w:sz w:val="20"/>
          <w:szCs w:val="20"/>
        </w:rPr>
        <w:t>As of December </w:t>
      </w:r>
      <w:r>
        <w:rPr>
          <w:rFonts w:ascii="IBM Plex Sans" w:eastAsia="Times New Roman" w:hAnsi="IBM Plex Sans"/>
          <w:color w:val="283030"/>
          <w:sz w:val="20"/>
          <w:szCs w:val="20"/>
        </w:rPr>
        <w:t>30, 2022, we estimate our outside basis difference in foreign subsidiaries that are considered indefinitely reinvested to be approximately $1.0 billion. The outside basis difference is comprised predominantly of purchase accounting adjustments and to a les</w:t>
      </w:r>
      <w:r>
        <w:rPr>
          <w:rFonts w:ascii="IBM Plex Sans" w:eastAsia="Times New Roman" w:hAnsi="IBM Plex Sans"/>
          <w:color w:val="283030"/>
          <w:sz w:val="20"/>
          <w:szCs w:val="20"/>
        </w:rPr>
        <w:t>ser extent, undistributed earnings and other equity adjustments. In the event of a disposition of the foreign subsidiaries or a distribution, we may be subject to incremental U.S. income taxes, subject to an adjustment for foreign tax credits, and withhold</w:t>
      </w:r>
      <w:r>
        <w:rPr>
          <w:rFonts w:ascii="IBM Plex Sans" w:eastAsia="Times New Roman" w:hAnsi="IBM Plex Sans"/>
          <w:color w:val="283030"/>
          <w:sz w:val="20"/>
          <w:szCs w:val="20"/>
        </w:rPr>
        <w:t xml:space="preserve">ing taxes or income taxes payable to the foreign jurisdictions. As of December 30, 2022, the determination of the amount of unrecognized deferred tax liability related to the outside basis difference is not practicable. </w:t>
      </w:r>
    </w:p>
    <w:p w:rsidR="00000000" w:rsidRDefault="00F5481A">
      <w:pPr>
        <w:divId w:val="429787611"/>
        <w:rPr>
          <w:rFonts w:eastAsia="Times New Roman"/>
        </w:rPr>
      </w:pPr>
      <w:r>
        <w:rPr>
          <w:rFonts w:ascii="IBM Plex Sans SemiBold" w:eastAsia="Times New Roman" w:hAnsi="IBM Plex Sans SemiBold"/>
          <w:b/>
          <w:bCs/>
          <w:color w:val="016676"/>
          <w:sz w:val="20"/>
          <w:szCs w:val="20"/>
        </w:rPr>
        <w:t>Tax Law Changes</w:t>
      </w:r>
    </w:p>
    <w:p w:rsidR="00000000" w:rsidRDefault="00F5481A">
      <w:pPr>
        <w:ind w:firstLine="360"/>
        <w:divId w:val="606229759"/>
        <w:rPr>
          <w:rFonts w:eastAsia="Times New Roman"/>
        </w:rPr>
      </w:pPr>
      <w:r>
        <w:rPr>
          <w:rFonts w:ascii="IBM Plex Sans" w:eastAsia="Times New Roman" w:hAnsi="IBM Plex Sans"/>
          <w:color w:val="283030"/>
          <w:sz w:val="20"/>
          <w:szCs w:val="20"/>
        </w:rPr>
        <w:t>On August 16, 2022,</w:t>
      </w:r>
      <w:r>
        <w:rPr>
          <w:rFonts w:ascii="IBM Plex Sans" w:eastAsia="Times New Roman" w:hAnsi="IBM Plex Sans"/>
          <w:color w:val="283030"/>
          <w:sz w:val="20"/>
          <w:szCs w:val="20"/>
        </w:rPr>
        <w:t xml:space="preserve"> President Biden signed into law the IRA which includes implementation of a new 15% CAMT, a 1% excise tax on stock repurchases and tax incentives for energy and climate initiatives. These provisions are effective beginning January 1, 2023, and we expect th</w:t>
      </w:r>
      <w:r>
        <w:rPr>
          <w:rFonts w:ascii="IBM Plex Sans" w:eastAsia="Times New Roman" w:hAnsi="IBM Plex Sans"/>
          <w:color w:val="283030"/>
          <w:sz w:val="20"/>
          <w:szCs w:val="20"/>
        </w:rPr>
        <w:t xml:space="preserve">em to be immaterial to our financial results, financial position and cash flows. </w:t>
      </w:r>
    </w:p>
    <w:p w:rsidR="00000000" w:rsidRDefault="00F5481A">
      <w:pPr>
        <w:ind w:firstLine="360"/>
        <w:divId w:val="1797986570"/>
        <w:rPr>
          <w:rFonts w:eastAsia="Times New Roman"/>
        </w:rPr>
      </w:pPr>
      <w:r>
        <w:rPr>
          <w:rFonts w:ascii="IBM Plex Sans" w:eastAsia="Times New Roman" w:hAnsi="IBM Plex Sans"/>
          <w:color w:val="283030"/>
          <w:sz w:val="20"/>
          <w:szCs w:val="20"/>
        </w:rPr>
        <w:t>Beginning in fiscal 2022, pursuant to provisions in the TCJA, research and experimental expenditures must be capitalized and amortized over five years instead of deductible w</w:t>
      </w:r>
      <w:r>
        <w:rPr>
          <w:rFonts w:ascii="IBM Plex Sans" w:eastAsia="Times New Roman" w:hAnsi="IBM Plex Sans"/>
          <w:color w:val="283030"/>
          <w:sz w:val="20"/>
          <w:szCs w:val="20"/>
        </w:rPr>
        <w:t xml:space="preserve">hen incurred. </w:t>
      </w:r>
    </w:p>
    <w:p w:rsidR="00000000" w:rsidRDefault="00F5481A">
      <w:pPr>
        <w:ind w:firstLine="360"/>
        <w:jc w:val="center"/>
        <w:divId w:val="766849097"/>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106</w:t>
      </w:r>
    </w:p>
    <w:p w:rsidR="00000000" w:rsidRDefault="00F5481A">
      <w:pPr>
        <w:rPr>
          <w:rFonts w:eastAsia="Times New Roman"/>
        </w:rPr>
      </w:pPr>
      <w:r>
        <w:rPr>
          <w:rFonts w:eastAsia="Times New Roman"/>
        </w:rPr>
        <w:pict>
          <v:rect id="_x0000_i1137" style="width:0;height:1.5pt" o:hralign="center" o:hrstd="t" o:hr="t" fillcolor="#a0a0a0" stroked="f"/>
        </w:pict>
      </w:r>
    </w:p>
    <w:p w:rsidR="00000000" w:rsidRDefault="00F5481A">
      <w:pPr>
        <w:ind w:firstLine="360"/>
        <w:divId w:val="2006930344"/>
        <w:rPr>
          <w:rFonts w:eastAsia="Times New Roman"/>
        </w:rPr>
      </w:pPr>
    </w:p>
    <w:p w:rsidR="00000000" w:rsidRDefault="00F5481A">
      <w:pPr>
        <w:divId w:val="1416126883"/>
        <w:rPr>
          <w:rFonts w:eastAsia="Times New Roman"/>
        </w:rPr>
      </w:pPr>
      <w:r>
        <w:rPr>
          <w:rFonts w:ascii="IBM Plex Sans SemiBold" w:eastAsia="Times New Roman" w:hAnsi="IBM Plex Sans SemiBold"/>
          <w:b/>
          <w:bCs/>
          <w:color w:val="016676"/>
          <w:sz w:val="20"/>
          <w:szCs w:val="20"/>
        </w:rPr>
        <w:t>Deferred Income Tax Assets (Liabilities)</w:t>
      </w:r>
    </w:p>
    <w:p w:rsidR="00000000" w:rsidRDefault="00F5481A">
      <w:pPr>
        <w:ind w:firstLine="360"/>
        <w:divId w:val="1451319200"/>
        <w:rPr>
          <w:rFonts w:eastAsia="Times New Roman"/>
        </w:rPr>
      </w:pPr>
      <w:r>
        <w:rPr>
          <w:rFonts w:ascii="IBM Plex Sans" w:eastAsia="Times New Roman" w:hAnsi="IBM Plex Sans"/>
          <w:color w:val="283030"/>
          <w:sz w:val="20"/>
          <w:szCs w:val="20"/>
        </w:rPr>
        <w:t>The components of deferred income tax assets (liabilities)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485"/>
        <w:gridCol w:w="39"/>
        <w:gridCol w:w="133"/>
        <w:gridCol w:w="1112"/>
        <w:gridCol w:w="36"/>
        <w:gridCol w:w="36"/>
        <w:gridCol w:w="36"/>
        <w:gridCol w:w="36"/>
        <w:gridCol w:w="133"/>
        <w:gridCol w:w="1112"/>
        <w:gridCol w:w="36"/>
        <w:gridCol w:w="36"/>
        <w:gridCol w:w="36"/>
      </w:tblGrid>
      <w:tr w:rsidR="00000000">
        <w:trPr>
          <w:divId w:val="644435545"/>
        </w:trPr>
        <w:tc>
          <w:tcPr>
            <w:tcW w:w="50" w:type="pct"/>
            <w:vAlign w:val="center"/>
            <w:hideMark/>
          </w:tcPr>
          <w:p w:rsidR="00000000" w:rsidRDefault="00F5481A">
            <w:pPr>
              <w:ind w:firstLine="360"/>
              <w:rPr>
                <w:rFonts w:eastAsia="Times New Roman"/>
              </w:rPr>
            </w:pPr>
          </w:p>
        </w:tc>
        <w:tc>
          <w:tcPr>
            <w:tcW w:w="337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644435545"/>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r>
      <w:tr w:rsidR="00000000">
        <w:trPr>
          <w:divId w:val="644435545"/>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644435545"/>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Deferred tax assets:</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644435545"/>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644435545"/>
        </w:trPr>
        <w:tc>
          <w:tcPr>
            <w:tcW w:w="0" w:type="auto"/>
            <w:gridSpan w:val="3"/>
            <w:shd w:val="clear" w:color="auto" w:fill="FFFFFF"/>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Accruals</w:t>
            </w: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227 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288 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644435545"/>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644435545"/>
        </w:trPr>
        <w:tc>
          <w:tcPr>
            <w:tcW w:w="0" w:type="auto"/>
            <w:gridSpan w:val="3"/>
            <w:shd w:val="clear" w:color="auto" w:fill="D7EFF1"/>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Tax loss and credit carryforwards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194 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174 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644435545"/>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644435545"/>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644435545"/>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644435545"/>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644435545"/>
        </w:trPr>
        <w:tc>
          <w:tcPr>
            <w:tcW w:w="0" w:type="auto"/>
            <w:gridSpan w:val="3"/>
            <w:shd w:val="clear" w:color="auto" w:fill="FFFFFF"/>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Pension and other post-employment benefits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644435545"/>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644435545"/>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644435545"/>
        </w:trPr>
        <w:tc>
          <w:tcPr>
            <w:tcW w:w="0" w:type="auto"/>
            <w:gridSpan w:val="3"/>
            <w:shd w:val="clear" w:color="auto" w:fill="D7EFF1"/>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Operating lease obligation</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239 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245 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644435545"/>
        </w:trPr>
        <w:tc>
          <w:tcPr>
            <w:tcW w:w="0" w:type="auto"/>
            <w:gridSpan w:val="3"/>
            <w:shd w:val="clear" w:color="auto" w:fill="FFFFFF"/>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Capitalized research and experimental expenditures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646 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644435545"/>
        </w:trPr>
        <w:tc>
          <w:tcPr>
            <w:tcW w:w="0" w:type="auto"/>
            <w:gridSpan w:val="3"/>
            <w:shd w:val="clear" w:color="auto" w:fill="D7EFF1"/>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 xml:space="preserve">Other </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359 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329 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644435545"/>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644435545"/>
        </w:trPr>
        <w:tc>
          <w:tcPr>
            <w:tcW w:w="0" w:type="auto"/>
            <w:gridSpan w:val="3"/>
            <w:shd w:val="clear" w:color="auto" w:fill="FFFFFF"/>
            <w:tcMar>
              <w:top w:w="30" w:type="dxa"/>
              <w:left w:w="20" w:type="dxa"/>
              <w:bottom w:w="30" w:type="dxa"/>
              <w:right w:w="20" w:type="dxa"/>
            </w:tcMar>
            <w:hideMark/>
          </w:tcPr>
          <w:p w:rsidR="00000000" w:rsidRDefault="00F5481A">
            <w:pPr>
              <w:spacing w:after="100"/>
              <w:divId w:val="604458088"/>
              <w:rPr>
                <w:rFonts w:eastAsia="Times New Roman"/>
              </w:rPr>
            </w:pPr>
            <w:r>
              <w:rPr>
                <w:rFonts w:ascii="IBM Plex Sans" w:eastAsia="Times New Roman" w:hAnsi="IBM Plex Sans"/>
                <w:color w:val="283030"/>
                <w:sz w:val="20"/>
                <w:szCs w:val="20"/>
              </w:rPr>
              <w:t>Valuation allowanc</w:t>
            </w:r>
            <w:r>
              <w:rPr>
                <w:rFonts w:ascii="IBM Plex Sans" w:eastAsia="Times New Roman" w:hAnsi="IBM Plex Sans"/>
                <w:color w:val="283030"/>
                <w:sz w:val="20"/>
                <w:szCs w:val="20"/>
              </w:rPr>
              <w:t>e</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(243)</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(257)</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644435545"/>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Deferred tax assets, net</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1,435 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886 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644435545"/>
          <w:trHeight w:val="280"/>
        </w:trPr>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644435545"/>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Deferred tax liabilities:</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644435545"/>
        </w:trPr>
        <w:tc>
          <w:tcPr>
            <w:tcW w:w="0" w:type="auto"/>
            <w:gridSpan w:val="3"/>
            <w:shd w:val="clear" w:color="auto" w:fill="FFFFFF"/>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Property, plant and equipment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(167)</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(103)</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644435545"/>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644435545"/>
        </w:trPr>
        <w:tc>
          <w:tcPr>
            <w:tcW w:w="0" w:type="auto"/>
            <w:gridSpan w:val="3"/>
            <w:shd w:val="clear" w:color="auto" w:fill="D7EFF1"/>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Acquired intangibles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(1,566)</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(1,663)</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644435545"/>
        </w:trPr>
        <w:tc>
          <w:tcPr>
            <w:tcW w:w="0" w:type="auto"/>
            <w:gridSpan w:val="3"/>
            <w:shd w:val="clear" w:color="auto" w:fill="FFFFFF"/>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Operating lease right-of-use asset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(210)</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(218)</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644435545"/>
        </w:trPr>
        <w:tc>
          <w:tcPr>
            <w:tcW w:w="0" w:type="auto"/>
            <w:gridSpan w:val="3"/>
            <w:shd w:val="clear" w:color="auto" w:fill="D7EFF1"/>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Other</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(138)</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(161)</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644435545"/>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644435545"/>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Deferred tax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(2,081)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(2,145)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644435545"/>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Net deferred tax liabilities</w:t>
            </w: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(646)</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(1,259)</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bl>
    <w:p w:rsidR="00000000" w:rsidRDefault="00F5481A">
      <w:pPr>
        <w:divId w:val="1002393800"/>
        <w:rPr>
          <w:rFonts w:eastAsia="Times New Roman"/>
        </w:rPr>
      </w:pPr>
      <w:r>
        <w:rPr>
          <w:rFonts w:ascii="IBM Plex Sans" w:eastAsia="Times New Roman" w:hAnsi="IBM Plex Sans"/>
          <w:color w:val="283030"/>
          <w:sz w:val="16"/>
          <w:szCs w:val="16"/>
        </w:rPr>
        <w:t>_______________</w:t>
      </w:r>
    </w:p>
    <w:p w:rsidR="00000000" w:rsidRDefault="00F5481A">
      <w:pPr>
        <w:ind w:hanging="360"/>
        <w:divId w:val="893658034"/>
        <w:rPr>
          <w:rFonts w:eastAsia="Times New Roman"/>
        </w:rPr>
      </w:pPr>
      <w:r>
        <w:rPr>
          <w:rFonts w:ascii="IBM Plex Sans" w:eastAsia="Times New Roman" w:hAnsi="IBM Plex Sans"/>
          <w:color w:val="283030"/>
          <w:sz w:val="16"/>
          <w:szCs w:val="16"/>
        </w:rPr>
        <w:t>(1)</w:t>
      </w:r>
      <w:r>
        <w:rPr>
          <w:rFonts w:ascii="IBM Plex Sans" w:eastAsia="Times New Roman" w:hAnsi="IBM Plex Sans"/>
          <w:color w:val="283030"/>
          <w:sz w:val="16"/>
          <w:szCs w:val="16"/>
        </w:rPr>
        <w:t>The valuation allowance has been established to offset certain domestic and foreign deferred tax assets due to uncertainty regarding our ability to realize them in the future. The net change in our valuation allowance in fiscal 2022 and 2021 was a decrease</w:t>
      </w:r>
      <w:r>
        <w:rPr>
          <w:rFonts w:ascii="IBM Plex Sans" w:eastAsia="Times New Roman" w:hAnsi="IBM Plex Sans"/>
          <w:color w:val="283030"/>
          <w:sz w:val="16"/>
          <w:szCs w:val="16"/>
        </w:rPr>
        <w:t xml:space="preserve"> of $14 million and an increase of $92 million, respectively. </w:t>
      </w:r>
    </w:p>
    <w:p w:rsidR="00000000" w:rsidRDefault="00F5481A">
      <w:pPr>
        <w:ind w:firstLine="360"/>
        <w:divId w:val="2033652890"/>
        <w:rPr>
          <w:rFonts w:eastAsia="Times New Roman"/>
        </w:rPr>
      </w:pPr>
      <w:r>
        <w:rPr>
          <w:rFonts w:ascii="IBM Plex Sans" w:eastAsia="Times New Roman" w:hAnsi="IBM Plex Sans"/>
          <w:color w:val="283030"/>
          <w:sz w:val="20"/>
          <w:szCs w:val="20"/>
        </w:rPr>
        <w:t>Net deferred tax assets (liabilities) were classified as follows in our Consolidated Balance Sheet:</w:t>
      </w:r>
    </w:p>
    <w:tbl>
      <w:tblPr>
        <w:tblW w:w="5000" w:type="pct"/>
        <w:tblCellMar>
          <w:top w:w="15" w:type="dxa"/>
          <w:left w:w="15" w:type="dxa"/>
          <w:bottom w:w="15" w:type="dxa"/>
          <w:right w:w="15" w:type="dxa"/>
        </w:tblCellMar>
        <w:tblLook w:val="04A0" w:firstRow="1" w:lastRow="0" w:firstColumn="1" w:lastColumn="0" w:noHBand="0" w:noVBand="1"/>
      </w:tblPr>
      <w:tblGrid>
        <w:gridCol w:w="38"/>
        <w:gridCol w:w="5488"/>
        <w:gridCol w:w="36"/>
        <w:gridCol w:w="133"/>
        <w:gridCol w:w="1113"/>
        <w:gridCol w:w="36"/>
        <w:gridCol w:w="36"/>
        <w:gridCol w:w="36"/>
        <w:gridCol w:w="36"/>
        <w:gridCol w:w="133"/>
        <w:gridCol w:w="1113"/>
        <w:gridCol w:w="36"/>
        <w:gridCol w:w="36"/>
        <w:gridCol w:w="36"/>
      </w:tblGrid>
      <w:tr w:rsidR="00000000">
        <w:trPr>
          <w:divId w:val="2043435227"/>
        </w:trPr>
        <w:tc>
          <w:tcPr>
            <w:tcW w:w="50" w:type="pct"/>
            <w:vAlign w:val="center"/>
            <w:hideMark/>
          </w:tcPr>
          <w:p w:rsidR="00000000" w:rsidRDefault="00F5481A">
            <w:pPr>
              <w:ind w:firstLine="360"/>
              <w:rPr>
                <w:rFonts w:eastAsia="Times New Roman"/>
              </w:rPr>
            </w:pPr>
          </w:p>
        </w:tc>
        <w:tc>
          <w:tcPr>
            <w:tcW w:w="337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2043435227"/>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r>
      <w:tr w:rsidR="00000000">
        <w:trPr>
          <w:divId w:val="2043435227"/>
          <w:trHeight w:val="60"/>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2043435227"/>
        </w:trPr>
        <w:tc>
          <w:tcPr>
            <w:tcW w:w="0" w:type="auto"/>
            <w:gridSpan w:val="3"/>
            <w:shd w:val="clear" w:color="auto" w:fill="D7EFF1"/>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Deferred income tax assets</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85 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2043435227"/>
        </w:trPr>
        <w:tc>
          <w:tcPr>
            <w:tcW w:w="0" w:type="auto"/>
            <w:gridSpan w:val="3"/>
            <w:shd w:val="clear" w:color="auto" w:fill="FFFFFF"/>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Deferred income tax liabilities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(719)</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(1,344)</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2043435227"/>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Net deferred tax liabilities</w:t>
            </w: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(646)</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(1,259)</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bl>
    <w:p w:rsidR="00000000" w:rsidRDefault="00F5481A">
      <w:pPr>
        <w:ind w:firstLine="360"/>
        <w:divId w:val="1649938021"/>
        <w:rPr>
          <w:rFonts w:eastAsia="Times New Roman"/>
        </w:rPr>
      </w:pPr>
      <w:r>
        <w:rPr>
          <w:rFonts w:ascii="IBM Plex Sans" w:eastAsia="Times New Roman" w:hAnsi="IBM Plex Sans"/>
          <w:color w:val="283030"/>
          <w:sz w:val="20"/>
          <w:szCs w:val="20"/>
        </w:rPr>
        <w:t>Tax loss and credit carryforwards at December 30, 2022 have expiration dates ranging from less than one year to no expiration date. A significant portion of the carryforwards are either indefinite or begin expiring 2035. The tax-effected amounts of Federal</w:t>
      </w:r>
      <w:r>
        <w:rPr>
          <w:rFonts w:ascii="IBM Plex Sans" w:eastAsia="Times New Roman" w:hAnsi="IBM Plex Sans"/>
          <w:color w:val="283030"/>
          <w:sz w:val="20"/>
          <w:szCs w:val="20"/>
        </w:rPr>
        <w:t xml:space="preserve">, international and state and local operating loss carryforwards at December 30, 2022 were $5 million, </w:t>
      </w:r>
      <w:r>
        <w:rPr>
          <w:rFonts w:ascii="IBM Plex Sans" w:eastAsia="Times New Roman" w:hAnsi="IBM Plex Sans"/>
          <w:color w:val="000000"/>
          <w:sz w:val="20"/>
          <w:szCs w:val="20"/>
        </w:rPr>
        <w:t>$70 million</w:t>
      </w:r>
      <w:r>
        <w:rPr>
          <w:rFonts w:ascii="IBM Plex Sans" w:eastAsia="Times New Roman" w:hAnsi="IBM Plex Sans"/>
          <w:color w:val="283030"/>
          <w:sz w:val="20"/>
          <w:szCs w:val="20"/>
        </w:rPr>
        <w:t xml:space="preserve"> and $7 million, respectively. The tax-effected amounts of Federal, international and state and local capital loss carryforwards were not mate</w:t>
      </w:r>
      <w:r>
        <w:rPr>
          <w:rFonts w:ascii="IBM Plex Sans" w:eastAsia="Times New Roman" w:hAnsi="IBM Plex Sans"/>
          <w:color w:val="283030"/>
          <w:sz w:val="20"/>
          <w:szCs w:val="20"/>
        </w:rPr>
        <w:t>rial at December 30, 2022. The amounts of Federal, international and state and local credit carryforwards at December 30, 2022 were $5 million, $8 million and $103 million, respectively.</w:t>
      </w:r>
    </w:p>
    <w:p w:rsidR="00000000" w:rsidRDefault="00F5481A">
      <w:pPr>
        <w:ind w:firstLine="360"/>
        <w:divId w:val="1455489772"/>
        <w:rPr>
          <w:rFonts w:eastAsia="Times New Roman"/>
        </w:rPr>
      </w:pPr>
      <w:r>
        <w:rPr>
          <w:rFonts w:ascii="IBM Plex Sans" w:eastAsia="Times New Roman" w:hAnsi="IBM Plex Sans"/>
          <w:color w:val="283030"/>
          <w:sz w:val="20"/>
          <w:szCs w:val="20"/>
        </w:rPr>
        <w:t>Income from continuing operations before income taxes of international subsidiaries was $95 million and $29 million in fiscal 2022 and 2021, respectively, and loss from continuing operations before income taxes of international subsidiaries was $101 millio</w:t>
      </w:r>
      <w:r>
        <w:rPr>
          <w:rFonts w:ascii="IBM Plex Sans" w:eastAsia="Times New Roman" w:hAnsi="IBM Plex Sans"/>
          <w:color w:val="283030"/>
          <w:sz w:val="20"/>
          <w:szCs w:val="20"/>
        </w:rPr>
        <w:t xml:space="preserve">n in fiscal 2020. We paid $309 million, $358 million and $394 million in income taxes, net of refunds received, in fiscal 2022, 2021 and 2020, respectively. </w:t>
      </w:r>
    </w:p>
    <w:p w:rsidR="00000000" w:rsidRDefault="00F5481A">
      <w:pPr>
        <w:ind w:firstLine="360"/>
        <w:jc w:val="center"/>
        <w:divId w:val="267664924"/>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107</w:t>
      </w:r>
    </w:p>
    <w:p w:rsidR="00000000" w:rsidRDefault="00F5481A">
      <w:pPr>
        <w:rPr>
          <w:rFonts w:eastAsia="Times New Roman"/>
        </w:rPr>
      </w:pPr>
      <w:r>
        <w:rPr>
          <w:rFonts w:eastAsia="Times New Roman"/>
        </w:rPr>
        <w:pict>
          <v:rect id="_x0000_i1138" style="width:0;height:1.5pt" o:hralign="center" o:hrstd="t" o:hr="t" fillcolor="#a0a0a0" stroked="f"/>
        </w:pict>
      </w:r>
    </w:p>
    <w:p w:rsidR="00000000" w:rsidRDefault="00F5481A">
      <w:pPr>
        <w:ind w:firstLine="360"/>
        <w:divId w:val="39325516"/>
        <w:rPr>
          <w:rFonts w:eastAsia="Times New Roman"/>
        </w:rPr>
      </w:pPr>
    </w:p>
    <w:p w:rsidR="00000000" w:rsidRDefault="00F5481A">
      <w:pPr>
        <w:divId w:val="1687901805"/>
        <w:rPr>
          <w:rFonts w:eastAsia="Times New Roman"/>
        </w:rPr>
      </w:pPr>
      <w:r>
        <w:rPr>
          <w:rFonts w:ascii="IBM Plex Sans SemiBold" w:eastAsia="Times New Roman" w:hAnsi="IBM Plex Sans SemiBold"/>
          <w:b/>
          <w:bCs/>
          <w:color w:val="016676"/>
          <w:sz w:val="20"/>
          <w:szCs w:val="20"/>
        </w:rPr>
        <w:t>Tax Uncertainties</w:t>
      </w:r>
    </w:p>
    <w:p w:rsidR="00000000" w:rsidRDefault="00F5481A">
      <w:pPr>
        <w:ind w:firstLine="360"/>
        <w:divId w:val="1002125784"/>
        <w:rPr>
          <w:rFonts w:eastAsia="Times New Roman"/>
        </w:rPr>
      </w:pPr>
      <w:r>
        <w:rPr>
          <w:rFonts w:ascii="IBM Plex Sans" w:eastAsia="Times New Roman" w:hAnsi="IBM Plex Sans"/>
          <w:color w:val="283030"/>
          <w:sz w:val="20"/>
          <w:szCs w:val="20"/>
        </w:rPr>
        <w:t>A reconciliation of the beginning and ending amounts of unrecognized tax benefits is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4195"/>
        <w:gridCol w:w="38"/>
        <w:gridCol w:w="133"/>
        <w:gridCol w:w="1122"/>
        <w:gridCol w:w="36"/>
        <w:gridCol w:w="36"/>
        <w:gridCol w:w="36"/>
        <w:gridCol w:w="36"/>
        <w:gridCol w:w="133"/>
        <w:gridCol w:w="1123"/>
        <w:gridCol w:w="36"/>
        <w:gridCol w:w="36"/>
        <w:gridCol w:w="36"/>
        <w:gridCol w:w="36"/>
        <w:gridCol w:w="133"/>
        <w:gridCol w:w="1066"/>
        <w:gridCol w:w="36"/>
      </w:tblGrid>
      <w:tr w:rsidR="00000000">
        <w:trPr>
          <w:divId w:val="1611744233"/>
        </w:trPr>
        <w:tc>
          <w:tcPr>
            <w:tcW w:w="50" w:type="pct"/>
            <w:vAlign w:val="center"/>
            <w:hideMark/>
          </w:tcPr>
          <w:p w:rsidR="00000000" w:rsidRDefault="00F5481A">
            <w:pPr>
              <w:ind w:firstLine="360"/>
              <w:rPr>
                <w:rFonts w:eastAsia="Times New Roman"/>
              </w:rPr>
            </w:pPr>
          </w:p>
        </w:tc>
        <w:tc>
          <w:tcPr>
            <w:tcW w:w="2574"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2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1611744233"/>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Fiscal Year Ended</w:t>
            </w:r>
          </w:p>
        </w:tc>
      </w:tr>
      <w:tr w:rsidR="00000000">
        <w:trPr>
          <w:divId w:val="1611744233"/>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January 1, 2021</w:t>
            </w:r>
          </w:p>
        </w:tc>
      </w:tr>
      <w:tr w:rsidR="00000000">
        <w:trPr>
          <w:divId w:val="1611744233"/>
          <w:trHeight w:val="6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611744233"/>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Balance at beginning of period</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587 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542 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438 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11744233"/>
        </w:trPr>
        <w:tc>
          <w:tcPr>
            <w:tcW w:w="0" w:type="auto"/>
            <w:gridSpan w:val="3"/>
            <w:shd w:val="clear" w:color="auto" w:fill="FFFFFF"/>
            <w:tcMar>
              <w:top w:w="30" w:type="dxa"/>
              <w:left w:w="380" w:type="dxa"/>
              <w:bottom w:w="30" w:type="dxa"/>
              <w:right w:w="20" w:type="dxa"/>
            </w:tcMar>
            <w:hideMark/>
          </w:tcPr>
          <w:p w:rsidR="00000000" w:rsidRDefault="00F5481A">
            <w:pPr>
              <w:spacing w:after="100"/>
              <w:ind w:hanging="180"/>
              <w:rPr>
                <w:rFonts w:eastAsia="Times New Roman"/>
              </w:rPr>
            </w:pPr>
            <w:r>
              <w:rPr>
                <w:rFonts w:ascii="IBM Plex Sans" w:eastAsia="Times New Roman" w:hAnsi="IBM Plex Sans"/>
                <w:color w:val="283030"/>
                <w:sz w:val="20"/>
                <w:szCs w:val="20"/>
              </w:rPr>
              <w:t>Additions based on tax positions taken during current period</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124 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11744233"/>
        </w:trPr>
        <w:tc>
          <w:tcPr>
            <w:tcW w:w="0" w:type="auto"/>
            <w:gridSpan w:val="3"/>
            <w:shd w:val="clear" w:color="auto" w:fill="D7EFF1"/>
            <w:tcMar>
              <w:top w:w="30" w:type="dxa"/>
              <w:left w:w="380" w:type="dxa"/>
              <w:bottom w:w="30" w:type="dxa"/>
              <w:right w:w="20" w:type="dxa"/>
            </w:tcMar>
            <w:hideMark/>
          </w:tcPr>
          <w:p w:rsidR="00000000" w:rsidRDefault="00F5481A">
            <w:pPr>
              <w:spacing w:after="100"/>
              <w:ind w:hanging="180"/>
              <w:rPr>
                <w:rFonts w:eastAsia="Times New Roman"/>
              </w:rPr>
            </w:pPr>
            <w:r>
              <w:rPr>
                <w:rFonts w:ascii="IBM Plex Sans" w:eastAsia="Times New Roman" w:hAnsi="IBM Plex Sans"/>
                <w:color w:val="283030"/>
                <w:sz w:val="20"/>
                <w:szCs w:val="20"/>
              </w:rPr>
              <w:t>Additions based on tax positions taken during prior periods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11744233"/>
        </w:trPr>
        <w:tc>
          <w:tcPr>
            <w:tcW w:w="0" w:type="auto"/>
            <w:gridSpan w:val="3"/>
            <w:shd w:val="clear" w:color="auto" w:fill="FFFFFF"/>
            <w:tcMar>
              <w:top w:w="30" w:type="dxa"/>
              <w:left w:w="20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Additions f</w:t>
            </w:r>
            <w:r>
              <w:rPr>
                <w:rFonts w:ascii="IBM Plex Sans" w:eastAsia="Times New Roman" w:hAnsi="IBM Plex Sans"/>
                <w:color w:val="283030"/>
                <w:sz w:val="20"/>
                <w:szCs w:val="20"/>
              </w:rPr>
              <w:t>or tax positions related to acquired entities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11744233"/>
        </w:trPr>
        <w:tc>
          <w:tcPr>
            <w:tcW w:w="0" w:type="auto"/>
            <w:gridSpan w:val="3"/>
            <w:shd w:val="clear" w:color="auto" w:fill="D7EFF1"/>
            <w:tcMar>
              <w:top w:w="30" w:type="dxa"/>
              <w:left w:w="380" w:type="dxa"/>
              <w:bottom w:w="30" w:type="dxa"/>
              <w:right w:w="20" w:type="dxa"/>
            </w:tcMar>
            <w:hideMark/>
          </w:tcPr>
          <w:p w:rsidR="00000000" w:rsidRDefault="00F5481A">
            <w:pPr>
              <w:spacing w:after="100"/>
              <w:ind w:hanging="180"/>
              <w:rPr>
                <w:rFonts w:eastAsia="Times New Roman"/>
              </w:rPr>
            </w:pPr>
            <w:r>
              <w:rPr>
                <w:rFonts w:ascii="IBM Plex Sans" w:eastAsia="Times New Roman" w:hAnsi="IBM Plex Sans"/>
                <w:color w:val="283030"/>
                <w:sz w:val="20"/>
                <w:szCs w:val="20"/>
              </w:rPr>
              <w:t>Decreases based on tax positions taken during prior periods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(76)</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(64)</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(82)</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11744233"/>
        </w:trPr>
        <w:tc>
          <w:tcPr>
            <w:tcW w:w="0" w:type="auto"/>
            <w:gridSpan w:val="3"/>
            <w:shd w:val="clear" w:color="auto" w:fill="FFFFFF"/>
            <w:tcMar>
              <w:top w:w="30" w:type="dxa"/>
              <w:left w:w="20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Decreases from lapse in statutes of limitations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(15)</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11744233"/>
        </w:trPr>
        <w:tc>
          <w:tcPr>
            <w:tcW w:w="0" w:type="auto"/>
            <w:gridSpan w:val="3"/>
            <w:shd w:val="clear" w:color="auto" w:fill="D7EFF1"/>
            <w:tcMar>
              <w:top w:w="30" w:type="dxa"/>
              <w:left w:w="20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Decreases from settlements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(20)</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611744233"/>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Balance at end of period</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587 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bl>
    <w:p w:rsidR="00000000" w:rsidRDefault="00F5481A">
      <w:pPr>
        <w:ind w:firstLine="360"/>
        <w:divId w:val="1610160584"/>
        <w:rPr>
          <w:rFonts w:eastAsia="Times New Roman"/>
        </w:rPr>
      </w:pPr>
      <w:r>
        <w:rPr>
          <w:rFonts w:ascii="IBM Plex Sans" w:eastAsia="Times New Roman" w:hAnsi="IBM Plex Sans"/>
          <w:color w:val="283030"/>
          <w:sz w:val="20"/>
          <w:szCs w:val="20"/>
        </w:rPr>
        <w:t xml:space="preserve">As of December 30, 2022, we had $613 million of unrecognized tax benefits, of which $486 </w:t>
      </w:r>
      <w:r>
        <w:rPr>
          <w:rFonts w:ascii="IBM Plex Sans" w:eastAsia="Times New Roman" w:hAnsi="IBM Plex Sans"/>
          <w:color w:val="283030"/>
          <w:sz w:val="20"/>
          <w:szCs w:val="20"/>
        </w:rPr>
        <w:t>million would favorably impact our future tax rates in the event that the tax benefits are eventually recognized. As of December 31, 2021, we had $587 million of unrecognized tax benefits, of which $488 million would favorably impact our future tax rates i</w:t>
      </w:r>
      <w:r>
        <w:rPr>
          <w:rFonts w:ascii="IBM Plex Sans" w:eastAsia="Times New Roman" w:hAnsi="IBM Plex Sans"/>
          <w:color w:val="283030"/>
          <w:sz w:val="20"/>
          <w:szCs w:val="20"/>
        </w:rPr>
        <w:t>n the event that the tax benefits are eventually recognized.</w:t>
      </w:r>
    </w:p>
    <w:p w:rsidR="00000000" w:rsidRDefault="00F5481A">
      <w:pPr>
        <w:ind w:firstLine="360"/>
        <w:divId w:val="799373874"/>
        <w:rPr>
          <w:rFonts w:eastAsia="Times New Roman"/>
        </w:rPr>
      </w:pPr>
      <w:r>
        <w:rPr>
          <w:rFonts w:ascii="IBM Plex Sans" w:eastAsia="Times New Roman" w:hAnsi="IBM Plex Sans"/>
          <w:color w:val="283030"/>
          <w:sz w:val="20"/>
          <w:szCs w:val="20"/>
        </w:rPr>
        <w:t>We recognize accrued interest and penalties related to unrecognized tax benefits as part of our income tax expense. We recognized interest and penalties of $12 million, $3 million and $14 million</w:t>
      </w:r>
      <w:r>
        <w:rPr>
          <w:rFonts w:ascii="IBM Plex Sans" w:eastAsia="Times New Roman" w:hAnsi="IBM Plex Sans"/>
          <w:color w:val="283030"/>
          <w:sz w:val="20"/>
          <w:szCs w:val="20"/>
        </w:rPr>
        <w:t xml:space="preserve"> in fiscal 2022, 2021 and 2020, respectively. We had accrued $59 million for the potential payment of interest and penalties as of December 30, 2022 (and this amount was not included in the $613 million of unrecognized tax benefits balance at December 30, </w:t>
      </w:r>
      <w:r>
        <w:rPr>
          <w:rFonts w:ascii="IBM Plex Sans" w:eastAsia="Times New Roman" w:hAnsi="IBM Plex Sans"/>
          <w:color w:val="283030"/>
          <w:sz w:val="20"/>
          <w:szCs w:val="20"/>
        </w:rPr>
        <w:t xml:space="preserve">2022 shown above). We had accrued $47 million for the potential payment of interest and penalties as of December 31, 2021 (and this amount was not included in the $587 million of unrecognized tax benefits balance at December 31, 2021 shown above). </w:t>
      </w:r>
    </w:p>
    <w:p w:rsidR="00000000" w:rsidRDefault="00F5481A">
      <w:pPr>
        <w:ind w:firstLine="360"/>
        <w:divId w:val="166869677"/>
        <w:rPr>
          <w:rFonts w:eastAsia="Times New Roman"/>
        </w:rPr>
      </w:pPr>
      <w:r>
        <w:rPr>
          <w:rFonts w:ascii="IBM Plex Sans" w:eastAsia="Times New Roman" w:hAnsi="IBM Plex Sans"/>
          <w:color w:val="283030"/>
          <w:sz w:val="20"/>
          <w:szCs w:val="20"/>
        </w:rPr>
        <w:t>We file</w:t>
      </w:r>
      <w:r>
        <w:rPr>
          <w:rFonts w:ascii="IBM Plex Sans" w:eastAsia="Times New Roman" w:hAnsi="IBM Plex Sans"/>
          <w:color w:val="283030"/>
          <w:sz w:val="20"/>
          <w:szCs w:val="20"/>
        </w:rPr>
        <w:t xml:space="preserve"> numerous separate and consolidated income tax returns reporting our financial results and, where appropriate, those of our subsidiaries and affiliates, in the U.S. Federal jurisdiction and various state, local and foreign jurisdictions. Pursuant to the Co</w:t>
      </w:r>
      <w:r>
        <w:rPr>
          <w:rFonts w:ascii="IBM Plex Sans" w:eastAsia="Times New Roman" w:hAnsi="IBM Plex Sans"/>
          <w:color w:val="283030"/>
          <w:sz w:val="20"/>
          <w:szCs w:val="20"/>
        </w:rPr>
        <w:t>mpliance Assurance Process, the IRS is examining the Harris Federal tax returns for fiscal 2017, 2018, 2019 and 2020 and refund claims related to fiscal 2010 through 2016. In addition, legacy L3’s Federal tax returns for calendar years 2017 and 2018 are cu</w:t>
      </w:r>
      <w:r>
        <w:rPr>
          <w:rFonts w:ascii="IBM Plex Sans" w:eastAsia="Times New Roman" w:hAnsi="IBM Plex Sans"/>
          <w:color w:val="283030"/>
          <w:sz w:val="20"/>
          <w:szCs w:val="20"/>
        </w:rPr>
        <w:t>rrently under IRS examination and refund claims related to calendar years 2012, 2013, 2015 and 2016 have been filed with the IRS.</w:t>
      </w:r>
    </w:p>
    <w:p w:rsidR="00000000" w:rsidRDefault="00F5481A">
      <w:pPr>
        <w:ind w:firstLine="360"/>
        <w:divId w:val="634918451"/>
        <w:rPr>
          <w:rFonts w:eastAsia="Times New Roman"/>
        </w:rPr>
      </w:pPr>
      <w:r>
        <w:rPr>
          <w:rFonts w:ascii="IBM Plex Sans" w:eastAsia="Times New Roman" w:hAnsi="IBM Plex Sans"/>
          <w:color w:val="283030"/>
          <w:sz w:val="20"/>
          <w:szCs w:val="20"/>
        </w:rPr>
        <w:t>We are currently under examination or contesting proposed adjustments by various state and international tax authorities for f</w:t>
      </w:r>
      <w:r>
        <w:rPr>
          <w:rFonts w:ascii="IBM Plex Sans" w:eastAsia="Times New Roman" w:hAnsi="IBM Plex Sans"/>
          <w:color w:val="283030"/>
          <w:sz w:val="20"/>
          <w:szCs w:val="20"/>
        </w:rPr>
        <w:t>iscal years ranging from 2013 through 2020. It is reasonably possible that there could be a significant decrease or increase to our unrecognized tax benefit balance during the course of the next twelve months as these examinations continue, other tax exami</w:t>
      </w:r>
      <w:r>
        <w:rPr>
          <w:rFonts w:ascii="IBM Plex Sans" w:eastAsia="Times New Roman" w:hAnsi="IBM Plex Sans"/>
          <w:color w:val="283030"/>
          <w:sz w:val="20"/>
          <w:szCs w:val="20"/>
        </w:rPr>
        <w:t>nations commence or various statutes of limitations expire. An estimate of the range of possible changes is not practicable for the remaining unrecognized tax benefits because of the significant number of jurisdictions in which we do business and the numbe</w:t>
      </w:r>
      <w:r>
        <w:rPr>
          <w:rFonts w:ascii="IBM Plex Sans" w:eastAsia="Times New Roman" w:hAnsi="IBM Plex Sans"/>
          <w:color w:val="283030"/>
          <w:sz w:val="20"/>
          <w:szCs w:val="20"/>
        </w:rPr>
        <w:t>r of open tax periods under various stages of examination.</w:t>
      </w:r>
    </w:p>
    <w:p w:rsidR="00000000" w:rsidRDefault="00F5481A">
      <w:pPr>
        <w:divId w:val="504784869"/>
        <w:rPr>
          <w:rFonts w:eastAsia="Times New Roman"/>
        </w:rPr>
      </w:pPr>
      <w:r>
        <w:rPr>
          <w:rFonts w:ascii="IBM Plex Sans SemiBold" w:eastAsia="Times New Roman" w:hAnsi="IBM Plex Sans SemiBold"/>
          <w:b/>
          <w:bCs/>
          <w:color w:val="016676"/>
          <w:sz w:val="20"/>
          <w:szCs w:val="20"/>
        </w:rPr>
        <w:t>NOTE 23: BACKLOG</w:t>
      </w:r>
      <w:r>
        <w:rPr>
          <w:rFonts w:ascii="IBM Plex Sans" w:eastAsia="Times New Roman" w:hAnsi="IBM Plex Sans"/>
          <w:b/>
          <w:bCs/>
          <w:color w:val="283030"/>
          <w:sz w:val="20"/>
          <w:szCs w:val="20"/>
        </w:rPr>
        <w:t xml:space="preserve"> </w:t>
      </w:r>
    </w:p>
    <w:p w:rsidR="00000000" w:rsidRDefault="00F5481A">
      <w:pPr>
        <w:ind w:firstLine="360"/>
        <w:divId w:val="1948849812"/>
        <w:rPr>
          <w:rFonts w:eastAsia="Times New Roman"/>
        </w:rPr>
      </w:pPr>
      <w:r>
        <w:rPr>
          <w:rFonts w:ascii="IBM Plex Sans" w:eastAsia="Times New Roman" w:hAnsi="IBM Plex Sans"/>
          <w:color w:val="283030"/>
          <w:sz w:val="20"/>
          <w:szCs w:val="20"/>
        </w:rPr>
        <w:t>Backlog, which is the equivalent of our remaining performance obligations, represents the future revenue we expect to recognize as we perform on our current contracts. Backlog com</w:t>
      </w:r>
      <w:r>
        <w:rPr>
          <w:rFonts w:ascii="IBM Plex Sans" w:eastAsia="Times New Roman" w:hAnsi="IBM Plex Sans"/>
          <w:color w:val="283030"/>
          <w:sz w:val="20"/>
          <w:szCs w:val="20"/>
        </w:rPr>
        <w:t xml:space="preserve">prises both funded backlog (i.e., firm orders for which funding is authorized and appropriated) and unfunded backlog. Backlog excludes unexercised contract options and potential orders under ordering-type contracts, such as IDIQ contracts. </w:t>
      </w:r>
    </w:p>
    <w:p w:rsidR="00000000" w:rsidRDefault="00F5481A">
      <w:pPr>
        <w:ind w:firstLine="360"/>
        <w:divId w:val="1134367296"/>
        <w:rPr>
          <w:rFonts w:eastAsia="Times New Roman"/>
        </w:rPr>
      </w:pPr>
      <w:r>
        <w:rPr>
          <w:rFonts w:ascii="IBM Plex Sans" w:eastAsia="Times New Roman" w:hAnsi="IBM Plex Sans"/>
          <w:color w:val="283030"/>
          <w:sz w:val="20"/>
          <w:szCs w:val="20"/>
        </w:rPr>
        <w:t>At December 30,</w:t>
      </w:r>
      <w:r>
        <w:rPr>
          <w:rFonts w:ascii="IBM Plex Sans" w:eastAsia="Times New Roman" w:hAnsi="IBM Plex Sans"/>
          <w:color w:val="283030"/>
          <w:sz w:val="20"/>
          <w:szCs w:val="20"/>
        </w:rPr>
        <w:t xml:space="preserve"> 2022, our ending backlog was $22.3 billion. We expect to recognize approximately 55% of the revenue associated with this backlog by the end of 2023 and approximately 75% by the end of 2024, with the remainder to be recognized thereafter. At December 31, 2</w:t>
      </w:r>
      <w:r>
        <w:rPr>
          <w:rFonts w:ascii="IBM Plex Sans" w:eastAsia="Times New Roman" w:hAnsi="IBM Plex Sans"/>
          <w:color w:val="283030"/>
          <w:sz w:val="20"/>
          <w:szCs w:val="20"/>
        </w:rPr>
        <w:t>021, our ending backlog was $21.1 billion.</w:t>
      </w:r>
    </w:p>
    <w:p w:rsidR="00000000" w:rsidRDefault="00F5481A">
      <w:pPr>
        <w:divId w:val="720058177"/>
        <w:rPr>
          <w:rFonts w:eastAsia="Times New Roman"/>
        </w:rPr>
      </w:pPr>
      <w:r>
        <w:rPr>
          <w:rFonts w:ascii="IBM Plex Sans SemiBold" w:eastAsia="Times New Roman" w:hAnsi="IBM Plex Sans SemiBold"/>
          <w:b/>
          <w:bCs/>
          <w:color w:val="016676"/>
          <w:sz w:val="20"/>
          <w:szCs w:val="20"/>
        </w:rPr>
        <w:t xml:space="preserve">NOTE 24: BUSINESS SEGMENTS </w:t>
      </w:r>
    </w:p>
    <w:p w:rsidR="00000000" w:rsidRDefault="00F5481A">
      <w:pPr>
        <w:ind w:firstLine="360"/>
        <w:divId w:val="1548302042"/>
        <w:rPr>
          <w:rFonts w:eastAsia="Times New Roman"/>
        </w:rPr>
      </w:pPr>
      <w:r>
        <w:rPr>
          <w:rFonts w:ascii="IBM Plex Sans" w:eastAsia="Times New Roman" w:hAnsi="IBM Plex Sans"/>
          <w:color w:val="283030"/>
          <w:sz w:val="20"/>
          <w:szCs w:val="20"/>
        </w:rPr>
        <w:t>We structure our operations primarily around the products, systems and services we sell and the markets we serve and report our financial results in the following three reportable segme</w:t>
      </w:r>
      <w:r>
        <w:rPr>
          <w:rFonts w:ascii="IBM Plex Sans" w:eastAsia="Times New Roman" w:hAnsi="IBM Plex Sans"/>
          <w:color w:val="283030"/>
          <w:sz w:val="20"/>
          <w:szCs w:val="20"/>
        </w:rPr>
        <w:t>nts:</w:t>
      </w:r>
    </w:p>
    <w:p w:rsidR="00000000" w:rsidRDefault="00F5481A">
      <w:pPr>
        <w:ind w:firstLine="360"/>
        <w:jc w:val="center"/>
        <w:divId w:val="1517184999"/>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108</w:t>
      </w:r>
    </w:p>
    <w:p w:rsidR="00000000" w:rsidRDefault="00F5481A">
      <w:pPr>
        <w:rPr>
          <w:rFonts w:eastAsia="Times New Roman"/>
        </w:rPr>
      </w:pPr>
      <w:r>
        <w:rPr>
          <w:rFonts w:eastAsia="Times New Roman"/>
        </w:rPr>
        <w:pict>
          <v:rect id="_x0000_i1139" style="width:0;height:1.5pt" o:hralign="center" o:hrstd="t" o:hr="t" fillcolor="#a0a0a0" stroked="f"/>
        </w:pict>
      </w:r>
    </w:p>
    <w:p w:rsidR="00000000" w:rsidRDefault="00F5481A">
      <w:pPr>
        <w:ind w:firstLine="360"/>
        <w:divId w:val="49307884"/>
        <w:rPr>
          <w:rFonts w:eastAsia="Times New Roman"/>
        </w:rPr>
      </w:pPr>
    </w:p>
    <w:p w:rsidR="00000000" w:rsidRDefault="00F5481A">
      <w:pPr>
        <w:ind w:hanging="360"/>
        <w:divId w:val="1834835775"/>
        <w:rPr>
          <w:rFonts w:eastAsia="Times New Roman"/>
        </w:rPr>
      </w:pPr>
      <w:r>
        <w:rPr>
          <w:rFonts w:ascii="IBM Plex Sans" w:eastAsia="Times New Roman" w:hAnsi="IBM Plex Sans"/>
          <w:color w:val="283030"/>
          <w:sz w:val="20"/>
          <w:szCs w:val="20"/>
        </w:rPr>
        <w:t>•Integrated Mission Systems: including multi-mission ISR systems; integrated electrical and electronic systems for maritime platforms; advanced EO/IR solutions; fuzing and ordnance systems; commercial aviation products</w:t>
      </w:r>
      <w:r>
        <w:rPr>
          <w:rFonts w:ascii="IBM Plex Sans" w:eastAsia="Times New Roman" w:hAnsi="IBM Plex Sans"/>
          <w:color w:val="283030"/>
          <w:sz w:val="20"/>
          <w:szCs w:val="20"/>
        </w:rPr>
        <w:t>; and commercial pilot training operations;</w:t>
      </w:r>
    </w:p>
    <w:p w:rsidR="00000000" w:rsidRDefault="00F5481A">
      <w:pPr>
        <w:ind w:hanging="360"/>
        <w:divId w:val="139268549"/>
        <w:rPr>
          <w:rFonts w:eastAsia="Times New Roman"/>
        </w:rPr>
      </w:pPr>
      <w:r>
        <w:rPr>
          <w:rFonts w:ascii="IBM Plex Sans" w:eastAsia="Times New Roman" w:hAnsi="IBM Plex Sans"/>
          <w:color w:val="283030"/>
          <w:sz w:val="20"/>
          <w:szCs w:val="20"/>
        </w:rPr>
        <w:t>•Space &amp; Airborne Systems: including space payloads, sensors and full-mission solutions; classified intelligence and cyber; avionics; electronic warfare; and mission networks for air traffic management operations</w:t>
      </w:r>
      <w:r>
        <w:rPr>
          <w:rFonts w:ascii="IBM Plex Sans" w:eastAsia="Times New Roman" w:hAnsi="IBM Plex Sans"/>
          <w:color w:val="283030"/>
          <w:sz w:val="20"/>
          <w:szCs w:val="20"/>
        </w:rPr>
        <w:t>; and</w:t>
      </w:r>
    </w:p>
    <w:p w:rsidR="00000000" w:rsidRDefault="00F5481A">
      <w:pPr>
        <w:ind w:hanging="360"/>
        <w:divId w:val="1215509503"/>
        <w:rPr>
          <w:rFonts w:eastAsia="Times New Roman"/>
        </w:rPr>
      </w:pPr>
      <w:r>
        <w:rPr>
          <w:rFonts w:ascii="IBM Plex Sans" w:eastAsia="Times New Roman" w:hAnsi="IBM Plex Sans"/>
          <w:color w:val="283030"/>
          <w:sz w:val="20"/>
          <w:szCs w:val="20"/>
        </w:rPr>
        <w:t xml:space="preserve">•Communication Systems: including tactical communications with global communications solutions; broadband communications; integrated vision solutions; and public safety radios, system applications and equipment. </w:t>
      </w:r>
    </w:p>
    <w:p w:rsidR="00000000" w:rsidRDefault="00F5481A">
      <w:pPr>
        <w:divId w:val="1142044424"/>
        <w:rPr>
          <w:rFonts w:eastAsia="Times New Roman"/>
        </w:rPr>
      </w:pPr>
      <w:r>
        <w:rPr>
          <w:rFonts w:ascii="IBM Plex Sans SemiBold" w:eastAsia="Times New Roman" w:hAnsi="IBM Plex Sans SemiBold"/>
          <w:b/>
          <w:bCs/>
          <w:color w:val="016676"/>
          <w:sz w:val="20"/>
          <w:szCs w:val="20"/>
        </w:rPr>
        <w:t>Organizational Structure</w:t>
      </w:r>
    </w:p>
    <w:p w:rsidR="00000000" w:rsidRDefault="00F5481A">
      <w:pPr>
        <w:ind w:firstLine="360"/>
        <w:divId w:val="909777314"/>
        <w:rPr>
          <w:rFonts w:eastAsia="Times New Roman"/>
        </w:rPr>
      </w:pPr>
      <w:r>
        <w:rPr>
          <w:rFonts w:ascii="IBM Plex Sans" w:eastAsia="Times New Roman" w:hAnsi="IBM Plex Sans"/>
          <w:color w:val="283030"/>
          <w:sz w:val="20"/>
          <w:szCs w:val="20"/>
        </w:rPr>
        <w:t>Effective Ja</w:t>
      </w:r>
      <w:r>
        <w:rPr>
          <w:rFonts w:ascii="IBM Plex Sans" w:eastAsia="Times New Roman" w:hAnsi="IBM Plex Sans"/>
          <w:color w:val="283030"/>
          <w:sz w:val="20"/>
          <w:szCs w:val="20"/>
        </w:rPr>
        <w:t>nuary 1, 2022, we streamlined our business segments from four business segments to three business segments. As a result of the segment reorganization, the Aviation Systems segment was eliminated as a business segment. As part of our new business segment st</w:t>
      </w:r>
      <w:r>
        <w:rPr>
          <w:rFonts w:ascii="IBM Plex Sans" w:eastAsia="Times New Roman" w:hAnsi="IBM Plex Sans"/>
          <w:color w:val="283030"/>
          <w:sz w:val="20"/>
          <w:szCs w:val="20"/>
        </w:rPr>
        <w:t>ructure, the ongoing operations that had been part of our former Aviation Systems segment were integrated into the remaining segments. Fuzing and ordnance systems, commercial aviation products and commercial pilot training operations were moved into our IM</w:t>
      </w:r>
      <w:r>
        <w:rPr>
          <w:rFonts w:ascii="IBM Plex Sans" w:eastAsia="Times New Roman" w:hAnsi="IBM Plex Sans"/>
          <w:color w:val="283030"/>
          <w:sz w:val="20"/>
          <w:szCs w:val="20"/>
        </w:rPr>
        <w:t>S segment; and mission networks for air traffic management operations was moved into our SAS segment.</w:t>
      </w:r>
    </w:p>
    <w:p w:rsidR="00000000" w:rsidRDefault="00F5481A">
      <w:pPr>
        <w:ind w:firstLine="360"/>
        <w:divId w:val="1912961941"/>
        <w:rPr>
          <w:rFonts w:eastAsia="Times New Roman"/>
        </w:rPr>
      </w:pPr>
      <w:r>
        <w:rPr>
          <w:rFonts w:ascii="IBM Plex Sans" w:eastAsia="Times New Roman" w:hAnsi="IBM Plex Sans"/>
          <w:color w:val="283030"/>
          <w:sz w:val="20"/>
          <w:szCs w:val="20"/>
        </w:rPr>
        <w:t>During fiscal 2022, we adjusted our reporting within our IMS segment to better align our businesses and transferred our precision engagement business, whi</w:t>
      </w:r>
      <w:r>
        <w:rPr>
          <w:rFonts w:ascii="IBM Plex Sans" w:eastAsia="Times New Roman" w:hAnsi="IBM Plex Sans"/>
          <w:color w:val="283030"/>
          <w:sz w:val="20"/>
          <w:szCs w:val="20"/>
        </w:rPr>
        <w:t>ch includes fuzing and ordnance systems, from ADG to Electro Optical.</w:t>
      </w:r>
    </w:p>
    <w:p w:rsidR="00000000" w:rsidRDefault="00F5481A">
      <w:pPr>
        <w:ind w:firstLine="360"/>
        <w:divId w:val="921570825"/>
        <w:rPr>
          <w:rFonts w:eastAsia="Times New Roman"/>
        </w:rPr>
      </w:pPr>
      <w:r>
        <w:rPr>
          <w:rFonts w:ascii="IBM Plex Sans" w:eastAsia="Times New Roman" w:hAnsi="IBM Plex Sans"/>
          <w:color w:val="283030"/>
          <w:sz w:val="20"/>
          <w:szCs w:val="20"/>
        </w:rPr>
        <w:t>See</w:t>
      </w:r>
      <w:r>
        <w:rPr>
          <w:rFonts w:ascii="IBM Plex Sans" w:eastAsia="Times New Roman" w:hAnsi="IBM Plex Sans"/>
          <w:i/>
          <w:iCs/>
          <w:color w:val="283030"/>
          <w:sz w:val="20"/>
          <w:szCs w:val="20"/>
        </w:rPr>
        <w:t xml:space="preserve"> Note 4: Business Divestitures and Asset Sales</w:t>
      </w:r>
      <w:r>
        <w:rPr>
          <w:rFonts w:ascii="IBM Plex Sans" w:eastAsia="Times New Roman" w:hAnsi="IBM Plex Sans"/>
          <w:color w:val="283030"/>
          <w:sz w:val="20"/>
          <w:szCs w:val="20"/>
        </w:rPr>
        <w:t xml:space="preserve"> in these Notes and elsewhere in these Notes for information relating to businesses divested in fiscal 2022, 2021 and 2020.</w:t>
      </w:r>
    </w:p>
    <w:p w:rsidR="00000000" w:rsidRDefault="00F5481A">
      <w:pPr>
        <w:ind w:firstLine="360"/>
        <w:jc w:val="center"/>
        <w:divId w:val="1866020847"/>
        <w:rPr>
          <w:rFonts w:eastAsia="Times New Roman"/>
        </w:rPr>
      </w:pPr>
      <w:r>
        <w:rPr>
          <w:rFonts w:ascii="Arial" w:eastAsia="Times New Roman" w:hAnsi="Arial" w:cs="Arial"/>
          <w:b/>
          <w:bCs/>
          <w:color w:val="016676"/>
        </w:rPr>
        <w:t>_____________</w:t>
      </w:r>
      <w:r>
        <w:rPr>
          <w:rFonts w:ascii="Arial" w:eastAsia="Times New Roman" w:hAnsi="Arial" w:cs="Arial"/>
          <w:b/>
          <w:bCs/>
          <w:color w:val="016676"/>
        </w:rPr>
        <w:t>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109</w:t>
      </w:r>
    </w:p>
    <w:p w:rsidR="00000000" w:rsidRDefault="00F5481A">
      <w:pPr>
        <w:rPr>
          <w:rFonts w:eastAsia="Times New Roman"/>
        </w:rPr>
      </w:pPr>
      <w:r>
        <w:rPr>
          <w:rFonts w:eastAsia="Times New Roman"/>
        </w:rPr>
        <w:pict>
          <v:rect id="_x0000_i1140" style="width:0;height:1.5pt" o:hralign="center" o:hrstd="t" o:hr="t" fillcolor="#a0a0a0" stroked="f"/>
        </w:pict>
      </w:r>
    </w:p>
    <w:p w:rsidR="00000000" w:rsidRDefault="00F5481A">
      <w:pPr>
        <w:ind w:firstLine="360"/>
        <w:divId w:val="922449739"/>
        <w:rPr>
          <w:rFonts w:eastAsia="Times New Roman"/>
        </w:rPr>
      </w:pPr>
    </w:p>
    <w:p w:rsidR="00000000" w:rsidRDefault="00F5481A">
      <w:pPr>
        <w:divId w:val="471412868"/>
        <w:rPr>
          <w:rFonts w:eastAsia="Times New Roman"/>
        </w:rPr>
      </w:pPr>
      <w:r>
        <w:rPr>
          <w:rFonts w:ascii="IBM Plex Sans SemiBold" w:eastAsia="Times New Roman" w:hAnsi="IBM Plex Sans SemiBold"/>
          <w:b/>
          <w:bCs/>
          <w:color w:val="016676"/>
          <w:sz w:val="20"/>
          <w:szCs w:val="20"/>
        </w:rPr>
        <w:t xml:space="preserve">Business Segment Financial Information </w:t>
      </w:r>
    </w:p>
    <w:p w:rsidR="00000000" w:rsidRDefault="00F5481A">
      <w:pPr>
        <w:ind w:firstLine="360"/>
        <w:divId w:val="1498955233"/>
        <w:rPr>
          <w:rFonts w:eastAsia="Times New Roman"/>
        </w:rPr>
      </w:pPr>
      <w:r>
        <w:rPr>
          <w:rFonts w:ascii="IBM Plex Sans" w:eastAsia="Times New Roman" w:hAnsi="IBM Plex Sans"/>
          <w:color w:val="283030"/>
          <w:sz w:val="20"/>
          <w:szCs w:val="20"/>
        </w:rPr>
        <w:t>Segment revenue, segment operating income and a reconciliation of segment operating income to total income from cont</w:t>
      </w:r>
      <w:r>
        <w:rPr>
          <w:rFonts w:ascii="IBM Plex Sans" w:eastAsia="Times New Roman" w:hAnsi="IBM Plex Sans"/>
          <w:color w:val="283030"/>
          <w:sz w:val="20"/>
          <w:szCs w:val="20"/>
        </w:rPr>
        <w:t>inuing operations before income taxes are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4180"/>
        <w:gridCol w:w="38"/>
        <w:gridCol w:w="132"/>
        <w:gridCol w:w="1109"/>
        <w:gridCol w:w="36"/>
        <w:gridCol w:w="36"/>
        <w:gridCol w:w="36"/>
        <w:gridCol w:w="36"/>
        <w:gridCol w:w="132"/>
        <w:gridCol w:w="1109"/>
        <w:gridCol w:w="36"/>
        <w:gridCol w:w="36"/>
        <w:gridCol w:w="36"/>
        <w:gridCol w:w="36"/>
        <w:gridCol w:w="132"/>
        <w:gridCol w:w="1110"/>
        <w:gridCol w:w="36"/>
      </w:tblGrid>
      <w:tr w:rsidR="00000000">
        <w:trPr>
          <w:divId w:val="1185555514"/>
        </w:trPr>
        <w:tc>
          <w:tcPr>
            <w:tcW w:w="50" w:type="pct"/>
            <w:vAlign w:val="center"/>
            <w:hideMark/>
          </w:tcPr>
          <w:p w:rsidR="00000000" w:rsidRDefault="00F5481A">
            <w:pPr>
              <w:ind w:firstLine="360"/>
              <w:rPr>
                <w:rFonts w:eastAsia="Times New Roman"/>
              </w:rPr>
            </w:pPr>
          </w:p>
        </w:tc>
        <w:tc>
          <w:tcPr>
            <w:tcW w:w="2581"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1185555514"/>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Fiscal Year Ended</w:t>
            </w:r>
          </w:p>
        </w:tc>
      </w:tr>
      <w:tr w:rsidR="00000000">
        <w:trPr>
          <w:divId w:val="1185555514"/>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January 1, 2021</w:t>
            </w:r>
          </w:p>
        </w:tc>
      </w:tr>
      <w:tr w:rsidR="00000000">
        <w:trPr>
          <w:divId w:val="1185555514"/>
          <w:trHeight w:val="6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185555514"/>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283030"/>
                <w:sz w:val="20"/>
                <w:szCs w:val="20"/>
              </w:rPr>
              <w:t>Revenue</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185555514"/>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Integrated Mission Systems</w:t>
            </w: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6,916 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7,042 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6,793 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85555514"/>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Space &amp; Airborne Systems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6,060 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5,965 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5,823 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85555514"/>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Communication Systems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4,217 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4,287 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4,402 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85555514"/>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Other non-reportable businesses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683 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1,347 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85555514"/>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Corporate eliminations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(131)</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(163)</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(171)</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85555514"/>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Total Revenue</w:t>
            </w:r>
          </w:p>
        </w:tc>
        <w:tc>
          <w:tcPr>
            <w:tcW w:w="0" w:type="auto"/>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17,062 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17,814 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18,194 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85555514"/>
          <w:trHeight w:val="280"/>
        </w:trPr>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185555514"/>
        </w:trPr>
        <w:tc>
          <w:tcPr>
            <w:tcW w:w="0" w:type="auto"/>
            <w:gridSpan w:val="18"/>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Income from Continuing Operations before Income Taxes</w:t>
            </w:r>
          </w:p>
        </w:tc>
      </w:tr>
      <w:tr w:rsidR="00000000">
        <w:trPr>
          <w:divId w:val="1185555514"/>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i/>
                <w:iCs/>
                <w:color w:val="283030"/>
                <w:sz w:val="20"/>
                <w:szCs w:val="20"/>
              </w:rPr>
              <w:t>Segment Operating Income:</w:t>
            </w: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185555514"/>
        </w:trPr>
        <w:tc>
          <w:tcPr>
            <w:tcW w:w="0" w:type="auto"/>
            <w:gridSpan w:val="3"/>
            <w:shd w:val="clear" w:color="auto" w:fill="D7EFF1"/>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Integrated Mission Systems</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424 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866 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205 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85555514"/>
        </w:trPr>
        <w:tc>
          <w:tcPr>
            <w:tcW w:w="0" w:type="auto"/>
            <w:gridSpan w:val="3"/>
            <w:shd w:val="clear" w:color="auto" w:fill="FFFFFF"/>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Space &amp; Airborne Systems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735 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761 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762 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85555514"/>
        </w:trPr>
        <w:tc>
          <w:tcPr>
            <w:tcW w:w="0" w:type="auto"/>
            <w:gridSpan w:val="3"/>
            <w:shd w:val="clear" w:color="auto" w:fill="D7EFF1"/>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Communication Systems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667 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1,043 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1,035 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85555514"/>
        </w:trPr>
        <w:tc>
          <w:tcPr>
            <w:tcW w:w="0" w:type="auto"/>
            <w:gridSpan w:val="3"/>
            <w:shd w:val="clear" w:color="auto" w:fill="FFFFFF"/>
            <w:tcMar>
              <w:top w:w="30" w:type="dxa"/>
              <w:left w:w="410" w:type="dxa"/>
              <w:bottom w:w="30" w:type="dxa"/>
              <w:right w:w="20" w:type="dxa"/>
            </w:tcMar>
            <w:hideMark/>
          </w:tcPr>
          <w:p w:rsidR="00000000" w:rsidRDefault="00F5481A">
            <w:pPr>
              <w:spacing w:after="100"/>
              <w:ind w:hanging="270"/>
              <w:rPr>
                <w:rFonts w:eastAsia="Times New Roman"/>
              </w:rPr>
            </w:pPr>
            <w:r>
              <w:rPr>
                <w:rFonts w:ascii="IBM Plex Sans" w:eastAsia="Times New Roman" w:hAnsi="IBM Plex Sans"/>
                <w:color w:val="283030"/>
                <w:sz w:val="20"/>
                <w:szCs w:val="20"/>
              </w:rPr>
              <w:t>Other non-reportable businesses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104 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160 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85555514"/>
        </w:trPr>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1,826 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2,774 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2,162 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85555514"/>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i/>
                <w:iCs/>
                <w:color w:val="283030"/>
                <w:sz w:val="20"/>
                <w:szCs w:val="20"/>
              </w:rPr>
              <w:t>Unallocated Items: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185555514"/>
        </w:trPr>
        <w:tc>
          <w:tcPr>
            <w:tcW w:w="0" w:type="auto"/>
            <w:gridSpan w:val="3"/>
            <w:shd w:val="clear" w:color="auto" w:fill="D7EFF1"/>
            <w:tcMar>
              <w:top w:w="30" w:type="dxa"/>
              <w:left w:w="20" w:type="dxa"/>
              <w:bottom w:w="30" w:type="dxa"/>
              <w:right w:w="20" w:type="dxa"/>
            </w:tcMar>
            <w:hideMark/>
          </w:tcPr>
          <w:p w:rsidR="00000000" w:rsidRDefault="00F5481A">
            <w:pPr>
              <w:spacing w:after="100"/>
              <w:ind w:hanging="270"/>
              <w:divId w:val="2143763820"/>
              <w:rPr>
                <w:rFonts w:eastAsia="Times New Roman"/>
              </w:rPr>
            </w:pPr>
            <w:r>
              <w:rPr>
                <w:rFonts w:ascii="IBM Plex Sans" w:eastAsia="Times New Roman" w:hAnsi="IBM Plex Sans"/>
                <w:color w:val="283030"/>
                <w:sz w:val="20"/>
                <w:szCs w:val="20"/>
              </w:rPr>
              <w:t>Unallocated corporate department expense, ne</w:t>
            </w:r>
            <w:r>
              <w:rPr>
                <w:rFonts w:ascii="IBM Plex Sans" w:eastAsia="Times New Roman" w:hAnsi="IBM Plex Sans"/>
                <w:color w:val="283030"/>
                <w:sz w:val="20"/>
                <w:szCs w:val="20"/>
              </w:rPr>
              <w:t>t</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25 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(51)</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(69)</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85555514"/>
        </w:trPr>
        <w:tc>
          <w:tcPr>
            <w:tcW w:w="0" w:type="auto"/>
            <w:gridSpan w:val="3"/>
            <w:shd w:val="clear" w:color="auto" w:fill="FFFFFF"/>
            <w:tcMar>
              <w:top w:w="30" w:type="dxa"/>
              <w:left w:w="20" w:type="dxa"/>
              <w:bottom w:w="30" w:type="dxa"/>
              <w:right w:w="20" w:type="dxa"/>
            </w:tcMar>
            <w:hideMark/>
          </w:tcPr>
          <w:p w:rsidR="00000000" w:rsidRDefault="00F5481A">
            <w:pPr>
              <w:spacing w:after="100"/>
              <w:ind w:hanging="270"/>
              <w:divId w:val="2074768323"/>
              <w:rPr>
                <w:rFonts w:eastAsia="Times New Roman"/>
              </w:rPr>
            </w:pPr>
            <w:r>
              <w:rPr>
                <w:rFonts w:ascii="IBM Plex Sans" w:eastAsia="Times New Roman" w:hAnsi="IBM Plex Sans"/>
                <w:color w:val="283030"/>
                <w:sz w:val="20"/>
                <w:szCs w:val="20"/>
              </w:rPr>
              <w:t>Amortization of acquisition-related intangible</w:t>
            </w:r>
            <w:r>
              <w:rPr>
                <w:rFonts w:ascii="IBM Plex Sans" w:eastAsia="Times New Roman" w:hAnsi="IBM Plex Sans"/>
                <w:color w:val="283030"/>
                <w:sz w:val="20"/>
                <w:szCs w:val="20"/>
              </w:rPr>
              <w:t>s</w:t>
            </w:r>
            <w:r>
              <w:rPr>
                <w:rFonts w:ascii="IBM Plex Sans" w:eastAsia="Times New Roman" w:hAnsi="IBM Plex Sans"/>
                <w:color w:val="283030"/>
                <w:sz w:val="13"/>
                <w:szCs w:val="13"/>
              </w:rPr>
              <w:t>(2</w:t>
            </w:r>
            <w:r>
              <w:rPr>
                <w:rFonts w:ascii="IBM Plex Sans" w:eastAsia="Times New Roman" w:hAnsi="IBM Plex Sans"/>
                <w:color w:val="28303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(605)</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(627)</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(709)</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85555514"/>
        </w:trPr>
        <w:tc>
          <w:tcPr>
            <w:tcW w:w="0" w:type="auto"/>
            <w:gridSpan w:val="3"/>
            <w:shd w:val="clear" w:color="auto" w:fill="D7EFF1"/>
            <w:tcMar>
              <w:top w:w="30" w:type="dxa"/>
              <w:left w:w="410" w:type="dxa"/>
              <w:bottom w:w="30" w:type="dxa"/>
              <w:right w:w="20" w:type="dxa"/>
            </w:tcMar>
            <w:hideMark/>
          </w:tcPr>
          <w:p w:rsidR="00000000" w:rsidRDefault="00F5481A">
            <w:pPr>
              <w:spacing w:after="100"/>
              <w:ind w:hanging="270"/>
              <w:rPr>
                <w:rFonts w:eastAsia="Times New Roman"/>
              </w:rPr>
            </w:pPr>
            <w:r>
              <w:rPr>
                <w:rFonts w:ascii="IBM Plex Sans" w:eastAsia="Times New Roman" w:hAnsi="IBM Plex Sans"/>
                <w:color w:val="283030"/>
                <w:sz w:val="20"/>
                <w:szCs w:val="20"/>
              </w:rPr>
              <w:t>L3Harris Merger-related integration expenses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(90)</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(134)</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(140)</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85555514"/>
        </w:trPr>
        <w:tc>
          <w:tcPr>
            <w:tcW w:w="0" w:type="auto"/>
            <w:gridSpan w:val="3"/>
            <w:shd w:val="clear" w:color="auto" w:fill="FFFFFF"/>
            <w:tcMar>
              <w:top w:w="30" w:type="dxa"/>
              <w:left w:w="410" w:type="dxa"/>
              <w:bottom w:w="30" w:type="dxa"/>
              <w:right w:w="20" w:type="dxa"/>
            </w:tcMar>
            <w:hideMark/>
          </w:tcPr>
          <w:p w:rsidR="00000000" w:rsidRDefault="00F5481A">
            <w:pPr>
              <w:spacing w:after="100"/>
              <w:ind w:hanging="270"/>
              <w:rPr>
                <w:rFonts w:eastAsia="Times New Roman"/>
              </w:rPr>
            </w:pPr>
            <w:r>
              <w:rPr>
                <w:rFonts w:ascii="IBM Plex Sans" w:eastAsia="Times New Roman" w:hAnsi="IBM Plex Sans"/>
                <w:color w:val="283030"/>
                <w:sz w:val="20"/>
                <w:szCs w:val="20"/>
              </w:rPr>
              <w:t>Acquisition-related transaction and integration expenses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85555514"/>
        </w:trPr>
        <w:tc>
          <w:tcPr>
            <w:tcW w:w="0" w:type="auto"/>
            <w:gridSpan w:val="3"/>
            <w:shd w:val="clear" w:color="auto" w:fill="D7EFF1"/>
            <w:tcMar>
              <w:top w:w="30" w:type="dxa"/>
              <w:left w:w="410" w:type="dxa"/>
              <w:bottom w:w="30" w:type="dxa"/>
              <w:right w:w="20" w:type="dxa"/>
            </w:tcMar>
            <w:hideMark/>
          </w:tcPr>
          <w:p w:rsidR="00000000" w:rsidRDefault="00F5481A">
            <w:pPr>
              <w:spacing w:after="100"/>
              <w:ind w:hanging="270"/>
              <w:rPr>
                <w:rFonts w:eastAsia="Times New Roman"/>
              </w:rPr>
            </w:pPr>
            <w:r>
              <w:rPr>
                <w:rFonts w:ascii="IBM Plex Sans" w:eastAsia="Times New Roman" w:hAnsi="IBM Plex Sans"/>
                <w:color w:val="283030"/>
                <w:sz w:val="20"/>
                <w:szCs w:val="20"/>
              </w:rPr>
              <w:t>Pre-acquisition and other divestiture-related expenses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(63)</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(71)</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85555514"/>
        </w:trPr>
        <w:tc>
          <w:tcPr>
            <w:tcW w:w="0" w:type="auto"/>
            <w:gridSpan w:val="3"/>
            <w:shd w:val="clear" w:color="auto" w:fill="FFFFFF"/>
            <w:tcMar>
              <w:top w:w="30" w:type="dxa"/>
              <w:left w:w="410" w:type="dxa"/>
              <w:bottom w:w="30" w:type="dxa"/>
              <w:right w:w="20" w:type="dxa"/>
            </w:tcMar>
            <w:hideMark/>
          </w:tcPr>
          <w:p w:rsidR="00000000" w:rsidRDefault="00F5481A">
            <w:pPr>
              <w:spacing w:after="100"/>
              <w:ind w:hanging="270"/>
              <w:rPr>
                <w:rFonts w:eastAsia="Times New Roman"/>
              </w:rPr>
            </w:pPr>
            <w:r>
              <w:rPr>
                <w:rFonts w:ascii="IBM Plex Sans" w:eastAsia="Times New Roman" w:hAnsi="IBM Plex Sans"/>
                <w:color w:val="283030"/>
                <w:sz w:val="20"/>
                <w:szCs w:val="20"/>
              </w:rPr>
              <w:t>Additional cost of sales related to fair value step-up in inventory sold</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(31)</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85555514"/>
        </w:trPr>
        <w:tc>
          <w:tcPr>
            <w:tcW w:w="0" w:type="auto"/>
            <w:gridSpan w:val="3"/>
            <w:shd w:val="clear" w:color="auto" w:fill="D7EFF1"/>
            <w:tcMar>
              <w:top w:w="30" w:type="dxa"/>
              <w:left w:w="410" w:type="dxa"/>
              <w:bottom w:w="30" w:type="dxa"/>
              <w:right w:w="20" w:type="dxa"/>
            </w:tcMar>
            <w:hideMark/>
          </w:tcPr>
          <w:p w:rsidR="00000000" w:rsidRDefault="00F5481A">
            <w:pPr>
              <w:spacing w:after="100"/>
              <w:ind w:hanging="270"/>
              <w:rPr>
                <w:rFonts w:eastAsia="Times New Roman"/>
              </w:rPr>
            </w:pPr>
            <w:r>
              <w:rPr>
                <w:rFonts w:ascii="IBM Plex Sans" w:eastAsia="Times New Roman" w:hAnsi="IBM Plex Sans"/>
                <w:color w:val="283030"/>
                <w:sz w:val="20"/>
                <w:szCs w:val="20"/>
              </w:rPr>
              <w:t>Business divestiture-related gains (losses), net</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220 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(51)</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85555514"/>
        </w:trPr>
        <w:tc>
          <w:tcPr>
            <w:tcW w:w="0" w:type="auto"/>
            <w:gridSpan w:val="3"/>
            <w:shd w:val="clear" w:color="auto" w:fill="FFFFFF"/>
            <w:tcMar>
              <w:top w:w="30" w:type="dxa"/>
              <w:left w:w="410" w:type="dxa"/>
              <w:bottom w:w="30" w:type="dxa"/>
              <w:right w:w="20" w:type="dxa"/>
            </w:tcMar>
            <w:hideMark/>
          </w:tcPr>
          <w:p w:rsidR="00000000" w:rsidRDefault="00F5481A">
            <w:pPr>
              <w:spacing w:after="100"/>
              <w:ind w:hanging="270"/>
              <w:rPr>
                <w:rFonts w:eastAsia="Times New Roman"/>
              </w:rPr>
            </w:pPr>
            <w:r>
              <w:rPr>
                <w:rFonts w:ascii="IBM Plex Sans" w:eastAsia="Times New Roman" w:hAnsi="IBM Plex Sans"/>
                <w:color w:val="283030"/>
                <w:sz w:val="20"/>
                <w:szCs w:val="20"/>
              </w:rPr>
              <w:t>Gain on sale of asset group</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85555514"/>
        </w:trPr>
        <w:tc>
          <w:tcPr>
            <w:tcW w:w="0" w:type="auto"/>
            <w:gridSpan w:val="3"/>
            <w:shd w:val="clear" w:color="auto" w:fill="D7EFF1"/>
            <w:tcMar>
              <w:top w:w="30" w:type="dxa"/>
              <w:left w:w="20" w:type="dxa"/>
              <w:bottom w:w="30" w:type="dxa"/>
              <w:right w:w="20" w:type="dxa"/>
            </w:tcMar>
            <w:hideMark/>
          </w:tcPr>
          <w:p w:rsidR="00000000" w:rsidRDefault="00F5481A">
            <w:pPr>
              <w:spacing w:after="100"/>
              <w:ind w:hanging="270"/>
              <w:divId w:val="898637609"/>
              <w:rPr>
                <w:rFonts w:eastAsia="Times New Roman"/>
              </w:rPr>
            </w:pPr>
            <w:r>
              <w:rPr>
                <w:rFonts w:ascii="IBM Plex Sans" w:eastAsia="Times New Roman" w:hAnsi="IBM Plex Sans"/>
                <w:color w:val="283030"/>
                <w:sz w:val="20"/>
                <w:szCs w:val="20"/>
              </w:rPr>
              <w:t>Impairment of goodwill and other asset</w:t>
            </w:r>
            <w:r>
              <w:rPr>
                <w:rFonts w:ascii="IBM Plex Sans" w:eastAsia="Times New Roman" w:hAnsi="IBM Plex Sans"/>
                <w:color w:val="283030"/>
                <w:sz w:val="20"/>
                <w:szCs w:val="20"/>
              </w:rPr>
              <w:t>s</w:t>
            </w:r>
            <w:r>
              <w:rPr>
                <w:rFonts w:ascii="IBM Plex Sans" w:eastAsia="Times New Roman" w:hAnsi="IBM Plex Sans"/>
                <w:color w:val="283030"/>
                <w:sz w:val="13"/>
                <w:szCs w:val="13"/>
              </w:rPr>
              <w:t>(3</w:t>
            </w:r>
            <w:r>
              <w:rPr>
                <w:rFonts w:ascii="IBM Plex Sans" w:eastAsia="Times New Roman" w:hAnsi="IBM Plex Sans"/>
                <w:color w:val="283030"/>
                <w:sz w:val="13"/>
                <w:szCs w:val="13"/>
              </w:rPr>
              <w:t>)</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(125)</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(132)</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85555514"/>
        </w:trPr>
        <w:tc>
          <w:tcPr>
            <w:tcW w:w="0" w:type="auto"/>
            <w:gridSpan w:val="3"/>
            <w:shd w:val="clear" w:color="auto" w:fill="FFFFFF"/>
            <w:tcMar>
              <w:top w:w="30" w:type="dxa"/>
              <w:left w:w="410" w:type="dxa"/>
              <w:bottom w:w="30" w:type="dxa"/>
              <w:right w:w="20" w:type="dxa"/>
            </w:tcMar>
            <w:hideMark/>
          </w:tcPr>
          <w:p w:rsidR="00000000" w:rsidRDefault="00F5481A">
            <w:pPr>
              <w:spacing w:after="100"/>
              <w:ind w:hanging="270"/>
              <w:rPr>
                <w:rFonts w:eastAsia="Times New Roman"/>
              </w:rPr>
            </w:pPr>
            <w:r>
              <w:rPr>
                <w:rFonts w:ascii="IBM Plex Sans" w:eastAsia="Times New Roman" w:hAnsi="IBM Plex Sans"/>
                <w:color w:val="283030"/>
                <w:sz w:val="20"/>
                <w:szCs w:val="20"/>
              </w:rPr>
              <w:t>Charges for severance and other termination costs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(29)</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85555514"/>
        </w:trPr>
        <w:tc>
          <w:tcPr>
            <w:tcW w:w="0" w:type="auto"/>
            <w:gridSpan w:val="3"/>
            <w:shd w:val="clear" w:color="auto" w:fill="D7EFF1"/>
            <w:tcMar>
              <w:top w:w="30" w:type="dxa"/>
              <w:left w:w="410" w:type="dxa"/>
              <w:bottom w:w="30" w:type="dxa"/>
              <w:right w:w="20" w:type="dxa"/>
            </w:tcMar>
            <w:hideMark/>
          </w:tcPr>
          <w:p w:rsidR="00000000" w:rsidRDefault="00F5481A">
            <w:pPr>
              <w:spacing w:after="100"/>
              <w:ind w:hanging="270"/>
              <w:rPr>
                <w:rFonts w:eastAsia="Times New Roman"/>
              </w:rPr>
            </w:pPr>
            <w:r>
              <w:rPr>
                <w:rFonts w:ascii="IBM Plex Sans" w:eastAsia="Times New Roman" w:hAnsi="IBM Plex Sans"/>
                <w:color w:val="283030"/>
                <w:sz w:val="20"/>
                <w:szCs w:val="20"/>
              </w:rPr>
              <w:t>Charges related to an additional pre-merger legal contingency</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(31)</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85555514"/>
        </w:trPr>
        <w:tc>
          <w:tcPr>
            <w:tcW w:w="0" w:type="auto"/>
            <w:gridSpan w:val="3"/>
            <w:shd w:val="clear" w:color="auto" w:fill="FFFFFF"/>
            <w:tcMar>
              <w:top w:w="30" w:type="dxa"/>
              <w:left w:w="20" w:type="dxa"/>
              <w:bottom w:w="30" w:type="dxa"/>
              <w:right w:w="20" w:type="dxa"/>
            </w:tcMar>
            <w:hideMark/>
          </w:tcPr>
          <w:p w:rsidR="00000000" w:rsidRDefault="00F5481A">
            <w:pPr>
              <w:spacing w:after="100"/>
              <w:ind w:hanging="270"/>
              <w:divId w:val="1818262349"/>
              <w:rPr>
                <w:rFonts w:eastAsia="Times New Roman"/>
              </w:rPr>
            </w:pPr>
            <w:r>
              <w:rPr>
                <w:rFonts w:ascii="IBM Plex Sans" w:eastAsia="Times New Roman" w:hAnsi="IBM Plex Sans"/>
                <w:color w:val="283030"/>
                <w:sz w:val="20"/>
                <w:szCs w:val="20"/>
              </w:rPr>
              <w:t>FAS/CAS operating adjustmen</w:t>
            </w:r>
            <w:r>
              <w:rPr>
                <w:rFonts w:ascii="IBM Plex Sans" w:eastAsia="Times New Roman" w:hAnsi="IBM Plex Sans"/>
                <w:color w:val="283030"/>
                <w:sz w:val="20"/>
                <w:szCs w:val="20"/>
              </w:rPr>
              <w:t>t</w:t>
            </w:r>
            <w:r>
              <w:rPr>
                <w:rFonts w:ascii="IBM Plex Sans" w:eastAsia="Times New Roman" w:hAnsi="IBM Plex Sans"/>
                <w:color w:val="283030"/>
                <w:sz w:val="13"/>
                <w:szCs w:val="13"/>
              </w:rPr>
              <w:t>(4</w:t>
            </w:r>
            <w:r>
              <w:rPr>
                <w:rFonts w:ascii="IBM Plex Sans" w:eastAsia="Times New Roman" w:hAnsi="IBM Plex Sans"/>
                <w:color w:val="28303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123 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85555514"/>
        </w:trPr>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(699)</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(665)</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w:t>
            </w:r>
            <w:r>
              <w:rPr>
                <w:rFonts w:ascii="IBM Plex Sans" w:eastAsia="Times New Roman" w:hAnsi="IBM Plex Sans"/>
                <w:color w:val="283030"/>
                <w:sz w:val="20"/>
                <w:szCs w:val="20"/>
              </w:rPr>
              <w:t>987)</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85555514"/>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Non-operating income, net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425 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439 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401 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85555514"/>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Net interest expense</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(279)</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(265)</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(254)</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185555514"/>
        </w:trPr>
        <w:tc>
          <w:tcPr>
            <w:tcW w:w="0" w:type="auto"/>
            <w:gridSpan w:val="3"/>
            <w:shd w:val="clear" w:color="auto" w:fill="FFFFFF"/>
            <w:tcMar>
              <w:top w:w="30" w:type="dxa"/>
              <w:left w:w="290" w:type="dxa"/>
              <w:bottom w:w="30" w:type="dxa"/>
              <w:right w:w="20" w:type="dxa"/>
            </w:tcMar>
            <w:hideMark/>
          </w:tcPr>
          <w:p w:rsidR="00000000" w:rsidRDefault="00F5481A">
            <w:pPr>
              <w:spacing w:after="100"/>
              <w:ind w:hanging="270"/>
              <w:rPr>
                <w:rFonts w:eastAsia="Times New Roman"/>
              </w:rPr>
            </w:pPr>
            <w:r>
              <w:rPr>
                <w:rFonts w:ascii="IBM Plex Sans" w:eastAsia="Times New Roman" w:hAnsi="IBM Plex Sans"/>
                <w:color w:val="283030"/>
                <w:sz w:val="20"/>
                <w:szCs w:val="20"/>
              </w:rPr>
              <w:t>Total income from continuing operations before income taxes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2,283 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bl>
    <w:p w:rsidR="00000000" w:rsidRDefault="00F5481A">
      <w:pPr>
        <w:divId w:val="1388147744"/>
        <w:rPr>
          <w:rFonts w:eastAsia="Times New Roman"/>
        </w:rPr>
      </w:pPr>
      <w:r>
        <w:rPr>
          <w:rFonts w:ascii="IBM Plex Sans" w:eastAsia="Times New Roman" w:hAnsi="IBM Plex Sans"/>
          <w:color w:val="283030"/>
          <w:sz w:val="16"/>
          <w:szCs w:val="16"/>
        </w:rPr>
        <w:t>_______________</w:t>
      </w:r>
    </w:p>
    <w:p w:rsidR="00000000" w:rsidRDefault="00F5481A">
      <w:pPr>
        <w:ind w:hanging="360"/>
        <w:divId w:val="198277164"/>
        <w:rPr>
          <w:rFonts w:eastAsia="Times New Roman"/>
        </w:rPr>
      </w:pPr>
      <w:r>
        <w:rPr>
          <w:rFonts w:ascii="IBM Plex Sans" w:eastAsia="Times New Roman" w:hAnsi="IBM Plex Sans"/>
          <w:color w:val="283030"/>
          <w:sz w:val="16"/>
          <w:szCs w:val="16"/>
        </w:rPr>
        <w:t>(1)Includes certain corporate-level expenses that are not included in management’</w:t>
      </w:r>
      <w:r>
        <w:rPr>
          <w:rFonts w:ascii="IBM Plex Sans" w:eastAsia="Times New Roman" w:hAnsi="IBM Plex Sans"/>
          <w:color w:val="283030"/>
          <w:sz w:val="16"/>
          <w:szCs w:val="16"/>
        </w:rPr>
        <w:t>s evaluation of segment operating performance. For fiscal 2022, also includes $29 million of income from our deferred compensation plans and $13 million of income from GHG emission reduction projects.</w:t>
      </w:r>
    </w:p>
    <w:p w:rsidR="00000000" w:rsidRDefault="00F5481A">
      <w:pPr>
        <w:ind w:hanging="360"/>
        <w:divId w:val="1708721315"/>
        <w:rPr>
          <w:rFonts w:eastAsia="Times New Roman"/>
        </w:rPr>
      </w:pPr>
      <w:r>
        <w:rPr>
          <w:rFonts w:ascii="IBM Plex Sans" w:eastAsia="Times New Roman" w:hAnsi="IBM Plex Sans"/>
          <w:color w:val="283030"/>
          <w:sz w:val="16"/>
          <w:szCs w:val="16"/>
        </w:rPr>
        <w:t>(2)Includes amortization of identifiable intangible ass</w:t>
      </w:r>
      <w:r>
        <w:rPr>
          <w:rFonts w:ascii="IBM Plex Sans" w:eastAsia="Times New Roman" w:hAnsi="IBM Plex Sans"/>
          <w:color w:val="283030"/>
          <w:sz w:val="16"/>
          <w:szCs w:val="16"/>
        </w:rPr>
        <w:t>ets acquired in connection with business combinations. Because our acquisitions benefit the entire Company as opposed to any individual segment, the amortization of identifiable intangible assets acquired was not allocated to any segment.</w:t>
      </w:r>
    </w:p>
    <w:p w:rsidR="00000000" w:rsidRDefault="00F5481A">
      <w:pPr>
        <w:ind w:hanging="360"/>
        <w:divId w:val="1555893330"/>
        <w:rPr>
          <w:rFonts w:eastAsia="Times New Roman"/>
        </w:rPr>
      </w:pPr>
      <w:r>
        <w:rPr>
          <w:rFonts w:ascii="IBM Plex Sans" w:eastAsia="Times New Roman" w:hAnsi="IBM Plex Sans"/>
          <w:color w:val="283030"/>
          <w:sz w:val="16"/>
          <w:szCs w:val="16"/>
        </w:rPr>
        <w:t>(3)For fiscal 202</w:t>
      </w:r>
      <w:r>
        <w:rPr>
          <w:rFonts w:ascii="IBM Plex Sans" w:eastAsia="Times New Roman" w:hAnsi="IBM Plex Sans"/>
          <w:color w:val="283030"/>
          <w:sz w:val="16"/>
          <w:szCs w:val="16"/>
        </w:rPr>
        <w:t>1, includes: (i) a $62 million non-cash goodwill impairment charge related to our CPS business and (ii) a $63 million non-cash intangible asset impairment charge related to our CTS reporting unit. For fiscal 2020, includes: (i) a $113 million non-cash inta</w:t>
      </w:r>
      <w:r>
        <w:rPr>
          <w:rFonts w:ascii="IBM Plex Sans" w:eastAsia="Times New Roman" w:hAnsi="IBM Plex Sans"/>
          <w:color w:val="283030"/>
          <w:sz w:val="16"/>
          <w:szCs w:val="16"/>
        </w:rPr>
        <w:t>ngible asset impairment charge related to our Commercial Aviation Solutions reporting unit and (ii) a $14 million non-cash goodwill impairment charge related to the then-potential divestiture of VSE disposal group, as well as a $5 million non-cash goodwill</w:t>
      </w:r>
      <w:r>
        <w:rPr>
          <w:rFonts w:ascii="IBM Plex Sans" w:eastAsia="Times New Roman" w:hAnsi="IBM Plex Sans"/>
          <w:color w:val="283030"/>
          <w:sz w:val="16"/>
          <w:szCs w:val="16"/>
        </w:rPr>
        <w:t xml:space="preserve"> impairment charge related to the divestiture of the Applied Kilovolts business. See </w:t>
      </w:r>
      <w:r>
        <w:rPr>
          <w:rFonts w:ascii="IBM Plex Sans" w:eastAsia="Times New Roman" w:hAnsi="IBM Plex Sans"/>
          <w:i/>
          <w:iCs/>
          <w:color w:val="283030"/>
          <w:sz w:val="16"/>
          <w:szCs w:val="16"/>
        </w:rPr>
        <w:t>Note 9: Goodwill</w:t>
      </w:r>
      <w:r>
        <w:rPr>
          <w:rFonts w:ascii="IBM Plex Sans" w:eastAsia="Times New Roman" w:hAnsi="IBM Plex Sans"/>
          <w:color w:val="283030"/>
          <w:sz w:val="16"/>
          <w:szCs w:val="16"/>
        </w:rPr>
        <w:t xml:space="preserve"> and </w:t>
      </w:r>
      <w:r>
        <w:rPr>
          <w:rFonts w:ascii="IBM Plex Sans" w:eastAsia="Times New Roman" w:hAnsi="IBM Plex Sans"/>
          <w:i/>
          <w:iCs/>
          <w:color w:val="283030"/>
          <w:sz w:val="16"/>
          <w:szCs w:val="16"/>
        </w:rPr>
        <w:t>Note 10: Intangible Assets</w:t>
      </w:r>
      <w:r>
        <w:rPr>
          <w:rFonts w:ascii="IBM Plex Sans" w:eastAsia="Times New Roman" w:hAnsi="IBM Plex Sans"/>
          <w:color w:val="283030"/>
          <w:sz w:val="16"/>
          <w:szCs w:val="16"/>
        </w:rPr>
        <w:t xml:space="preserve"> in these Notes for additional information.</w:t>
      </w:r>
    </w:p>
    <w:p w:rsidR="00000000" w:rsidRDefault="00F5481A">
      <w:pPr>
        <w:ind w:firstLine="360"/>
        <w:jc w:val="center"/>
        <w:divId w:val="746154561"/>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110</w:t>
      </w:r>
    </w:p>
    <w:p w:rsidR="00000000" w:rsidRDefault="00F5481A">
      <w:pPr>
        <w:rPr>
          <w:rFonts w:eastAsia="Times New Roman"/>
        </w:rPr>
      </w:pPr>
      <w:r>
        <w:rPr>
          <w:rFonts w:eastAsia="Times New Roman"/>
        </w:rPr>
        <w:pict>
          <v:rect id="_x0000_i1141" style="width:0;height:1.5pt" o:hralign="center" o:hrstd="t" o:hr="t" fillcolor="#a0a0a0" stroked="f"/>
        </w:pict>
      </w:r>
    </w:p>
    <w:p w:rsidR="00000000" w:rsidRDefault="00F5481A">
      <w:pPr>
        <w:ind w:firstLine="360"/>
        <w:divId w:val="999961487"/>
        <w:rPr>
          <w:rFonts w:eastAsia="Times New Roman"/>
        </w:rPr>
      </w:pPr>
    </w:p>
    <w:p w:rsidR="00000000" w:rsidRDefault="00F5481A">
      <w:pPr>
        <w:ind w:hanging="360"/>
        <w:divId w:val="172039380"/>
        <w:rPr>
          <w:rFonts w:eastAsia="Times New Roman"/>
        </w:rPr>
      </w:pPr>
      <w:r>
        <w:rPr>
          <w:rFonts w:ascii="IBM Plex Sans" w:eastAsia="Times New Roman" w:hAnsi="IBM Plex Sans"/>
          <w:color w:val="283030"/>
          <w:sz w:val="16"/>
          <w:szCs w:val="16"/>
        </w:rPr>
        <w:t>(4)Represents the difference between the service cost component of FAS pension and OPEB income and total CAS pension and OPEB cost and replaces the “Pension adjustment” line item previously presented, which included the non-</w:t>
      </w:r>
      <w:r>
        <w:rPr>
          <w:rFonts w:ascii="IBM Plex Sans" w:eastAsia="Times New Roman" w:hAnsi="IBM Plex Sans"/>
          <w:color w:val="283030"/>
          <w:sz w:val="16"/>
          <w:szCs w:val="16"/>
        </w:rPr>
        <w:t>service components of FAS pension and OPEB income. See Net FAS/CAS operating adjustment table below.</w:t>
      </w:r>
    </w:p>
    <w:p w:rsidR="00000000" w:rsidRDefault="00F5481A">
      <w:pPr>
        <w:divId w:val="938607906"/>
        <w:rPr>
          <w:rFonts w:eastAsia="Times New Roman"/>
        </w:rPr>
      </w:pPr>
      <w:r>
        <w:rPr>
          <w:rFonts w:ascii="IBM Plex Sans" w:eastAsia="Times New Roman" w:hAnsi="IBM Plex Sans"/>
          <w:color w:val="283030"/>
          <w:sz w:val="20"/>
          <w:szCs w:val="20"/>
        </w:rPr>
        <w:t>The table below is a reconciliation of the FAS/CAS operating adjustment:</w:t>
      </w:r>
    </w:p>
    <w:tbl>
      <w:tblPr>
        <w:tblW w:w="5000" w:type="pct"/>
        <w:tblCellMar>
          <w:top w:w="15" w:type="dxa"/>
          <w:left w:w="15" w:type="dxa"/>
          <w:bottom w:w="15" w:type="dxa"/>
          <w:right w:w="15" w:type="dxa"/>
        </w:tblCellMar>
        <w:tblLook w:val="04A0" w:firstRow="1" w:lastRow="0" w:firstColumn="1" w:lastColumn="0" w:noHBand="0" w:noVBand="1"/>
      </w:tblPr>
      <w:tblGrid>
        <w:gridCol w:w="39"/>
        <w:gridCol w:w="4252"/>
        <w:gridCol w:w="38"/>
        <w:gridCol w:w="133"/>
        <w:gridCol w:w="1084"/>
        <w:gridCol w:w="36"/>
        <w:gridCol w:w="36"/>
        <w:gridCol w:w="36"/>
        <w:gridCol w:w="36"/>
        <w:gridCol w:w="133"/>
        <w:gridCol w:w="1085"/>
        <w:gridCol w:w="36"/>
        <w:gridCol w:w="36"/>
        <w:gridCol w:w="36"/>
        <w:gridCol w:w="36"/>
        <w:gridCol w:w="133"/>
        <w:gridCol w:w="1085"/>
        <w:gridCol w:w="36"/>
      </w:tblGrid>
      <w:tr w:rsidR="00000000">
        <w:trPr>
          <w:divId w:val="938607906"/>
        </w:trPr>
        <w:tc>
          <w:tcPr>
            <w:tcW w:w="50" w:type="pct"/>
            <w:vAlign w:val="center"/>
            <w:hideMark/>
          </w:tcPr>
          <w:p w:rsidR="00000000" w:rsidRDefault="00F5481A">
            <w:pPr>
              <w:rPr>
                <w:rFonts w:eastAsia="Times New Roman"/>
              </w:rPr>
            </w:pPr>
          </w:p>
        </w:tc>
        <w:tc>
          <w:tcPr>
            <w:tcW w:w="2624"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69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69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69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938607906"/>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938607906"/>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Fiscal Year Ended</w:t>
            </w:r>
          </w:p>
        </w:tc>
      </w:tr>
      <w:tr w:rsidR="00000000">
        <w:trPr>
          <w:divId w:val="938607906"/>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January 1, 2021</w:t>
            </w:r>
          </w:p>
        </w:tc>
      </w:tr>
      <w:tr w:rsidR="00000000">
        <w:trPr>
          <w:divId w:val="938607906"/>
          <w:trHeight w:val="10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938607906"/>
        </w:trPr>
        <w:tc>
          <w:tcPr>
            <w:tcW w:w="0" w:type="auto"/>
            <w:gridSpan w:val="3"/>
            <w:shd w:val="clear" w:color="auto" w:fill="D7EFF1"/>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FAS pension service cost</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(46)</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(68)</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(67)</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938607906"/>
        </w:trPr>
        <w:tc>
          <w:tcPr>
            <w:tcW w:w="0" w:type="auto"/>
            <w:gridSpan w:val="3"/>
            <w:shd w:val="clear" w:color="auto" w:fill="FFFFFF"/>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Less: CAS pension cost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(141)</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(191)</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(202)</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938607906"/>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FAS/CAS operating adjustment</w:t>
            </w: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95 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123 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135 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938607906"/>
        </w:trPr>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Non-service FAS pension income</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441 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445 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388 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938607906"/>
        </w:trPr>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938607906"/>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938607906"/>
        </w:trPr>
        <w:tc>
          <w:tcPr>
            <w:tcW w:w="0" w:type="auto"/>
            <w:gridSpan w:val="3"/>
            <w:shd w:val="clear" w:color="auto" w:fill="D7EFF1"/>
            <w:tcMar>
              <w:top w:w="30" w:type="dxa"/>
              <w:left w:w="20" w:type="dxa"/>
              <w:bottom w:w="30" w:type="dxa"/>
              <w:right w:w="20" w:type="dxa"/>
            </w:tcMar>
            <w:vAlign w:val="bottom"/>
            <w:hideMark/>
          </w:tcPr>
          <w:p w:rsidR="00000000" w:rsidRDefault="00F5481A">
            <w:pPr>
              <w:spacing w:after="100"/>
              <w:divId w:val="1977636337"/>
              <w:rPr>
                <w:rFonts w:eastAsia="Times New Roman"/>
              </w:rPr>
            </w:pPr>
            <w:r>
              <w:rPr>
                <w:rFonts w:ascii="IBM Plex Sans" w:eastAsia="Times New Roman" w:hAnsi="IBM Plex Sans"/>
                <w:color w:val="283030"/>
                <w:sz w:val="20"/>
                <w:szCs w:val="20"/>
              </w:rPr>
              <w:t>FAS/CAS pension adjustment, ne</w:t>
            </w:r>
            <w:r>
              <w:rPr>
                <w:rFonts w:ascii="IBM Plex Sans" w:eastAsia="Times New Roman" w:hAnsi="IBM Plex Sans"/>
                <w:color w:val="283030"/>
                <w:sz w:val="20"/>
                <w:szCs w:val="20"/>
              </w:rPr>
              <w:t>t</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536 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568 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523 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938607906"/>
        </w:trPr>
        <w:tc>
          <w:tcPr>
            <w:tcW w:w="0" w:type="auto"/>
            <w:gridSpan w:val="3"/>
            <w:vAlign w:val="center"/>
            <w:hideMark/>
          </w:tcPr>
          <w:p w:rsidR="00000000" w:rsidRDefault="00F5481A">
            <w:pPr>
              <w:spacing w:after="100"/>
              <w:jc w:val="right"/>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bl>
    <w:p w:rsidR="00000000" w:rsidRDefault="00F5481A">
      <w:pPr>
        <w:divId w:val="938607906"/>
        <w:rPr>
          <w:rFonts w:eastAsia="Times New Roman"/>
        </w:rPr>
      </w:pPr>
      <w:r>
        <w:rPr>
          <w:rFonts w:ascii="IBM Plex Sans" w:eastAsia="Times New Roman" w:hAnsi="IBM Plex Sans"/>
          <w:color w:val="283030"/>
          <w:sz w:val="16"/>
          <w:szCs w:val="16"/>
        </w:rPr>
        <w:t>_______________</w:t>
      </w:r>
    </w:p>
    <w:p w:rsidR="00000000" w:rsidRDefault="00F5481A">
      <w:pPr>
        <w:ind w:hanging="360"/>
        <w:divId w:val="3439640"/>
        <w:rPr>
          <w:rFonts w:eastAsia="Times New Roman"/>
        </w:rPr>
      </w:pPr>
      <w:r>
        <w:rPr>
          <w:rFonts w:ascii="IBM Plex Sans" w:eastAsia="Times New Roman" w:hAnsi="IBM Plex Sans"/>
          <w:color w:val="283030"/>
          <w:sz w:val="16"/>
          <w:szCs w:val="16"/>
        </w:rPr>
        <w:t xml:space="preserve">(1)FAS/CAS pension adjustment, net excludes net settlement and curtailment losses recognized in fiscal 2021. See </w:t>
      </w:r>
      <w:r>
        <w:rPr>
          <w:rFonts w:ascii="IBM Plex Sans" w:eastAsia="Times New Roman" w:hAnsi="IBM Plex Sans"/>
          <w:i/>
          <w:iCs/>
          <w:color w:val="283030"/>
          <w:sz w:val="16"/>
          <w:szCs w:val="16"/>
        </w:rPr>
        <w:t>Note 14: Pension and Other Postretirement Benefits</w:t>
      </w:r>
      <w:r>
        <w:rPr>
          <w:rFonts w:ascii="IBM Plex Sans" w:eastAsia="Times New Roman" w:hAnsi="IBM Plex Sans"/>
          <w:color w:val="283030"/>
          <w:sz w:val="16"/>
          <w:szCs w:val="16"/>
        </w:rPr>
        <w:t xml:space="preserve"> in t</w:t>
      </w:r>
      <w:r>
        <w:rPr>
          <w:rFonts w:ascii="IBM Plex Sans" w:eastAsia="Times New Roman" w:hAnsi="IBM Plex Sans"/>
          <w:color w:val="283030"/>
          <w:sz w:val="16"/>
          <w:szCs w:val="16"/>
        </w:rPr>
        <w:t xml:space="preserve">hese Notes for additional information on net settlements and curtailments and see </w:t>
      </w:r>
      <w:r>
        <w:rPr>
          <w:rFonts w:ascii="IBM Plex Sans" w:eastAsia="Times New Roman" w:hAnsi="IBM Plex Sans"/>
          <w:i/>
          <w:iCs/>
          <w:color w:val="283030"/>
          <w:sz w:val="16"/>
          <w:szCs w:val="16"/>
        </w:rPr>
        <w:t>Note 1: Significant Accounting Policies</w:t>
      </w:r>
      <w:r>
        <w:rPr>
          <w:rFonts w:ascii="IBM Plex Sans" w:eastAsia="Times New Roman" w:hAnsi="IBM Plex Sans"/>
          <w:color w:val="283030"/>
          <w:sz w:val="16"/>
          <w:szCs w:val="16"/>
        </w:rPr>
        <w:t xml:space="preserve"> in these Notes for additional information regarding our FAS/CAS pension adjustment accounting policy.</w:t>
      </w:r>
    </w:p>
    <w:p w:rsidR="00000000" w:rsidRDefault="00F5481A">
      <w:pPr>
        <w:divId w:val="1350525641"/>
        <w:rPr>
          <w:rFonts w:eastAsia="Times New Roman"/>
        </w:rPr>
      </w:pPr>
      <w:r>
        <w:rPr>
          <w:rFonts w:ascii="IBM Plex Sans SemiBold" w:eastAsia="Times New Roman" w:hAnsi="IBM Plex Sans SemiBold"/>
          <w:b/>
          <w:bCs/>
          <w:color w:val="016676"/>
          <w:sz w:val="20"/>
          <w:szCs w:val="20"/>
        </w:rPr>
        <w:t>Disaggregation of Revenue</w:t>
      </w:r>
    </w:p>
    <w:p w:rsidR="00000000" w:rsidRDefault="00F5481A">
      <w:pPr>
        <w:ind w:firstLine="360"/>
        <w:divId w:val="1372262176"/>
        <w:rPr>
          <w:rFonts w:eastAsia="Times New Roman"/>
        </w:rPr>
      </w:pPr>
      <w:r>
        <w:rPr>
          <w:rFonts w:ascii="IBM Plex Sans" w:eastAsia="Times New Roman" w:hAnsi="IBM Plex Sans"/>
          <w:color w:val="283030"/>
          <w:sz w:val="20"/>
          <w:szCs w:val="20"/>
        </w:rPr>
        <w:t>We dis</w:t>
      </w:r>
      <w:r>
        <w:rPr>
          <w:rFonts w:ascii="IBM Plex Sans" w:eastAsia="Times New Roman" w:hAnsi="IBM Plex Sans"/>
          <w:color w:val="283030"/>
          <w:sz w:val="20"/>
          <w:szCs w:val="20"/>
        </w:rPr>
        <w:t>aggregate revenue for all three business segments by customer relationship, contract type and geographical region. We believe these categories best depict how the nature, amount, timing and uncertainty of revenue and cash flows are affected by economic fac</w:t>
      </w:r>
      <w:r>
        <w:rPr>
          <w:rFonts w:ascii="IBM Plex Sans" w:eastAsia="Times New Roman" w:hAnsi="IBM Plex Sans"/>
          <w:color w:val="283030"/>
          <w:sz w:val="20"/>
          <w:szCs w:val="20"/>
        </w:rPr>
        <w:t xml:space="preserve">tors. </w:t>
      </w:r>
    </w:p>
    <w:tbl>
      <w:tblPr>
        <w:tblW w:w="5000" w:type="pct"/>
        <w:tblCellMar>
          <w:top w:w="15" w:type="dxa"/>
          <w:left w:w="15" w:type="dxa"/>
          <w:bottom w:w="15" w:type="dxa"/>
          <w:right w:w="15" w:type="dxa"/>
        </w:tblCellMar>
        <w:tblLook w:val="04A0" w:firstRow="1" w:lastRow="0" w:firstColumn="1" w:lastColumn="0" w:noHBand="0" w:noVBand="1"/>
      </w:tblPr>
      <w:tblGrid>
        <w:gridCol w:w="73"/>
        <w:gridCol w:w="1207"/>
        <w:gridCol w:w="38"/>
        <w:gridCol w:w="132"/>
        <w:gridCol w:w="557"/>
        <w:gridCol w:w="36"/>
        <w:gridCol w:w="36"/>
        <w:gridCol w:w="36"/>
        <w:gridCol w:w="36"/>
        <w:gridCol w:w="132"/>
        <w:gridCol w:w="557"/>
        <w:gridCol w:w="36"/>
        <w:gridCol w:w="36"/>
        <w:gridCol w:w="36"/>
        <w:gridCol w:w="36"/>
        <w:gridCol w:w="132"/>
        <w:gridCol w:w="557"/>
        <w:gridCol w:w="36"/>
        <w:gridCol w:w="36"/>
        <w:gridCol w:w="36"/>
        <w:gridCol w:w="36"/>
        <w:gridCol w:w="132"/>
        <w:gridCol w:w="557"/>
        <w:gridCol w:w="36"/>
        <w:gridCol w:w="36"/>
        <w:gridCol w:w="36"/>
        <w:gridCol w:w="36"/>
        <w:gridCol w:w="132"/>
        <w:gridCol w:w="557"/>
        <w:gridCol w:w="36"/>
        <w:gridCol w:w="36"/>
        <w:gridCol w:w="36"/>
        <w:gridCol w:w="36"/>
        <w:gridCol w:w="132"/>
        <w:gridCol w:w="557"/>
        <w:gridCol w:w="36"/>
        <w:gridCol w:w="36"/>
        <w:gridCol w:w="36"/>
        <w:gridCol w:w="36"/>
        <w:gridCol w:w="132"/>
        <w:gridCol w:w="557"/>
        <w:gridCol w:w="36"/>
        <w:gridCol w:w="36"/>
        <w:gridCol w:w="36"/>
        <w:gridCol w:w="36"/>
        <w:gridCol w:w="132"/>
        <w:gridCol w:w="557"/>
        <w:gridCol w:w="36"/>
        <w:gridCol w:w="36"/>
        <w:gridCol w:w="36"/>
        <w:gridCol w:w="36"/>
        <w:gridCol w:w="132"/>
        <w:gridCol w:w="557"/>
        <w:gridCol w:w="36"/>
      </w:tblGrid>
      <w:tr w:rsidR="00000000">
        <w:trPr>
          <w:divId w:val="1468356872"/>
        </w:trPr>
        <w:tc>
          <w:tcPr>
            <w:tcW w:w="50" w:type="pct"/>
            <w:vAlign w:val="center"/>
            <w:hideMark/>
          </w:tcPr>
          <w:p w:rsidR="00000000" w:rsidRDefault="00F5481A">
            <w:pPr>
              <w:ind w:firstLine="360"/>
              <w:rPr>
                <w:rFonts w:eastAsia="Times New Roman"/>
              </w:rPr>
            </w:pPr>
          </w:p>
        </w:tc>
        <w:tc>
          <w:tcPr>
            <w:tcW w:w="83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37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37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37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37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37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37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37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37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37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1468356872"/>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51"/>
            <w:tcBorders>
              <w:bottom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Fiscal Year Ended</w:t>
            </w:r>
          </w:p>
        </w:tc>
      </w:tr>
      <w:tr w:rsidR="00000000">
        <w:trPr>
          <w:divId w:val="1468356872"/>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January 1, 2021</w:t>
            </w:r>
          </w:p>
        </w:tc>
      </w:tr>
      <w:tr w:rsidR="00000000">
        <w:trPr>
          <w:divId w:val="1468356872"/>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IMS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SAS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CS</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IMS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SAS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CS</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IMS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SAS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CS</w:t>
            </w:r>
          </w:p>
        </w:tc>
      </w:tr>
      <w:tr w:rsidR="00000000">
        <w:trPr>
          <w:divId w:val="1468356872"/>
          <w:trHeight w:val="6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468356872"/>
        </w:trPr>
        <w:tc>
          <w:tcPr>
            <w:tcW w:w="0" w:type="auto"/>
            <w:gridSpan w:val="54"/>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Revenue By Customer Relationship</w:t>
            </w:r>
          </w:p>
        </w:tc>
      </w:tr>
      <w:tr w:rsidR="00F5481A">
        <w:trPr>
          <w:divId w:val="1468356872"/>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Prime contractor</w:t>
            </w: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4,488 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3,818 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2,829 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4,738 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3,679 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2,886 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4,470 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3,425 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3,054 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F5481A">
        <w:trPr>
          <w:divId w:val="1468356872"/>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Subcontractor</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2,367 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2,217 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1,343 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2,243 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2,274 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1,347 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2,273 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2,380 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1,304 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F5481A">
        <w:trPr>
          <w:divId w:val="1468356872"/>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Intersegment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54 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44 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F5481A">
        <w:trPr>
          <w:divId w:val="1468356872"/>
        </w:trPr>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6,916 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6,060 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00000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4,217 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7,042 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5,965 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4,287 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00000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6,793 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5,823 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4,402 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468356872"/>
        </w:trPr>
        <w:tc>
          <w:tcPr>
            <w:tcW w:w="0" w:type="auto"/>
            <w:gridSpan w:val="54"/>
            <w:shd w:val="clear" w:color="auto" w:fill="FFFFFF"/>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Revenue By Contract Type</w:t>
            </w:r>
          </w:p>
        </w:tc>
      </w:tr>
      <w:tr w:rsidR="00F5481A">
        <w:trPr>
          <w:divId w:val="1468356872"/>
        </w:trPr>
        <w:tc>
          <w:tcPr>
            <w:tcW w:w="0" w:type="auto"/>
            <w:gridSpan w:val="3"/>
            <w:shd w:val="clear" w:color="auto" w:fill="D7EFF1"/>
            <w:tcMar>
              <w:top w:w="30" w:type="dxa"/>
              <w:left w:w="20" w:type="dxa"/>
              <w:bottom w:w="30" w:type="dxa"/>
              <w:right w:w="20" w:type="dxa"/>
            </w:tcMar>
            <w:hideMark/>
          </w:tcPr>
          <w:p w:rsidR="00000000" w:rsidRDefault="00F5481A">
            <w:pPr>
              <w:spacing w:after="100"/>
              <w:divId w:val="1191457994"/>
              <w:rPr>
                <w:rFonts w:eastAsia="Times New Roman"/>
              </w:rPr>
            </w:pPr>
            <w:r>
              <w:rPr>
                <w:rFonts w:ascii="IBM Plex Sans" w:eastAsia="Times New Roman" w:hAnsi="IBM Plex Sans"/>
                <w:color w:val="283030"/>
                <w:sz w:val="20"/>
                <w:szCs w:val="20"/>
              </w:rPr>
              <w:t>Fixed-pric</w:t>
            </w:r>
            <w:r>
              <w:rPr>
                <w:rFonts w:ascii="IBM Plex Sans" w:eastAsia="Times New Roman" w:hAnsi="IBM Plex Sans"/>
                <w:color w:val="283030"/>
                <w:sz w:val="20"/>
                <w:szCs w:val="20"/>
              </w:rPr>
              <w:t>e</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5,161 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3,710 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3,552 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5,316 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3,697 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3,631 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5,035 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3,612 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3,736 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F5481A">
        <w:trPr>
          <w:divId w:val="1468356872"/>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Cost-reimbursable</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1,694 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2,325 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620 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1,665 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2,256 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602 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1,708 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2,193 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622 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F5481A">
        <w:trPr>
          <w:divId w:val="1468356872"/>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Intersegment</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25 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45 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F5481A">
        <w:trPr>
          <w:divId w:val="1468356872"/>
        </w:trPr>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6,916 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6,060 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4,217 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7,042 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5,965 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4,287 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6,793 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5,823 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4,402 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000000">
        <w:trPr>
          <w:divId w:val="1468356872"/>
        </w:trPr>
        <w:tc>
          <w:tcPr>
            <w:tcW w:w="0" w:type="auto"/>
            <w:gridSpan w:val="54"/>
            <w:shd w:val="clear" w:color="auto" w:fill="D7EFF1"/>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Revenue By Geographical Region</w:t>
            </w:r>
          </w:p>
        </w:tc>
      </w:tr>
      <w:tr w:rsidR="00F5481A">
        <w:trPr>
          <w:divId w:val="1468356872"/>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United States</w:t>
            </w: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5,096 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5,323 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2,735 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5,102 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5,250 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3,001 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5,347 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5,022 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3,138 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F5481A">
        <w:trPr>
          <w:divId w:val="1468356872"/>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International</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1,759 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712 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1,437 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1,879 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703 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1,232 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1,396 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783 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1,220 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F5481A">
        <w:trPr>
          <w:divId w:val="1468356872"/>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Intersegment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54 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44 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r>
      <w:tr w:rsidR="00F5481A">
        <w:trPr>
          <w:divId w:val="1468356872"/>
        </w:trPr>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6,916 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6,060 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4,217 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00000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7,042 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5,965 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4,287 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00000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000000"/>
                <w:sz w:val="20"/>
                <w:szCs w:val="20"/>
              </w:rPr>
              <w:t>6,793 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5,823 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4,402 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r>
    </w:tbl>
    <w:p w:rsidR="00000000" w:rsidRDefault="00F5481A">
      <w:pPr>
        <w:divId w:val="620497828"/>
        <w:rPr>
          <w:rFonts w:eastAsia="Times New Roman"/>
        </w:rPr>
      </w:pPr>
      <w:r>
        <w:rPr>
          <w:rFonts w:ascii="IBM Plex Sans" w:eastAsia="Times New Roman" w:hAnsi="IBM Plex Sans"/>
          <w:color w:val="283030"/>
          <w:sz w:val="16"/>
          <w:szCs w:val="16"/>
        </w:rPr>
        <w:t>_______________</w:t>
      </w:r>
    </w:p>
    <w:p w:rsidR="00000000" w:rsidRDefault="00F5481A">
      <w:pPr>
        <w:ind w:hanging="360"/>
        <w:divId w:val="327707239"/>
        <w:rPr>
          <w:rFonts w:eastAsia="Times New Roman"/>
        </w:rPr>
      </w:pPr>
      <w:r>
        <w:rPr>
          <w:rFonts w:ascii="IBM Plex Sans" w:eastAsia="Times New Roman" w:hAnsi="IBM Plex Sans"/>
          <w:color w:val="283030"/>
          <w:sz w:val="16"/>
          <w:szCs w:val="16"/>
        </w:rPr>
        <w:t>(1)Includes revenue derived from time-and-materials contracts.</w:t>
      </w:r>
    </w:p>
    <w:tbl>
      <w:tblPr>
        <w:tblW w:w="5000" w:type="pct"/>
        <w:tblCellMar>
          <w:top w:w="15" w:type="dxa"/>
          <w:left w:w="15" w:type="dxa"/>
          <w:bottom w:w="15" w:type="dxa"/>
          <w:right w:w="15" w:type="dxa"/>
        </w:tblCellMar>
        <w:tblLook w:val="04A0" w:firstRow="1" w:lastRow="0" w:firstColumn="1" w:lastColumn="0" w:noHBand="0" w:noVBand="1"/>
      </w:tblPr>
      <w:tblGrid>
        <w:gridCol w:w="38"/>
        <w:gridCol w:w="4104"/>
        <w:gridCol w:w="36"/>
        <w:gridCol w:w="132"/>
        <w:gridCol w:w="1088"/>
        <w:gridCol w:w="36"/>
        <w:gridCol w:w="36"/>
        <w:gridCol w:w="36"/>
        <w:gridCol w:w="36"/>
        <w:gridCol w:w="132"/>
        <w:gridCol w:w="1088"/>
        <w:gridCol w:w="36"/>
        <w:gridCol w:w="36"/>
        <w:gridCol w:w="36"/>
        <w:gridCol w:w="36"/>
        <w:gridCol w:w="132"/>
        <w:gridCol w:w="1088"/>
        <w:gridCol w:w="36"/>
        <w:gridCol w:w="36"/>
        <w:gridCol w:w="36"/>
        <w:gridCol w:w="36"/>
        <w:gridCol w:w="36"/>
      </w:tblGrid>
      <w:tr w:rsidR="00000000">
        <w:trPr>
          <w:divId w:val="563830819"/>
        </w:trPr>
        <w:tc>
          <w:tcPr>
            <w:tcW w:w="50" w:type="pct"/>
            <w:vAlign w:val="center"/>
            <w:hideMark/>
          </w:tcPr>
          <w:p w:rsidR="00000000" w:rsidRDefault="00F5481A">
            <w:pPr>
              <w:ind w:hanging="360"/>
              <w:rPr>
                <w:rFonts w:eastAsia="Times New Roman"/>
              </w:rPr>
            </w:pPr>
          </w:p>
        </w:tc>
        <w:tc>
          <w:tcPr>
            <w:tcW w:w="2581"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563830819"/>
        </w:trPr>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Fiscal Year Ended</w:t>
            </w:r>
          </w:p>
        </w:tc>
        <w:tc>
          <w:tcPr>
            <w:tcW w:w="0" w:type="auto"/>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563830819"/>
        </w:trPr>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January 1, 2021</w:t>
            </w:r>
          </w:p>
        </w:tc>
        <w:tc>
          <w:tcPr>
            <w:tcW w:w="0" w:type="auto"/>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563830819"/>
          <w:trHeight w:val="60"/>
        </w:trPr>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563830819"/>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283030"/>
                <w:sz w:val="20"/>
                <w:szCs w:val="20"/>
              </w:rPr>
              <w:t>Geographical Information for Continuing Operations</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563830819"/>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563830819"/>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Revenue from U.S. operations</w:t>
            </w: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15,373 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16,234 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16,998 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563830819"/>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563830819"/>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563830819"/>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Revenue from international operations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1,689 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1,580 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1,196 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563830819"/>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bl>
    <w:p w:rsidR="00000000" w:rsidRDefault="00F5481A">
      <w:pPr>
        <w:ind w:firstLine="360"/>
        <w:divId w:val="1007944945"/>
        <w:rPr>
          <w:rFonts w:eastAsia="Times New Roman"/>
        </w:rPr>
      </w:pPr>
      <w:r>
        <w:rPr>
          <w:rFonts w:ascii="IBM Plex Sans" w:eastAsia="Times New Roman" w:hAnsi="IBM Plex Sans"/>
          <w:color w:val="283030"/>
          <w:sz w:val="20"/>
          <w:szCs w:val="20"/>
        </w:rPr>
        <w:t>Our products and systems are produced principally in the U.S. with international revenue derived primarily from exports. No revenue earned from any individual foreign country exceeded 5% of our total revenue in fiscal 2</w:t>
      </w:r>
      <w:r>
        <w:rPr>
          <w:rFonts w:ascii="IBM Plex Sans" w:eastAsia="Times New Roman" w:hAnsi="IBM Plex Sans"/>
          <w:color w:val="283030"/>
          <w:sz w:val="20"/>
          <w:szCs w:val="20"/>
        </w:rPr>
        <w:t xml:space="preserve">022, 2021 or 2020. </w:t>
      </w:r>
    </w:p>
    <w:p w:rsidR="00000000" w:rsidRDefault="00F5481A">
      <w:pPr>
        <w:ind w:firstLine="360"/>
        <w:divId w:val="391656709"/>
        <w:rPr>
          <w:rFonts w:eastAsia="Times New Roman"/>
        </w:rPr>
      </w:pPr>
      <w:r>
        <w:rPr>
          <w:rFonts w:ascii="IBM Plex Sans" w:eastAsia="Times New Roman" w:hAnsi="IBM Plex Sans"/>
          <w:color w:val="283030"/>
          <w:sz w:val="20"/>
          <w:szCs w:val="20"/>
        </w:rPr>
        <w:t>Sales made to U.S. Government customers, including foreign military sales funded through the U.S. </w:t>
      </w:r>
      <w:r>
        <w:rPr>
          <w:rFonts w:ascii="IBM Plex Sans" w:eastAsia="Times New Roman" w:hAnsi="IBM Plex Sans"/>
          <w:color w:val="283030"/>
          <w:sz w:val="20"/>
          <w:szCs w:val="20"/>
        </w:rPr>
        <w:t xml:space="preserve">Government, whether directly or through prime contractors, by all segments as a percentage of total revenue were 74%, 75% and </w:t>
      </w:r>
    </w:p>
    <w:p w:rsidR="00000000" w:rsidRDefault="00F5481A">
      <w:pPr>
        <w:ind w:firstLine="360"/>
        <w:jc w:val="center"/>
        <w:divId w:val="180826931"/>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111</w:t>
      </w:r>
    </w:p>
    <w:p w:rsidR="00000000" w:rsidRDefault="00F5481A">
      <w:pPr>
        <w:rPr>
          <w:rFonts w:eastAsia="Times New Roman"/>
        </w:rPr>
      </w:pPr>
      <w:r>
        <w:rPr>
          <w:rFonts w:eastAsia="Times New Roman"/>
        </w:rPr>
        <w:pict>
          <v:rect id="_x0000_i1142" style="width:0;height:1.5pt" o:hralign="center" o:hrstd="t" o:hr="t" fillcolor="#a0a0a0" stroked="f"/>
        </w:pict>
      </w:r>
    </w:p>
    <w:p w:rsidR="00000000" w:rsidRDefault="00F5481A">
      <w:pPr>
        <w:ind w:firstLine="360"/>
        <w:divId w:val="2078166097"/>
        <w:rPr>
          <w:rFonts w:eastAsia="Times New Roman"/>
        </w:rPr>
      </w:pPr>
    </w:p>
    <w:p w:rsidR="00000000" w:rsidRDefault="00F5481A">
      <w:pPr>
        <w:divId w:val="1601722388"/>
        <w:rPr>
          <w:rFonts w:eastAsia="Times New Roman"/>
        </w:rPr>
      </w:pPr>
      <w:r>
        <w:rPr>
          <w:rFonts w:ascii="IBM Plex Sans" w:eastAsia="Times New Roman" w:hAnsi="IBM Plex Sans"/>
          <w:color w:val="283030"/>
          <w:sz w:val="20"/>
          <w:szCs w:val="20"/>
        </w:rPr>
        <w:t>78% in fiscal 20</w:t>
      </w:r>
      <w:r>
        <w:rPr>
          <w:rFonts w:ascii="IBM Plex Sans" w:eastAsia="Times New Roman" w:hAnsi="IBM Plex Sans"/>
          <w:color w:val="283030"/>
          <w:sz w:val="20"/>
          <w:szCs w:val="20"/>
        </w:rPr>
        <w:t xml:space="preserve">22, </w:t>
      </w:r>
      <w:r>
        <w:rPr>
          <w:rFonts w:ascii="IBM Plex Sans" w:eastAsia="Times New Roman" w:hAnsi="IBM Plex Sans"/>
          <w:color w:val="000000"/>
          <w:sz w:val="20"/>
          <w:szCs w:val="20"/>
        </w:rPr>
        <w:t>2021 and 2020</w:t>
      </w:r>
      <w:r>
        <w:rPr>
          <w:rFonts w:ascii="IBM Plex Sans" w:eastAsia="Times New Roman" w:hAnsi="IBM Plex Sans"/>
          <w:color w:val="283030"/>
          <w:sz w:val="20"/>
          <w:szCs w:val="20"/>
        </w:rPr>
        <w:t>, respectively. Revenue from services in fiscal 2022 was 37%, 27% and 19% of total revenue in our IMS, SAS and CS segments, respectively.</w:t>
      </w:r>
    </w:p>
    <w:p w:rsidR="00000000" w:rsidRDefault="00F5481A">
      <w:pPr>
        <w:ind w:firstLine="360"/>
        <w:divId w:val="422260471"/>
        <w:rPr>
          <w:rFonts w:eastAsia="Times New Roman"/>
        </w:rPr>
      </w:pPr>
      <w:r>
        <w:rPr>
          <w:rFonts w:ascii="IBM Plex Sans" w:eastAsia="Times New Roman" w:hAnsi="IBM Plex Sans"/>
          <w:color w:val="283030"/>
          <w:sz w:val="20"/>
          <w:szCs w:val="20"/>
        </w:rPr>
        <w:t>Revenue from products and services where the end consumer is located outside the U.S., including fore</w:t>
      </w:r>
      <w:r>
        <w:rPr>
          <w:rFonts w:ascii="IBM Plex Sans" w:eastAsia="Times New Roman" w:hAnsi="IBM Plex Sans"/>
          <w:color w:val="283030"/>
          <w:sz w:val="20"/>
          <w:szCs w:val="20"/>
        </w:rPr>
        <w:t>ign military sales funded through the U.S. Government, whether directly or through prime contractors, was $3.9 billion (23% of our revenue), $3.9 billion (22% of our revenue) and $3.7 billion (20% of our revenue) in fiscal 2022</w:t>
      </w:r>
      <w:r>
        <w:rPr>
          <w:rFonts w:ascii="IBM Plex Sans" w:eastAsia="Times New Roman" w:hAnsi="IBM Plex Sans"/>
          <w:color w:val="000000"/>
          <w:sz w:val="20"/>
          <w:szCs w:val="20"/>
        </w:rPr>
        <w:t>, 2021 and 2020,</w:t>
      </w:r>
      <w:r>
        <w:rPr>
          <w:rFonts w:ascii="IBM Plex Sans" w:eastAsia="Times New Roman" w:hAnsi="IBM Plex Sans"/>
          <w:color w:val="283030"/>
          <w:sz w:val="20"/>
          <w:szCs w:val="20"/>
        </w:rPr>
        <w:t xml:space="preserve"> </w:t>
      </w:r>
      <w:r>
        <w:rPr>
          <w:rFonts w:ascii="IBM Plex Sans" w:eastAsia="Times New Roman" w:hAnsi="IBM Plex Sans"/>
          <w:color w:val="283030"/>
          <w:sz w:val="20"/>
          <w:szCs w:val="20"/>
        </w:rPr>
        <w:t>respectively. Export revenue and revenue from international operations in fiscal 2022 was principally from the EMEA and APAC regions and Canada.</w:t>
      </w:r>
    </w:p>
    <w:p w:rsidR="00000000" w:rsidRDefault="00F5481A">
      <w:pPr>
        <w:divId w:val="1016342672"/>
        <w:rPr>
          <w:rFonts w:eastAsia="Times New Roman"/>
        </w:rPr>
      </w:pPr>
      <w:r>
        <w:rPr>
          <w:rFonts w:ascii="IBM Plex Sans SemiBold" w:eastAsia="Times New Roman" w:hAnsi="IBM Plex Sans SemiBold"/>
          <w:b/>
          <w:bCs/>
          <w:color w:val="016676"/>
          <w:sz w:val="20"/>
          <w:szCs w:val="20"/>
        </w:rPr>
        <w:t>Assets by Business Segment</w:t>
      </w:r>
    </w:p>
    <w:p w:rsidR="00000000" w:rsidRDefault="00F5481A">
      <w:pPr>
        <w:ind w:firstLine="360"/>
        <w:divId w:val="601571024"/>
        <w:rPr>
          <w:rFonts w:eastAsia="Times New Roman"/>
        </w:rPr>
      </w:pPr>
      <w:r>
        <w:rPr>
          <w:rFonts w:ascii="IBM Plex Sans" w:eastAsia="Times New Roman" w:hAnsi="IBM Plex Sans"/>
          <w:color w:val="283030"/>
          <w:sz w:val="20"/>
          <w:szCs w:val="20"/>
        </w:rPr>
        <w:t>Total assets by business segment are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435"/>
        <w:gridCol w:w="38"/>
        <w:gridCol w:w="132"/>
        <w:gridCol w:w="1103"/>
        <w:gridCol w:w="36"/>
        <w:gridCol w:w="36"/>
        <w:gridCol w:w="36"/>
        <w:gridCol w:w="36"/>
        <w:gridCol w:w="132"/>
        <w:gridCol w:w="1103"/>
        <w:gridCol w:w="36"/>
        <w:gridCol w:w="36"/>
        <w:gridCol w:w="36"/>
        <w:gridCol w:w="36"/>
        <w:gridCol w:w="36"/>
      </w:tblGrid>
      <w:tr w:rsidR="00000000">
        <w:trPr>
          <w:divId w:val="595602388"/>
        </w:trPr>
        <w:tc>
          <w:tcPr>
            <w:tcW w:w="50" w:type="pct"/>
            <w:vAlign w:val="center"/>
            <w:hideMark/>
          </w:tcPr>
          <w:p w:rsidR="00000000" w:rsidRDefault="00F5481A">
            <w:pPr>
              <w:ind w:firstLine="360"/>
              <w:rPr>
                <w:rFonts w:eastAsia="Times New Roman"/>
              </w:rPr>
            </w:pPr>
          </w:p>
        </w:tc>
        <w:tc>
          <w:tcPr>
            <w:tcW w:w="337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595602388"/>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595602388"/>
          <w:trHeight w:val="60"/>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595602388"/>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283030"/>
                <w:sz w:val="20"/>
                <w:szCs w:val="20"/>
              </w:rPr>
              <w:t>Total Assets</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595602388"/>
        </w:trPr>
        <w:tc>
          <w:tcPr>
            <w:tcW w:w="0" w:type="auto"/>
            <w:gridSpan w:val="3"/>
            <w:shd w:val="clear" w:color="auto" w:fill="FFFFFF"/>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Integrated Mission Systems</w:t>
            </w: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11,283 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11,830 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595602388"/>
        </w:trPr>
        <w:tc>
          <w:tcPr>
            <w:tcW w:w="0" w:type="auto"/>
            <w:gridSpan w:val="3"/>
            <w:shd w:val="clear" w:color="auto" w:fill="D7EFF1"/>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Space &amp; Airborne Systems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8,475 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8,151 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595602388"/>
        </w:trPr>
        <w:tc>
          <w:tcPr>
            <w:tcW w:w="0" w:type="auto"/>
            <w:gridSpan w:val="3"/>
            <w:shd w:val="clear" w:color="auto" w:fill="FFFFFF"/>
            <w:tcMar>
              <w:top w:w="30" w:type="dxa"/>
              <w:left w:w="14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Communication Systems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5,800 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6,035 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595602388"/>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Other non-reportable businesses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595602388"/>
        </w:trPr>
        <w:tc>
          <w:tcPr>
            <w:tcW w:w="0" w:type="auto"/>
            <w:gridSpan w:val="3"/>
            <w:shd w:val="clear" w:color="auto" w:fill="FFFFFF"/>
            <w:tcMar>
              <w:top w:w="30" w:type="dxa"/>
              <w:left w:w="20" w:type="dxa"/>
              <w:bottom w:w="30" w:type="dxa"/>
              <w:right w:w="20" w:type="dxa"/>
            </w:tcMar>
            <w:vAlign w:val="bottom"/>
            <w:hideMark/>
          </w:tcPr>
          <w:p w:rsidR="00000000" w:rsidRDefault="00F5481A">
            <w:pPr>
              <w:spacing w:after="100"/>
              <w:divId w:val="1452360215"/>
              <w:rPr>
                <w:rFonts w:eastAsia="Times New Roman"/>
              </w:rPr>
            </w:pPr>
            <w:r>
              <w:rPr>
                <w:rFonts w:ascii="IBM Plex Sans" w:eastAsia="Times New Roman" w:hAnsi="IBM Plex Sans"/>
                <w:color w:val="283030"/>
                <w:sz w:val="20"/>
                <w:szCs w:val="20"/>
              </w:rPr>
              <w:t>Corporat</w:t>
            </w:r>
            <w:r>
              <w:rPr>
                <w:rFonts w:ascii="IBM Plex Sans" w:eastAsia="Times New Roman" w:hAnsi="IBM Plex Sans"/>
                <w:color w:val="283030"/>
                <w:sz w:val="20"/>
                <w:szCs w:val="20"/>
              </w:rPr>
              <w:t>e</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7,966 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8,690 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595602388"/>
        </w:trPr>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33,524 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bottom w:val="double" w:sz="6"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34,709 </w:t>
            </w:r>
          </w:p>
        </w:tc>
        <w:tc>
          <w:tcPr>
            <w:tcW w:w="0" w:type="auto"/>
            <w:tcBorders>
              <w:top w:val="single" w:sz="8" w:space="0" w:color="000000"/>
              <w:bottom w:val="double" w:sz="6"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bl>
    <w:p w:rsidR="00000000" w:rsidRDefault="00F5481A">
      <w:pPr>
        <w:divId w:val="2078478303"/>
        <w:rPr>
          <w:rFonts w:eastAsia="Times New Roman"/>
        </w:rPr>
      </w:pPr>
      <w:r>
        <w:rPr>
          <w:rFonts w:ascii="IBM Plex Sans" w:eastAsia="Times New Roman" w:hAnsi="IBM Plex Sans"/>
          <w:color w:val="283030"/>
          <w:sz w:val="16"/>
          <w:szCs w:val="16"/>
        </w:rPr>
        <w:t>_______________</w:t>
      </w:r>
    </w:p>
    <w:p w:rsidR="00000000" w:rsidRDefault="00F5481A">
      <w:pPr>
        <w:ind w:hanging="360"/>
        <w:divId w:val="1714227056"/>
        <w:rPr>
          <w:rFonts w:eastAsia="Times New Roman"/>
        </w:rPr>
      </w:pPr>
      <w:r>
        <w:rPr>
          <w:rFonts w:ascii="IBM Plex Sans" w:eastAsia="Times New Roman" w:hAnsi="IBM Plex Sans"/>
          <w:color w:val="283030"/>
          <w:sz w:val="16"/>
          <w:szCs w:val="16"/>
        </w:rPr>
        <w:t>(1)</w:t>
      </w:r>
      <w:r>
        <w:rPr>
          <w:rFonts w:ascii="IBM Plex Sans" w:eastAsia="Times New Roman" w:hAnsi="IBM Plex Sans"/>
          <w:color w:val="283030"/>
          <w:sz w:val="16"/>
          <w:szCs w:val="16"/>
        </w:rPr>
        <w:t xml:space="preserve">Identifiable intangible assets acquired in connection with business combinations were recorded as corporate assets because they benefited the entire Company as opposed to any individual segment. Identifiable intangible asset balances recorded as corporate </w:t>
      </w:r>
      <w:r>
        <w:rPr>
          <w:rFonts w:ascii="IBM Plex Sans" w:eastAsia="Times New Roman" w:hAnsi="IBM Plex Sans"/>
          <w:color w:val="283030"/>
          <w:sz w:val="16"/>
          <w:szCs w:val="16"/>
        </w:rPr>
        <w:t>assets were $6.0 billion and $6.6 billion at December 30, 2022 and December 31, 2021, respectively. Corporate assets also consisted of cash, income taxes receivable, deferred income taxes, deferred compensation plan investments, buildings and equipment, as</w:t>
      </w:r>
      <w:r>
        <w:rPr>
          <w:rFonts w:ascii="IBM Plex Sans" w:eastAsia="Times New Roman" w:hAnsi="IBM Plex Sans"/>
          <w:color w:val="283030"/>
          <w:sz w:val="16"/>
          <w:szCs w:val="16"/>
        </w:rPr>
        <w:t xml:space="preserve"> well as any assets of businesses held for sale.</w:t>
      </w:r>
    </w:p>
    <w:p w:rsidR="00000000" w:rsidRDefault="00F5481A">
      <w:pPr>
        <w:ind w:firstLine="360"/>
        <w:divId w:val="1766922229"/>
        <w:rPr>
          <w:rFonts w:eastAsia="Times New Roman"/>
        </w:rPr>
      </w:pPr>
      <w:r>
        <w:rPr>
          <w:rFonts w:ascii="IBM Plex Sans" w:eastAsia="Times New Roman" w:hAnsi="IBM Plex Sans"/>
          <w:color w:val="283030"/>
          <w:sz w:val="20"/>
          <w:szCs w:val="20"/>
        </w:rPr>
        <w:t>Other selected financial information by business segment and geographical area is summarized below:</w:t>
      </w:r>
    </w:p>
    <w:tbl>
      <w:tblPr>
        <w:tblW w:w="5000" w:type="pct"/>
        <w:tblCellMar>
          <w:top w:w="15" w:type="dxa"/>
          <w:left w:w="15" w:type="dxa"/>
          <w:bottom w:w="15" w:type="dxa"/>
          <w:right w:w="15" w:type="dxa"/>
        </w:tblCellMar>
        <w:tblLook w:val="04A0" w:firstRow="1" w:lastRow="0" w:firstColumn="1" w:lastColumn="0" w:noHBand="0" w:noVBand="1"/>
      </w:tblPr>
      <w:tblGrid>
        <w:gridCol w:w="39"/>
        <w:gridCol w:w="4102"/>
        <w:gridCol w:w="37"/>
        <w:gridCol w:w="133"/>
        <w:gridCol w:w="1087"/>
        <w:gridCol w:w="36"/>
        <w:gridCol w:w="36"/>
        <w:gridCol w:w="36"/>
        <w:gridCol w:w="36"/>
        <w:gridCol w:w="133"/>
        <w:gridCol w:w="1087"/>
        <w:gridCol w:w="36"/>
        <w:gridCol w:w="36"/>
        <w:gridCol w:w="36"/>
        <w:gridCol w:w="36"/>
        <w:gridCol w:w="132"/>
        <w:gridCol w:w="1088"/>
        <w:gridCol w:w="36"/>
        <w:gridCol w:w="36"/>
        <w:gridCol w:w="36"/>
        <w:gridCol w:w="36"/>
        <w:gridCol w:w="36"/>
      </w:tblGrid>
      <w:tr w:rsidR="00000000">
        <w:trPr>
          <w:divId w:val="970750612"/>
        </w:trPr>
        <w:tc>
          <w:tcPr>
            <w:tcW w:w="50" w:type="pct"/>
            <w:vAlign w:val="center"/>
            <w:hideMark/>
          </w:tcPr>
          <w:p w:rsidR="00000000" w:rsidRDefault="00F5481A">
            <w:pPr>
              <w:ind w:firstLine="360"/>
              <w:rPr>
                <w:rFonts w:eastAsia="Times New Roman"/>
              </w:rPr>
            </w:pPr>
          </w:p>
        </w:tc>
        <w:tc>
          <w:tcPr>
            <w:tcW w:w="2581"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970750612"/>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000000"/>
                <w:sz w:val="16"/>
                <w:szCs w:val="16"/>
              </w:rPr>
              <w:t>Fiscal Year Ended</w:t>
            </w:r>
          </w:p>
        </w:tc>
        <w:tc>
          <w:tcPr>
            <w:tcW w:w="0" w:type="auto"/>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970750612"/>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January 1, 2021</w:t>
            </w:r>
          </w:p>
        </w:tc>
        <w:tc>
          <w:tcPr>
            <w:tcW w:w="0" w:type="auto"/>
            <w:vAlign w:val="center"/>
            <w:hideMark/>
          </w:tcPr>
          <w:p w:rsidR="00000000" w:rsidRDefault="00F5481A">
            <w:pPr>
              <w:spacing w:after="100"/>
              <w:jc w:val="center"/>
              <w:rPr>
                <w:rFonts w:eastAsia="Times New Roman"/>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970750612"/>
          <w:trHeight w:val="60"/>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970750612"/>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283030"/>
                <w:sz w:val="20"/>
                <w:szCs w:val="20"/>
              </w:rPr>
              <w:t>Capital Expenditures</w:t>
            </w: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970750612"/>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Integrated Mission Systems</w:t>
            </w: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61 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93 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970750612"/>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 xml:space="preserve">Space &amp; </w:t>
            </w:r>
            <w:r>
              <w:rPr>
                <w:rFonts w:ascii="IBM Plex Sans" w:eastAsia="Times New Roman" w:hAnsi="IBM Plex Sans"/>
                <w:color w:val="283030"/>
                <w:sz w:val="20"/>
                <w:szCs w:val="20"/>
              </w:rPr>
              <w:t>Airborne Systems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117 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131 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122 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970750612"/>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Communication Systems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970750612"/>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Other non-reportable businesses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16 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970750612"/>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Corporate</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58 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64 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970750612"/>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970750612"/>
        </w:trPr>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252 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342 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tcBorders>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368 </w:t>
            </w:r>
          </w:p>
        </w:tc>
        <w:tc>
          <w:tcPr>
            <w:tcW w:w="0" w:type="auto"/>
            <w:tcBorders>
              <w:top w:val="single" w:sz="8" w:space="0" w:color="000000"/>
            </w:tcBorders>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970750612"/>
        </w:trPr>
        <w:tc>
          <w:tcPr>
            <w:tcW w:w="0" w:type="auto"/>
            <w:gridSpan w:val="3"/>
            <w:shd w:val="clear" w:color="auto" w:fill="FFFFFF"/>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283030"/>
                <w:sz w:val="20"/>
                <w:szCs w:val="20"/>
              </w:rPr>
              <w:t>Depreciation and Amortization</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970750612"/>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Integrated Mission Systems</w:t>
            </w: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98 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D7EFF1"/>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D7EFF1"/>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105 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970750612"/>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Space &amp; Airborne Systems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105 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103 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970750612"/>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Communication Systems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47 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49 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61 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970750612"/>
        </w:trPr>
        <w:tc>
          <w:tcPr>
            <w:tcW w:w="0" w:type="auto"/>
            <w:gridSpan w:val="3"/>
            <w:shd w:val="clear" w:color="auto" w:fill="FFFFFF"/>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Other non-reportable businesses</w:t>
            </w: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8 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34 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970750612"/>
        </w:trPr>
        <w:tc>
          <w:tcPr>
            <w:tcW w:w="0" w:type="auto"/>
            <w:gridSpan w:val="3"/>
            <w:shd w:val="clear" w:color="auto" w:fill="D7EFF1"/>
            <w:tcMar>
              <w:top w:w="30" w:type="dxa"/>
              <w:left w:w="14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Corporate</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703 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709 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732 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970750612"/>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970750612"/>
        </w:trPr>
        <w:tc>
          <w:tcPr>
            <w:tcW w:w="0" w:type="auto"/>
            <w:gridSpan w:val="3"/>
            <w:shd w:val="clear" w:color="auto" w:fill="FFFFFF"/>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967 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1,032 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970750612"/>
        </w:trPr>
        <w:tc>
          <w:tcPr>
            <w:tcW w:w="0" w:type="auto"/>
            <w:gridSpan w:val="3"/>
            <w:shd w:val="clear" w:color="auto" w:fill="D7EFF1"/>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283030"/>
                <w:sz w:val="20"/>
                <w:szCs w:val="20"/>
              </w:rPr>
              <w:t>Geographical Information for Continuing Operations</w:t>
            </w:r>
          </w:p>
        </w:tc>
        <w:tc>
          <w:tcPr>
            <w:tcW w:w="0" w:type="auto"/>
            <w:gridSpan w:val="3"/>
            <w:tcBorders>
              <w:top w:val="double" w:sz="6" w:space="0" w:color="000000"/>
            </w:tcBorders>
            <w:shd w:val="clear" w:color="auto" w:fill="D7EFF1"/>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double" w:sz="6" w:space="0" w:color="000000"/>
            </w:tcBorders>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Borders>
              <w:top w:val="double" w:sz="6" w:space="0" w:color="000000"/>
            </w:tcBorders>
            <w:shd w:val="clear" w:color="auto" w:fill="D7EFF1"/>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970750612"/>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970750612"/>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970750612"/>
        </w:trPr>
        <w:tc>
          <w:tcPr>
            <w:tcW w:w="0" w:type="auto"/>
            <w:gridSpan w:val="3"/>
            <w:shd w:val="clear" w:color="auto" w:fill="FFFFFF"/>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Long-lived assets of U.S. operations</w:t>
            </w: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1,896 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1,870 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w:t>
            </w:r>
          </w:p>
        </w:tc>
        <w:tc>
          <w:tcPr>
            <w:tcW w:w="0" w:type="auto"/>
            <w:shd w:val="clear" w:color="auto" w:fill="FFFFFF"/>
            <w:tcMar>
              <w:top w:w="30" w:type="dxa"/>
              <w:left w:w="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1,949 </w:t>
            </w:r>
          </w:p>
        </w:tc>
        <w:tc>
          <w:tcPr>
            <w:tcW w:w="0" w:type="auto"/>
            <w:shd w:val="clear" w:color="auto" w:fill="FFFFFF"/>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970750612"/>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970750612"/>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r w:rsidR="00000000">
        <w:trPr>
          <w:divId w:val="970750612"/>
        </w:trPr>
        <w:tc>
          <w:tcPr>
            <w:tcW w:w="0" w:type="auto"/>
            <w:gridSpan w:val="3"/>
            <w:shd w:val="clear" w:color="auto" w:fill="D7EFF1"/>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Long-lived assets of international operations</w:t>
            </w: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208 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231 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gridSpan w:val="3"/>
            <w:shd w:val="clear" w:color="auto" w:fill="D7EFF1"/>
            <w:tcMar>
              <w:top w:w="0" w:type="dxa"/>
              <w:left w:w="20" w:type="dxa"/>
              <w:bottom w:w="0" w:type="dxa"/>
              <w:right w:w="20" w:type="dxa"/>
            </w:tcMar>
            <w:vAlign w:val="center"/>
            <w:hideMark/>
          </w:tcPr>
          <w:p w:rsidR="00000000" w:rsidRDefault="00F5481A">
            <w:pPr>
              <w:spacing w:after="100"/>
              <w:jc w:val="right"/>
              <w:rPr>
                <w:rFonts w:eastAsia="Times New Roman"/>
                <w:sz w:val="20"/>
                <w:szCs w:val="20"/>
              </w:rPr>
            </w:pPr>
          </w:p>
        </w:tc>
        <w:tc>
          <w:tcPr>
            <w:tcW w:w="0" w:type="auto"/>
            <w:gridSpan w:val="2"/>
            <w:shd w:val="clear" w:color="auto" w:fill="D7EFF1"/>
            <w:tcMar>
              <w:top w:w="30" w:type="dxa"/>
              <w:left w:w="20" w:type="dxa"/>
              <w:bottom w:w="30" w:type="dxa"/>
              <w:right w:w="0" w:type="dxa"/>
            </w:tcMar>
            <w:vAlign w:val="bottom"/>
            <w:hideMark/>
          </w:tcPr>
          <w:p w:rsidR="00000000" w:rsidRDefault="00F5481A">
            <w:pPr>
              <w:spacing w:after="100"/>
              <w:jc w:val="right"/>
              <w:rPr>
                <w:rFonts w:eastAsia="Times New Roman"/>
              </w:rPr>
            </w:pPr>
            <w:r>
              <w:rPr>
                <w:rFonts w:ascii="IBM Plex Sans" w:eastAsia="Times New Roman" w:hAnsi="IBM Plex Sans"/>
                <w:color w:val="283030"/>
                <w:sz w:val="20"/>
                <w:szCs w:val="20"/>
              </w:rPr>
              <w:t>153 </w:t>
            </w:r>
          </w:p>
        </w:tc>
        <w:tc>
          <w:tcPr>
            <w:tcW w:w="0" w:type="auto"/>
            <w:shd w:val="clear" w:color="auto" w:fill="D7EFF1"/>
            <w:tcMar>
              <w:top w:w="30" w:type="dxa"/>
              <w:left w:w="0" w:type="dxa"/>
              <w:bottom w:w="30" w:type="dxa"/>
              <w:right w:w="20" w:type="dxa"/>
            </w:tcMar>
            <w:vAlign w:val="bottom"/>
            <w:hideMark/>
          </w:tcPr>
          <w:p w:rsidR="00000000" w:rsidRDefault="00F5481A">
            <w:pPr>
              <w:spacing w:after="100"/>
              <w:jc w:val="right"/>
              <w:rPr>
                <w:rFonts w:eastAsia="Times New Roman"/>
              </w:rPr>
            </w:pPr>
          </w:p>
        </w:tc>
        <w:tc>
          <w:tcPr>
            <w:tcW w:w="0" w:type="auto"/>
            <w:vAlign w:val="center"/>
            <w:hideMark/>
          </w:tcPr>
          <w:p w:rsidR="00000000" w:rsidRDefault="00F5481A">
            <w:pPr>
              <w:spacing w:after="100"/>
              <w:jc w:val="right"/>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c>
          <w:tcPr>
            <w:tcW w:w="0" w:type="auto"/>
            <w:vAlign w:val="center"/>
            <w:hideMark/>
          </w:tcPr>
          <w:p w:rsidR="00000000" w:rsidRDefault="00F5481A">
            <w:pPr>
              <w:spacing w:after="100"/>
              <w:rPr>
                <w:rFonts w:eastAsia="Times New Roman"/>
                <w:sz w:val="20"/>
                <w:szCs w:val="20"/>
              </w:rPr>
            </w:pPr>
          </w:p>
        </w:tc>
      </w:tr>
    </w:tbl>
    <w:p w:rsidR="00000000" w:rsidRDefault="00F5481A">
      <w:pPr>
        <w:ind w:firstLine="360"/>
        <w:divId w:val="479273948"/>
        <w:rPr>
          <w:rFonts w:eastAsia="Times New Roman"/>
        </w:rPr>
      </w:pPr>
      <w:r>
        <w:rPr>
          <w:rFonts w:ascii="IBM Plex Sans" w:eastAsia="Times New Roman" w:hAnsi="IBM Plex Sans"/>
          <w:color w:val="283030"/>
          <w:sz w:val="20"/>
          <w:szCs w:val="20"/>
        </w:rPr>
        <w:t>In additi</w:t>
      </w:r>
      <w:r>
        <w:rPr>
          <w:rFonts w:ascii="IBM Plex Sans" w:eastAsia="Times New Roman" w:hAnsi="IBM Plex Sans"/>
          <w:color w:val="283030"/>
          <w:sz w:val="20"/>
          <w:szCs w:val="20"/>
        </w:rPr>
        <w:t>on to depreciation and amortization expense related to property, plant and equipment, “Depreciation and Amortization” in the table above also includes $596 million, $624 million and $714 million of amortization related to identifiable intangible assets, de</w:t>
      </w:r>
      <w:r>
        <w:rPr>
          <w:rFonts w:ascii="IBM Plex Sans" w:eastAsia="Times New Roman" w:hAnsi="IBM Plex Sans"/>
          <w:color w:val="283030"/>
          <w:sz w:val="20"/>
          <w:szCs w:val="20"/>
        </w:rPr>
        <w:t>bt premium, debt discount, debt issuance costs and other items in fiscal 2022</w:t>
      </w:r>
      <w:r>
        <w:rPr>
          <w:rFonts w:ascii="IBM Plex Sans" w:eastAsia="Times New Roman" w:hAnsi="IBM Plex Sans"/>
          <w:color w:val="000000"/>
          <w:sz w:val="20"/>
          <w:szCs w:val="20"/>
        </w:rPr>
        <w:t>, 2021 and 2020</w:t>
      </w:r>
      <w:r>
        <w:rPr>
          <w:rFonts w:ascii="IBM Plex Sans" w:eastAsia="Times New Roman" w:hAnsi="IBM Plex Sans"/>
          <w:color w:val="283030"/>
          <w:sz w:val="20"/>
          <w:szCs w:val="20"/>
        </w:rPr>
        <w:t>, respectively.</w:t>
      </w:r>
    </w:p>
    <w:p w:rsidR="00000000" w:rsidRDefault="00F5481A">
      <w:pPr>
        <w:ind w:firstLine="360"/>
        <w:jc w:val="center"/>
        <w:divId w:val="971787757"/>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112</w:t>
      </w:r>
    </w:p>
    <w:p w:rsidR="00000000" w:rsidRDefault="00F5481A">
      <w:pPr>
        <w:rPr>
          <w:rFonts w:eastAsia="Times New Roman"/>
        </w:rPr>
      </w:pPr>
      <w:r>
        <w:rPr>
          <w:rFonts w:eastAsia="Times New Roman"/>
        </w:rPr>
        <w:pict>
          <v:rect id="_x0000_i1143" style="width:0;height:1.5pt" o:hralign="center" o:hrstd="t" o:hr="t" fillcolor="#a0a0a0" stroked="f"/>
        </w:pict>
      </w:r>
    </w:p>
    <w:p w:rsidR="00000000" w:rsidRDefault="00F5481A">
      <w:pPr>
        <w:ind w:firstLine="360"/>
        <w:divId w:val="983461174"/>
        <w:rPr>
          <w:rFonts w:eastAsia="Times New Roman"/>
        </w:rPr>
      </w:pPr>
    </w:p>
    <w:p w:rsidR="00000000" w:rsidRDefault="00F5481A">
      <w:pPr>
        <w:divId w:val="1078282789"/>
        <w:rPr>
          <w:rFonts w:eastAsia="Times New Roman"/>
        </w:rPr>
      </w:pPr>
      <w:r>
        <w:rPr>
          <w:rFonts w:ascii="IBM Plex Sans SemiBold" w:eastAsia="Times New Roman" w:hAnsi="IBM Plex Sans SemiBold"/>
          <w:b/>
          <w:bCs/>
          <w:color w:val="016676"/>
          <w:sz w:val="20"/>
          <w:szCs w:val="20"/>
        </w:rPr>
        <w:t>NOTE 25: LEGAL PROCEEDINGS AND CONTI</w:t>
      </w:r>
      <w:r>
        <w:rPr>
          <w:rFonts w:ascii="IBM Plex Sans SemiBold" w:eastAsia="Times New Roman" w:hAnsi="IBM Plex Sans SemiBold"/>
          <w:b/>
          <w:bCs/>
          <w:color w:val="016676"/>
          <w:sz w:val="20"/>
          <w:szCs w:val="20"/>
        </w:rPr>
        <w:t>NGENCIES</w:t>
      </w:r>
      <w:r>
        <w:rPr>
          <w:rFonts w:ascii="IBM Plex Sans" w:eastAsia="Times New Roman" w:hAnsi="IBM Plex Sans"/>
          <w:b/>
          <w:bCs/>
          <w:i/>
          <w:iCs/>
          <w:color w:val="283030"/>
          <w:sz w:val="20"/>
          <w:szCs w:val="20"/>
        </w:rPr>
        <w:t xml:space="preserve"> </w:t>
      </w:r>
    </w:p>
    <w:p w:rsidR="00000000" w:rsidRDefault="00F5481A">
      <w:pPr>
        <w:divId w:val="2031761156"/>
        <w:rPr>
          <w:rFonts w:eastAsia="Times New Roman"/>
        </w:rPr>
      </w:pPr>
      <w:r>
        <w:rPr>
          <w:rFonts w:ascii="IBM Plex Sans SemiBold" w:eastAsia="Times New Roman" w:hAnsi="IBM Plex Sans SemiBold"/>
          <w:b/>
          <w:bCs/>
          <w:color w:val="016676"/>
          <w:sz w:val="20"/>
          <w:szCs w:val="20"/>
        </w:rPr>
        <w:t>General</w:t>
      </w:r>
    </w:p>
    <w:p w:rsidR="00000000" w:rsidRDefault="00F5481A">
      <w:pPr>
        <w:ind w:firstLine="360"/>
        <w:divId w:val="611400331"/>
        <w:rPr>
          <w:rFonts w:eastAsia="Times New Roman"/>
        </w:rPr>
      </w:pPr>
      <w:r>
        <w:rPr>
          <w:rFonts w:ascii="IBM Plex Sans" w:eastAsia="Times New Roman" w:hAnsi="IBM Plex Sans"/>
          <w:color w:val="283030"/>
          <w:sz w:val="20"/>
          <w:szCs w:val="20"/>
        </w:rPr>
        <w:t>From time to time, as a normal incident of the nature and kind of businesses in which we are or were engaged, various claims or charges are asserted and litigation or arbitration is commenced by or against us arising from or related to ma</w:t>
      </w:r>
      <w:r>
        <w:rPr>
          <w:rFonts w:ascii="IBM Plex Sans" w:eastAsia="Times New Roman" w:hAnsi="IBM Plex Sans"/>
          <w:color w:val="283030"/>
          <w:sz w:val="20"/>
          <w:szCs w:val="20"/>
        </w:rPr>
        <w:t>tters, including but not limited to: product liability; personal injury; patents, trademarks, trade secrets or other intellectual property; labor and employee disputes; commercial or contractual disputes; strategic acquisitions or divestitures; the prior s</w:t>
      </w:r>
      <w:r>
        <w:rPr>
          <w:rFonts w:ascii="IBM Plex Sans" w:eastAsia="Times New Roman" w:hAnsi="IBM Plex Sans"/>
          <w:color w:val="283030"/>
          <w:sz w:val="20"/>
          <w:szCs w:val="20"/>
        </w:rPr>
        <w:t xml:space="preserve">ale or use of former products allegedly containing asbestos or other restricted materials; breach of warranty; or environmental matters. Claimed amounts against us may be substantial, but may not bear any reasonable relationship to the merits of the claim </w:t>
      </w:r>
      <w:r>
        <w:rPr>
          <w:rFonts w:ascii="IBM Plex Sans" w:eastAsia="Times New Roman" w:hAnsi="IBM Plex Sans"/>
          <w:color w:val="283030"/>
          <w:sz w:val="20"/>
          <w:szCs w:val="20"/>
        </w:rPr>
        <w:t>or the extent of any real risk of court or arbitral awards. We record accruals for losses related to those matters against us that we consider to be probable and that can be reasonably estimated. Gain contingencies, if any, are recognized when they are rea</w:t>
      </w:r>
      <w:r>
        <w:rPr>
          <w:rFonts w:ascii="IBM Plex Sans" w:eastAsia="Times New Roman" w:hAnsi="IBM Plex Sans"/>
          <w:color w:val="283030"/>
          <w:sz w:val="20"/>
          <w:szCs w:val="20"/>
        </w:rPr>
        <w:t xml:space="preserve">lized and legal costs generally are expensed when incurred. At December 30, 2022, our accrual for the potential resolution of lawsuits, claims or proceedings that we consider probable of being decided unfavorably to us was not material. Although it is not </w:t>
      </w:r>
      <w:r>
        <w:rPr>
          <w:rFonts w:ascii="IBM Plex Sans" w:eastAsia="Times New Roman" w:hAnsi="IBM Plex Sans"/>
          <w:color w:val="283030"/>
          <w:sz w:val="20"/>
          <w:szCs w:val="20"/>
        </w:rPr>
        <w:t>feasible to predict the outcome of these matters with certainty, it is reasonably possible that some lawsuits, claims or proceedings may be disposed of or decided unfavorably to us and in excess of the amounts currently accrued. Based on available informat</w:t>
      </w:r>
      <w:r>
        <w:rPr>
          <w:rFonts w:ascii="IBM Plex Sans" w:eastAsia="Times New Roman" w:hAnsi="IBM Plex Sans"/>
          <w:color w:val="283030"/>
          <w:sz w:val="20"/>
          <w:szCs w:val="20"/>
        </w:rPr>
        <w:t xml:space="preserve">ion, in the opinion of management, settlements, arbitration awards and final judgments, if any, that are considered probable of being rendered against us in litigation or arbitration in existence at December 30, 2022 are reserved against or would not have </w:t>
      </w:r>
      <w:r>
        <w:rPr>
          <w:rFonts w:ascii="IBM Plex Sans" w:eastAsia="Times New Roman" w:hAnsi="IBM Plex Sans"/>
          <w:color w:val="283030"/>
          <w:sz w:val="20"/>
          <w:szCs w:val="20"/>
        </w:rPr>
        <w:t>a material adverse effect on our financial condition, results of operations, cash flows or equity.</w:t>
      </w:r>
    </w:p>
    <w:p w:rsidR="00000000" w:rsidRDefault="00F5481A">
      <w:pPr>
        <w:divId w:val="1917277948"/>
        <w:rPr>
          <w:rFonts w:eastAsia="Times New Roman"/>
        </w:rPr>
      </w:pPr>
      <w:r>
        <w:rPr>
          <w:rFonts w:ascii="IBM Plex Sans SemiBold" w:eastAsia="Times New Roman" w:hAnsi="IBM Plex Sans SemiBold"/>
          <w:b/>
          <w:bCs/>
          <w:color w:val="016676"/>
          <w:sz w:val="20"/>
          <w:szCs w:val="20"/>
        </w:rPr>
        <w:t>Tax Audits</w:t>
      </w:r>
    </w:p>
    <w:p w:rsidR="00000000" w:rsidRDefault="00F5481A">
      <w:pPr>
        <w:ind w:firstLine="360"/>
        <w:divId w:val="771051889"/>
        <w:rPr>
          <w:rFonts w:eastAsia="Times New Roman"/>
        </w:rPr>
      </w:pPr>
      <w:r>
        <w:rPr>
          <w:rFonts w:ascii="IBM Plex Sans" w:eastAsia="Times New Roman" w:hAnsi="IBM Plex Sans"/>
          <w:color w:val="283030"/>
          <w:sz w:val="20"/>
          <w:szCs w:val="20"/>
        </w:rPr>
        <w:t>Our tax filings are subject to audit by taxing authorities in jurisdictions where we conduct or conducted business. These audits may result in ass</w:t>
      </w:r>
      <w:r>
        <w:rPr>
          <w:rFonts w:ascii="IBM Plex Sans" w:eastAsia="Times New Roman" w:hAnsi="IBM Plex Sans"/>
          <w:color w:val="283030"/>
          <w:sz w:val="20"/>
          <w:szCs w:val="20"/>
        </w:rPr>
        <w:t>essments of additional taxes that are subsequently resolved with the authorities or ultimately through legal proceedings. We believe we have adequately accrued for any ultimate amounts that are likely to result from these audits; however, final assessments</w:t>
      </w:r>
      <w:r>
        <w:rPr>
          <w:rFonts w:ascii="IBM Plex Sans" w:eastAsia="Times New Roman" w:hAnsi="IBM Plex Sans"/>
          <w:color w:val="283030"/>
          <w:sz w:val="20"/>
          <w:szCs w:val="20"/>
        </w:rPr>
        <w:t xml:space="preserve">, if any, could be different from the amounts recorded in our Consolidated Financial Statements. Additional information regarding audits and examinations by taxing authorities of our tax filings is set forth in </w:t>
      </w:r>
      <w:r>
        <w:rPr>
          <w:rFonts w:ascii="IBM Plex Sans" w:eastAsia="Times New Roman" w:hAnsi="IBM Plex Sans"/>
          <w:i/>
          <w:iCs/>
          <w:color w:val="283030"/>
          <w:sz w:val="20"/>
          <w:szCs w:val="20"/>
        </w:rPr>
        <w:t>Note 22: Income Taxes</w:t>
      </w:r>
      <w:r>
        <w:rPr>
          <w:rFonts w:ascii="IBM Plex Sans" w:eastAsia="Times New Roman" w:hAnsi="IBM Plex Sans"/>
          <w:color w:val="283030"/>
          <w:sz w:val="20"/>
          <w:szCs w:val="20"/>
        </w:rPr>
        <w:t xml:space="preserve"> in these Notes.</w:t>
      </w:r>
    </w:p>
    <w:p w:rsidR="00000000" w:rsidRDefault="00F5481A">
      <w:pPr>
        <w:divId w:val="2038460267"/>
        <w:rPr>
          <w:rFonts w:eastAsia="Times New Roman"/>
        </w:rPr>
      </w:pPr>
      <w:r>
        <w:rPr>
          <w:rFonts w:ascii="IBM Plex Sans SemiBold" w:eastAsia="Times New Roman" w:hAnsi="IBM Plex Sans SemiBold"/>
          <w:b/>
          <w:bCs/>
          <w:color w:val="016676"/>
          <w:sz w:val="20"/>
          <w:szCs w:val="20"/>
        </w:rPr>
        <w:t>U.S. Go</w:t>
      </w:r>
      <w:r>
        <w:rPr>
          <w:rFonts w:ascii="IBM Plex Sans SemiBold" w:eastAsia="Times New Roman" w:hAnsi="IBM Plex Sans SemiBold"/>
          <w:b/>
          <w:bCs/>
          <w:color w:val="016676"/>
          <w:sz w:val="20"/>
          <w:szCs w:val="20"/>
        </w:rPr>
        <w:t>vernment Business</w:t>
      </w:r>
    </w:p>
    <w:p w:rsidR="00000000" w:rsidRDefault="00F5481A">
      <w:pPr>
        <w:ind w:firstLine="360"/>
        <w:divId w:val="1932813492"/>
        <w:rPr>
          <w:rFonts w:eastAsia="Times New Roman"/>
        </w:rPr>
      </w:pPr>
      <w:r>
        <w:rPr>
          <w:rFonts w:ascii="IBM Plex Sans" w:eastAsia="Times New Roman" w:hAnsi="IBM Plex Sans"/>
          <w:color w:val="283030"/>
          <w:sz w:val="20"/>
          <w:szCs w:val="20"/>
        </w:rPr>
        <w:t xml:space="preserve">We are engaged in supplying goods and services to various departments and agencies of the U.S. Government. We are therefore dependent on Congressional appropriations and administrative allotment of funds and may be affected by changes in </w:t>
      </w:r>
      <w:r>
        <w:rPr>
          <w:rFonts w:ascii="IBM Plex Sans" w:eastAsia="Times New Roman" w:hAnsi="IBM Plex Sans"/>
          <w:color w:val="283030"/>
          <w:sz w:val="20"/>
          <w:szCs w:val="20"/>
        </w:rPr>
        <w:t>U.S. Government policies. U.S. Government development and production contracts typically involve long lead times for design and development, are subject to significant changes in contract scheduling and may be unilaterally modified or canceled by the U.S. </w:t>
      </w:r>
      <w:r>
        <w:rPr>
          <w:rFonts w:ascii="IBM Plex Sans" w:eastAsia="Times New Roman" w:hAnsi="IBM Plex Sans"/>
          <w:color w:val="283030"/>
          <w:sz w:val="20"/>
          <w:szCs w:val="20"/>
        </w:rPr>
        <w:t>Government. Often these contracts call for successful design and production of complex and technologically advanced products or systems. We may participate in supplying goods and services to the U.S. Government as either a prime contractor or as a subcontr</w:t>
      </w:r>
      <w:r>
        <w:rPr>
          <w:rFonts w:ascii="IBM Plex Sans" w:eastAsia="Times New Roman" w:hAnsi="IBM Plex Sans"/>
          <w:color w:val="283030"/>
          <w:sz w:val="20"/>
          <w:szCs w:val="20"/>
        </w:rPr>
        <w:t>actor to a prime contractor. Disputes may arise between the prime contractor and the U.S. Government or between the prime contractor and its subcontractors and may result in litigation or arbitration between the contracting parties. The Company remains sub</w:t>
      </w:r>
      <w:r>
        <w:rPr>
          <w:rFonts w:ascii="IBM Plex Sans" w:eastAsia="Times New Roman" w:hAnsi="IBM Plex Sans"/>
          <w:color w:val="283030"/>
          <w:sz w:val="20"/>
          <w:szCs w:val="20"/>
        </w:rPr>
        <w:t>ject to the administrative agreement with the Department of State.</w:t>
      </w:r>
    </w:p>
    <w:p w:rsidR="00000000" w:rsidRDefault="00F5481A">
      <w:pPr>
        <w:ind w:firstLine="360"/>
        <w:divId w:val="1914311812"/>
        <w:rPr>
          <w:rFonts w:eastAsia="Times New Roman"/>
        </w:rPr>
      </w:pPr>
      <w:r>
        <w:rPr>
          <w:rFonts w:ascii="IBM Plex Sans" w:eastAsia="Times New Roman" w:hAnsi="IBM Plex Sans"/>
          <w:color w:val="283030"/>
          <w:sz w:val="20"/>
          <w:szCs w:val="20"/>
        </w:rPr>
        <w:t>Generally, U.S. Government contracts are subject to procurement laws and regulations, including the FAR, which outline uniform policies and procedures for acquiring goods and services by th</w:t>
      </w:r>
      <w:r>
        <w:rPr>
          <w:rFonts w:ascii="IBM Plex Sans" w:eastAsia="Times New Roman" w:hAnsi="IBM Plex Sans"/>
          <w:color w:val="283030"/>
          <w:sz w:val="20"/>
          <w:szCs w:val="20"/>
        </w:rPr>
        <w:t>e U.S. Government, and specific agency acquisition regulations that implement or supplement the FAR, such as the Defense Federal Acquisition Regulation Supplement. As a U.S. Government contractor, our contract costs are audited and reviewed on a continuing</w:t>
      </w:r>
      <w:r>
        <w:rPr>
          <w:rFonts w:ascii="IBM Plex Sans" w:eastAsia="Times New Roman" w:hAnsi="IBM Plex Sans"/>
          <w:color w:val="283030"/>
          <w:sz w:val="20"/>
          <w:szCs w:val="20"/>
        </w:rPr>
        <w:t xml:space="preserve"> basis by the Defense Contract Audit Agency (“DCAA”). The DCAA also reviews the adequacy of, and a U.S. Government contractor’s compliance with, the contractor’s business systems and policies, including the contractor’s property, estimating, compensation a</w:t>
      </w:r>
      <w:r>
        <w:rPr>
          <w:rFonts w:ascii="IBM Plex Sans" w:eastAsia="Times New Roman" w:hAnsi="IBM Plex Sans"/>
          <w:color w:val="283030"/>
          <w:sz w:val="20"/>
          <w:szCs w:val="20"/>
        </w:rPr>
        <w:t>nd management information systems. In addition to these routine audits, from time to time, we may, either individually or in conjunction with other U.S. Government contractors, be the subject of audits and investigations by other agencies of the U.S. Gover</w:t>
      </w:r>
      <w:r>
        <w:rPr>
          <w:rFonts w:ascii="IBM Plex Sans" w:eastAsia="Times New Roman" w:hAnsi="IBM Plex Sans"/>
          <w:color w:val="283030"/>
          <w:sz w:val="20"/>
          <w:szCs w:val="20"/>
        </w:rPr>
        <w:t>nment. These audits and investigations are conducted to determine if our performance and administration of our U.S. Government contracts are compliant with applicable contractual requirements and procurement and other applicable Federal laws and regulation</w:t>
      </w:r>
      <w:r>
        <w:rPr>
          <w:rFonts w:ascii="IBM Plex Sans" w:eastAsia="Times New Roman" w:hAnsi="IBM Plex Sans"/>
          <w:color w:val="283030"/>
          <w:sz w:val="20"/>
          <w:szCs w:val="20"/>
        </w:rPr>
        <w:t>s, including ITAR and FCPA. These investigations may be conducted with or without our knowledge or cooperation. We are unable to predict the outcome of such investigations or to estimate the amounts of resulting claims or other actions that could be instit</w:t>
      </w:r>
      <w:r>
        <w:rPr>
          <w:rFonts w:ascii="IBM Plex Sans" w:eastAsia="Times New Roman" w:hAnsi="IBM Plex Sans"/>
          <w:color w:val="283030"/>
          <w:sz w:val="20"/>
          <w:szCs w:val="20"/>
        </w:rPr>
        <w:t xml:space="preserve">uted against us or our officers or employees. Under present U.S. Government procurement laws and regulations, if indicted or adjudged in violation of procurement or other Federal laws, a contractor, such as us, or one or more of our operating divisions or </w:t>
      </w:r>
      <w:r>
        <w:rPr>
          <w:rFonts w:ascii="IBM Plex Sans" w:eastAsia="Times New Roman" w:hAnsi="IBM Plex Sans"/>
          <w:color w:val="283030"/>
          <w:sz w:val="20"/>
          <w:szCs w:val="20"/>
        </w:rPr>
        <w:t>subdivisions, could be subject to fines, penalties, repayments, or compensatory or treble damages. U.S. Government regulations also provide that certain findings against a contractor may lead to suspension or debarment from eligibility for awards of new U.</w:t>
      </w:r>
      <w:r>
        <w:rPr>
          <w:rFonts w:ascii="IBM Plex Sans" w:eastAsia="Times New Roman" w:hAnsi="IBM Plex Sans"/>
          <w:color w:val="283030"/>
          <w:sz w:val="20"/>
          <w:szCs w:val="20"/>
        </w:rPr>
        <w:t xml:space="preserve">S. Government </w:t>
      </w:r>
    </w:p>
    <w:p w:rsidR="00000000" w:rsidRDefault="00F5481A">
      <w:pPr>
        <w:ind w:firstLine="360"/>
        <w:jc w:val="center"/>
        <w:divId w:val="227038764"/>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113</w:t>
      </w:r>
    </w:p>
    <w:p w:rsidR="00000000" w:rsidRDefault="00F5481A">
      <w:pPr>
        <w:rPr>
          <w:rFonts w:eastAsia="Times New Roman"/>
        </w:rPr>
      </w:pPr>
      <w:r>
        <w:rPr>
          <w:rFonts w:eastAsia="Times New Roman"/>
        </w:rPr>
        <w:pict>
          <v:rect id="_x0000_i1144" style="width:0;height:1.5pt" o:hralign="center" o:hrstd="t" o:hr="t" fillcolor="#a0a0a0" stroked="f"/>
        </w:pict>
      </w:r>
    </w:p>
    <w:p w:rsidR="00000000" w:rsidRDefault="00F5481A">
      <w:pPr>
        <w:ind w:firstLine="360"/>
        <w:divId w:val="1936016641"/>
        <w:rPr>
          <w:rFonts w:eastAsia="Times New Roman"/>
        </w:rPr>
      </w:pPr>
    </w:p>
    <w:p w:rsidR="00000000" w:rsidRDefault="00F5481A">
      <w:pPr>
        <w:divId w:val="389229096"/>
        <w:rPr>
          <w:rFonts w:eastAsia="Times New Roman"/>
        </w:rPr>
      </w:pPr>
      <w:r>
        <w:rPr>
          <w:rFonts w:ascii="IBM Plex Sans" w:eastAsia="Times New Roman" w:hAnsi="IBM Plex Sans"/>
          <w:color w:val="283030"/>
          <w:sz w:val="20"/>
          <w:szCs w:val="20"/>
        </w:rPr>
        <w:t>contracts for a period of time to be determined by the U.S. Government. Suspension or debarment would have a material adverse effect on us because of our reliance on U.S. Government contracts. In addition, our export p</w:t>
      </w:r>
      <w:r>
        <w:rPr>
          <w:rFonts w:ascii="IBM Plex Sans" w:eastAsia="Times New Roman" w:hAnsi="IBM Plex Sans"/>
          <w:color w:val="283030"/>
          <w:sz w:val="20"/>
          <w:szCs w:val="20"/>
        </w:rPr>
        <w:t>rivileges could be suspended or revoked, which also would have a material adverse effect on us. For further discussion of risks relating to U.S. Government contracts, see “Item 1A. Risk Factors” of this Report.</w:t>
      </w:r>
    </w:p>
    <w:p w:rsidR="00000000" w:rsidRDefault="00F5481A">
      <w:pPr>
        <w:divId w:val="1199125272"/>
        <w:rPr>
          <w:rFonts w:eastAsia="Times New Roman"/>
        </w:rPr>
      </w:pPr>
      <w:r>
        <w:rPr>
          <w:rFonts w:ascii="IBM Plex Sans SemiBold" w:eastAsia="Times New Roman" w:hAnsi="IBM Plex Sans SemiBold"/>
          <w:b/>
          <w:bCs/>
          <w:color w:val="016676"/>
          <w:sz w:val="20"/>
          <w:szCs w:val="20"/>
        </w:rPr>
        <w:t>International</w:t>
      </w:r>
    </w:p>
    <w:p w:rsidR="00000000" w:rsidRDefault="00F5481A">
      <w:pPr>
        <w:ind w:firstLine="360"/>
        <w:divId w:val="1049189433"/>
        <w:rPr>
          <w:rFonts w:eastAsia="Times New Roman"/>
        </w:rPr>
      </w:pPr>
      <w:r>
        <w:rPr>
          <w:rFonts w:ascii="IBM Plex Sans" w:eastAsia="Times New Roman" w:hAnsi="IBM Plex Sans"/>
          <w:i/>
          <w:iCs/>
          <w:color w:val="283030"/>
          <w:sz w:val="20"/>
          <w:szCs w:val="20"/>
        </w:rPr>
        <w:t> </w:t>
      </w:r>
      <w:r>
        <w:rPr>
          <w:rFonts w:ascii="IBM Plex Sans" w:eastAsia="Times New Roman" w:hAnsi="IBM Plex Sans"/>
          <w:color w:val="283030"/>
          <w:sz w:val="20"/>
          <w:szCs w:val="20"/>
        </w:rPr>
        <w:t>As an international company, w</w:t>
      </w:r>
      <w:r>
        <w:rPr>
          <w:rFonts w:ascii="IBM Plex Sans" w:eastAsia="Times New Roman" w:hAnsi="IBM Plex Sans"/>
          <w:color w:val="283030"/>
          <w:sz w:val="20"/>
          <w:szCs w:val="20"/>
        </w:rPr>
        <w:t>e are, from time to time, the subject of investigations relating to our international operations, including under U.S. export control laws (such as ITAR), the FCPA and other similar U.S. and international laws.</w:t>
      </w:r>
    </w:p>
    <w:p w:rsidR="00000000" w:rsidRDefault="00F5481A">
      <w:pPr>
        <w:ind w:firstLine="360"/>
        <w:divId w:val="420680688"/>
        <w:rPr>
          <w:rFonts w:eastAsia="Times New Roman"/>
        </w:rPr>
      </w:pPr>
      <w:r>
        <w:rPr>
          <w:rFonts w:ascii="IBM Plex Sans" w:eastAsia="Times New Roman" w:hAnsi="IBM Plex Sans"/>
          <w:color w:val="283030"/>
          <w:sz w:val="20"/>
          <w:szCs w:val="20"/>
        </w:rPr>
        <w:t xml:space="preserve">In September 2019, we reached an administrative settlement with the Department of State to resolve alleged U.S. export control regulation violations. Under the terms of the settlement, we have committed to strengthen our trade compliance program under the </w:t>
      </w:r>
      <w:r>
        <w:rPr>
          <w:rFonts w:ascii="IBM Plex Sans" w:eastAsia="Times New Roman" w:hAnsi="IBM Plex Sans"/>
          <w:color w:val="283030"/>
          <w:sz w:val="20"/>
          <w:szCs w:val="20"/>
        </w:rPr>
        <w:t>supervision of a special compliance officer and will pay a civil penalty of $13 million over three years (with $6.5 million suspended on the condition of use for qualified remedial compliance measures). The settlement did not result in any debarment or lim</w:t>
      </w:r>
      <w:r>
        <w:rPr>
          <w:rFonts w:ascii="IBM Plex Sans" w:eastAsia="Times New Roman" w:hAnsi="IBM Plex Sans"/>
          <w:color w:val="283030"/>
          <w:sz w:val="20"/>
          <w:szCs w:val="20"/>
        </w:rPr>
        <w:t>itation on export licensing. The settlement was paid in full during fiscal 2021.</w:t>
      </w:r>
    </w:p>
    <w:p w:rsidR="00000000" w:rsidRDefault="00F5481A">
      <w:pPr>
        <w:divId w:val="1924220461"/>
        <w:rPr>
          <w:rFonts w:eastAsia="Times New Roman"/>
        </w:rPr>
      </w:pPr>
      <w:r>
        <w:rPr>
          <w:rFonts w:ascii="IBM Plex Sans SemiBold" w:eastAsia="Times New Roman" w:hAnsi="IBM Plex Sans SemiBold"/>
          <w:b/>
          <w:bCs/>
          <w:color w:val="016676"/>
          <w:sz w:val="20"/>
          <w:szCs w:val="20"/>
        </w:rPr>
        <w:t>Environmental Matters</w:t>
      </w:r>
    </w:p>
    <w:p w:rsidR="00000000" w:rsidRDefault="00F5481A">
      <w:pPr>
        <w:ind w:firstLine="360"/>
        <w:divId w:val="1187864151"/>
        <w:rPr>
          <w:rFonts w:eastAsia="Times New Roman"/>
        </w:rPr>
      </w:pPr>
      <w:r>
        <w:rPr>
          <w:rFonts w:ascii="IBM Plex Sans" w:eastAsia="Times New Roman" w:hAnsi="IBM Plex Sans"/>
          <w:color w:val="283030"/>
          <w:sz w:val="20"/>
          <w:szCs w:val="20"/>
        </w:rPr>
        <w:t>We are subject to numerous U.S. Federal, state, local and international environmental laws and regulatory requirements and are involved from time to time</w:t>
      </w:r>
      <w:r>
        <w:rPr>
          <w:rFonts w:ascii="IBM Plex Sans" w:eastAsia="Times New Roman" w:hAnsi="IBM Plex Sans"/>
          <w:color w:val="283030"/>
          <w:sz w:val="20"/>
          <w:szCs w:val="20"/>
        </w:rPr>
        <w:t xml:space="preserve"> in investigations or litigation of various potential environmental issues. We or companies we have acquired are responsible, or alleged to be responsible, for environmental investigation and/or remediation of multiple sites. These sites are in various sta</w:t>
      </w:r>
      <w:r>
        <w:rPr>
          <w:rFonts w:ascii="IBM Plex Sans" w:eastAsia="Times New Roman" w:hAnsi="IBM Plex Sans"/>
          <w:color w:val="283030"/>
          <w:sz w:val="20"/>
          <w:szCs w:val="20"/>
        </w:rPr>
        <w:t>ges of investigation and/or remediation and in some cases our liability is considered de minimis. Notices from the U.S. Environmental Protection Agency (“EPA”) or equivalent state or international environmental agencies allege that several sites formerly o</w:t>
      </w:r>
      <w:r>
        <w:rPr>
          <w:rFonts w:ascii="IBM Plex Sans" w:eastAsia="Times New Roman" w:hAnsi="IBM Plex Sans"/>
          <w:color w:val="283030"/>
          <w:sz w:val="20"/>
          <w:szCs w:val="20"/>
        </w:rPr>
        <w:t xml:space="preserve">r currently owned and/or operated by us or companies we have acquired, and other properties or water supplies that may be or have been impacted from those operations, contain disposed or recycled materials or wastes and require environmental investigation </w:t>
      </w:r>
      <w:r>
        <w:rPr>
          <w:rFonts w:ascii="IBM Plex Sans" w:eastAsia="Times New Roman" w:hAnsi="IBM Plex Sans"/>
          <w:color w:val="283030"/>
          <w:sz w:val="20"/>
          <w:szCs w:val="20"/>
        </w:rPr>
        <w:t>and/or remediation. These sites include instances of being identified as a potentially responsible party under the Comprehensive Environmental Response, Compensation and Liability Act (commonly known as the “Superfund Act”) and/or equivalent state and inte</w:t>
      </w:r>
      <w:r>
        <w:rPr>
          <w:rFonts w:ascii="IBM Plex Sans" w:eastAsia="Times New Roman" w:hAnsi="IBM Plex Sans"/>
          <w:color w:val="283030"/>
          <w:sz w:val="20"/>
          <w:szCs w:val="20"/>
        </w:rPr>
        <w:t>rnational laws. For example, in June 2014, the U.S. Department of Justice, Environment and Natural Resources Division, notified several potentially responsible parties, including L3Harris, of potential responsibility for contribution to the environmental i</w:t>
      </w:r>
      <w:r>
        <w:rPr>
          <w:rFonts w:ascii="IBM Plex Sans" w:eastAsia="Times New Roman" w:hAnsi="IBM Plex Sans"/>
          <w:color w:val="283030"/>
          <w:sz w:val="20"/>
          <w:szCs w:val="20"/>
        </w:rPr>
        <w:t>nvestigation and remediation of multiple locations in Alaska. In addition, in March 2016, the EPA notified over 100 potentially responsible parties, including L3Harris, of potential liability for the cost of remediation for the 8.3-mile stretch of the Lowe</w:t>
      </w:r>
      <w:r>
        <w:rPr>
          <w:rFonts w:ascii="IBM Plex Sans" w:eastAsia="Times New Roman" w:hAnsi="IBM Plex Sans"/>
          <w:color w:val="283030"/>
          <w:sz w:val="20"/>
          <w:szCs w:val="20"/>
        </w:rPr>
        <w:t>r Passaic River in New Jersey, estimated by the EPA to be $1.38 billion. During the fourth quarter of fiscal 2021, the EPA further announced an interim plan to remediate sediment in the upper nine miles of the of the Lower Passaic River with an estimated c</w:t>
      </w:r>
      <w:r>
        <w:rPr>
          <w:rFonts w:ascii="IBM Plex Sans" w:eastAsia="Times New Roman" w:hAnsi="IBM Plex Sans"/>
          <w:color w:val="283030"/>
          <w:sz w:val="20"/>
          <w:szCs w:val="20"/>
        </w:rPr>
        <w:t>ost of $441 million. Although it is not feasible to predict the outcome of these environmental claims made against us, based on available information, in the opinion of our management, any payments we may be required to make as a result of environmental cl</w:t>
      </w:r>
      <w:r>
        <w:rPr>
          <w:rFonts w:ascii="IBM Plex Sans" w:eastAsia="Times New Roman" w:hAnsi="IBM Plex Sans"/>
          <w:color w:val="283030"/>
          <w:sz w:val="20"/>
          <w:szCs w:val="20"/>
        </w:rPr>
        <w:t>aims made against us in existence at December 30, 2022 are reserved against, covered by insurance or would not have a material adverse effect on our financial condition, results of operations, cash flows or equity.</w:t>
      </w:r>
    </w:p>
    <w:p w:rsidR="00000000" w:rsidRDefault="00F5481A">
      <w:pPr>
        <w:divId w:val="1505853016"/>
        <w:rPr>
          <w:rFonts w:eastAsia="Times New Roman"/>
        </w:rPr>
      </w:pPr>
      <w:r>
        <w:rPr>
          <w:rFonts w:ascii="IBM Plex Sans SemiBold" w:eastAsia="Times New Roman" w:hAnsi="IBM Plex Sans SemiBold"/>
          <w:b/>
          <w:bCs/>
          <w:color w:val="016676"/>
          <w:sz w:val="20"/>
          <w:szCs w:val="20"/>
        </w:rPr>
        <w:t xml:space="preserve">NOTE 26: SUBSEQUENT EVENTS </w:t>
      </w:r>
    </w:p>
    <w:p w:rsidR="00000000" w:rsidRDefault="00F5481A">
      <w:pPr>
        <w:ind w:firstLine="360"/>
        <w:divId w:val="834537883"/>
        <w:rPr>
          <w:rFonts w:eastAsia="Times New Roman"/>
        </w:rPr>
      </w:pPr>
      <w:r>
        <w:rPr>
          <w:rFonts w:ascii="IBM Plex Sans" w:eastAsia="Times New Roman" w:hAnsi="IBM Plex Sans"/>
          <w:color w:val="283030"/>
          <w:sz w:val="20"/>
          <w:szCs w:val="20"/>
        </w:rPr>
        <w:t>On January 3,</w:t>
      </w:r>
      <w:r>
        <w:rPr>
          <w:rFonts w:ascii="IBM Plex Sans" w:eastAsia="Times New Roman" w:hAnsi="IBM Plex Sans"/>
          <w:color w:val="283030"/>
          <w:sz w:val="20"/>
          <w:szCs w:val="20"/>
        </w:rPr>
        <w:t xml:space="preserve"> 2023, we completed the acquisition of the TDL product line for a purchase price of $1.96 billion, subject to customary adjustments. The acquisition was financed through the Term Loan 2025, our new three-year senior unsecured term loan facility, which prov</w:t>
      </w:r>
      <w:r>
        <w:rPr>
          <w:rFonts w:ascii="IBM Plex Sans" w:eastAsia="Times New Roman" w:hAnsi="IBM Plex Sans"/>
          <w:color w:val="283030"/>
          <w:sz w:val="20"/>
          <w:szCs w:val="20"/>
        </w:rPr>
        <w:t>ides for term loans in up to two separate draws no later than June 30, 2023. Upon closing the TDL product line acquisition, we drew $2.0 billion on the Term Loan 2025. The Term Loan 2025 will bear interest at SOFR plus 0.10% plus an applicable margin, init</w:t>
      </w:r>
      <w:r>
        <w:rPr>
          <w:rFonts w:ascii="IBM Plex Sans" w:eastAsia="Times New Roman" w:hAnsi="IBM Plex Sans"/>
          <w:color w:val="283030"/>
          <w:sz w:val="20"/>
          <w:szCs w:val="20"/>
        </w:rPr>
        <w:t>ially 1.250%, that varies based on the Senior Debt Ratings or the base rate, as described in L3Harris’ Current Report on Form 8-K filed with the SEC on August 4, 2022, plus an applicable margin, initially 0.250%, that varies based on the Senior Debt Rating</w:t>
      </w:r>
      <w:r>
        <w:rPr>
          <w:rFonts w:ascii="IBM Plex Sans" w:eastAsia="Times New Roman" w:hAnsi="IBM Plex Sans"/>
          <w:color w:val="283030"/>
          <w:sz w:val="20"/>
          <w:szCs w:val="20"/>
        </w:rPr>
        <w:t xml:space="preserve">s. See </w:t>
      </w:r>
      <w:r>
        <w:rPr>
          <w:rFonts w:ascii="IBM Plex Sans" w:eastAsia="Times New Roman" w:hAnsi="IBM Plex Sans"/>
          <w:i/>
          <w:iCs/>
          <w:color w:val="283030"/>
          <w:sz w:val="20"/>
          <w:szCs w:val="20"/>
        </w:rPr>
        <w:t>Note 13: Debt</w:t>
      </w:r>
      <w:r>
        <w:rPr>
          <w:rFonts w:ascii="IBM Plex Sans" w:eastAsia="Times New Roman" w:hAnsi="IBM Plex Sans"/>
          <w:color w:val="283030"/>
          <w:sz w:val="20"/>
          <w:szCs w:val="20"/>
        </w:rPr>
        <w:t xml:space="preserve"> in these Notes for additional information on the Term Loan 2025.</w:t>
      </w:r>
    </w:p>
    <w:p w:rsidR="00000000" w:rsidRDefault="00F5481A">
      <w:pPr>
        <w:ind w:firstLine="360"/>
        <w:divId w:val="202133516"/>
        <w:rPr>
          <w:rFonts w:eastAsia="Times New Roman"/>
        </w:rPr>
      </w:pPr>
      <w:r>
        <w:rPr>
          <w:rFonts w:ascii="IBM Plex Sans" w:eastAsia="Times New Roman" w:hAnsi="IBM Plex Sans"/>
          <w:color w:val="283030"/>
          <w:sz w:val="20"/>
          <w:szCs w:val="20"/>
        </w:rPr>
        <w:t>In connection with our obligations under the definitive agreement to acquire AJRD, on January 10, 2023 we filed our notification and report form with the Antitrust Divisi</w:t>
      </w:r>
      <w:r>
        <w:rPr>
          <w:rFonts w:ascii="IBM Plex Sans" w:eastAsia="Times New Roman" w:hAnsi="IBM Plex Sans"/>
          <w:color w:val="283030"/>
          <w:sz w:val="20"/>
          <w:szCs w:val="20"/>
        </w:rPr>
        <w:t>on of the United States Department of Justice (the ”Antitrust Division”) and the U.S. Federal Trade Commission (the ‘‘FTC’’) as required under the HSR Act. on February 9, 2023, we withdrew our notification and report form filed on January 10, 2023 and resu</w:t>
      </w:r>
      <w:r>
        <w:rPr>
          <w:rFonts w:ascii="IBM Plex Sans" w:eastAsia="Times New Roman" w:hAnsi="IBM Plex Sans"/>
          <w:color w:val="283030"/>
          <w:sz w:val="20"/>
          <w:szCs w:val="20"/>
        </w:rPr>
        <w:t>bmitted the form on February 13, 2023. Clearance under the HSR Act is a condition of closing the acquisition of AJRD. The applicable waiting period under the HSR Act will expire on March 15, 2023, unless terminated earlier or extended including by the issu</w:t>
      </w:r>
      <w:r>
        <w:rPr>
          <w:rFonts w:ascii="IBM Plex Sans" w:eastAsia="Times New Roman" w:hAnsi="IBM Plex Sans"/>
          <w:color w:val="283030"/>
          <w:sz w:val="20"/>
          <w:szCs w:val="20"/>
        </w:rPr>
        <w:t xml:space="preserve">ance of a request for additional information and documentary materials by the Antitrust Division or FTC. See </w:t>
      </w:r>
      <w:r>
        <w:rPr>
          <w:rFonts w:ascii="IBM Plex Sans" w:eastAsia="Times New Roman" w:hAnsi="IBM Plex Sans"/>
          <w:i/>
          <w:iCs/>
          <w:color w:val="283030"/>
          <w:sz w:val="20"/>
          <w:szCs w:val="20"/>
        </w:rPr>
        <w:t>Note 3: Acquisitions</w:t>
      </w:r>
      <w:r>
        <w:rPr>
          <w:rFonts w:ascii="IBM Plex Sans" w:eastAsia="Times New Roman" w:hAnsi="IBM Plex Sans"/>
          <w:color w:val="283030"/>
          <w:sz w:val="20"/>
          <w:szCs w:val="20"/>
        </w:rPr>
        <w:t xml:space="preserve"> in these Notes for further information on the acquisition of AJRD.</w:t>
      </w:r>
    </w:p>
    <w:p w:rsidR="00000000" w:rsidRDefault="00F5481A">
      <w:pPr>
        <w:ind w:firstLine="360"/>
        <w:jc w:val="center"/>
        <w:divId w:val="1820685726"/>
        <w:rPr>
          <w:rFonts w:eastAsia="Times New Roman"/>
        </w:rPr>
      </w:pPr>
      <w:r>
        <w:rPr>
          <w:rFonts w:ascii="Arial" w:eastAsia="Times New Roman" w:hAnsi="Arial" w:cs="Arial"/>
          <w:b/>
          <w:bCs/>
          <w:color w:val="016676"/>
        </w:rPr>
        <w:t>___________________________________________________________</w:t>
      </w:r>
      <w:r>
        <w:rPr>
          <w:rFonts w:ascii="Arial" w:eastAsia="Times New Roman" w:hAnsi="Arial" w:cs="Arial"/>
          <w:b/>
          <w:bCs/>
          <w:color w:val="016676"/>
        </w:rPr>
        <w:t>__________</w:t>
      </w:r>
      <w:r>
        <w:rPr>
          <w:rFonts w:ascii="Arial" w:eastAsia="Times New Roman" w:hAnsi="Arial" w:cs="Arial"/>
          <w:b/>
          <w:bCs/>
          <w:color w:val="233D6F"/>
        </w:rPr>
        <w:br/>
      </w:r>
      <w:r>
        <w:rPr>
          <w:rFonts w:ascii="IBM Plex Sans" w:eastAsia="Times New Roman" w:hAnsi="IBM Plex Sans"/>
          <w:color w:val="283030"/>
          <w:sz w:val="20"/>
          <w:szCs w:val="20"/>
        </w:rPr>
        <w:t>114</w:t>
      </w:r>
    </w:p>
    <w:p w:rsidR="00000000" w:rsidRDefault="00F5481A">
      <w:pPr>
        <w:rPr>
          <w:rFonts w:eastAsia="Times New Roman"/>
        </w:rPr>
      </w:pPr>
      <w:r>
        <w:rPr>
          <w:rFonts w:eastAsia="Times New Roman"/>
        </w:rPr>
        <w:pict>
          <v:rect id="_x0000_i1145" style="width:0;height:1.5pt" o:hralign="center" o:hrstd="t" o:hr="t" fillcolor="#a0a0a0" stroked="f"/>
        </w:pict>
      </w:r>
    </w:p>
    <w:p w:rsidR="00000000" w:rsidRDefault="00F5481A">
      <w:pPr>
        <w:ind w:firstLine="360"/>
        <w:divId w:val="674307479"/>
        <w:rPr>
          <w:rFonts w:eastAsia="Times New Roman"/>
        </w:rPr>
      </w:pPr>
    </w:p>
    <w:p w:rsidR="00000000" w:rsidRDefault="00F5481A">
      <w:pPr>
        <w:ind w:firstLine="360"/>
        <w:divId w:val="1018890499"/>
        <w:rPr>
          <w:rFonts w:eastAsia="Times New Roman"/>
        </w:rPr>
      </w:pPr>
    </w:p>
    <w:tbl>
      <w:tblPr>
        <w:tblW w:w="4899" w:type="pct"/>
        <w:tblCellMar>
          <w:top w:w="15" w:type="dxa"/>
          <w:left w:w="15" w:type="dxa"/>
          <w:bottom w:w="15" w:type="dxa"/>
          <w:right w:w="15" w:type="dxa"/>
        </w:tblCellMar>
        <w:tblLook w:val="04A0" w:firstRow="1" w:lastRow="0" w:firstColumn="1" w:lastColumn="0" w:noHBand="0" w:noVBand="1"/>
      </w:tblPr>
      <w:tblGrid>
        <w:gridCol w:w="68"/>
        <w:gridCol w:w="861"/>
        <w:gridCol w:w="36"/>
        <w:gridCol w:w="67"/>
        <w:gridCol w:w="7070"/>
        <w:gridCol w:w="36"/>
      </w:tblGrid>
      <w:tr w:rsidR="00000000">
        <w:trPr>
          <w:divId w:val="1064450924"/>
        </w:trPr>
        <w:tc>
          <w:tcPr>
            <w:tcW w:w="50" w:type="pct"/>
            <w:vAlign w:val="center"/>
            <w:hideMark/>
          </w:tcPr>
          <w:p w:rsidR="00000000" w:rsidRDefault="00F5481A">
            <w:pPr>
              <w:ind w:firstLine="360"/>
              <w:rPr>
                <w:rFonts w:eastAsia="Times New Roman"/>
              </w:rPr>
            </w:pPr>
          </w:p>
        </w:tc>
        <w:tc>
          <w:tcPr>
            <w:tcW w:w="53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351"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1064450924"/>
        </w:trPr>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016676"/>
                <w:sz w:val="20"/>
                <w:szCs w:val="20"/>
              </w:rPr>
              <w:t> ITEM 9.</w:t>
            </w:r>
          </w:p>
        </w:tc>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283030"/>
                <w:sz w:val="20"/>
                <w:szCs w:val="20"/>
              </w:rPr>
              <w:t>CHANGES IN AND DISAGREEMENTS WITH ACCOUNTANTS ON ACCOUNTING AND FINANCIAL DISCLOSURE.</w:t>
            </w:r>
          </w:p>
        </w:tc>
      </w:tr>
    </w:tbl>
    <w:p w:rsidR="00000000" w:rsidRDefault="00F5481A">
      <w:pPr>
        <w:ind w:firstLine="360"/>
        <w:divId w:val="664092351"/>
        <w:rPr>
          <w:rFonts w:eastAsia="Times New Roman"/>
        </w:rPr>
      </w:pPr>
      <w:r>
        <w:rPr>
          <w:rFonts w:ascii="IBM Plex Sans" w:eastAsia="Times New Roman" w:hAnsi="IBM Plex Sans"/>
          <w:color w:val="283030"/>
          <w:sz w:val="20"/>
          <w:szCs w:val="20"/>
        </w:rPr>
        <w:t>Not applicable.</w:t>
      </w:r>
      <w:r>
        <w:rPr>
          <w:rFonts w:ascii="IBM Plex Sans" w:eastAsia="Times New Roman" w:hAnsi="IBM Plex Sans"/>
          <w:color w:val="283030"/>
          <w:sz w:val="18"/>
          <w:szCs w:val="18"/>
        </w:rPr>
        <w:t> </w:t>
      </w:r>
    </w:p>
    <w:tbl>
      <w:tblPr>
        <w:tblW w:w="2162" w:type="pct"/>
        <w:tblCellMar>
          <w:top w:w="15" w:type="dxa"/>
          <w:left w:w="15" w:type="dxa"/>
          <w:bottom w:w="15" w:type="dxa"/>
          <w:right w:w="15" w:type="dxa"/>
        </w:tblCellMar>
        <w:tblLook w:val="04A0" w:firstRow="1" w:lastRow="0" w:firstColumn="1" w:lastColumn="0" w:noHBand="0" w:noVBand="1"/>
      </w:tblPr>
      <w:tblGrid>
        <w:gridCol w:w="37"/>
        <w:gridCol w:w="976"/>
        <w:gridCol w:w="36"/>
        <w:gridCol w:w="37"/>
        <w:gridCol w:w="2470"/>
        <w:gridCol w:w="36"/>
      </w:tblGrid>
      <w:tr w:rsidR="00000000">
        <w:trPr>
          <w:divId w:val="1242328049"/>
        </w:trPr>
        <w:tc>
          <w:tcPr>
            <w:tcW w:w="50" w:type="pct"/>
            <w:vAlign w:val="center"/>
            <w:hideMark/>
          </w:tcPr>
          <w:p w:rsidR="00000000" w:rsidRDefault="00F5481A">
            <w:pPr>
              <w:ind w:firstLine="360"/>
              <w:rPr>
                <w:rFonts w:eastAsia="Times New Roman"/>
              </w:rPr>
            </w:pPr>
          </w:p>
        </w:tc>
        <w:tc>
          <w:tcPr>
            <w:tcW w:w="140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348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1242328049"/>
        </w:trPr>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016676"/>
                <w:sz w:val="20"/>
                <w:szCs w:val="20"/>
              </w:rPr>
              <w:t> ITEM 9A.</w:t>
            </w:r>
          </w:p>
        </w:tc>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283030"/>
                <w:sz w:val="20"/>
                <w:szCs w:val="20"/>
              </w:rPr>
              <w:t>CONTROLS AND PROCEDURES.</w:t>
            </w:r>
          </w:p>
        </w:tc>
      </w:tr>
    </w:tbl>
    <w:p w:rsidR="00000000" w:rsidRDefault="00F5481A">
      <w:pPr>
        <w:ind w:firstLine="360"/>
        <w:divId w:val="881675233"/>
        <w:rPr>
          <w:rFonts w:eastAsia="Times New Roman"/>
        </w:rPr>
      </w:pPr>
      <w:r>
        <w:rPr>
          <w:rFonts w:ascii="IBM Plex Sans" w:eastAsia="Times New Roman" w:hAnsi="IBM Plex Sans"/>
          <w:color w:val="283030"/>
          <w:sz w:val="20"/>
          <w:szCs w:val="20"/>
        </w:rPr>
        <w:t>(a) </w:t>
      </w:r>
      <w:r>
        <w:rPr>
          <w:rFonts w:ascii="IBM Plex Sans" w:eastAsia="Times New Roman" w:hAnsi="IBM Plex Sans"/>
          <w:i/>
          <w:iCs/>
          <w:color w:val="283030"/>
          <w:sz w:val="20"/>
          <w:szCs w:val="20"/>
        </w:rPr>
        <w:t>Evaluation of Disclosure Controls and Procedures:</w:t>
      </w:r>
      <w:r>
        <w:rPr>
          <w:rFonts w:ascii="IBM Plex Sans" w:eastAsia="Times New Roman" w:hAnsi="IBM Plex Sans"/>
          <w:color w:val="283030"/>
          <w:sz w:val="20"/>
          <w:szCs w:val="20"/>
        </w:rPr>
        <w:t> We maintain disclosure controls and procedures that are designed to ensure that information required to be disclosed in our reports filed or submitted under the Exchange Act is recorded, processed, summariz</w:t>
      </w:r>
      <w:r>
        <w:rPr>
          <w:rFonts w:ascii="IBM Plex Sans" w:eastAsia="Times New Roman" w:hAnsi="IBM Plex Sans"/>
          <w:color w:val="283030"/>
          <w:sz w:val="20"/>
          <w:szCs w:val="20"/>
        </w:rPr>
        <w:t>ed and reported within the time periods specified in SEC rules and forms. Our disclosure controls and procedures include, without limitation, controls and procedures designed to ensure that information required to be disclosed in our reports filed or submi</w:t>
      </w:r>
      <w:r>
        <w:rPr>
          <w:rFonts w:ascii="IBM Plex Sans" w:eastAsia="Times New Roman" w:hAnsi="IBM Plex Sans"/>
          <w:color w:val="283030"/>
          <w:sz w:val="20"/>
          <w:szCs w:val="20"/>
        </w:rPr>
        <w:t>tted under the Exchange Act is accumulated and communicated to management, including our Chief Executive Officer and Chief Financial Officer, as appropriate to allow timely decisions regarding required disclosures. There are inherent limitations to the eff</w:t>
      </w:r>
      <w:r>
        <w:rPr>
          <w:rFonts w:ascii="IBM Plex Sans" w:eastAsia="Times New Roman" w:hAnsi="IBM Plex Sans"/>
          <w:color w:val="283030"/>
          <w:sz w:val="20"/>
          <w:szCs w:val="20"/>
        </w:rPr>
        <w:t>ectiveness of any system of disclosure controls and procedures, including the possibility of human error and the circumvention or overriding of the controls and procedures. Accordingly, even effective disclosure controls and procedures can provide only rea</w:t>
      </w:r>
      <w:r>
        <w:rPr>
          <w:rFonts w:ascii="IBM Plex Sans" w:eastAsia="Times New Roman" w:hAnsi="IBM Plex Sans"/>
          <w:color w:val="283030"/>
          <w:sz w:val="20"/>
          <w:szCs w:val="20"/>
        </w:rPr>
        <w:t>sonable assurance of achieving their control objectives, and management necessarily is required to use its judgment in evaluating the cost-benefit relationship of possible controls and procedures. As required by Rule 13a-15 under the Exchange Act, as of De</w:t>
      </w:r>
      <w:r>
        <w:rPr>
          <w:rFonts w:ascii="IBM Plex Sans" w:eastAsia="Times New Roman" w:hAnsi="IBM Plex Sans"/>
          <w:color w:val="283030"/>
          <w:sz w:val="20"/>
          <w:szCs w:val="20"/>
        </w:rPr>
        <w:t>cember 30, 2022, we carried out an evaluation of the effectiveness of the design and operation of our disclosure controls and procedures. This evaluation was carried out under the supervision and with the participation of our management, including our Chie</w:t>
      </w:r>
      <w:r>
        <w:rPr>
          <w:rFonts w:ascii="IBM Plex Sans" w:eastAsia="Times New Roman" w:hAnsi="IBM Plex Sans"/>
          <w:color w:val="283030"/>
          <w:sz w:val="20"/>
          <w:szCs w:val="20"/>
        </w:rPr>
        <w:t>f Executive Officer and our Chief Financial Officer. Based on this work and other evaluation procedures, our management, including our Chief Executive Officer and our Chief Financial Officer, has concluded that as of December 30, 2022, our disclosure contr</w:t>
      </w:r>
      <w:r>
        <w:rPr>
          <w:rFonts w:ascii="IBM Plex Sans" w:eastAsia="Times New Roman" w:hAnsi="IBM Plex Sans"/>
          <w:color w:val="283030"/>
          <w:sz w:val="20"/>
          <w:szCs w:val="20"/>
        </w:rPr>
        <w:t>ols and procedures were effective.</w:t>
      </w:r>
    </w:p>
    <w:p w:rsidR="00000000" w:rsidRDefault="00F5481A">
      <w:pPr>
        <w:ind w:firstLine="360"/>
        <w:divId w:val="330642594"/>
        <w:rPr>
          <w:rFonts w:eastAsia="Times New Roman"/>
        </w:rPr>
      </w:pPr>
      <w:r>
        <w:rPr>
          <w:rFonts w:ascii="IBM Plex Sans" w:eastAsia="Times New Roman" w:hAnsi="IBM Plex Sans"/>
          <w:color w:val="283030"/>
          <w:sz w:val="20"/>
          <w:szCs w:val="20"/>
        </w:rPr>
        <w:t>(b) </w:t>
      </w:r>
      <w:r>
        <w:rPr>
          <w:rFonts w:ascii="IBM Plex Sans" w:eastAsia="Times New Roman" w:hAnsi="IBM Plex Sans"/>
          <w:i/>
          <w:iCs/>
          <w:color w:val="283030"/>
          <w:sz w:val="20"/>
          <w:szCs w:val="20"/>
        </w:rPr>
        <w:t>Changes in Internal Control:</w:t>
      </w:r>
      <w:r>
        <w:rPr>
          <w:rFonts w:ascii="IBM Plex Sans" w:eastAsia="Times New Roman" w:hAnsi="IBM Plex Sans"/>
          <w:color w:val="283030"/>
          <w:sz w:val="20"/>
          <w:szCs w:val="20"/>
        </w:rPr>
        <w:t xml:space="preserve"> We periodically review our internal control over financial reporting as part of our efforts to ensure compliance with the requirements of Section 404 of the Sarbanes-Oxley Act of 2002. In </w:t>
      </w:r>
      <w:r>
        <w:rPr>
          <w:rFonts w:ascii="IBM Plex Sans" w:eastAsia="Times New Roman" w:hAnsi="IBM Plex Sans"/>
          <w:color w:val="283030"/>
          <w:sz w:val="20"/>
          <w:szCs w:val="20"/>
        </w:rPr>
        <w:t>addition, we routinely review our system of internal control over financial reporting to identify potential changes to our processes and systems that may improve controls and increase efficiency, while ensuring that we maintain an effective internal contro</w:t>
      </w:r>
      <w:r>
        <w:rPr>
          <w:rFonts w:ascii="IBM Plex Sans" w:eastAsia="Times New Roman" w:hAnsi="IBM Plex Sans"/>
          <w:color w:val="283030"/>
          <w:sz w:val="20"/>
          <w:szCs w:val="20"/>
        </w:rPr>
        <w:t>l environment. Changes may include such activities as implementing new, more efficient systems, consolidating the activities of business units, migrating certain processes to our shared services organizations, formalizing policies and procedures, improving</w:t>
      </w:r>
      <w:r>
        <w:rPr>
          <w:rFonts w:ascii="IBM Plex Sans" w:eastAsia="Times New Roman" w:hAnsi="IBM Plex Sans"/>
          <w:color w:val="283030"/>
          <w:sz w:val="20"/>
          <w:szCs w:val="20"/>
        </w:rPr>
        <w:t xml:space="preserve"> segregation of duties and increasing monitoring controls. In addition, when we acquire new businesses, we incorporate our controls and procedures into the acquired business as part of our integration activities. There have been no changes in our internal </w:t>
      </w:r>
      <w:r>
        <w:rPr>
          <w:rFonts w:ascii="IBM Plex Sans" w:eastAsia="Times New Roman" w:hAnsi="IBM Plex Sans"/>
          <w:color w:val="283030"/>
          <w:sz w:val="20"/>
          <w:szCs w:val="20"/>
        </w:rPr>
        <w:t>control over financial reporting that occurred during the quarter ended December 30, 2022 that have materially affected, or are reasonably likely to materially affect, our internal control over financial reporting.</w:t>
      </w:r>
    </w:p>
    <w:p w:rsidR="00000000" w:rsidRDefault="00F5481A">
      <w:pPr>
        <w:ind w:firstLine="360"/>
        <w:divId w:val="1286693911"/>
        <w:rPr>
          <w:rFonts w:eastAsia="Times New Roman"/>
        </w:rPr>
      </w:pPr>
      <w:r>
        <w:rPr>
          <w:rFonts w:ascii="IBM Plex Sans" w:eastAsia="Times New Roman" w:hAnsi="IBM Plex Sans"/>
          <w:color w:val="283030"/>
          <w:sz w:val="20"/>
          <w:szCs w:val="20"/>
        </w:rPr>
        <w:t>(c) </w:t>
      </w:r>
      <w:r>
        <w:rPr>
          <w:rFonts w:ascii="IBM Plex Sans" w:eastAsia="Times New Roman" w:hAnsi="IBM Plex Sans"/>
          <w:i/>
          <w:iCs/>
          <w:color w:val="283030"/>
          <w:sz w:val="20"/>
          <w:szCs w:val="20"/>
        </w:rPr>
        <w:t>Evaluation of Internal Control over F</w:t>
      </w:r>
      <w:r>
        <w:rPr>
          <w:rFonts w:ascii="IBM Plex Sans" w:eastAsia="Times New Roman" w:hAnsi="IBM Plex Sans"/>
          <w:i/>
          <w:iCs/>
          <w:color w:val="283030"/>
          <w:sz w:val="20"/>
          <w:szCs w:val="20"/>
        </w:rPr>
        <w:t>inancial Reporting:</w:t>
      </w:r>
      <w:r>
        <w:rPr>
          <w:rFonts w:ascii="IBM Plex Sans" w:eastAsia="Times New Roman" w:hAnsi="IBM Plex Sans"/>
          <w:color w:val="283030"/>
          <w:sz w:val="20"/>
          <w:szCs w:val="20"/>
        </w:rPr>
        <w:t> Our management is responsible for establishing and maintaining adequate internal control over financial reporting. Our management, with the participation of our Chief Executive Officer and our Chief Financial Officer, assessed the effec</w:t>
      </w:r>
      <w:r>
        <w:rPr>
          <w:rFonts w:ascii="IBM Plex Sans" w:eastAsia="Times New Roman" w:hAnsi="IBM Plex Sans"/>
          <w:color w:val="283030"/>
          <w:sz w:val="20"/>
          <w:szCs w:val="20"/>
        </w:rPr>
        <w:t xml:space="preserve">tiveness of our internal control over financial reporting as of December 30, 2022. In making this assessment, our management used the criteria set forth by the Committee of Sponsoring Organizations of the Treadway Commission (COSO) in </w:t>
      </w:r>
      <w:r>
        <w:rPr>
          <w:rFonts w:ascii="IBM Plex Sans" w:eastAsia="Times New Roman" w:hAnsi="IBM Plex Sans"/>
          <w:i/>
          <w:iCs/>
          <w:color w:val="283030"/>
          <w:sz w:val="20"/>
          <w:szCs w:val="20"/>
        </w:rPr>
        <w:t>Internal Control-Inte</w:t>
      </w:r>
      <w:r>
        <w:rPr>
          <w:rFonts w:ascii="IBM Plex Sans" w:eastAsia="Times New Roman" w:hAnsi="IBM Plex Sans"/>
          <w:i/>
          <w:iCs/>
          <w:color w:val="283030"/>
          <w:sz w:val="20"/>
          <w:szCs w:val="20"/>
        </w:rPr>
        <w:t>grated Framework</w:t>
      </w:r>
      <w:r>
        <w:rPr>
          <w:rFonts w:ascii="IBM Plex Sans" w:eastAsia="Times New Roman" w:hAnsi="IBM Plex Sans"/>
          <w:color w:val="283030"/>
          <w:sz w:val="20"/>
          <w:szCs w:val="20"/>
        </w:rPr>
        <w:t xml:space="preserve"> (2013 framework). Based on our management’s assessment and those criteria, our management concluded that our internal control over financial reporting was effective as of December 30, 2022. “Management’s Report on Internal Control Over Fin</w:t>
      </w:r>
      <w:r>
        <w:rPr>
          <w:rFonts w:ascii="IBM Plex Sans" w:eastAsia="Times New Roman" w:hAnsi="IBM Plex Sans"/>
          <w:color w:val="283030"/>
          <w:sz w:val="20"/>
          <w:szCs w:val="20"/>
        </w:rPr>
        <w:t>ancial Reporting” is included within “Item 8. Financial Statements and Supplementary Data” of this Report. The effectiveness of our internal control over financial reporting was audited by Ernst &amp; Young LLP, our independent registered public accounting fir</w:t>
      </w:r>
      <w:r>
        <w:rPr>
          <w:rFonts w:ascii="IBM Plex Sans" w:eastAsia="Times New Roman" w:hAnsi="IBM Plex Sans"/>
          <w:color w:val="283030"/>
          <w:sz w:val="20"/>
          <w:szCs w:val="20"/>
        </w:rPr>
        <w:t>m, whose unqualified report is included within “Item 8. Financial Statements and Supplementary Data” of this Report. </w:t>
      </w:r>
    </w:p>
    <w:tbl>
      <w:tblPr>
        <w:tblW w:w="1788" w:type="pct"/>
        <w:tblCellMar>
          <w:top w:w="15" w:type="dxa"/>
          <w:left w:w="15" w:type="dxa"/>
          <w:bottom w:w="15" w:type="dxa"/>
          <w:right w:w="15" w:type="dxa"/>
        </w:tblCellMar>
        <w:tblLook w:val="04A0" w:firstRow="1" w:lastRow="0" w:firstColumn="1" w:lastColumn="0" w:noHBand="0" w:noVBand="1"/>
      </w:tblPr>
      <w:tblGrid>
        <w:gridCol w:w="37"/>
        <w:gridCol w:w="976"/>
        <w:gridCol w:w="36"/>
        <w:gridCol w:w="37"/>
        <w:gridCol w:w="1848"/>
        <w:gridCol w:w="36"/>
      </w:tblGrid>
      <w:tr w:rsidR="00000000">
        <w:trPr>
          <w:divId w:val="762839600"/>
        </w:trPr>
        <w:tc>
          <w:tcPr>
            <w:tcW w:w="50" w:type="pct"/>
            <w:vAlign w:val="center"/>
            <w:hideMark/>
          </w:tcPr>
          <w:p w:rsidR="00000000" w:rsidRDefault="00F5481A">
            <w:pPr>
              <w:ind w:firstLine="360"/>
              <w:rPr>
                <w:rFonts w:eastAsia="Times New Roman"/>
              </w:rPr>
            </w:pPr>
          </w:p>
        </w:tc>
        <w:tc>
          <w:tcPr>
            <w:tcW w:w="1712"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3177"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762839600"/>
        </w:trPr>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016676"/>
                <w:sz w:val="20"/>
                <w:szCs w:val="20"/>
              </w:rPr>
              <w:t> ITEM 9B.</w:t>
            </w:r>
          </w:p>
        </w:tc>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283030"/>
                <w:sz w:val="20"/>
                <w:szCs w:val="20"/>
              </w:rPr>
              <w:t>OTHER INFORMATION.</w:t>
            </w:r>
          </w:p>
        </w:tc>
      </w:tr>
    </w:tbl>
    <w:p w:rsidR="00000000" w:rsidRDefault="00F5481A">
      <w:pPr>
        <w:ind w:firstLine="360"/>
        <w:divId w:val="2100057316"/>
        <w:rPr>
          <w:rFonts w:eastAsia="Times New Roman"/>
        </w:rPr>
      </w:pPr>
      <w:r>
        <w:rPr>
          <w:rFonts w:ascii="IBM Plex Sans" w:eastAsia="Times New Roman" w:hAnsi="IBM Plex Sans"/>
          <w:color w:val="283030"/>
          <w:sz w:val="20"/>
          <w:szCs w:val="20"/>
        </w:rPr>
        <w:t>Not applicable.</w:t>
      </w:r>
    </w:p>
    <w:tbl>
      <w:tblPr>
        <w:tblW w:w="4806" w:type="pct"/>
        <w:tblCellMar>
          <w:top w:w="15" w:type="dxa"/>
          <w:left w:w="15" w:type="dxa"/>
          <w:bottom w:w="15" w:type="dxa"/>
          <w:right w:w="15" w:type="dxa"/>
        </w:tblCellMar>
        <w:tblLook w:val="04A0" w:firstRow="1" w:lastRow="0" w:firstColumn="1" w:lastColumn="0" w:noHBand="0" w:noVBand="1"/>
      </w:tblPr>
      <w:tblGrid>
        <w:gridCol w:w="72"/>
        <w:gridCol w:w="941"/>
        <w:gridCol w:w="36"/>
        <w:gridCol w:w="66"/>
        <w:gridCol w:w="6833"/>
        <w:gridCol w:w="36"/>
      </w:tblGrid>
      <w:tr w:rsidR="00000000">
        <w:trPr>
          <w:divId w:val="1428306059"/>
        </w:trPr>
        <w:tc>
          <w:tcPr>
            <w:tcW w:w="50" w:type="pct"/>
            <w:vAlign w:val="center"/>
            <w:hideMark/>
          </w:tcPr>
          <w:p w:rsidR="00000000" w:rsidRDefault="00F5481A">
            <w:pPr>
              <w:ind w:firstLine="360"/>
              <w:rPr>
                <w:rFonts w:eastAsia="Times New Roman"/>
              </w:rPr>
            </w:pPr>
          </w:p>
        </w:tc>
        <w:tc>
          <w:tcPr>
            <w:tcW w:w="602"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287"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1428306059"/>
        </w:trPr>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016676"/>
                <w:sz w:val="20"/>
                <w:szCs w:val="20"/>
              </w:rPr>
              <w:t> ITEM 9C.</w:t>
            </w:r>
          </w:p>
        </w:tc>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283030"/>
                <w:sz w:val="20"/>
                <w:szCs w:val="20"/>
              </w:rPr>
              <w:t>DISCLOSURE REGARDING FOREIGN JURISDICTIONS THAT PREVENT INSPECTIONS.</w:t>
            </w:r>
          </w:p>
        </w:tc>
      </w:tr>
    </w:tbl>
    <w:p w:rsidR="00000000" w:rsidRDefault="00F5481A">
      <w:pPr>
        <w:ind w:firstLine="360"/>
        <w:divId w:val="1221601537"/>
        <w:rPr>
          <w:rFonts w:eastAsia="Times New Roman"/>
        </w:rPr>
      </w:pPr>
      <w:r>
        <w:rPr>
          <w:rFonts w:ascii="IBM Plex Sans" w:eastAsia="Times New Roman" w:hAnsi="IBM Plex Sans"/>
          <w:color w:val="283030"/>
          <w:sz w:val="20"/>
          <w:szCs w:val="20"/>
        </w:rPr>
        <w:t>Not applicable.</w:t>
      </w:r>
    </w:p>
    <w:p w:rsidR="00000000" w:rsidRDefault="00F5481A">
      <w:pPr>
        <w:ind w:firstLine="360"/>
        <w:jc w:val="center"/>
        <w:divId w:val="492181826"/>
        <w:rPr>
          <w:rFonts w:eastAsia="Times New Roman"/>
        </w:rPr>
      </w:pPr>
      <w:r>
        <w:rPr>
          <w:rFonts w:ascii="IBM Plex Sans" w:eastAsia="Times New Roman" w:hAnsi="IBM Plex Sans"/>
          <w:b/>
          <w:bCs/>
          <w:color w:val="016676"/>
        </w:rPr>
        <w:t>PART III</w:t>
      </w:r>
    </w:p>
    <w:p w:rsidR="00000000" w:rsidRDefault="00F5481A">
      <w:pPr>
        <w:ind w:firstLine="360"/>
        <w:jc w:val="center"/>
        <w:divId w:val="186527109"/>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115</w:t>
      </w:r>
    </w:p>
    <w:p w:rsidR="00000000" w:rsidRDefault="00F5481A">
      <w:pPr>
        <w:rPr>
          <w:rFonts w:eastAsia="Times New Roman"/>
        </w:rPr>
      </w:pPr>
      <w:r>
        <w:rPr>
          <w:rFonts w:eastAsia="Times New Roman"/>
        </w:rPr>
        <w:pict>
          <v:rect id="_x0000_i1146" style="width:0;height:1.5pt" o:hralign="center" o:hrstd="t" o:hr="t" fillcolor="#a0a0a0" stroked="f"/>
        </w:pict>
      </w:r>
    </w:p>
    <w:p w:rsidR="00000000" w:rsidRDefault="00F5481A">
      <w:pPr>
        <w:ind w:firstLine="360"/>
        <w:divId w:val="1491677615"/>
        <w:rPr>
          <w:rFonts w:eastAsia="Times New Roman"/>
        </w:rPr>
      </w:pPr>
    </w:p>
    <w:tbl>
      <w:tblPr>
        <w:tblW w:w="3987" w:type="pct"/>
        <w:tblCellMar>
          <w:top w:w="15" w:type="dxa"/>
          <w:left w:w="15" w:type="dxa"/>
          <w:bottom w:w="15" w:type="dxa"/>
          <w:right w:w="15" w:type="dxa"/>
        </w:tblCellMar>
        <w:tblLook w:val="04A0" w:firstRow="1" w:lastRow="0" w:firstColumn="1" w:lastColumn="0" w:noHBand="0" w:noVBand="1"/>
      </w:tblPr>
      <w:tblGrid>
        <w:gridCol w:w="58"/>
        <w:gridCol w:w="954"/>
        <w:gridCol w:w="36"/>
        <w:gridCol w:w="52"/>
        <w:gridCol w:w="5487"/>
        <w:gridCol w:w="36"/>
      </w:tblGrid>
      <w:tr w:rsidR="00000000">
        <w:trPr>
          <w:divId w:val="658729960"/>
        </w:trPr>
        <w:tc>
          <w:tcPr>
            <w:tcW w:w="50" w:type="pct"/>
            <w:vAlign w:val="center"/>
            <w:hideMark/>
          </w:tcPr>
          <w:p w:rsidR="00000000" w:rsidRDefault="00F5481A">
            <w:pPr>
              <w:ind w:firstLine="360"/>
              <w:rPr>
                <w:rFonts w:eastAsia="Times New Roman"/>
              </w:rPr>
            </w:pPr>
          </w:p>
        </w:tc>
        <w:tc>
          <w:tcPr>
            <w:tcW w:w="737"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152"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658729960"/>
        </w:trPr>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016676"/>
                <w:sz w:val="20"/>
                <w:szCs w:val="20"/>
              </w:rPr>
              <w:t> ITEM 10.</w:t>
            </w:r>
          </w:p>
        </w:tc>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283030"/>
                <w:sz w:val="20"/>
                <w:szCs w:val="20"/>
              </w:rPr>
              <w:t>DIRECTORS, EXECUTIVE OFFICERS AND CORPORATE GOVERNANCE.</w:t>
            </w:r>
          </w:p>
        </w:tc>
      </w:tr>
    </w:tbl>
    <w:p w:rsidR="00000000" w:rsidRDefault="00F5481A">
      <w:pPr>
        <w:ind w:firstLine="360"/>
        <w:divId w:val="1544900044"/>
        <w:rPr>
          <w:rFonts w:eastAsia="Times New Roman"/>
        </w:rPr>
      </w:pPr>
      <w:r>
        <w:rPr>
          <w:rFonts w:ascii="IBM Plex Sans" w:eastAsia="Times New Roman" w:hAnsi="IBM Plex Sans"/>
          <w:color w:val="283030"/>
          <w:sz w:val="20"/>
          <w:szCs w:val="20"/>
        </w:rPr>
        <w:t>Information regarding our directors, executive officers and corporate governance is included in our Proxy Statement for our 2023 Annual Meeting of Shareholders scheduled to be held on April 21, 2023 (our “2023 Proxy Statement”), which is expected to be fil</w:t>
      </w:r>
      <w:r>
        <w:rPr>
          <w:rFonts w:ascii="IBM Plex Sans" w:eastAsia="Times New Roman" w:hAnsi="IBM Plex Sans"/>
          <w:color w:val="283030"/>
          <w:sz w:val="20"/>
          <w:szCs w:val="20"/>
        </w:rPr>
        <w:t>ed within 120 days after the end of our fiscal 2022.</w:t>
      </w:r>
    </w:p>
    <w:p w:rsidR="00000000" w:rsidRDefault="00F5481A">
      <w:pPr>
        <w:ind w:firstLine="360"/>
        <w:divId w:val="684089965"/>
        <w:rPr>
          <w:rFonts w:eastAsia="Times New Roman"/>
        </w:rPr>
      </w:pPr>
      <w:r>
        <w:rPr>
          <w:rFonts w:ascii="IBM Plex Sans" w:eastAsia="Times New Roman" w:hAnsi="IBM Plex Sans"/>
          <w:color w:val="283030"/>
          <w:sz w:val="20"/>
          <w:szCs w:val="20"/>
        </w:rPr>
        <w:t>(a) </w:t>
      </w:r>
      <w:r>
        <w:rPr>
          <w:rFonts w:ascii="IBM Plex Sans" w:eastAsia="Times New Roman" w:hAnsi="IBM Plex Sans"/>
          <w:i/>
          <w:iCs/>
          <w:color w:val="283030"/>
          <w:sz w:val="20"/>
          <w:szCs w:val="20"/>
        </w:rPr>
        <w:t>Identification of Directors:</w:t>
      </w:r>
      <w:r>
        <w:rPr>
          <w:rFonts w:ascii="IBM Plex Sans" w:eastAsia="Times New Roman" w:hAnsi="IBM Plex Sans"/>
          <w:color w:val="283030"/>
          <w:sz w:val="20"/>
          <w:szCs w:val="20"/>
        </w:rPr>
        <w:t xml:space="preserve"> The information required by this Item with respect to our directors is incorporated herein by reference to the discussion under the headings </w:t>
      </w:r>
      <w:r>
        <w:rPr>
          <w:rFonts w:ascii="IBM Plex Sans" w:eastAsia="Times New Roman" w:hAnsi="IBM Plex Sans"/>
          <w:i/>
          <w:iCs/>
          <w:color w:val="283030"/>
          <w:sz w:val="20"/>
          <w:szCs w:val="20"/>
        </w:rPr>
        <w:t>Proposal 1: Election of Direc</w:t>
      </w:r>
      <w:r>
        <w:rPr>
          <w:rFonts w:ascii="IBM Plex Sans" w:eastAsia="Times New Roman" w:hAnsi="IBM Plex Sans"/>
          <w:i/>
          <w:iCs/>
          <w:color w:val="283030"/>
          <w:sz w:val="20"/>
          <w:szCs w:val="20"/>
        </w:rPr>
        <w:t>tors</w:t>
      </w:r>
      <w:r>
        <w:rPr>
          <w:rFonts w:ascii="IBM Plex Sans" w:eastAsia="Times New Roman" w:hAnsi="IBM Plex Sans"/>
          <w:color w:val="283030"/>
          <w:sz w:val="20"/>
          <w:szCs w:val="20"/>
        </w:rPr>
        <w:t xml:space="preserve"> and </w:t>
      </w:r>
      <w:r>
        <w:rPr>
          <w:rFonts w:ascii="IBM Plex Sans" w:eastAsia="Times New Roman" w:hAnsi="IBM Plex Sans"/>
          <w:i/>
          <w:iCs/>
          <w:color w:val="283030"/>
          <w:sz w:val="20"/>
          <w:szCs w:val="20"/>
        </w:rPr>
        <w:t xml:space="preserve">Nominee Biographies </w:t>
      </w:r>
      <w:r>
        <w:rPr>
          <w:rFonts w:ascii="IBM Plex Sans" w:eastAsia="Times New Roman" w:hAnsi="IBM Plex Sans"/>
          <w:color w:val="283030"/>
          <w:sz w:val="20"/>
          <w:szCs w:val="20"/>
        </w:rPr>
        <w:t>in our 2023 Proxy Statement.</w:t>
      </w:r>
    </w:p>
    <w:p w:rsidR="00000000" w:rsidRDefault="00F5481A">
      <w:pPr>
        <w:ind w:firstLine="360"/>
        <w:divId w:val="611136158"/>
        <w:rPr>
          <w:rFonts w:eastAsia="Times New Roman"/>
        </w:rPr>
      </w:pPr>
      <w:r>
        <w:rPr>
          <w:rFonts w:ascii="IBM Plex Sans" w:eastAsia="Times New Roman" w:hAnsi="IBM Plex Sans"/>
          <w:color w:val="283030"/>
          <w:sz w:val="20"/>
          <w:szCs w:val="20"/>
        </w:rPr>
        <w:t>(b) </w:t>
      </w:r>
      <w:r>
        <w:rPr>
          <w:rFonts w:ascii="IBM Plex Sans" w:eastAsia="Times New Roman" w:hAnsi="IBM Plex Sans"/>
          <w:i/>
          <w:iCs/>
          <w:color w:val="283030"/>
          <w:sz w:val="20"/>
          <w:szCs w:val="20"/>
        </w:rPr>
        <w:t>Identification of Executive Officers:</w:t>
      </w:r>
      <w:r>
        <w:rPr>
          <w:rFonts w:ascii="IBM Plex Sans" w:eastAsia="Times New Roman" w:hAnsi="IBM Plex Sans"/>
          <w:color w:val="283030"/>
          <w:sz w:val="20"/>
          <w:szCs w:val="20"/>
        </w:rPr>
        <w:t> Certain information regarding our executive officers is included in Part I of this Report under the heading “Information about our Executive Officers” in ac</w:t>
      </w:r>
      <w:r>
        <w:rPr>
          <w:rFonts w:ascii="IBM Plex Sans" w:eastAsia="Times New Roman" w:hAnsi="IBM Plex Sans"/>
          <w:color w:val="283030"/>
          <w:sz w:val="20"/>
          <w:szCs w:val="20"/>
        </w:rPr>
        <w:t>cordance with General Instruction G(3) of Form 10-K.</w:t>
      </w:r>
    </w:p>
    <w:p w:rsidR="00000000" w:rsidRDefault="00F5481A">
      <w:pPr>
        <w:ind w:firstLine="360"/>
        <w:divId w:val="1969357814"/>
        <w:rPr>
          <w:rFonts w:eastAsia="Times New Roman"/>
        </w:rPr>
      </w:pPr>
      <w:r>
        <w:rPr>
          <w:rFonts w:ascii="IBM Plex Sans" w:eastAsia="Times New Roman" w:hAnsi="IBM Plex Sans"/>
          <w:color w:val="283030"/>
          <w:sz w:val="20"/>
          <w:szCs w:val="20"/>
        </w:rPr>
        <w:t>(c) </w:t>
      </w:r>
      <w:r>
        <w:rPr>
          <w:rFonts w:ascii="IBM Plex Sans" w:eastAsia="Times New Roman" w:hAnsi="IBM Plex Sans"/>
          <w:i/>
          <w:iCs/>
          <w:color w:val="283030"/>
          <w:sz w:val="20"/>
          <w:szCs w:val="20"/>
        </w:rPr>
        <w:t>Audit Committee Information; Financial Expert:</w:t>
      </w:r>
      <w:r>
        <w:rPr>
          <w:rFonts w:ascii="IBM Plex Sans" w:eastAsia="Times New Roman" w:hAnsi="IBM Plex Sans"/>
          <w:color w:val="283030"/>
          <w:sz w:val="20"/>
          <w:szCs w:val="20"/>
        </w:rPr>
        <w:t> The information required by this Item with respect to the Audit Committee of our Board of Directors and “audit committee financial experts” is incorpora</w:t>
      </w:r>
      <w:r>
        <w:rPr>
          <w:rFonts w:ascii="IBM Plex Sans" w:eastAsia="Times New Roman" w:hAnsi="IBM Plex Sans"/>
          <w:color w:val="283030"/>
          <w:sz w:val="20"/>
          <w:szCs w:val="20"/>
        </w:rPr>
        <w:t xml:space="preserve">ted herein by reference to the discussions under the headings </w:t>
      </w:r>
      <w:r>
        <w:rPr>
          <w:rFonts w:ascii="IBM Plex Sans" w:eastAsia="Times New Roman" w:hAnsi="IBM Plex Sans"/>
          <w:i/>
          <w:iCs/>
          <w:color w:val="283030"/>
          <w:sz w:val="20"/>
          <w:szCs w:val="20"/>
        </w:rPr>
        <w:t xml:space="preserve">Corporate Governance </w:t>
      </w:r>
      <w:r>
        <w:rPr>
          <w:rFonts w:ascii="IBM Plex Sans" w:eastAsia="Times New Roman" w:hAnsi="IBM Plex Sans"/>
          <w:color w:val="283030"/>
          <w:sz w:val="20"/>
          <w:szCs w:val="20"/>
        </w:rPr>
        <w:t xml:space="preserve">and </w:t>
      </w:r>
      <w:r>
        <w:rPr>
          <w:rFonts w:ascii="IBM Plex Sans" w:eastAsia="Times New Roman" w:hAnsi="IBM Plex Sans"/>
          <w:i/>
          <w:iCs/>
          <w:color w:val="283030"/>
          <w:sz w:val="20"/>
          <w:szCs w:val="20"/>
        </w:rPr>
        <w:t>Board Committees</w:t>
      </w:r>
      <w:r>
        <w:rPr>
          <w:rFonts w:ascii="IBM Plex Sans" w:eastAsia="Times New Roman" w:hAnsi="IBM Plex Sans"/>
          <w:color w:val="283030"/>
          <w:sz w:val="20"/>
          <w:szCs w:val="20"/>
        </w:rPr>
        <w:t xml:space="preserve">— </w:t>
      </w:r>
      <w:r>
        <w:rPr>
          <w:rFonts w:ascii="IBM Plex Sans" w:eastAsia="Times New Roman" w:hAnsi="IBM Plex Sans"/>
          <w:i/>
          <w:iCs/>
          <w:color w:val="283030"/>
          <w:sz w:val="20"/>
          <w:szCs w:val="20"/>
        </w:rPr>
        <w:t>Audit Committee</w:t>
      </w:r>
      <w:r>
        <w:rPr>
          <w:rFonts w:ascii="IBM Plex Sans" w:eastAsia="Times New Roman" w:hAnsi="IBM Plex Sans"/>
          <w:color w:val="283030"/>
          <w:sz w:val="20"/>
          <w:szCs w:val="20"/>
        </w:rPr>
        <w:t xml:space="preserve"> in our 2023 Proxy Statement.</w:t>
      </w:r>
    </w:p>
    <w:p w:rsidR="00000000" w:rsidRDefault="00F5481A">
      <w:pPr>
        <w:ind w:firstLine="360"/>
        <w:divId w:val="247081572"/>
        <w:rPr>
          <w:rFonts w:eastAsia="Times New Roman"/>
        </w:rPr>
      </w:pPr>
      <w:r>
        <w:rPr>
          <w:rFonts w:ascii="IBM Plex Sans" w:eastAsia="Times New Roman" w:hAnsi="IBM Plex Sans"/>
          <w:color w:val="283030"/>
          <w:sz w:val="20"/>
          <w:szCs w:val="20"/>
        </w:rPr>
        <w:t>(d) </w:t>
      </w:r>
      <w:r>
        <w:rPr>
          <w:rFonts w:ascii="IBM Plex Sans" w:eastAsia="Times New Roman" w:hAnsi="IBM Plex Sans"/>
          <w:i/>
          <w:iCs/>
          <w:color w:val="283030"/>
          <w:sz w:val="20"/>
          <w:szCs w:val="20"/>
        </w:rPr>
        <w:t>Delinquent Section 16(a) Reports:</w:t>
      </w:r>
      <w:r>
        <w:rPr>
          <w:rFonts w:ascii="IBM Plex Sans" w:eastAsia="Times New Roman" w:hAnsi="IBM Plex Sans"/>
          <w:color w:val="283030"/>
          <w:sz w:val="20"/>
          <w:szCs w:val="20"/>
        </w:rPr>
        <w:t> Information related to compliance with Section 16(a) of the Exchange</w:t>
      </w:r>
      <w:r>
        <w:rPr>
          <w:rFonts w:ascii="IBM Plex Sans" w:eastAsia="Times New Roman" w:hAnsi="IBM Plex Sans"/>
          <w:color w:val="283030"/>
          <w:sz w:val="20"/>
          <w:szCs w:val="20"/>
        </w:rPr>
        <w:t xml:space="preserve"> Act is incorporated herein by reference to the discussion under the heading </w:t>
      </w:r>
      <w:r>
        <w:rPr>
          <w:rFonts w:ascii="IBM Plex Sans" w:eastAsia="Times New Roman" w:hAnsi="IBM Plex Sans"/>
          <w:i/>
          <w:iCs/>
          <w:color w:val="283030"/>
          <w:sz w:val="20"/>
          <w:szCs w:val="20"/>
        </w:rPr>
        <w:t>Delinquent Section 16(a) Reports</w:t>
      </w:r>
      <w:r>
        <w:rPr>
          <w:rFonts w:ascii="IBM Plex Sans" w:eastAsia="Times New Roman" w:hAnsi="IBM Plex Sans"/>
          <w:color w:val="283030"/>
          <w:sz w:val="20"/>
          <w:szCs w:val="20"/>
        </w:rPr>
        <w:t xml:space="preserve"> in our 2023 Proxy Statement.</w:t>
      </w:r>
    </w:p>
    <w:p w:rsidR="00000000" w:rsidRDefault="00F5481A">
      <w:pPr>
        <w:ind w:firstLine="360"/>
        <w:divId w:val="1309435867"/>
        <w:rPr>
          <w:rFonts w:eastAsia="Times New Roman"/>
        </w:rPr>
      </w:pPr>
      <w:r>
        <w:rPr>
          <w:rFonts w:ascii="IBM Plex Sans" w:eastAsia="Times New Roman" w:hAnsi="IBM Plex Sans"/>
          <w:color w:val="283030"/>
          <w:sz w:val="20"/>
          <w:szCs w:val="20"/>
        </w:rPr>
        <w:t>(e) </w:t>
      </w:r>
      <w:r>
        <w:rPr>
          <w:rFonts w:ascii="IBM Plex Sans" w:eastAsia="Times New Roman" w:hAnsi="IBM Plex Sans"/>
          <w:i/>
          <w:iCs/>
          <w:color w:val="283030"/>
          <w:sz w:val="20"/>
          <w:szCs w:val="20"/>
        </w:rPr>
        <w:t>Code of Ethics:</w:t>
      </w:r>
      <w:r>
        <w:rPr>
          <w:rFonts w:ascii="IBM Plex Sans" w:eastAsia="Times New Roman" w:hAnsi="IBM Plex Sans"/>
          <w:color w:val="283030"/>
          <w:sz w:val="20"/>
          <w:szCs w:val="20"/>
        </w:rPr>
        <w:t> All of our directors and employees, including our Chief Executive Officer, Chief Financial Office</w:t>
      </w:r>
      <w:r>
        <w:rPr>
          <w:rFonts w:ascii="IBM Plex Sans" w:eastAsia="Times New Roman" w:hAnsi="IBM Plex Sans"/>
          <w:color w:val="283030"/>
          <w:sz w:val="20"/>
          <w:szCs w:val="20"/>
        </w:rPr>
        <w:t xml:space="preserve">r, Principal Accounting Officer and other senior accounting and financial officers, are required to abide by our Code of Conduct. Our Code of Conduct is posted on our website at </w:t>
      </w:r>
      <w:r>
        <w:rPr>
          <w:rFonts w:ascii="IBM Plex Sans" w:eastAsia="Times New Roman" w:hAnsi="IBM Plex Sans"/>
          <w:i/>
          <w:iCs/>
          <w:color w:val="283030"/>
          <w:sz w:val="20"/>
          <w:szCs w:val="20"/>
        </w:rPr>
        <w:t>https://www.l3harris.com/resources/other/l3harris-code-conduct</w:t>
      </w:r>
      <w:r>
        <w:rPr>
          <w:rFonts w:ascii="IBM Plex Sans" w:eastAsia="Times New Roman" w:hAnsi="IBM Plex Sans"/>
          <w:color w:val="283030"/>
          <w:sz w:val="20"/>
          <w:szCs w:val="20"/>
        </w:rPr>
        <w:t xml:space="preserve"> and is also ava</w:t>
      </w:r>
      <w:r>
        <w:rPr>
          <w:rFonts w:ascii="IBM Plex Sans" w:eastAsia="Times New Roman" w:hAnsi="IBM Plex Sans"/>
          <w:color w:val="283030"/>
          <w:sz w:val="20"/>
          <w:szCs w:val="20"/>
        </w:rPr>
        <w:t xml:space="preserve">ilable free of charge by written request to our Director of Ethics and Compliance, L3Harris Technologies, Inc., 1025 West NASA Boulevard, Melbourne, Florida 32919. We intend to disclose on the Code of Conduct section of our website at </w:t>
      </w:r>
      <w:r>
        <w:rPr>
          <w:rFonts w:ascii="IBM Plex Sans" w:eastAsia="Times New Roman" w:hAnsi="IBM Plex Sans"/>
          <w:i/>
          <w:iCs/>
          <w:color w:val="283030"/>
          <w:sz w:val="20"/>
          <w:szCs w:val="20"/>
        </w:rPr>
        <w:t>https://www.l3harris.</w:t>
      </w:r>
      <w:r>
        <w:rPr>
          <w:rFonts w:ascii="IBM Plex Sans" w:eastAsia="Times New Roman" w:hAnsi="IBM Plex Sans"/>
          <w:i/>
          <w:iCs/>
          <w:color w:val="283030"/>
          <w:sz w:val="20"/>
          <w:szCs w:val="20"/>
        </w:rPr>
        <w:t>com/resources/other/l3harris-code-conduct</w:t>
      </w:r>
      <w:r>
        <w:rPr>
          <w:rFonts w:ascii="IBM Plex Sans" w:eastAsia="Times New Roman" w:hAnsi="IBM Plex Sans"/>
          <w:color w:val="283030"/>
          <w:sz w:val="20"/>
          <w:szCs w:val="20"/>
        </w:rPr>
        <w:t xml:space="preserve"> any amendment to, or waiver from, our Code of Conduct that is required to be disclosed to shareholders, within four business days following such amendment or waiver. The information required by this Item with respe</w:t>
      </w:r>
      <w:r>
        <w:rPr>
          <w:rFonts w:ascii="IBM Plex Sans" w:eastAsia="Times New Roman" w:hAnsi="IBM Plex Sans"/>
          <w:color w:val="283030"/>
          <w:sz w:val="20"/>
          <w:szCs w:val="20"/>
        </w:rPr>
        <w:t xml:space="preserve">ct to codes of ethics is incorporated herein by reference to the discussion under the heading </w:t>
      </w:r>
      <w:r>
        <w:rPr>
          <w:rFonts w:ascii="IBM Plex Sans" w:eastAsia="Times New Roman" w:hAnsi="IBM Plex Sans"/>
          <w:i/>
          <w:iCs/>
          <w:color w:val="283030"/>
          <w:sz w:val="20"/>
          <w:szCs w:val="20"/>
        </w:rPr>
        <w:t>Code of Conduct</w:t>
      </w:r>
      <w:r>
        <w:rPr>
          <w:rFonts w:ascii="IBM Plex Sans" w:eastAsia="Times New Roman" w:hAnsi="IBM Plex Sans"/>
          <w:color w:val="283030"/>
          <w:sz w:val="20"/>
          <w:szCs w:val="20"/>
        </w:rPr>
        <w:t xml:space="preserve"> in our 2023 Proxy Statement.</w:t>
      </w:r>
    </w:p>
    <w:p w:rsidR="00000000" w:rsidRDefault="00F5481A">
      <w:pPr>
        <w:ind w:firstLine="360"/>
        <w:divId w:val="1672876746"/>
        <w:rPr>
          <w:rFonts w:eastAsia="Times New Roman"/>
        </w:rPr>
      </w:pPr>
      <w:r>
        <w:rPr>
          <w:rFonts w:ascii="IBM Plex Sans" w:eastAsia="Times New Roman" w:hAnsi="IBM Plex Sans"/>
          <w:color w:val="283030"/>
          <w:sz w:val="20"/>
          <w:szCs w:val="20"/>
        </w:rPr>
        <w:t>(f) </w:t>
      </w:r>
      <w:r>
        <w:rPr>
          <w:rFonts w:ascii="IBM Plex Sans" w:eastAsia="Times New Roman" w:hAnsi="IBM Plex Sans"/>
          <w:i/>
          <w:iCs/>
          <w:color w:val="283030"/>
          <w:sz w:val="20"/>
          <w:szCs w:val="20"/>
        </w:rPr>
        <w:t>Policy for Nominees:</w:t>
      </w:r>
      <w:r>
        <w:rPr>
          <w:rFonts w:ascii="IBM Plex Sans" w:eastAsia="Times New Roman" w:hAnsi="IBM Plex Sans"/>
          <w:color w:val="283030"/>
          <w:sz w:val="20"/>
          <w:szCs w:val="20"/>
        </w:rPr>
        <w:t> The information required under Item 407(c)(3) of Regulation S-K is incorporated herein by re</w:t>
      </w:r>
      <w:r>
        <w:rPr>
          <w:rFonts w:ascii="IBM Plex Sans" w:eastAsia="Times New Roman" w:hAnsi="IBM Plex Sans"/>
          <w:color w:val="283030"/>
          <w:sz w:val="20"/>
          <w:szCs w:val="20"/>
        </w:rPr>
        <w:t xml:space="preserve">ference to the discussion under the headings </w:t>
      </w:r>
      <w:r>
        <w:rPr>
          <w:rFonts w:ascii="IBM Plex Sans" w:eastAsia="Times New Roman" w:hAnsi="IBM Plex Sans"/>
          <w:i/>
          <w:iCs/>
          <w:color w:val="283030"/>
          <w:sz w:val="20"/>
          <w:szCs w:val="20"/>
        </w:rPr>
        <w:t xml:space="preserve">Director Nomination Process </w:t>
      </w:r>
      <w:r>
        <w:rPr>
          <w:rFonts w:ascii="IBM Plex Sans" w:eastAsia="Times New Roman" w:hAnsi="IBM Plex Sans"/>
          <w:color w:val="283030"/>
          <w:sz w:val="20"/>
          <w:szCs w:val="20"/>
        </w:rPr>
        <w:t xml:space="preserve">and </w:t>
      </w:r>
      <w:r>
        <w:rPr>
          <w:rFonts w:ascii="IBM Plex Sans" w:eastAsia="Times New Roman" w:hAnsi="IBM Plex Sans"/>
          <w:i/>
          <w:iCs/>
          <w:color w:val="283030"/>
          <w:sz w:val="20"/>
          <w:szCs w:val="20"/>
        </w:rPr>
        <w:t xml:space="preserve">Shareholder Nominations and Proposals </w:t>
      </w:r>
      <w:r>
        <w:rPr>
          <w:rFonts w:ascii="IBM Plex Sans" w:eastAsia="Times New Roman" w:hAnsi="IBM Plex Sans"/>
          <w:color w:val="283030"/>
          <w:sz w:val="20"/>
          <w:szCs w:val="20"/>
        </w:rPr>
        <w:t>in our 2023 Proxy Statement concerning procedures by which shareholders may recommend nominees to our Board of Directors, submit nominees for</w:t>
      </w:r>
      <w:r>
        <w:rPr>
          <w:rFonts w:ascii="IBM Plex Sans" w:eastAsia="Times New Roman" w:hAnsi="IBM Plex Sans"/>
          <w:color w:val="283030"/>
          <w:sz w:val="20"/>
          <w:szCs w:val="20"/>
        </w:rPr>
        <w:t xml:space="preserve"> inclusion in our proxy materials pursuant to our “proxy access” provision of our By-Laws or directly propose nominees for consideration pursuant to our By-Laws but not pursuant to the proxy access provision. No material changes to those procedures have oc</w:t>
      </w:r>
      <w:r>
        <w:rPr>
          <w:rFonts w:ascii="IBM Plex Sans" w:eastAsia="Times New Roman" w:hAnsi="IBM Plex Sans"/>
          <w:color w:val="283030"/>
          <w:sz w:val="20"/>
          <w:szCs w:val="20"/>
        </w:rPr>
        <w:t>curred since the disclosure regarding those procedures in our Proxy Statement for our 2022 Annual Meeting of Shareholders. As disclosed in a Current Report on Form 8-K filed by us with the SEC on December 13, 2022, however, we amended and restated our By-L</w:t>
      </w:r>
      <w:r>
        <w:rPr>
          <w:rFonts w:ascii="IBM Plex Sans" w:eastAsia="Times New Roman" w:hAnsi="IBM Plex Sans"/>
          <w:color w:val="283030"/>
          <w:sz w:val="20"/>
          <w:szCs w:val="20"/>
        </w:rPr>
        <w:t>aws on December 8, 2022 to, among other things, (i) require that a shareholder providing notice of its intent to nominate an individual to the Board pursuant to the universal proxy rules adopted by the SEC must comply with all requirements of those rules a</w:t>
      </w:r>
      <w:r>
        <w:rPr>
          <w:rFonts w:ascii="IBM Plex Sans" w:eastAsia="Times New Roman" w:hAnsi="IBM Plex Sans"/>
          <w:color w:val="283030"/>
          <w:sz w:val="20"/>
          <w:szCs w:val="20"/>
        </w:rPr>
        <w:t>nd provide reasonable evidence of such compliance, upon request; and (ii) enhance the procedural mechanics and disclosure requirements in connection with a shareholder’s request to nominate directors under our advance notice or proxy access by-laws, includ</w:t>
      </w:r>
      <w:r>
        <w:rPr>
          <w:rFonts w:ascii="IBM Plex Sans" w:eastAsia="Times New Roman" w:hAnsi="IBM Plex Sans"/>
          <w:color w:val="283030"/>
          <w:sz w:val="20"/>
          <w:szCs w:val="20"/>
        </w:rPr>
        <w:t xml:space="preserve">ing by requiring a shareholder delivering a notice pursuant to such by-laws to (a) provide additional background information and disclosures with respect to the shareholder, any nominees proposed by the shareholder and certain other interested persons and </w:t>
      </w:r>
      <w:r>
        <w:rPr>
          <w:rFonts w:ascii="IBM Plex Sans" w:eastAsia="Times New Roman" w:hAnsi="IBM Plex Sans"/>
          <w:color w:val="283030"/>
          <w:sz w:val="20"/>
          <w:szCs w:val="20"/>
        </w:rPr>
        <w:t>(b) update such notice, if necessary, so that it remains true and correct both as of the record date and ten business days prior to the applicable meeting.</w:t>
      </w:r>
    </w:p>
    <w:p w:rsidR="00000000" w:rsidRDefault="00F5481A">
      <w:pPr>
        <w:ind w:firstLine="360"/>
        <w:divId w:val="1844780441"/>
        <w:rPr>
          <w:rFonts w:eastAsia="Times New Roman"/>
        </w:rPr>
      </w:pPr>
      <w:r>
        <w:rPr>
          <w:rFonts w:ascii="IBM Plex Sans" w:eastAsia="Times New Roman" w:hAnsi="IBM Plex Sans"/>
          <w:color w:val="283030"/>
          <w:sz w:val="20"/>
          <w:szCs w:val="20"/>
        </w:rPr>
        <w:t>Additional information concerning requirements and procedures for shareholders directly nominating d</w:t>
      </w:r>
      <w:r>
        <w:rPr>
          <w:rFonts w:ascii="IBM Plex Sans" w:eastAsia="Times New Roman" w:hAnsi="IBM Plex Sans"/>
          <w:color w:val="283030"/>
          <w:sz w:val="20"/>
          <w:szCs w:val="20"/>
        </w:rPr>
        <w:t xml:space="preserve">irectors is contained under the heading </w:t>
      </w:r>
      <w:r>
        <w:rPr>
          <w:rFonts w:ascii="IBM Plex Sans" w:eastAsia="Times New Roman" w:hAnsi="IBM Plex Sans"/>
          <w:i/>
          <w:iCs/>
          <w:color w:val="283030"/>
          <w:sz w:val="20"/>
          <w:szCs w:val="20"/>
        </w:rPr>
        <w:t xml:space="preserve">Shareholder Nominations and Proposals </w:t>
      </w:r>
      <w:r>
        <w:rPr>
          <w:rFonts w:ascii="IBM Plex Sans" w:eastAsia="Times New Roman" w:hAnsi="IBM Plex Sans"/>
          <w:color w:val="283030"/>
          <w:sz w:val="20"/>
          <w:szCs w:val="20"/>
        </w:rPr>
        <w:t>in our 2023 Proxy Statement.</w:t>
      </w:r>
    </w:p>
    <w:p w:rsidR="00000000" w:rsidRDefault="00F5481A">
      <w:pPr>
        <w:ind w:firstLine="360"/>
        <w:divId w:val="2115783515"/>
        <w:rPr>
          <w:rFonts w:eastAsia="Times New Roman"/>
        </w:rPr>
      </w:pPr>
      <w:r>
        <w:rPr>
          <w:rFonts w:ascii="IBM Plex Sans" w:eastAsia="Times New Roman" w:hAnsi="IBM Plex Sans"/>
          <w:color w:val="283030"/>
          <w:sz w:val="18"/>
          <w:szCs w:val="18"/>
        </w:rPr>
        <w:t> </w:t>
      </w:r>
    </w:p>
    <w:p w:rsidR="00000000" w:rsidRDefault="00F5481A">
      <w:pPr>
        <w:ind w:firstLine="360"/>
        <w:jc w:val="center"/>
        <w:divId w:val="23530891"/>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116</w:t>
      </w:r>
    </w:p>
    <w:p w:rsidR="00000000" w:rsidRDefault="00F5481A">
      <w:pPr>
        <w:rPr>
          <w:rFonts w:eastAsia="Times New Roman"/>
        </w:rPr>
      </w:pPr>
      <w:r>
        <w:rPr>
          <w:rFonts w:eastAsia="Times New Roman"/>
        </w:rPr>
        <w:pict>
          <v:rect id="_x0000_i1147" style="width:0;height:1.5pt" o:hralign="center" o:hrstd="t" o:hr="t" fillcolor="#a0a0a0" stroked="f"/>
        </w:pict>
      </w:r>
    </w:p>
    <w:p w:rsidR="00000000" w:rsidRDefault="00F5481A">
      <w:pPr>
        <w:ind w:firstLine="360"/>
        <w:divId w:val="1747801406"/>
        <w:rPr>
          <w:rFonts w:eastAsia="Times New Roman"/>
        </w:rPr>
      </w:pPr>
    </w:p>
    <w:p w:rsidR="00000000" w:rsidRDefault="00F5481A">
      <w:pPr>
        <w:ind w:firstLine="360"/>
        <w:divId w:val="817383045"/>
        <w:rPr>
          <w:rFonts w:eastAsia="Times New Roman"/>
        </w:rPr>
      </w:pPr>
    </w:p>
    <w:tbl>
      <w:tblPr>
        <w:tblW w:w="2097" w:type="pct"/>
        <w:tblCellMar>
          <w:top w:w="15" w:type="dxa"/>
          <w:left w:w="15" w:type="dxa"/>
          <w:bottom w:w="15" w:type="dxa"/>
          <w:right w:w="15" w:type="dxa"/>
        </w:tblCellMar>
        <w:tblLook w:val="04A0" w:firstRow="1" w:lastRow="0" w:firstColumn="1" w:lastColumn="0" w:noHBand="0" w:noVBand="1"/>
      </w:tblPr>
      <w:tblGrid>
        <w:gridCol w:w="37"/>
        <w:gridCol w:w="976"/>
        <w:gridCol w:w="36"/>
        <w:gridCol w:w="37"/>
        <w:gridCol w:w="2362"/>
        <w:gridCol w:w="36"/>
      </w:tblGrid>
      <w:tr w:rsidR="00000000">
        <w:trPr>
          <w:divId w:val="2100521528"/>
        </w:trPr>
        <w:tc>
          <w:tcPr>
            <w:tcW w:w="50" w:type="pct"/>
            <w:vAlign w:val="center"/>
            <w:hideMark/>
          </w:tcPr>
          <w:p w:rsidR="00000000" w:rsidRDefault="00F5481A">
            <w:pPr>
              <w:ind w:firstLine="360"/>
              <w:rPr>
                <w:rFonts w:eastAsia="Times New Roman"/>
              </w:rPr>
            </w:pPr>
          </w:p>
        </w:tc>
        <w:tc>
          <w:tcPr>
            <w:tcW w:w="1451"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343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2100521528"/>
        </w:trPr>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016676"/>
                <w:sz w:val="20"/>
                <w:szCs w:val="20"/>
              </w:rPr>
              <w:t> ITEM 11.</w:t>
            </w:r>
          </w:p>
        </w:tc>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283030"/>
                <w:sz w:val="20"/>
                <w:szCs w:val="20"/>
              </w:rPr>
              <w:t>EXECUTIVE COMPENSATION.</w:t>
            </w:r>
          </w:p>
        </w:tc>
      </w:tr>
    </w:tbl>
    <w:p w:rsidR="00000000" w:rsidRDefault="00F5481A">
      <w:pPr>
        <w:ind w:firstLine="360"/>
        <w:divId w:val="131950759"/>
        <w:rPr>
          <w:rFonts w:eastAsia="Times New Roman"/>
        </w:rPr>
      </w:pPr>
      <w:r>
        <w:rPr>
          <w:rFonts w:ascii="IBM Plex Sans" w:eastAsia="Times New Roman" w:hAnsi="IBM Plex Sans"/>
          <w:color w:val="283030"/>
          <w:sz w:val="20"/>
          <w:szCs w:val="20"/>
        </w:rPr>
        <w:t xml:space="preserve">The information required by this Item with respect to compensation of our directors and executive officers is incorporated herein by reference to the discussions under the headings </w:t>
      </w:r>
      <w:r>
        <w:rPr>
          <w:rFonts w:ascii="IBM Plex Sans" w:eastAsia="Times New Roman" w:hAnsi="IBM Plex Sans"/>
          <w:i/>
          <w:iCs/>
          <w:color w:val="283030"/>
          <w:sz w:val="20"/>
          <w:szCs w:val="20"/>
        </w:rPr>
        <w:t>Director Compensation and Benefits</w:t>
      </w:r>
      <w:r>
        <w:rPr>
          <w:rFonts w:ascii="IBM Plex Sans" w:eastAsia="Times New Roman" w:hAnsi="IBM Plex Sans"/>
          <w:color w:val="283030"/>
          <w:sz w:val="20"/>
          <w:szCs w:val="20"/>
        </w:rPr>
        <w:t xml:space="preserve">, </w:t>
      </w:r>
      <w:r>
        <w:rPr>
          <w:rFonts w:ascii="IBM Plex Sans" w:eastAsia="Times New Roman" w:hAnsi="IBM Plex Sans"/>
          <w:i/>
          <w:iCs/>
          <w:color w:val="283030"/>
          <w:sz w:val="20"/>
          <w:szCs w:val="20"/>
        </w:rPr>
        <w:t>Compensation Discussion and Analysis, C</w:t>
      </w:r>
      <w:r>
        <w:rPr>
          <w:rFonts w:ascii="IBM Plex Sans" w:eastAsia="Times New Roman" w:hAnsi="IBM Plex Sans"/>
          <w:i/>
          <w:iCs/>
          <w:color w:val="283030"/>
          <w:sz w:val="20"/>
          <w:szCs w:val="20"/>
        </w:rPr>
        <w:t xml:space="preserve">ompensation Committee Report, Compensation Tables, CEO Pay Ratio </w:t>
      </w:r>
      <w:r>
        <w:rPr>
          <w:rFonts w:ascii="IBM Plex Sans" w:eastAsia="Times New Roman" w:hAnsi="IBM Plex Sans"/>
          <w:color w:val="283030"/>
          <w:sz w:val="20"/>
          <w:szCs w:val="20"/>
        </w:rPr>
        <w:t xml:space="preserve">and </w:t>
      </w:r>
      <w:r>
        <w:rPr>
          <w:rFonts w:ascii="IBM Plex Sans" w:eastAsia="Times New Roman" w:hAnsi="IBM Plex Sans"/>
          <w:i/>
          <w:iCs/>
          <w:color w:val="283030"/>
          <w:sz w:val="20"/>
          <w:szCs w:val="20"/>
        </w:rPr>
        <w:t>Pay Versus Performance</w:t>
      </w:r>
      <w:r>
        <w:rPr>
          <w:rFonts w:ascii="IBM Plex Sans" w:eastAsia="Times New Roman" w:hAnsi="IBM Plex Sans"/>
          <w:color w:val="283030"/>
          <w:sz w:val="20"/>
          <w:szCs w:val="20"/>
        </w:rPr>
        <w:t xml:space="preserve"> in our 2023 Proxy Statement.</w:t>
      </w:r>
    </w:p>
    <w:tbl>
      <w:tblPr>
        <w:tblW w:w="4906" w:type="pct"/>
        <w:tblCellMar>
          <w:top w:w="15" w:type="dxa"/>
          <w:left w:w="15" w:type="dxa"/>
          <w:bottom w:w="15" w:type="dxa"/>
          <w:right w:w="15" w:type="dxa"/>
        </w:tblCellMar>
        <w:tblLook w:val="04A0" w:firstRow="1" w:lastRow="0" w:firstColumn="1" w:lastColumn="0" w:noHBand="0" w:noVBand="1"/>
      </w:tblPr>
      <w:tblGrid>
        <w:gridCol w:w="71"/>
        <w:gridCol w:w="942"/>
        <w:gridCol w:w="36"/>
        <w:gridCol w:w="68"/>
        <w:gridCol w:w="6997"/>
        <w:gridCol w:w="36"/>
      </w:tblGrid>
      <w:tr w:rsidR="00000000">
        <w:trPr>
          <w:divId w:val="1110275644"/>
        </w:trPr>
        <w:tc>
          <w:tcPr>
            <w:tcW w:w="50" w:type="pct"/>
            <w:vAlign w:val="center"/>
            <w:hideMark/>
          </w:tcPr>
          <w:p w:rsidR="00000000" w:rsidRDefault="00F5481A">
            <w:pPr>
              <w:ind w:firstLine="360"/>
              <w:rPr>
                <w:rFonts w:eastAsia="Times New Roman"/>
              </w:rPr>
            </w:pPr>
          </w:p>
        </w:tc>
        <w:tc>
          <w:tcPr>
            <w:tcW w:w="58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300"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1110275644"/>
        </w:trPr>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016676"/>
                <w:sz w:val="20"/>
                <w:szCs w:val="20"/>
              </w:rPr>
              <w:t> ITEM 12.</w:t>
            </w:r>
          </w:p>
        </w:tc>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283030"/>
                <w:sz w:val="20"/>
                <w:szCs w:val="20"/>
              </w:rPr>
              <w:t>SECURITY OWNERSHIP OF CERTAIN BENEFICIAL OWNERS AND MANAGEMENT AND RELATED STOCKHOLDER MATTERS.</w:t>
            </w:r>
          </w:p>
        </w:tc>
      </w:tr>
    </w:tbl>
    <w:p w:rsidR="00000000" w:rsidRDefault="00F5481A">
      <w:pPr>
        <w:ind w:firstLine="360"/>
        <w:divId w:val="11226663"/>
        <w:rPr>
          <w:rFonts w:eastAsia="Times New Roman"/>
        </w:rPr>
      </w:pPr>
      <w:r>
        <w:rPr>
          <w:rFonts w:ascii="IBM Plex Sans" w:eastAsia="Times New Roman" w:hAnsi="IBM Plex Sans"/>
          <w:color w:val="283030"/>
          <w:sz w:val="20"/>
          <w:szCs w:val="20"/>
        </w:rPr>
        <w:t>The following table provides information as of December 30, 2022 about our common stock that may be issued, whether upon the exercise of options, warrants a</w:t>
      </w:r>
      <w:r>
        <w:rPr>
          <w:rFonts w:ascii="IBM Plex Sans" w:eastAsia="Times New Roman" w:hAnsi="IBM Plex Sans"/>
          <w:color w:val="283030"/>
          <w:sz w:val="20"/>
          <w:szCs w:val="20"/>
        </w:rPr>
        <w:t xml:space="preserve">nd rights or otherwise, under our existing equity compensation plans. </w:t>
      </w:r>
    </w:p>
    <w:tbl>
      <w:tblPr>
        <w:tblW w:w="5000" w:type="pct"/>
        <w:tblCellMar>
          <w:top w:w="15" w:type="dxa"/>
          <w:left w:w="15" w:type="dxa"/>
          <w:bottom w:w="15" w:type="dxa"/>
          <w:right w:w="15" w:type="dxa"/>
        </w:tblCellMar>
        <w:tblLook w:val="04A0" w:firstRow="1" w:lastRow="0" w:firstColumn="1" w:lastColumn="0" w:noHBand="0" w:noVBand="1"/>
      </w:tblPr>
      <w:tblGrid>
        <w:gridCol w:w="53"/>
        <w:gridCol w:w="4021"/>
        <w:gridCol w:w="36"/>
        <w:gridCol w:w="56"/>
        <w:gridCol w:w="1344"/>
        <w:gridCol w:w="36"/>
        <w:gridCol w:w="60"/>
        <w:gridCol w:w="1055"/>
        <w:gridCol w:w="36"/>
        <w:gridCol w:w="87"/>
        <w:gridCol w:w="1486"/>
        <w:gridCol w:w="36"/>
      </w:tblGrid>
      <w:tr w:rsidR="00000000">
        <w:trPr>
          <w:divId w:val="724061068"/>
        </w:trPr>
        <w:tc>
          <w:tcPr>
            <w:tcW w:w="50" w:type="pct"/>
            <w:vAlign w:val="center"/>
            <w:hideMark/>
          </w:tcPr>
          <w:p w:rsidR="00000000" w:rsidRDefault="00F5481A">
            <w:pPr>
              <w:ind w:firstLine="360"/>
              <w:rPr>
                <w:rFonts w:eastAsia="Times New Roman"/>
              </w:rPr>
            </w:pPr>
          </w:p>
        </w:tc>
        <w:tc>
          <w:tcPr>
            <w:tcW w:w="2437"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82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65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857"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724061068"/>
        </w:trPr>
        <w:tc>
          <w:tcPr>
            <w:tcW w:w="0" w:type="auto"/>
            <w:gridSpan w:val="3"/>
            <w:tcMar>
              <w:top w:w="30" w:type="dxa"/>
              <w:left w:w="20" w:type="dxa"/>
              <w:bottom w:w="30" w:type="dxa"/>
              <w:right w:w="20" w:type="dxa"/>
            </w:tcMar>
            <w:vAlign w:val="bottom"/>
            <w:hideMark/>
          </w:tcPr>
          <w:p w:rsidR="00000000" w:rsidRDefault="00F5481A">
            <w:pPr>
              <w:spacing w:after="100"/>
              <w:divId w:val="1216552822"/>
              <w:rPr>
                <w:rFonts w:eastAsia="Times New Roman"/>
              </w:rPr>
            </w:pPr>
            <w:r>
              <w:rPr>
                <w:rFonts w:ascii="IBM Plex Sans" w:eastAsia="Times New Roman" w:hAnsi="IBM Plex Sans"/>
                <w:b/>
                <w:bCs/>
                <w:color w:val="283030"/>
                <w:sz w:val="14"/>
                <w:szCs w:val="14"/>
              </w:rPr>
              <w:t>Plan Category</w:t>
            </w:r>
            <w:r>
              <w:rPr>
                <w:rFonts w:ascii="IBM Plex Sans" w:eastAsia="Times New Roman" w:hAnsi="IBM Plex Sans"/>
                <w:color w:val="283030"/>
                <w:sz w:val="8"/>
                <w:szCs w:val="8"/>
              </w:rPr>
              <w:t> </w:t>
            </w: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4"/>
                <w:szCs w:val="14"/>
              </w:rPr>
              <w:t>Number of securities to be</w:t>
            </w:r>
          </w:p>
          <w:p w:rsidR="00000000" w:rsidRDefault="00F5481A">
            <w:pPr>
              <w:spacing w:after="100"/>
              <w:jc w:val="center"/>
              <w:rPr>
                <w:rFonts w:eastAsia="Times New Roman"/>
              </w:rPr>
            </w:pPr>
            <w:r>
              <w:rPr>
                <w:rFonts w:ascii="IBM Plex Sans" w:eastAsia="Times New Roman" w:hAnsi="IBM Plex Sans"/>
                <w:b/>
                <w:bCs/>
                <w:color w:val="283030"/>
                <w:sz w:val="14"/>
                <w:szCs w:val="14"/>
              </w:rPr>
              <w:t>issued upon exercise of</w:t>
            </w:r>
          </w:p>
          <w:p w:rsidR="00000000" w:rsidRDefault="00F5481A">
            <w:pPr>
              <w:spacing w:after="100"/>
              <w:jc w:val="center"/>
              <w:rPr>
                <w:rFonts w:eastAsia="Times New Roman"/>
              </w:rPr>
            </w:pPr>
            <w:r>
              <w:rPr>
                <w:rFonts w:ascii="IBM Plex Sans" w:eastAsia="Times New Roman" w:hAnsi="IBM Plex Sans"/>
                <w:b/>
                <w:bCs/>
                <w:color w:val="283030"/>
                <w:sz w:val="14"/>
                <w:szCs w:val="14"/>
              </w:rPr>
              <w:t>outstanding options,</w:t>
            </w:r>
          </w:p>
          <w:p w:rsidR="00000000" w:rsidRDefault="00F5481A">
            <w:pPr>
              <w:spacing w:after="100"/>
              <w:jc w:val="center"/>
              <w:rPr>
                <w:rFonts w:eastAsia="Times New Roman"/>
              </w:rPr>
            </w:pPr>
            <w:r>
              <w:rPr>
                <w:rFonts w:ascii="IBM Plex Sans" w:eastAsia="Times New Roman" w:hAnsi="IBM Plex Sans"/>
                <w:b/>
                <w:bCs/>
                <w:color w:val="283030"/>
                <w:sz w:val="14"/>
                <w:szCs w:val="14"/>
              </w:rPr>
              <w:t>warrants and rights</w:t>
            </w:r>
          </w:p>
          <w:p w:rsidR="00000000" w:rsidRDefault="00F5481A">
            <w:pPr>
              <w:spacing w:after="100"/>
              <w:jc w:val="center"/>
              <w:rPr>
                <w:rFonts w:eastAsia="Times New Roman"/>
              </w:rPr>
            </w:pPr>
            <w:r>
              <w:rPr>
                <w:rFonts w:ascii="IBM Plex Sans" w:eastAsia="Times New Roman" w:hAnsi="IBM Plex Sans"/>
                <w:b/>
                <w:bCs/>
                <w:color w:val="283030"/>
                <w:sz w:val="14"/>
                <w:szCs w:val="14"/>
              </w:rPr>
              <w:t>(a</w:t>
            </w:r>
            <w:r>
              <w:rPr>
                <w:rFonts w:ascii="IBM Plex Sans" w:eastAsia="Times New Roman" w:hAnsi="IBM Plex Sans"/>
                <w:b/>
                <w:bCs/>
                <w:color w:val="283030"/>
                <w:sz w:val="14"/>
                <w:szCs w:val="14"/>
              </w:rPr>
              <w:t>)</w:t>
            </w:r>
            <w:r>
              <w:rPr>
                <w:rFonts w:ascii="IBM Plex Sans" w:eastAsia="Times New Roman" w:hAnsi="IBM Plex Sans"/>
                <w:b/>
                <w:bCs/>
                <w:color w:val="283030"/>
                <w:sz w:val="9"/>
                <w:szCs w:val="9"/>
              </w:rPr>
              <w:t>(2</w:t>
            </w:r>
            <w:r>
              <w:rPr>
                <w:rFonts w:ascii="IBM Plex Sans" w:eastAsia="Times New Roman" w:hAnsi="IBM Plex Sans"/>
                <w:b/>
                <w:bCs/>
                <w:color w:val="283030"/>
                <w:sz w:val="9"/>
                <w:szCs w:val="9"/>
              </w:rPr>
              <w:t>)</w:t>
            </w:r>
            <w:r>
              <w:rPr>
                <w:rFonts w:ascii="IBM Plex Sans" w:eastAsia="Times New Roman" w:hAnsi="IBM Plex Sans"/>
                <w:color w:val="283030"/>
                <w:sz w:val="8"/>
                <w:szCs w:val="8"/>
              </w:rPr>
              <w:t> </w:t>
            </w: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4"/>
                <w:szCs w:val="14"/>
              </w:rPr>
              <w:t>Weighted-average</w:t>
            </w:r>
          </w:p>
          <w:p w:rsidR="00000000" w:rsidRDefault="00F5481A">
            <w:pPr>
              <w:spacing w:after="100"/>
              <w:jc w:val="center"/>
              <w:rPr>
                <w:rFonts w:eastAsia="Times New Roman"/>
              </w:rPr>
            </w:pPr>
            <w:r>
              <w:rPr>
                <w:rFonts w:ascii="IBM Plex Sans" w:eastAsia="Times New Roman" w:hAnsi="IBM Plex Sans"/>
                <w:b/>
                <w:bCs/>
                <w:color w:val="283030"/>
                <w:sz w:val="14"/>
                <w:szCs w:val="14"/>
              </w:rPr>
              <w:t>exercise price of</w:t>
            </w:r>
          </w:p>
          <w:p w:rsidR="00000000" w:rsidRDefault="00F5481A">
            <w:pPr>
              <w:spacing w:after="100"/>
              <w:jc w:val="center"/>
              <w:rPr>
                <w:rFonts w:eastAsia="Times New Roman"/>
              </w:rPr>
            </w:pPr>
            <w:r>
              <w:rPr>
                <w:rFonts w:ascii="IBM Plex Sans" w:eastAsia="Times New Roman" w:hAnsi="IBM Plex Sans"/>
                <w:b/>
                <w:bCs/>
                <w:color w:val="283030"/>
                <w:sz w:val="14"/>
                <w:szCs w:val="14"/>
              </w:rPr>
              <w:t>outstanding options,</w:t>
            </w:r>
          </w:p>
          <w:p w:rsidR="00000000" w:rsidRDefault="00F5481A">
            <w:pPr>
              <w:spacing w:after="100"/>
              <w:jc w:val="center"/>
              <w:rPr>
                <w:rFonts w:eastAsia="Times New Roman"/>
              </w:rPr>
            </w:pPr>
            <w:r>
              <w:rPr>
                <w:rFonts w:ascii="IBM Plex Sans" w:eastAsia="Times New Roman" w:hAnsi="IBM Plex Sans"/>
                <w:b/>
                <w:bCs/>
                <w:color w:val="283030"/>
                <w:sz w:val="14"/>
                <w:szCs w:val="14"/>
              </w:rPr>
              <w:t>warrants and rights</w:t>
            </w:r>
          </w:p>
          <w:p w:rsidR="00000000" w:rsidRDefault="00F5481A">
            <w:pPr>
              <w:spacing w:after="100"/>
              <w:jc w:val="center"/>
              <w:rPr>
                <w:rFonts w:eastAsia="Times New Roman"/>
              </w:rPr>
            </w:pPr>
            <w:r>
              <w:rPr>
                <w:rFonts w:ascii="IBM Plex Sans" w:eastAsia="Times New Roman" w:hAnsi="IBM Plex Sans"/>
                <w:b/>
                <w:bCs/>
                <w:color w:val="283030"/>
                <w:sz w:val="14"/>
                <w:szCs w:val="14"/>
              </w:rPr>
              <w:t>(b</w:t>
            </w:r>
            <w:r>
              <w:rPr>
                <w:rFonts w:ascii="IBM Plex Sans" w:eastAsia="Times New Roman" w:hAnsi="IBM Plex Sans"/>
                <w:b/>
                <w:bCs/>
                <w:color w:val="283030"/>
                <w:sz w:val="14"/>
                <w:szCs w:val="14"/>
              </w:rPr>
              <w:t>)</w:t>
            </w:r>
            <w:r>
              <w:rPr>
                <w:rFonts w:ascii="IBM Plex Sans" w:eastAsia="Times New Roman" w:hAnsi="IBM Plex Sans"/>
                <w:b/>
                <w:bCs/>
                <w:color w:val="283030"/>
                <w:sz w:val="9"/>
                <w:szCs w:val="9"/>
              </w:rPr>
              <w:t>(2</w:t>
            </w:r>
            <w:r>
              <w:rPr>
                <w:rFonts w:ascii="IBM Plex Sans" w:eastAsia="Times New Roman" w:hAnsi="IBM Plex Sans"/>
                <w:b/>
                <w:bCs/>
                <w:color w:val="283030"/>
                <w:sz w:val="9"/>
                <w:szCs w:val="9"/>
              </w:rPr>
              <w:t>)</w:t>
            </w:r>
            <w:r>
              <w:rPr>
                <w:rFonts w:ascii="IBM Plex Sans" w:eastAsia="Times New Roman" w:hAnsi="IBM Plex Sans"/>
                <w:b/>
                <w:bCs/>
                <w:color w:val="283030"/>
                <w:sz w:val="14"/>
                <w:szCs w:val="14"/>
              </w:rPr>
              <w:t xml:space="preserve">  </w:t>
            </w: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4"/>
                <w:szCs w:val="14"/>
              </w:rPr>
              <w:t>Number of securities</w:t>
            </w:r>
          </w:p>
          <w:p w:rsidR="00000000" w:rsidRDefault="00F5481A">
            <w:pPr>
              <w:spacing w:after="100"/>
              <w:jc w:val="center"/>
              <w:rPr>
                <w:rFonts w:eastAsia="Times New Roman"/>
              </w:rPr>
            </w:pPr>
            <w:r>
              <w:rPr>
                <w:rFonts w:ascii="IBM Plex Sans" w:eastAsia="Times New Roman" w:hAnsi="IBM Plex Sans"/>
                <w:b/>
                <w:bCs/>
                <w:color w:val="283030"/>
                <w:sz w:val="14"/>
                <w:szCs w:val="14"/>
              </w:rPr>
              <w:t>remaining available for</w:t>
            </w:r>
          </w:p>
          <w:p w:rsidR="00000000" w:rsidRDefault="00F5481A">
            <w:pPr>
              <w:spacing w:after="100"/>
              <w:jc w:val="center"/>
              <w:rPr>
                <w:rFonts w:eastAsia="Times New Roman"/>
              </w:rPr>
            </w:pPr>
            <w:r>
              <w:rPr>
                <w:rFonts w:ascii="IBM Plex Sans" w:eastAsia="Times New Roman" w:hAnsi="IBM Plex Sans"/>
                <w:b/>
                <w:bCs/>
                <w:color w:val="283030"/>
                <w:sz w:val="14"/>
                <w:szCs w:val="14"/>
              </w:rPr>
              <w:t>future issuance under</w:t>
            </w:r>
          </w:p>
          <w:p w:rsidR="00000000" w:rsidRDefault="00F5481A">
            <w:pPr>
              <w:spacing w:after="100"/>
              <w:jc w:val="center"/>
              <w:rPr>
                <w:rFonts w:eastAsia="Times New Roman"/>
              </w:rPr>
            </w:pPr>
            <w:r>
              <w:rPr>
                <w:rFonts w:ascii="IBM Plex Sans" w:eastAsia="Times New Roman" w:hAnsi="IBM Plex Sans"/>
                <w:b/>
                <w:bCs/>
                <w:color w:val="283030"/>
                <w:sz w:val="14"/>
                <w:szCs w:val="14"/>
              </w:rPr>
              <w:t>equity compensation plans</w:t>
            </w:r>
          </w:p>
          <w:p w:rsidR="00000000" w:rsidRDefault="00F5481A">
            <w:pPr>
              <w:spacing w:after="100"/>
              <w:jc w:val="center"/>
              <w:rPr>
                <w:rFonts w:eastAsia="Times New Roman"/>
              </w:rPr>
            </w:pPr>
            <w:r>
              <w:rPr>
                <w:rFonts w:ascii="IBM Plex Sans" w:eastAsia="Times New Roman" w:hAnsi="IBM Plex Sans"/>
                <w:b/>
                <w:bCs/>
                <w:color w:val="283030"/>
                <w:sz w:val="14"/>
                <w:szCs w:val="14"/>
              </w:rPr>
              <w:t>(excluding securities</w:t>
            </w:r>
          </w:p>
          <w:p w:rsidR="00000000" w:rsidRDefault="00F5481A">
            <w:pPr>
              <w:spacing w:after="100"/>
              <w:jc w:val="center"/>
              <w:rPr>
                <w:rFonts w:eastAsia="Times New Roman"/>
              </w:rPr>
            </w:pPr>
            <w:r>
              <w:rPr>
                <w:rFonts w:ascii="IBM Plex Sans" w:eastAsia="Times New Roman" w:hAnsi="IBM Plex Sans"/>
                <w:b/>
                <w:bCs/>
                <w:color w:val="283030"/>
                <w:sz w:val="14"/>
                <w:szCs w:val="14"/>
              </w:rPr>
              <w:t>reflected in column (a))</w:t>
            </w:r>
          </w:p>
          <w:p w:rsidR="00000000" w:rsidRDefault="00F5481A">
            <w:pPr>
              <w:spacing w:after="100"/>
              <w:jc w:val="center"/>
              <w:rPr>
                <w:rFonts w:eastAsia="Times New Roman"/>
              </w:rPr>
            </w:pPr>
            <w:r>
              <w:rPr>
                <w:rFonts w:ascii="IBM Plex Sans" w:eastAsia="Times New Roman" w:hAnsi="IBM Plex Sans"/>
                <w:b/>
                <w:bCs/>
                <w:color w:val="283030"/>
                <w:sz w:val="14"/>
                <w:szCs w:val="14"/>
              </w:rPr>
              <w:t xml:space="preserve">(c) </w:t>
            </w:r>
          </w:p>
        </w:tc>
      </w:tr>
      <w:tr w:rsidR="00000000">
        <w:trPr>
          <w:divId w:val="724061068"/>
        </w:trPr>
        <w:tc>
          <w:tcPr>
            <w:tcW w:w="0" w:type="auto"/>
            <w:gridSpan w:val="3"/>
            <w:tcBorders>
              <w:top w:val="single" w:sz="8" w:space="0" w:color="000000"/>
            </w:tcBorders>
            <w:shd w:val="clear" w:color="auto" w:fill="D7EFF1"/>
            <w:tcMar>
              <w:top w:w="30" w:type="dxa"/>
              <w:left w:w="20" w:type="dxa"/>
              <w:bottom w:w="30" w:type="dxa"/>
              <w:right w:w="20" w:type="dxa"/>
            </w:tcMar>
            <w:vAlign w:val="center"/>
            <w:hideMark/>
          </w:tcPr>
          <w:p w:rsidR="00000000" w:rsidRDefault="00F5481A">
            <w:pPr>
              <w:spacing w:after="100"/>
              <w:divId w:val="2069066606"/>
              <w:rPr>
                <w:rFonts w:eastAsia="Times New Roman"/>
              </w:rPr>
            </w:pPr>
            <w:r>
              <w:rPr>
                <w:rFonts w:ascii="IBM Plex Sans" w:eastAsia="Times New Roman" w:hAnsi="IBM Plex Sans"/>
                <w:color w:val="283030"/>
                <w:sz w:val="20"/>
                <w:szCs w:val="20"/>
              </w:rPr>
              <w:t>Equity compensation plans approved by shareholder</w:t>
            </w:r>
            <w:r>
              <w:rPr>
                <w:rFonts w:ascii="IBM Plex Sans" w:eastAsia="Times New Roman" w:hAnsi="IBM Plex Sans"/>
                <w:color w:val="283030"/>
                <w:sz w:val="20"/>
                <w:szCs w:val="20"/>
              </w:rPr>
              <w:t>s</w:t>
            </w:r>
            <w:r>
              <w:rPr>
                <w:rFonts w:ascii="IBM Plex Sans" w:eastAsia="Times New Roman" w:hAnsi="IBM Plex Sans"/>
                <w:color w:val="283030"/>
                <w:sz w:val="13"/>
                <w:szCs w:val="13"/>
              </w:rPr>
              <w:t>(1</w:t>
            </w:r>
            <w:r>
              <w:rPr>
                <w:rFonts w:ascii="IBM Plex Sans" w:eastAsia="Times New Roman" w:hAnsi="IBM Plex Sans"/>
                <w:color w:val="283030"/>
                <w:sz w:val="13"/>
                <w:szCs w:val="13"/>
              </w:rPr>
              <w:t>)</w:t>
            </w:r>
          </w:p>
        </w:tc>
        <w:tc>
          <w:tcPr>
            <w:tcW w:w="0" w:type="auto"/>
            <w:gridSpan w:val="2"/>
            <w:tcBorders>
              <w:top w:val="single" w:sz="8" w:space="0" w:color="000000"/>
            </w:tcBorders>
            <w:shd w:val="clear" w:color="auto" w:fill="D7EFF1"/>
            <w:tcMar>
              <w:top w:w="30" w:type="dxa"/>
              <w:left w:w="20" w:type="dxa"/>
              <w:bottom w:w="30" w:type="dxa"/>
              <w:right w:w="0" w:type="dxa"/>
            </w:tcMar>
            <w:vAlign w:val="center"/>
            <w:hideMark/>
          </w:tcPr>
          <w:p w:rsidR="00000000" w:rsidRDefault="00F5481A">
            <w:pPr>
              <w:spacing w:after="100"/>
              <w:jc w:val="right"/>
              <w:rPr>
                <w:rFonts w:eastAsia="Times New Roman"/>
              </w:rPr>
            </w:pPr>
            <w:r>
              <w:rPr>
                <w:rFonts w:ascii="IBM Plex Sans" w:eastAsia="Times New Roman" w:hAnsi="IBM Plex Sans"/>
                <w:color w:val="283030"/>
                <w:sz w:val="20"/>
                <w:szCs w:val="20"/>
              </w:rPr>
              <w:t>4,503,967 </w:t>
            </w:r>
          </w:p>
        </w:tc>
        <w:tc>
          <w:tcPr>
            <w:tcW w:w="0" w:type="auto"/>
            <w:tcBorders>
              <w:top w:val="single" w:sz="8" w:space="0" w:color="000000"/>
            </w:tcBorders>
            <w:shd w:val="clear" w:color="auto" w:fill="D7EFF1"/>
            <w:tcMar>
              <w:top w:w="30" w:type="dxa"/>
              <w:left w:w="0" w:type="dxa"/>
              <w:bottom w:w="30" w:type="dxa"/>
              <w:right w:w="20" w:type="dxa"/>
            </w:tcMar>
            <w:vAlign w:val="center"/>
            <w:hideMark/>
          </w:tcPr>
          <w:p w:rsidR="00000000" w:rsidRDefault="00F5481A">
            <w:pPr>
              <w:spacing w:after="100"/>
              <w:jc w:val="right"/>
              <w:rPr>
                <w:rFonts w:eastAsia="Times New Roman"/>
              </w:rPr>
            </w:pPr>
          </w:p>
        </w:tc>
        <w:tc>
          <w:tcPr>
            <w:tcW w:w="0" w:type="auto"/>
            <w:gridSpan w:val="2"/>
            <w:tcBorders>
              <w:top w:val="single" w:sz="8" w:space="0" w:color="000000"/>
            </w:tcBorders>
            <w:shd w:val="clear" w:color="auto" w:fill="D7EFF1"/>
            <w:tcMar>
              <w:top w:w="30" w:type="dxa"/>
              <w:left w:w="20" w:type="dxa"/>
              <w:bottom w:w="30" w:type="dxa"/>
              <w:right w:w="0" w:type="dxa"/>
            </w:tcMar>
            <w:vAlign w:val="center"/>
            <w:hideMark/>
          </w:tcPr>
          <w:p w:rsidR="00000000" w:rsidRDefault="00F5481A">
            <w:pPr>
              <w:spacing w:after="100"/>
              <w:jc w:val="right"/>
              <w:rPr>
                <w:rFonts w:eastAsia="Times New Roman"/>
              </w:rPr>
            </w:pPr>
            <w:r>
              <w:rPr>
                <w:rFonts w:ascii="IBM Plex Sans" w:eastAsia="Times New Roman" w:hAnsi="IBM Plex Sans"/>
                <w:color w:val="283030"/>
                <w:sz w:val="20"/>
                <w:szCs w:val="20"/>
              </w:rPr>
              <w:t>$162.56 </w:t>
            </w:r>
          </w:p>
        </w:tc>
        <w:tc>
          <w:tcPr>
            <w:tcW w:w="0" w:type="auto"/>
            <w:tcBorders>
              <w:top w:val="single" w:sz="8" w:space="0" w:color="000000"/>
            </w:tcBorders>
            <w:shd w:val="clear" w:color="auto" w:fill="D7EFF1"/>
            <w:tcMar>
              <w:top w:w="30" w:type="dxa"/>
              <w:left w:w="0" w:type="dxa"/>
              <w:bottom w:w="30" w:type="dxa"/>
              <w:right w:w="20" w:type="dxa"/>
            </w:tcMar>
            <w:vAlign w:val="center"/>
            <w:hideMark/>
          </w:tcPr>
          <w:p w:rsidR="00000000" w:rsidRDefault="00F5481A">
            <w:pPr>
              <w:spacing w:after="100"/>
              <w:jc w:val="right"/>
              <w:rPr>
                <w:rFonts w:eastAsia="Times New Roman"/>
              </w:rPr>
            </w:pPr>
          </w:p>
        </w:tc>
        <w:tc>
          <w:tcPr>
            <w:tcW w:w="0" w:type="auto"/>
            <w:gridSpan w:val="2"/>
            <w:tcBorders>
              <w:top w:val="single" w:sz="8" w:space="0" w:color="000000"/>
            </w:tcBorders>
            <w:shd w:val="clear" w:color="auto" w:fill="D7EFF1"/>
            <w:tcMar>
              <w:top w:w="30" w:type="dxa"/>
              <w:left w:w="20" w:type="dxa"/>
              <w:bottom w:w="30" w:type="dxa"/>
              <w:right w:w="0" w:type="dxa"/>
            </w:tcMar>
            <w:vAlign w:val="center"/>
            <w:hideMark/>
          </w:tcPr>
          <w:p w:rsidR="00000000" w:rsidRDefault="00F5481A">
            <w:pPr>
              <w:spacing w:after="100"/>
              <w:jc w:val="right"/>
              <w:rPr>
                <w:rFonts w:eastAsia="Times New Roman"/>
              </w:rPr>
            </w:pPr>
            <w:r>
              <w:rPr>
                <w:rFonts w:ascii="IBM Plex Sans" w:eastAsia="Times New Roman" w:hAnsi="IBM Plex Sans"/>
                <w:color w:val="283030"/>
                <w:sz w:val="20"/>
                <w:szCs w:val="20"/>
              </w:rPr>
              <w:t>14,293,456 </w:t>
            </w:r>
          </w:p>
        </w:tc>
        <w:tc>
          <w:tcPr>
            <w:tcW w:w="0" w:type="auto"/>
            <w:tcBorders>
              <w:top w:val="single" w:sz="8" w:space="0" w:color="000000"/>
            </w:tcBorders>
            <w:shd w:val="clear" w:color="auto" w:fill="D7EFF1"/>
            <w:tcMar>
              <w:top w:w="30" w:type="dxa"/>
              <w:left w:w="0" w:type="dxa"/>
              <w:bottom w:w="30" w:type="dxa"/>
              <w:right w:w="20" w:type="dxa"/>
            </w:tcMar>
            <w:vAlign w:val="center"/>
            <w:hideMark/>
          </w:tcPr>
          <w:p w:rsidR="00000000" w:rsidRDefault="00F5481A">
            <w:pPr>
              <w:spacing w:after="100"/>
              <w:jc w:val="right"/>
              <w:rPr>
                <w:rFonts w:eastAsia="Times New Roman"/>
              </w:rPr>
            </w:pPr>
          </w:p>
        </w:tc>
      </w:tr>
      <w:tr w:rsidR="00000000">
        <w:trPr>
          <w:divId w:val="724061068"/>
        </w:trPr>
        <w:tc>
          <w:tcPr>
            <w:tcW w:w="0" w:type="auto"/>
            <w:gridSpan w:val="3"/>
            <w:shd w:val="clear" w:color="auto" w:fill="FFFFFF"/>
            <w:tcMar>
              <w:top w:w="30" w:type="dxa"/>
              <w:left w:w="20" w:type="dxa"/>
              <w:bottom w:w="30" w:type="dxa"/>
              <w:right w:w="20" w:type="dxa"/>
            </w:tcMar>
            <w:vAlign w:val="center"/>
            <w:hideMark/>
          </w:tcPr>
          <w:p w:rsidR="00000000" w:rsidRDefault="00F5481A">
            <w:pPr>
              <w:spacing w:after="100"/>
              <w:ind w:hanging="360"/>
              <w:divId w:val="1687290960"/>
              <w:rPr>
                <w:rFonts w:eastAsia="Times New Roman"/>
              </w:rPr>
            </w:pPr>
            <w:r>
              <w:rPr>
                <w:rFonts w:ascii="IBM Plex Sans" w:eastAsia="Times New Roman" w:hAnsi="IBM Plex Sans"/>
                <w:color w:val="283030"/>
                <w:sz w:val="20"/>
                <w:szCs w:val="20"/>
              </w:rPr>
              <w:t>Equity compensation plans not approved by shareholders</w:t>
            </w:r>
          </w:p>
        </w:tc>
        <w:tc>
          <w:tcPr>
            <w:tcW w:w="0" w:type="auto"/>
            <w:gridSpan w:val="2"/>
            <w:shd w:val="clear" w:color="auto" w:fill="FFFFFF"/>
            <w:tcMar>
              <w:top w:w="30" w:type="dxa"/>
              <w:left w:w="20" w:type="dxa"/>
              <w:bottom w:w="30" w:type="dxa"/>
              <w:right w:w="0" w:type="dxa"/>
            </w:tcMar>
            <w:vAlign w:val="center"/>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center"/>
            <w:hideMark/>
          </w:tcPr>
          <w:p w:rsidR="00000000" w:rsidRDefault="00F5481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center"/>
            <w:hideMark/>
          </w:tcPr>
          <w:p w:rsidR="00000000" w:rsidRDefault="00F5481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F5481A">
            <w:pPr>
              <w:spacing w:after="100"/>
              <w:jc w:val="right"/>
              <w:rPr>
                <w:rFonts w:eastAsia="Times New Roman"/>
              </w:rPr>
            </w:pPr>
            <w:r>
              <w:rPr>
                <w:rFonts w:ascii="IBM Plex Sans" w:eastAsia="Times New Roman" w:hAnsi="IBM Plex Sans"/>
                <w:color w:val="283030"/>
                <w:sz w:val="20"/>
                <w:szCs w:val="20"/>
              </w:rPr>
              <w:t>— </w:t>
            </w:r>
          </w:p>
        </w:tc>
        <w:tc>
          <w:tcPr>
            <w:tcW w:w="0" w:type="auto"/>
            <w:shd w:val="clear" w:color="auto" w:fill="FFFFFF"/>
            <w:tcMar>
              <w:top w:w="30" w:type="dxa"/>
              <w:left w:w="0" w:type="dxa"/>
              <w:bottom w:w="30" w:type="dxa"/>
              <w:right w:w="20" w:type="dxa"/>
            </w:tcMar>
            <w:vAlign w:val="center"/>
            <w:hideMark/>
          </w:tcPr>
          <w:p w:rsidR="00000000" w:rsidRDefault="00F5481A">
            <w:pPr>
              <w:spacing w:after="100"/>
              <w:jc w:val="right"/>
              <w:rPr>
                <w:rFonts w:eastAsia="Times New Roman"/>
              </w:rPr>
            </w:pPr>
          </w:p>
        </w:tc>
      </w:tr>
      <w:tr w:rsidR="00000000">
        <w:trPr>
          <w:divId w:val="724061068"/>
        </w:trPr>
        <w:tc>
          <w:tcPr>
            <w:tcW w:w="0" w:type="auto"/>
            <w:gridSpan w:val="3"/>
            <w:shd w:val="clear" w:color="auto" w:fill="D7EFF1"/>
            <w:tcMar>
              <w:top w:w="30" w:type="dxa"/>
              <w:left w:w="20" w:type="dxa"/>
              <w:bottom w:w="30" w:type="dxa"/>
              <w:right w:w="20" w:type="dxa"/>
            </w:tcMar>
            <w:vAlign w:val="center"/>
            <w:hideMark/>
          </w:tcPr>
          <w:p w:rsidR="00000000" w:rsidRDefault="00F5481A">
            <w:pPr>
              <w:spacing w:after="100"/>
              <w:divId w:val="1911425663"/>
              <w:rPr>
                <w:rFonts w:eastAsia="Times New Roman"/>
              </w:rPr>
            </w:pPr>
            <w:r>
              <w:rPr>
                <w:rFonts w:ascii="IBM Plex Sans" w:eastAsia="Times New Roman" w:hAnsi="IBM Plex Sans"/>
                <w:color w:val="283030"/>
                <w:sz w:val="20"/>
                <w:szCs w:val="20"/>
              </w:rPr>
              <w:t>Total</w:t>
            </w:r>
          </w:p>
        </w:tc>
        <w:tc>
          <w:tcPr>
            <w:tcW w:w="0" w:type="auto"/>
            <w:gridSpan w:val="2"/>
            <w:tcBorders>
              <w:top w:val="single" w:sz="8" w:space="0" w:color="000000"/>
            </w:tcBorders>
            <w:shd w:val="clear" w:color="auto" w:fill="D7EFF1"/>
            <w:tcMar>
              <w:top w:w="30" w:type="dxa"/>
              <w:left w:w="20" w:type="dxa"/>
              <w:bottom w:w="30" w:type="dxa"/>
              <w:right w:w="0" w:type="dxa"/>
            </w:tcMar>
            <w:vAlign w:val="center"/>
            <w:hideMark/>
          </w:tcPr>
          <w:p w:rsidR="00000000" w:rsidRDefault="00F5481A">
            <w:pPr>
              <w:spacing w:after="100"/>
              <w:jc w:val="right"/>
              <w:rPr>
                <w:rFonts w:eastAsia="Times New Roman"/>
              </w:rPr>
            </w:pPr>
            <w:r>
              <w:rPr>
                <w:rFonts w:ascii="IBM Plex Sans" w:eastAsia="Times New Roman" w:hAnsi="IBM Plex Sans"/>
                <w:color w:val="283030"/>
                <w:sz w:val="20"/>
                <w:szCs w:val="20"/>
              </w:rPr>
              <w:t>4,503,967 </w:t>
            </w:r>
          </w:p>
        </w:tc>
        <w:tc>
          <w:tcPr>
            <w:tcW w:w="0" w:type="auto"/>
            <w:tcBorders>
              <w:top w:val="single" w:sz="8" w:space="0" w:color="000000"/>
            </w:tcBorders>
            <w:shd w:val="clear" w:color="auto" w:fill="D7EFF1"/>
            <w:tcMar>
              <w:top w:w="30" w:type="dxa"/>
              <w:left w:w="0" w:type="dxa"/>
              <w:bottom w:w="30" w:type="dxa"/>
              <w:right w:w="20" w:type="dxa"/>
            </w:tcMar>
            <w:vAlign w:val="center"/>
            <w:hideMark/>
          </w:tcPr>
          <w:p w:rsidR="00000000" w:rsidRDefault="00F5481A">
            <w:pPr>
              <w:spacing w:after="100"/>
              <w:jc w:val="right"/>
              <w:rPr>
                <w:rFonts w:eastAsia="Times New Roman"/>
              </w:rPr>
            </w:pPr>
          </w:p>
        </w:tc>
        <w:tc>
          <w:tcPr>
            <w:tcW w:w="0" w:type="auto"/>
            <w:gridSpan w:val="2"/>
            <w:tcBorders>
              <w:top w:val="single" w:sz="8" w:space="0" w:color="000000"/>
            </w:tcBorders>
            <w:shd w:val="clear" w:color="auto" w:fill="D7EFF1"/>
            <w:tcMar>
              <w:top w:w="30" w:type="dxa"/>
              <w:left w:w="20" w:type="dxa"/>
              <w:bottom w:w="30" w:type="dxa"/>
              <w:right w:w="0" w:type="dxa"/>
            </w:tcMar>
            <w:vAlign w:val="center"/>
            <w:hideMark/>
          </w:tcPr>
          <w:p w:rsidR="00000000" w:rsidRDefault="00F5481A">
            <w:pPr>
              <w:spacing w:after="100"/>
              <w:jc w:val="right"/>
              <w:rPr>
                <w:rFonts w:eastAsia="Times New Roman"/>
              </w:rPr>
            </w:pPr>
            <w:r>
              <w:rPr>
                <w:rFonts w:ascii="IBM Plex Sans" w:eastAsia="Times New Roman" w:hAnsi="IBM Plex Sans"/>
                <w:color w:val="283030"/>
                <w:sz w:val="20"/>
                <w:szCs w:val="20"/>
              </w:rPr>
              <w:t>$162.56 </w:t>
            </w:r>
          </w:p>
        </w:tc>
        <w:tc>
          <w:tcPr>
            <w:tcW w:w="0" w:type="auto"/>
            <w:tcBorders>
              <w:top w:val="single" w:sz="8" w:space="0" w:color="000000"/>
            </w:tcBorders>
            <w:shd w:val="clear" w:color="auto" w:fill="D7EFF1"/>
            <w:tcMar>
              <w:top w:w="30" w:type="dxa"/>
              <w:left w:w="0" w:type="dxa"/>
              <w:bottom w:w="30" w:type="dxa"/>
              <w:right w:w="20" w:type="dxa"/>
            </w:tcMar>
            <w:vAlign w:val="center"/>
            <w:hideMark/>
          </w:tcPr>
          <w:p w:rsidR="00000000" w:rsidRDefault="00F5481A">
            <w:pPr>
              <w:spacing w:after="100"/>
              <w:jc w:val="right"/>
              <w:rPr>
                <w:rFonts w:eastAsia="Times New Roman"/>
              </w:rPr>
            </w:pPr>
          </w:p>
        </w:tc>
        <w:tc>
          <w:tcPr>
            <w:tcW w:w="0" w:type="auto"/>
            <w:gridSpan w:val="2"/>
            <w:tcBorders>
              <w:top w:val="single" w:sz="8" w:space="0" w:color="000000"/>
            </w:tcBorders>
            <w:shd w:val="clear" w:color="auto" w:fill="D7EFF1"/>
            <w:tcMar>
              <w:top w:w="30" w:type="dxa"/>
              <w:left w:w="20" w:type="dxa"/>
              <w:bottom w:w="30" w:type="dxa"/>
              <w:right w:w="0" w:type="dxa"/>
            </w:tcMar>
            <w:vAlign w:val="center"/>
            <w:hideMark/>
          </w:tcPr>
          <w:p w:rsidR="00000000" w:rsidRDefault="00F5481A">
            <w:pPr>
              <w:spacing w:after="100"/>
              <w:jc w:val="right"/>
              <w:rPr>
                <w:rFonts w:eastAsia="Times New Roman"/>
              </w:rPr>
            </w:pPr>
            <w:r>
              <w:rPr>
                <w:rFonts w:ascii="IBM Plex Sans" w:eastAsia="Times New Roman" w:hAnsi="IBM Plex Sans"/>
                <w:color w:val="283030"/>
                <w:sz w:val="20"/>
                <w:szCs w:val="20"/>
              </w:rPr>
              <w:t>14,293,456 </w:t>
            </w:r>
          </w:p>
        </w:tc>
        <w:tc>
          <w:tcPr>
            <w:tcW w:w="0" w:type="auto"/>
            <w:tcBorders>
              <w:top w:val="single" w:sz="8" w:space="0" w:color="000000"/>
            </w:tcBorders>
            <w:shd w:val="clear" w:color="auto" w:fill="D7EFF1"/>
            <w:tcMar>
              <w:top w:w="30" w:type="dxa"/>
              <w:left w:w="0" w:type="dxa"/>
              <w:bottom w:w="30" w:type="dxa"/>
              <w:right w:w="20" w:type="dxa"/>
            </w:tcMar>
            <w:vAlign w:val="center"/>
            <w:hideMark/>
          </w:tcPr>
          <w:p w:rsidR="00000000" w:rsidRDefault="00F5481A">
            <w:pPr>
              <w:spacing w:after="100"/>
              <w:jc w:val="right"/>
              <w:rPr>
                <w:rFonts w:eastAsia="Times New Roman"/>
              </w:rPr>
            </w:pPr>
          </w:p>
        </w:tc>
      </w:tr>
    </w:tbl>
    <w:p w:rsidR="00000000" w:rsidRDefault="00F5481A">
      <w:pPr>
        <w:divId w:val="1536770562"/>
        <w:rPr>
          <w:rFonts w:eastAsia="Times New Roman"/>
        </w:rPr>
      </w:pPr>
      <w:r>
        <w:rPr>
          <w:rFonts w:ascii="IBM Plex Sans" w:eastAsia="Times New Roman" w:hAnsi="IBM Plex Sans"/>
          <w:color w:val="283030"/>
          <w:sz w:val="16"/>
          <w:szCs w:val="16"/>
        </w:rPr>
        <w:t>_______________</w:t>
      </w:r>
    </w:p>
    <w:p w:rsidR="00000000" w:rsidRDefault="00F5481A">
      <w:pPr>
        <w:ind w:hanging="360"/>
        <w:divId w:val="1593663570"/>
        <w:rPr>
          <w:rFonts w:eastAsia="Times New Roman"/>
        </w:rPr>
      </w:pPr>
      <w:r>
        <w:rPr>
          <w:rFonts w:ascii="IBM Plex Sans" w:eastAsia="Times New Roman" w:hAnsi="IBM Plex Sans"/>
          <w:color w:val="283030"/>
          <w:sz w:val="16"/>
          <w:szCs w:val="16"/>
        </w:rPr>
        <w:t xml:space="preserve">(1) </w:t>
      </w:r>
      <w:r>
        <w:rPr>
          <w:rFonts w:ascii="IBM Plex Sans" w:eastAsia="Times New Roman" w:hAnsi="IBM Plex Sans"/>
          <w:color w:val="283030"/>
          <w:sz w:val="16"/>
          <w:szCs w:val="16"/>
        </w:rPr>
        <w:t>Consists of awards under the L3Harris SIPs.</w:t>
      </w:r>
    </w:p>
    <w:p w:rsidR="00000000" w:rsidRDefault="00F5481A">
      <w:pPr>
        <w:ind w:hanging="360"/>
        <w:divId w:val="1443106572"/>
        <w:rPr>
          <w:rFonts w:eastAsia="Times New Roman"/>
        </w:rPr>
      </w:pPr>
      <w:r>
        <w:rPr>
          <w:rFonts w:ascii="IBM Plex Sans" w:eastAsia="Times New Roman" w:hAnsi="IBM Plex Sans"/>
          <w:color w:val="283030"/>
          <w:sz w:val="16"/>
          <w:szCs w:val="16"/>
        </w:rPr>
        <w:t>(2) Under the L3Harris SIPs, in addition to options, we have granted share-based compensation awards in the form of performance shares, shares of restricted stock, performance share units, restricted stock units,</w:t>
      </w:r>
      <w:r>
        <w:rPr>
          <w:rFonts w:ascii="IBM Plex Sans" w:eastAsia="Times New Roman" w:hAnsi="IBM Plex Sans"/>
          <w:color w:val="283030"/>
          <w:sz w:val="16"/>
          <w:szCs w:val="16"/>
        </w:rPr>
        <w:t xml:space="preserve"> shares of immediately vested common stock and other similar types of share-based awards. As of December 30, 2022, there were awards outstanding under those plans with respect to 1,197,838 shares, consisting of awards of (i) 673,495 restricted stock units </w:t>
      </w:r>
      <w:r>
        <w:rPr>
          <w:rFonts w:ascii="IBM Plex Sans" w:eastAsia="Times New Roman" w:hAnsi="IBM Plex Sans"/>
          <w:color w:val="283030"/>
          <w:sz w:val="16"/>
          <w:szCs w:val="16"/>
        </w:rPr>
        <w:t>and (ii) 524,343 performance share units, for which all 1,197,838 were payable in shares but for which no shares were yet issued and outstanding. The 4,503,967 shares to be issued upon exercise of outstanding options, warrants and rights as listed in colum</w:t>
      </w:r>
      <w:r>
        <w:rPr>
          <w:rFonts w:ascii="IBM Plex Sans" w:eastAsia="Times New Roman" w:hAnsi="IBM Plex Sans"/>
          <w:color w:val="283030"/>
          <w:sz w:val="16"/>
          <w:szCs w:val="16"/>
        </w:rPr>
        <w:t>n (a) consisted of shares to be issued in respect of the exercise of 3,306,129 outstanding options and in respect of awards of 1,197,838 performance share units and restricted stock units payable in shares. Because there is no exercise price associated wit</w:t>
      </w:r>
      <w:r>
        <w:rPr>
          <w:rFonts w:ascii="IBM Plex Sans" w:eastAsia="Times New Roman" w:hAnsi="IBM Plex Sans"/>
          <w:color w:val="283030"/>
          <w:sz w:val="16"/>
          <w:szCs w:val="16"/>
        </w:rPr>
        <w:t>h awards of shares of restricted stock, performance share units or restricted stock units, all of which are granted to employees at no cost, such awards are not included in the weighted-average exercise price calculation in column (b).</w:t>
      </w:r>
    </w:p>
    <w:p w:rsidR="00000000" w:rsidRDefault="00F5481A">
      <w:pPr>
        <w:ind w:firstLine="360"/>
        <w:divId w:val="1357386622"/>
        <w:rPr>
          <w:rFonts w:eastAsia="Times New Roman"/>
        </w:rPr>
      </w:pPr>
      <w:r>
        <w:rPr>
          <w:rFonts w:ascii="IBM Plex Sans" w:eastAsia="Times New Roman" w:hAnsi="IBM Plex Sans"/>
          <w:color w:val="283030"/>
          <w:sz w:val="20"/>
          <w:szCs w:val="20"/>
        </w:rPr>
        <w:t xml:space="preserve">See </w:t>
      </w:r>
      <w:r>
        <w:rPr>
          <w:rFonts w:ascii="IBM Plex Sans" w:eastAsia="Times New Roman" w:hAnsi="IBM Plex Sans"/>
          <w:i/>
          <w:iCs/>
          <w:color w:val="283030"/>
          <w:sz w:val="20"/>
          <w:szCs w:val="20"/>
        </w:rPr>
        <w:t>Note 15: Stock O</w:t>
      </w:r>
      <w:r>
        <w:rPr>
          <w:rFonts w:ascii="IBM Plex Sans" w:eastAsia="Times New Roman" w:hAnsi="IBM Plex Sans"/>
          <w:i/>
          <w:iCs/>
          <w:color w:val="283030"/>
          <w:sz w:val="20"/>
          <w:szCs w:val="20"/>
        </w:rPr>
        <w:t>ptions and Other Share-Based Compensation</w:t>
      </w:r>
      <w:r>
        <w:rPr>
          <w:rFonts w:ascii="IBM Plex Sans" w:eastAsia="Times New Roman" w:hAnsi="IBM Plex Sans"/>
          <w:color w:val="283030"/>
          <w:sz w:val="20"/>
          <w:szCs w:val="20"/>
        </w:rPr>
        <w:t xml:space="preserve"> in the Notes for a general description of our share-based incentive plans. </w:t>
      </w:r>
    </w:p>
    <w:p w:rsidR="00000000" w:rsidRDefault="00F5481A">
      <w:pPr>
        <w:ind w:firstLine="360"/>
        <w:divId w:val="1486583487"/>
        <w:rPr>
          <w:rFonts w:eastAsia="Times New Roman"/>
        </w:rPr>
      </w:pPr>
      <w:r>
        <w:rPr>
          <w:rFonts w:ascii="IBM Plex Sans" w:eastAsia="Times New Roman" w:hAnsi="IBM Plex Sans"/>
          <w:color w:val="283030"/>
          <w:sz w:val="20"/>
          <w:szCs w:val="20"/>
        </w:rPr>
        <w:t>The other information required by this Item with respect to security ownership of certain of our beneficial owners and management is incor</w:t>
      </w:r>
      <w:r>
        <w:rPr>
          <w:rFonts w:ascii="IBM Plex Sans" w:eastAsia="Times New Roman" w:hAnsi="IBM Plex Sans"/>
          <w:color w:val="283030"/>
          <w:sz w:val="20"/>
          <w:szCs w:val="20"/>
        </w:rPr>
        <w:t xml:space="preserve">porated herein by reference to the discussions under the headings </w:t>
      </w:r>
      <w:r>
        <w:rPr>
          <w:rFonts w:ascii="IBM Plex Sans" w:eastAsia="Times New Roman" w:hAnsi="IBM Plex Sans"/>
          <w:i/>
          <w:iCs/>
          <w:color w:val="283030"/>
          <w:sz w:val="20"/>
          <w:szCs w:val="20"/>
        </w:rPr>
        <w:t>Principal Shareholders</w:t>
      </w:r>
      <w:r>
        <w:rPr>
          <w:rFonts w:ascii="IBM Plex Sans" w:eastAsia="Times New Roman" w:hAnsi="IBM Plex Sans"/>
          <w:color w:val="283030"/>
          <w:sz w:val="20"/>
          <w:szCs w:val="20"/>
        </w:rPr>
        <w:t xml:space="preserve"> and </w:t>
      </w:r>
      <w:r>
        <w:rPr>
          <w:rFonts w:ascii="IBM Plex Sans" w:eastAsia="Times New Roman" w:hAnsi="IBM Plex Sans"/>
          <w:i/>
          <w:iCs/>
          <w:color w:val="283030"/>
          <w:sz w:val="20"/>
          <w:szCs w:val="20"/>
        </w:rPr>
        <w:t>Shares Owned By Directors, Nominees and Executive Officers</w:t>
      </w:r>
      <w:r>
        <w:rPr>
          <w:rFonts w:ascii="IBM Plex Sans" w:eastAsia="Times New Roman" w:hAnsi="IBM Plex Sans"/>
          <w:color w:val="283030"/>
          <w:sz w:val="20"/>
          <w:szCs w:val="20"/>
        </w:rPr>
        <w:t xml:space="preserve"> in our 2023 Proxy Statement. </w:t>
      </w:r>
    </w:p>
    <w:tbl>
      <w:tblPr>
        <w:tblW w:w="4849" w:type="pct"/>
        <w:tblCellMar>
          <w:top w:w="15" w:type="dxa"/>
          <w:left w:w="15" w:type="dxa"/>
          <w:bottom w:w="15" w:type="dxa"/>
          <w:right w:w="15" w:type="dxa"/>
        </w:tblCellMar>
        <w:tblLook w:val="04A0" w:firstRow="1" w:lastRow="0" w:firstColumn="1" w:lastColumn="0" w:noHBand="0" w:noVBand="1"/>
      </w:tblPr>
      <w:tblGrid>
        <w:gridCol w:w="70"/>
        <w:gridCol w:w="942"/>
        <w:gridCol w:w="36"/>
        <w:gridCol w:w="67"/>
        <w:gridCol w:w="6904"/>
        <w:gridCol w:w="36"/>
      </w:tblGrid>
      <w:tr w:rsidR="00000000">
        <w:trPr>
          <w:divId w:val="240264152"/>
        </w:trPr>
        <w:tc>
          <w:tcPr>
            <w:tcW w:w="50" w:type="pct"/>
            <w:vAlign w:val="center"/>
            <w:hideMark/>
          </w:tcPr>
          <w:p w:rsidR="00000000" w:rsidRDefault="00F5481A">
            <w:pPr>
              <w:ind w:firstLine="360"/>
              <w:rPr>
                <w:rFonts w:eastAsia="Times New Roman"/>
              </w:rPr>
            </w:pPr>
          </w:p>
        </w:tc>
        <w:tc>
          <w:tcPr>
            <w:tcW w:w="59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29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240264152"/>
        </w:trPr>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016676"/>
                <w:sz w:val="20"/>
                <w:szCs w:val="20"/>
              </w:rPr>
              <w:t> ITEM 13.</w:t>
            </w:r>
          </w:p>
        </w:tc>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283030"/>
                <w:sz w:val="20"/>
                <w:szCs w:val="20"/>
              </w:rPr>
              <w:t>CERTAIN RELATIONSHIPS AND RELATED TRANSACTIONS, AND DIRECTOR INDEPENDENCE.</w:t>
            </w:r>
          </w:p>
        </w:tc>
      </w:tr>
    </w:tbl>
    <w:p w:rsidR="00000000" w:rsidRDefault="00F5481A">
      <w:pPr>
        <w:ind w:firstLine="360"/>
        <w:divId w:val="451100441"/>
        <w:rPr>
          <w:rFonts w:eastAsia="Times New Roman"/>
        </w:rPr>
      </w:pPr>
      <w:r>
        <w:rPr>
          <w:rFonts w:ascii="IBM Plex Sans" w:eastAsia="Times New Roman" w:hAnsi="IBM Plex Sans"/>
          <w:color w:val="283030"/>
          <w:sz w:val="20"/>
          <w:szCs w:val="20"/>
        </w:rPr>
        <w:t xml:space="preserve">The information required by this Item is incorporated herein by reference to the discussions under the headings </w:t>
      </w:r>
      <w:r>
        <w:rPr>
          <w:rFonts w:ascii="IBM Plex Sans" w:eastAsia="Times New Roman" w:hAnsi="IBM Plex Sans"/>
          <w:i/>
          <w:iCs/>
          <w:color w:val="283030"/>
          <w:sz w:val="20"/>
          <w:szCs w:val="20"/>
        </w:rPr>
        <w:t>Director Independence Standards</w:t>
      </w:r>
      <w:r>
        <w:rPr>
          <w:rFonts w:ascii="IBM Plex Sans" w:eastAsia="Times New Roman" w:hAnsi="IBM Plex Sans"/>
          <w:color w:val="283030"/>
          <w:sz w:val="20"/>
          <w:szCs w:val="20"/>
        </w:rPr>
        <w:t xml:space="preserve"> and </w:t>
      </w:r>
      <w:r>
        <w:rPr>
          <w:rFonts w:ascii="IBM Plex Sans" w:eastAsia="Times New Roman" w:hAnsi="IBM Plex Sans"/>
          <w:i/>
          <w:iCs/>
          <w:color w:val="283030"/>
          <w:sz w:val="20"/>
          <w:szCs w:val="20"/>
        </w:rPr>
        <w:t>Related Person Transactions</w:t>
      </w:r>
      <w:r>
        <w:rPr>
          <w:rFonts w:ascii="IBM Plex Sans" w:eastAsia="Times New Roman" w:hAnsi="IBM Plex Sans"/>
          <w:color w:val="283030"/>
          <w:sz w:val="20"/>
          <w:szCs w:val="20"/>
        </w:rPr>
        <w:t xml:space="preserve"> in our 2023 Proxy Statement.</w:t>
      </w:r>
    </w:p>
    <w:tbl>
      <w:tblPr>
        <w:tblW w:w="3297" w:type="pct"/>
        <w:tblCellMar>
          <w:top w:w="15" w:type="dxa"/>
          <w:left w:w="15" w:type="dxa"/>
          <w:bottom w:w="15" w:type="dxa"/>
          <w:right w:w="15" w:type="dxa"/>
        </w:tblCellMar>
        <w:tblLook w:val="04A0" w:firstRow="1" w:lastRow="0" w:firstColumn="1" w:lastColumn="0" w:noHBand="0" w:noVBand="1"/>
      </w:tblPr>
      <w:tblGrid>
        <w:gridCol w:w="48"/>
        <w:gridCol w:w="965"/>
        <w:gridCol w:w="36"/>
        <w:gridCol w:w="40"/>
        <w:gridCol w:w="4352"/>
        <w:gridCol w:w="36"/>
      </w:tblGrid>
      <w:tr w:rsidR="00000000">
        <w:trPr>
          <w:divId w:val="1121613241"/>
        </w:trPr>
        <w:tc>
          <w:tcPr>
            <w:tcW w:w="50" w:type="pct"/>
            <w:vAlign w:val="center"/>
            <w:hideMark/>
          </w:tcPr>
          <w:p w:rsidR="00000000" w:rsidRDefault="00F5481A">
            <w:pPr>
              <w:ind w:firstLine="360"/>
              <w:rPr>
                <w:rFonts w:eastAsia="Times New Roman"/>
              </w:rPr>
            </w:pPr>
          </w:p>
        </w:tc>
        <w:tc>
          <w:tcPr>
            <w:tcW w:w="90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398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1121613241"/>
        </w:trPr>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016676"/>
                <w:sz w:val="20"/>
                <w:szCs w:val="20"/>
              </w:rPr>
              <w:t> ITEM 14.</w:t>
            </w:r>
          </w:p>
        </w:tc>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283030"/>
                <w:sz w:val="20"/>
                <w:szCs w:val="20"/>
              </w:rPr>
              <w:t>PRINCIPAL ACCOUNTING FEES AND SE</w:t>
            </w:r>
            <w:r>
              <w:rPr>
                <w:rFonts w:ascii="IBM Plex Sans" w:eastAsia="Times New Roman" w:hAnsi="IBM Plex Sans"/>
                <w:b/>
                <w:bCs/>
                <w:color w:val="283030"/>
                <w:sz w:val="20"/>
                <w:szCs w:val="20"/>
              </w:rPr>
              <w:t>RVICES.</w:t>
            </w:r>
          </w:p>
        </w:tc>
      </w:tr>
    </w:tbl>
    <w:p w:rsidR="00000000" w:rsidRDefault="00F5481A">
      <w:pPr>
        <w:ind w:firstLine="360"/>
        <w:divId w:val="1894848569"/>
        <w:rPr>
          <w:rFonts w:eastAsia="Times New Roman"/>
        </w:rPr>
      </w:pPr>
      <w:r>
        <w:rPr>
          <w:rFonts w:ascii="IBM Plex Sans" w:eastAsia="Times New Roman" w:hAnsi="IBM Plex Sans"/>
          <w:color w:val="283030"/>
          <w:sz w:val="20"/>
          <w:szCs w:val="20"/>
        </w:rPr>
        <w:t xml:space="preserve">The information required by this Item is incorporated herein by reference to the discussion under the heading </w:t>
      </w:r>
      <w:r>
        <w:rPr>
          <w:rFonts w:ascii="IBM Plex Sans" w:eastAsia="Times New Roman" w:hAnsi="IBM Plex Sans"/>
          <w:i/>
          <w:iCs/>
          <w:color w:val="283030"/>
          <w:sz w:val="20"/>
          <w:szCs w:val="20"/>
        </w:rPr>
        <w:t>Proposal </w:t>
      </w:r>
      <w:r>
        <w:rPr>
          <w:rFonts w:ascii="IBM Plex Sans" w:eastAsia="Times New Roman" w:hAnsi="IBM Plex Sans"/>
          <w:i/>
          <w:iCs/>
          <w:color w:val="283030"/>
          <w:sz w:val="20"/>
          <w:szCs w:val="20"/>
        </w:rPr>
        <w:t>4: Ratification of Appointment of Independent Registered Public Accounting Firm</w:t>
      </w:r>
      <w:r>
        <w:rPr>
          <w:rFonts w:ascii="IBM Plex Sans" w:eastAsia="Times New Roman" w:hAnsi="IBM Plex Sans"/>
          <w:color w:val="283030"/>
          <w:sz w:val="20"/>
          <w:szCs w:val="20"/>
        </w:rPr>
        <w:t xml:space="preserve"> in our 2023 Proxy Statement. </w:t>
      </w:r>
    </w:p>
    <w:p w:rsidR="00000000" w:rsidRDefault="00F5481A">
      <w:pPr>
        <w:ind w:firstLine="360"/>
        <w:jc w:val="center"/>
        <w:divId w:val="1390569795"/>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117</w:t>
      </w:r>
    </w:p>
    <w:p w:rsidR="00000000" w:rsidRDefault="00F5481A">
      <w:pPr>
        <w:rPr>
          <w:rFonts w:eastAsia="Times New Roman"/>
        </w:rPr>
      </w:pPr>
      <w:r>
        <w:rPr>
          <w:rFonts w:eastAsia="Times New Roman"/>
        </w:rPr>
        <w:pict>
          <v:rect id="_x0000_i1148" style="width:0;height:1.5pt" o:hralign="center" o:hrstd="t" o:hr="t" fillcolor="#a0a0a0" stroked="f"/>
        </w:pict>
      </w:r>
    </w:p>
    <w:p w:rsidR="00000000" w:rsidRDefault="00F5481A">
      <w:pPr>
        <w:ind w:firstLine="360"/>
        <w:divId w:val="1110859282"/>
        <w:rPr>
          <w:rFonts w:eastAsia="Times New Roman"/>
        </w:rPr>
      </w:pPr>
    </w:p>
    <w:p w:rsidR="00000000" w:rsidRDefault="00F5481A">
      <w:pPr>
        <w:ind w:firstLine="360"/>
        <w:jc w:val="center"/>
        <w:divId w:val="927612728"/>
        <w:rPr>
          <w:rFonts w:eastAsia="Times New Roman"/>
        </w:rPr>
      </w:pPr>
      <w:r>
        <w:rPr>
          <w:rFonts w:ascii="IBM Plex Sans" w:eastAsia="Times New Roman" w:hAnsi="IBM Plex Sans"/>
          <w:b/>
          <w:bCs/>
          <w:color w:val="016676"/>
        </w:rPr>
        <w:t>PART IV</w:t>
      </w:r>
      <w:r>
        <w:rPr>
          <w:rFonts w:ascii="IBM Plex Sans" w:eastAsia="Times New Roman" w:hAnsi="IBM Plex Sans"/>
          <w:color w:val="016676"/>
          <w:sz w:val="18"/>
          <w:szCs w:val="18"/>
        </w:rPr>
        <w:t> </w:t>
      </w:r>
    </w:p>
    <w:tbl>
      <w:tblPr>
        <w:tblW w:w="4906" w:type="pct"/>
        <w:tblCellMar>
          <w:top w:w="15" w:type="dxa"/>
          <w:left w:w="15" w:type="dxa"/>
          <w:bottom w:w="15" w:type="dxa"/>
          <w:right w:w="15" w:type="dxa"/>
        </w:tblCellMar>
        <w:tblLook w:val="04A0" w:firstRow="1" w:lastRow="0" w:firstColumn="1" w:lastColumn="0" w:noHBand="0" w:noVBand="1"/>
      </w:tblPr>
      <w:tblGrid>
        <w:gridCol w:w="71"/>
        <w:gridCol w:w="942"/>
        <w:gridCol w:w="36"/>
        <w:gridCol w:w="68"/>
        <w:gridCol w:w="6997"/>
        <w:gridCol w:w="36"/>
      </w:tblGrid>
      <w:tr w:rsidR="00000000">
        <w:trPr>
          <w:divId w:val="948582554"/>
        </w:trPr>
        <w:tc>
          <w:tcPr>
            <w:tcW w:w="50" w:type="pct"/>
            <w:vAlign w:val="center"/>
            <w:hideMark/>
          </w:tcPr>
          <w:p w:rsidR="00000000" w:rsidRDefault="00F5481A">
            <w:pPr>
              <w:ind w:firstLine="360"/>
              <w:jc w:val="center"/>
              <w:rPr>
                <w:rFonts w:eastAsia="Times New Roman"/>
              </w:rPr>
            </w:pPr>
          </w:p>
        </w:tc>
        <w:tc>
          <w:tcPr>
            <w:tcW w:w="58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300"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948582554"/>
        </w:trPr>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016676"/>
                <w:sz w:val="20"/>
                <w:szCs w:val="20"/>
              </w:rPr>
              <w:t> ITEM 15.</w:t>
            </w:r>
          </w:p>
        </w:tc>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283030"/>
                <w:sz w:val="20"/>
                <w:szCs w:val="20"/>
              </w:rPr>
              <w:t>EXHIBITS, FINANCIAL STATEMENT SCHEDULES.</w:t>
            </w:r>
          </w:p>
        </w:tc>
      </w:tr>
    </w:tbl>
    <w:p w:rsidR="00000000" w:rsidRDefault="00F5481A">
      <w:pPr>
        <w:ind w:firstLine="360"/>
        <w:divId w:val="2087417784"/>
        <w:rPr>
          <w:rFonts w:eastAsia="Times New Roman"/>
        </w:rPr>
      </w:pPr>
      <w:r>
        <w:rPr>
          <w:rFonts w:ascii="IBM Plex Sans" w:eastAsia="Times New Roman" w:hAnsi="IBM Plex Sans"/>
          <w:b/>
          <w:bCs/>
          <w:color w:val="283030"/>
          <w:sz w:val="20"/>
          <w:szCs w:val="20"/>
        </w:rPr>
        <w:t>The following documents are filed as a part of this Report:</w:t>
      </w:r>
    </w:p>
    <w:tbl>
      <w:tblPr>
        <w:tblW w:w="4913" w:type="pct"/>
        <w:tblCellMar>
          <w:top w:w="15" w:type="dxa"/>
          <w:left w:w="15" w:type="dxa"/>
          <w:bottom w:w="15" w:type="dxa"/>
          <w:right w:w="15" w:type="dxa"/>
        </w:tblCellMar>
        <w:tblLook w:val="04A0" w:firstRow="1" w:lastRow="0" w:firstColumn="1" w:lastColumn="0" w:noHBand="0" w:noVBand="1"/>
      </w:tblPr>
      <w:tblGrid>
        <w:gridCol w:w="38"/>
        <w:gridCol w:w="7636"/>
        <w:gridCol w:w="37"/>
        <w:gridCol w:w="91"/>
        <w:gridCol w:w="323"/>
        <w:gridCol w:w="36"/>
      </w:tblGrid>
      <w:tr w:rsidR="00000000">
        <w:trPr>
          <w:divId w:val="256720751"/>
        </w:trPr>
        <w:tc>
          <w:tcPr>
            <w:tcW w:w="50" w:type="pct"/>
            <w:vAlign w:val="center"/>
            <w:hideMark/>
          </w:tcPr>
          <w:p w:rsidR="00000000" w:rsidRDefault="00F5481A">
            <w:pPr>
              <w:ind w:firstLine="360"/>
              <w:rPr>
                <w:rFonts w:eastAsia="Times New Roman"/>
              </w:rPr>
            </w:pPr>
          </w:p>
        </w:tc>
        <w:tc>
          <w:tcPr>
            <w:tcW w:w="4711"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178"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256720751"/>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rPr>
              <w:t>Page</w:t>
            </w:r>
          </w:p>
        </w:tc>
      </w:tr>
      <w:tr w:rsidR="00000000">
        <w:trPr>
          <w:divId w:val="256720751"/>
        </w:trPr>
        <w:tc>
          <w:tcPr>
            <w:tcW w:w="0" w:type="auto"/>
            <w:gridSpan w:val="3"/>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283030"/>
                <w:sz w:val="20"/>
                <w:szCs w:val="20"/>
              </w:rPr>
              <w:t>(1)    </w:t>
            </w:r>
            <w:r>
              <w:rPr>
                <w:rFonts w:ascii="IBM Plex Sans" w:eastAsia="Times New Roman" w:hAnsi="IBM Plex Sans"/>
                <w:b/>
                <w:bCs/>
                <w:color w:val="283030"/>
                <w:sz w:val="20"/>
                <w:szCs w:val="20"/>
              </w:rPr>
              <w:t>List of Financial Statements Filed as Part of this Report: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5481A">
            <w:pPr>
              <w:spacing w:after="100"/>
              <w:rPr>
                <w:rFonts w:eastAsia="Times New Roman"/>
              </w:rPr>
            </w:pPr>
          </w:p>
        </w:tc>
      </w:tr>
      <w:tr w:rsidR="00000000">
        <w:trPr>
          <w:divId w:val="256720751"/>
        </w:trPr>
        <w:tc>
          <w:tcPr>
            <w:tcW w:w="0" w:type="auto"/>
            <w:gridSpan w:val="3"/>
            <w:tcMar>
              <w:top w:w="30" w:type="dxa"/>
              <w:left w:w="60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The following financial statements and reports of L3Harris Technologies, Inc. and its consolidated subsidiaries are included in Item 8 of this Report at the page numbers referenced below:</w:t>
            </w: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r>
      <w:tr w:rsidR="00000000">
        <w:trPr>
          <w:divId w:val="256720751"/>
        </w:trPr>
        <w:tc>
          <w:tcPr>
            <w:tcW w:w="0" w:type="auto"/>
            <w:gridSpan w:val="3"/>
            <w:tcMar>
              <w:top w:w="30" w:type="dxa"/>
              <w:left w:w="20" w:type="dxa"/>
              <w:bottom w:w="30" w:type="dxa"/>
              <w:right w:w="20" w:type="dxa"/>
            </w:tcMar>
            <w:hideMark/>
          </w:tcPr>
          <w:p w:rsidR="00000000" w:rsidRDefault="00F5481A">
            <w:pPr>
              <w:spacing w:after="100"/>
              <w:divId w:val="16469925"/>
              <w:rPr>
                <w:rFonts w:eastAsia="Times New Roman"/>
              </w:rPr>
            </w:pPr>
            <w:hyperlink w:anchor="iefe78000fcc84d7eb9dad62280c74976_70" w:history="1">
              <w:r>
                <w:rPr>
                  <w:rStyle w:val="a3"/>
                  <w:rFonts w:ascii="IBM Plex Sans" w:eastAsia="Times New Roman" w:hAnsi="IBM Plex Sans"/>
                  <w:color w:val="000000"/>
                  <w:sz w:val="20"/>
                  <w:szCs w:val="20"/>
                  <w:u w:val="none"/>
                </w:rPr>
                <w:t>Management’s Report on Internal Control Over Financial Reporting</w:t>
              </w:r>
            </w:hyperlink>
          </w:p>
        </w:tc>
        <w:tc>
          <w:tcPr>
            <w:tcW w:w="0" w:type="auto"/>
            <w:gridSpan w:val="3"/>
            <w:tcMar>
              <w:top w:w="30" w:type="dxa"/>
              <w:left w:w="20" w:type="dxa"/>
              <w:bottom w:w="30" w:type="dxa"/>
              <w:right w:w="20" w:type="dxa"/>
            </w:tcMar>
            <w:vAlign w:val="bottom"/>
            <w:hideMark/>
          </w:tcPr>
          <w:p w:rsidR="00000000" w:rsidRDefault="00F5481A">
            <w:pPr>
              <w:spacing w:after="100"/>
              <w:jc w:val="right"/>
              <w:rPr>
                <w:rFonts w:eastAsia="Times New Roman"/>
              </w:rPr>
            </w:pPr>
            <w:hyperlink w:anchor="iefe78000fcc84d7eb9dad62280c74976_70" w:history="1">
              <w:r>
                <w:rPr>
                  <w:rStyle w:val="a3"/>
                  <w:rFonts w:ascii="IBM Plex Sans" w:eastAsia="Times New Roman" w:hAnsi="IBM Plex Sans"/>
                  <w:color w:val="000000"/>
                  <w:sz w:val="20"/>
                  <w:szCs w:val="20"/>
                  <w:u w:val="none"/>
                </w:rPr>
                <w:t>55</w:t>
              </w:r>
            </w:hyperlink>
          </w:p>
        </w:tc>
      </w:tr>
      <w:tr w:rsidR="00000000">
        <w:trPr>
          <w:divId w:val="256720751"/>
        </w:trPr>
        <w:tc>
          <w:tcPr>
            <w:tcW w:w="0" w:type="auto"/>
            <w:gridSpan w:val="3"/>
            <w:tcMar>
              <w:top w:w="30" w:type="dxa"/>
              <w:left w:w="20" w:type="dxa"/>
              <w:bottom w:w="30" w:type="dxa"/>
              <w:right w:w="20" w:type="dxa"/>
            </w:tcMar>
            <w:hideMark/>
          </w:tcPr>
          <w:p w:rsidR="00000000" w:rsidRDefault="00F5481A">
            <w:pPr>
              <w:spacing w:after="100"/>
              <w:ind w:hanging="270"/>
              <w:divId w:val="180969421"/>
              <w:rPr>
                <w:rFonts w:eastAsia="Times New Roman"/>
              </w:rPr>
            </w:pPr>
            <w:hyperlink w:anchor="iefe78000fcc84d7eb9dad62280c74976_73" w:history="1">
              <w:r>
                <w:rPr>
                  <w:rStyle w:val="a3"/>
                  <w:rFonts w:ascii="IBM Plex Sans" w:eastAsia="Times New Roman" w:hAnsi="IBM Plex Sans"/>
                  <w:color w:val="000000"/>
                  <w:sz w:val="20"/>
                  <w:szCs w:val="20"/>
                  <w:u w:val="none"/>
                </w:rPr>
                <w:t>Report of Independent Registered Public Accounting Firm (PCAOB ID:</w:t>
              </w:r>
            </w:hyperlink>
            <w:r>
              <w:rPr>
                <w:rFonts w:ascii="IBM Plex Sans" w:eastAsia="Times New Roman" w:hAnsi="IBM Plex Sans"/>
                <w:color w:val="283030"/>
                <w:sz w:val="20"/>
                <w:szCs w:val="20"/>
              </w:rPr>
              <w:t xml:space="preserve"> </w:t>
            </w:r>
            <w:r>
              <w:rPr>
                <w:rFonts w:ascii="IBM Plex Sans" w:eastAsia="Times New Roman" w:hAnsi="IBM Plex Sans"/>
                <w:color w:val="000000"/>
                <w:sz w:val="20"/>
                <w:szCs w:val="20"/>
              </w:rPr>
              <w:t>42</w:t>
            </w:r>
            <w:hyperlink w:anchor="iefe78000fcc84d7eb9dad62280c74976_73" w:history="1">
              <w:r>
                <w:rPr>
                  <w:rStyle w:val="a3"/>
                  <w:rFonts w:ascii="IBM Plex Sans" w:eastAsia="Times New Roman" w:hAnsi="IBM Plex Sans"/>
                  <w:color w:val="000000"/>
                  <w:sz w:val="20"/>
                  <w:szCs w:val="20"/>
                  <w:u w:val="none"/>
                </w:rPr>
                <w:t>) on the Consolidated Financial Statements</w:t>
              </w:r>
            </w:hyperlink>
          </w:p>
        </w:tc>
        <w:tc>
          <w:tcPr>
            <w:tcW w:w="0" w:type="auto"/>
            <w:gridSpan w:val="3"/>
            <w:tcMar>
              <w:top w:w="30" w:type="dxa"/>
              <w:left w:w="20" w:type="dxa"/>
              <w:bottom w:w="30" w:type="dxa"/>
              <w:right w:w="20" w:type="dxa"/>
            </w:tcMar>
            <w:vAlign w:val="bottom"/>
            <w:hideMark/>
          </w:tcPr>
          <w:p w:rsidR="00000000" w:rsidRDefault="00F5481A">
            <w:pPr>
              <w:spacing w:after="100"/>
              <w:jc w:val="right"/>
              <w:rPr>
                <w:rFonts w:eastAsia="Times New Roman"/>
              </w:rPr>
            </w:pPr>
            <w:hyperlink w:anchor="iefe78000fcc84d7eb9dad62280c74976_73" w:history="1">
              <w:r>
                <w:rPr>
                  <w:rStyle w:val="a3"/>
                  <w:rFonts w:ascii="IBM Plex Sans" w:eastAsia="Times New Roman" w:hAnsi="IBM Plex Sans"/>
                  <w:color w:val="000000"/>
                  <w:sz w:val="20"/>
                  <w:szCs w:val="20"/>
                  <w:u w:val="none"/>
                </w:rPr>
                <w:t>56</w:t>
              </w:r>
            </w:hyperlink>
          </w:p>
        </w:tc>
      </w:tr>
      <w:tr w:rsidR="00000000">
        <w:trPr>
          <w:divId w:val="256720751"/>
        </w:trPr>
        <w:tc>
          <w:tcPr>
            <w:tcW w:w="0" w:type="auto"/>
            <w:gridSpan w:val="3"/>
            <w:tcMar>
              <w:top w:w="30" w:type="dxa"/>
              <w:left w:w="20" w:type="dxa"/>
              <w:bottom w:w="30" w:type="dxa"/>
              <w:right w:w="20" w:type="dxa"/>
            </w:tcMar>
            <w:hideMark/>
          </w:tcPr>
          <w:p w:rsidR="00000000" w:rsidRDefault="00F5481A">
            <w:pPr>
              <w:spacing w:after="100"/>
              <w:ind w:hanging="270"/>
              <w:divId w:val="1791437036"/>
              <w:rPr>
                <w:rFonts w:eastAsia="Times New Roman"/>
              </w:rPr>
            </w:pPr>
            <w:hyperlink w:anchor="iefe78000fcc84d7eb9dad62280c74976_76" w:history="1">
              <w:r>
                <w:rPr>
                  <w:rStyle w:val="a3"/>
                  <w:rFonts w:ascii="IBM Plex Sans" w:eastAsia="Times New Roman" w:hAnsi="IBM Plex Sans"/>
                  <w:color w:val="000000"/>
                  <w:sz w:val="20"/>
                  <w:szCs w:val="20"/>
                  <w:u w:val="none"/>
                </w:rPr>
                <w:t>Report of Independent Registered Public Accounting Firm on the Effectiveness of Internal Control Over Financial Reporting</w:t>
              </w:r>
            </w:hyperlink>
          </w:p>
        </w:tc>
        <w:tc>
          <w:tcPr>
            <w:tcW w:w="0" w:type="auto"/>
            <w:gridSpan w:val="3"/>
            <w:tcMar>
              <w:top w:w="30" w:type="dxa"/>
              <w:left w:w="20" w:type="dxa"/>
              <w:bottom w:w="30" w:type="dxa"/>
              <w:right w:w="20" w:type="dxa"/>
            </w:tcMar>
            <w:vAlign w:val="bottom"/>
            <w:hideMark/>
          </w:tcPr>
          <w:p w:rsidR="00000000" w:rsidRDefault="00F5481A">
            <w:pPr>
              <w:spacing w:after="100"/>
              <w:jc w:val="right"/>
              <w:rPr>
                <w:rFonts w:eastAsia="Times New Roman"/>
              </w:rPr>
            </w:pPr>
            <w:hyperlink w:anchor="iefe78000fcc84d7eb9dad62280c74976_76" w:history="1">
              <w:r>
                <w:rPr>
                  <w:rStyle w:val="a3"/>
                  <w:rFonts w:ascii="IBM Plex Sans" w:eastAsia="Times New Roman" w:hAnsi="IBM Plex Sans"/>
                  <w:color w:val="000000"/>
                  <w:sz w:val="20"/>
                  <w:szCs w:val="20"/>
                  <w:u w:val="none"/>
                </w:rPr>
                <w:t>59</w:t>
              </w:r>
            </w:hyperlink>
          </w:p>
        </w:tc>
      </w:tr>
      <w:tr w:rsidR="00000000">
        <w:trPr>
          <w:divId w:val="256720751"/>
        </w:trPr>
        <w:tc>
          <w:tcPr>
            <w:tcW w:w="0" w:type="auto"/>
            <w:gridSpan w:val="3"/>
            <w:tcMar>
              <w:top w:w="30" w:type="dxa"/>
              <w:left w:w="20" w:type="dxa"/>
              <w:bottom w:w="30" w:type="dxa"/>
              <w:right w:w="20" w:type="dxa"/>
            </w:tcMar>
            <w:hideMark/>
          </w:tcPr>
          <w:p w:rsidR="00000000" w:rsidRDefault="00F5481A">
            <w:pPr>
              <w:spacing w:after="100"/>
              <w:ind w:hanging="270"/>
              <w:divId w:val="4597125"/>
              <w:rPr>
                <w:rFonts w:eastAsia="Times New Roman"/>
              </w:rPr>
            </w:pPr>
            <w:hyperlink w:anchor="iefe78000fcc84d7eb9dad62280c74976_79" w:history="1">
              <w:r>
                <w:rPr>
                  <w:rStyle w:val="a3"/>
                  <w:rFonts w:ascii="IBM Plex Sans" w:eastAsia="Times New Roman" w:hAnsi="IBM Plex Sans"/>
                  <w:color w:val="000000"/>
                  <w:sz w:val="20"/>
                  <w:szCs w:val="20"/>
                  <w:u w:val="none"/>
                </w:rPr>
                <w:t>Consolidated Statement of Operations — Fiscal Yea</w:t>
              </w:r>
            </w:hyperlink>
            <w:hyperlink w:anchor="iefe78000fcc84d7eb9dad62280c74976_79" w:history="1">
              <w:r>
                <w:rPr>
                  <w:rStyle w:val="a3"/>
                  <w:rFonts w:ascii="IBM Plex Sans" w:eastAsia="Times New Roman" w:hAnsi="IBM Plex Sans"/>
                  <w:color w:val="000000"/>
                  <w:sz w:val="20"/>
                  <w:szCs w:val="20"/>
                  <w:u w:val="none"/>
                </w:rPr>
                <w:t>r</w:t>
              </w:r>
            </w:hyperlink>
            <w:hyperlink w:anchor="iefe78000fcc84d7eb9dad62280c74976_79" w:history="1">
              <w:r>
                <w:rPr>
                  <w:rStyle w:val="a3"/>
                  <w:rFonts w:ascii="IBM Plex Sans" w:eastAsia="Times New Roman" w:hAnsi="IBM Plex Sans"/>
                  <w:color w:val="000000"/>
                  <w:sz w:val="20"/>
                  <w:szCs w:val="20"/>
                  <w:u w:val="none"/>
                </w:rPr>
                <w:t>s</w:t>
              </w:r>
            </w:hyperlink>
            <w:hyperlink w:anchor="iefe78000fcc84d7eb9dad62280c74976_79" w:history="1">
              <w:r>
                <w:rPr>
                  <w:rStyle w:val="a3"/>
                  <w:rFonts w:ascii="IBM Plex Sans" w:eastAsia="Times New Roman" w:hAnsi="IBM Plex Sans"/>
                  <w:color w:val="000000"/>
                  <w:sz w:val="20"/>
                  <w:szCs w:val="20"/>
                  <w:u w:val="none"/>
                </w:rPr>
                <w:t xml:space="preserve"> Ended </w:t>
              </w:r>
            </w:hyperlink>
            <w:r>
              <w:rPr>
                <w:rFonts w:ascii="IBM Plex Sans" w:eastAsia="Times New Roman" w:hAnsi="IBM Plex Sans"/>
                <w:color w:val="000000"/>
                <w:sz w:val="20"/>
                <w:szCs w:val="20"/>
              </w:rPr>
              <w:t>December 30, 2022,</w:t>
            </w:r>
            <w:hyperlink w:anchor="iefe78000fcc84d7eb9dad62280c74976_79" w:history="1">
              <w:r>
                <w:rPr>
                  <w:rStyle w:val="a3"/>
                  <w:rFonts w:ascii="IBM Plex Sans" w:eastAsia="Times New Roman" w:hAnsi="IBM Plex Sans"/>
                  <w:color w:val="000000"/>
                  <w:sz w:val="20"/>
                  <w:szCs w:val="20"/>
                  <w:u w:val="none"/>
                </w:rPr>
                <w:t xml:space="preserve"> </w:t>
              </w:r>
            </w:hyperlink>
            <w:r>
              <w:rPr>
                <w:rFonts w:ascii="IBM Plex Sans" w:eastAsia="Times New Roman" w:hAnsi="IBM Plex Sans"/>
                <w:color w:val="000000"/>
                <w:sz w:val="20"/>
                <w:szCs w:val="20"/>
              </w:rPr>
              <w:t>December 31, 2021 and</w:t>
            </w:r>
            <w:hyperlink w:anchor="iefe78000fcc84d7eb9dad62280c74976_79" w:history="1">
              <w:r>
                <w:rPr>
                  <w:rStyle w:val="a3"/>
                  <w:rFonts w:ascii="IBM Plex Sans" w:eastAsia="Times New Roman" w:hAnsi="IBM Plex Sans"/>
                  <w:color w:val="000000"/>
                  <w:sz w:val="20"/>
                  <w:szCs w:val="20"/>
                  <w:u w:val="none"/>
                </w:rPr>
                <w:t xml:space="preserve"> </w:t>
              </w:r>
            </w:hyperlink>
            <w:r>
              <w:rPr>
                <w:rFonts w:ascii="IBM Plex Sans" w:eastAsia="Times New Roman" w:hAnsi="IBM Plex Sans"/>
                <w:color w:val="000000"/>
                <w:sz w:val="20"/>
                <w:szCs w:val="20"/>
              </w:rPr>
              <w:t>January 1, 2021</w:t>
            </w:r>
          </w:p>
        </w:tc>
        <w:tc>
          <w:tcPr>
            <w:tcW w:w="0" w:type="auto"/>
            <w:gridSpan w:val="3"/>
            <w:tcMar>
              <w:top w:w="30" w:type="dxa"/>
              <w:left w:w="20" w:type="dxa"/>
              <w:bottom w:w="30" w:type="dxa"/>
              <w:right w:w="20" w:type="dxa"/>
            </w:tcMar>
            <w:vAlign w:val="bottom"/>
            <w:hideMark/>
          </w:tcPr>
          <w:p w:rsidR="00000000" w:rsidRDefault="00F5481A">
            <w:pPr>
              <w:spacing w:after="100"/>
              <w:jc w:val="right"/>
              <w:rPr>
                <w:rFonts w:eastAsia="Times New Roman"/>
              </w:rPr>
            </w:pPr>
            <w:hyperlink w:anchor="iefe78000fcc84d7eb9dad62280c74976_79" w:history="1">
              <w:r>
                <w:rPr>
                  <w:rStyle w:val="a3"/>
                  <w:rFonts w:ascii="IBM Plex Sans" w:eastAsia="Times New Roman" w:hAnsi="IBM Plex Sans"/>
                  <w:color w:val="000000"/>
                  <w:sz w:val="20"/>
                  <w:szCs w:val="20"/>
                  <w:u w:val="none"/>
                </w:rPr>
                <w:t>60</w:t>
              </w:r>
            </w:hyperlink>
          </w:p>
        </w:tc>
      </w:tr>
      <w:tr w:rsidR="00000000">
        <w:trPr>
          <w:divId w:val="256720751"/>
        </w:trPr>
        <w:tc>
          <w:tcPr>
            <w:tcW w:w="0" w:type="auto"/>
            <w:gridSpan w:val="3"/>
            <w:tcMar>
              <w:top w:w="30" w:type="dxa"/>
              <w:left w:w="20" w:type="dxa"/>
              <w:bottom w:w="30" w:type="dxa"/>
              <w:right w:w="20" w:type="dxa"/>
            </w:tcMar>
            <w:hideMark/>
          </w:tcPr>
          <w:p w:rsidR="00000000" w:rsidRDefault="00F5481A">
            <w:pPr>
              <w:spacing w:after="100"/>
              <w:ind w:hanging="270"/>
              <w:divId w:val="2137602316"/>
              <w:rPr>
                <w:rFonts w:eastAsia="Times New Roman"/>
              </w:rPr>
            </w:pPr>
            <w:hyperlink w:anchor="iefe78000fcc84d7eb9dad62280c74976_82" w:history="1">
              <w:r>
                <w:rPr>
                  <w:rStyle w:val="a3"/>
                  <w:rFonts w:ascii="IBM Plex Sans" w:eastAsia="Times New Roman" w:hAnsi="IBM Plex Sans"/>
                  <w:color w:val="000000"/>
                  <w:sz w:val="20"/>
                  <w:szCs w:val="20"/>
                  <w:u w:val="none"/>
                </w:rPr>
                <w:t xml:space="preserve">Consolidated Statement of Comprehensive Income — </w:t>
              </w:r>
            </w:hyperlink>
            <w:hyperlink w:anchor="iefe78000fcc84d7eb9dad62280c74976_79" w:history="1">
              <w:r>
                <w:rPr>
                  <w:rStyle w:val="a3"/>
                  <w:rFonts w:ascii="IBM Plex Sans" w:eastAsia="Times New Roman" w:hAnsi="IBM Plex Sans"/>
                  <w:color w:val="000000"/>
                  <w:sz w:val="20"/>
                  <w:szCs w:val="20"/>
                  <w:u w:val="none"/>
                </w:rPr>
                <w:t>Fiscal Year</w:t>
              </w:r>
            </w:hyperlink>
            <w:hyperlink w:anchor="iefe78000fcc84d7eb9dad62280c74976_79" w:history="1">
              <w:r>
                <w:rPr>
                  <w:rStyle w:val="a3"/>
                  <w:rFonts w:ascii="IBM Plex Sans" w:eastAsia="Times New Roman" w:hAnsi="IBM Plex Sans"/>
                  <w:color w:val="000000"/>
                  <w:sz w:val="20"/>
                  <w:szCs w:val="20"/>
                  <w:u w:val="none"/>
                </w:rPr>
                <w:t>s</w:t>
              </w:r>
            </w:hyperlink>
            <w:hyperlink w:anchor="iefe78000fcc84d7eb9dad62280c74976_79" w:history="1">
              <w:r>
                <w:rPr>
                  <w:rStyle w:val="a3"/>
                  <w:rFonts w:ascii="IBM Plex Sans" w:eastAsia="Times New Roman" w:hAnsi="IBM Plex Sans"/>
                  <w:color w:val="000000"/>
                  <w:sz w:val="20"/>
                  <w:szCs w:val="20"/>
                  <w:u w:val="none"/>
                </w:rPr>
                <w:t xml:space="preserve"> Ended </w:t>
              </w:r>
            </w:hyperlink>
            <w:r>
              <w:rPr>
                <w:rFonts w:ascii="IBM Plex Sans" w:eastAsia="Times New Roman" w:hAnsi="IBM Plex Sans"/>
                <w:color w:val="000000"/>
                <w:sz w:val="20"/>
                <w:szCs w:val="20"/>
              </w:rPr>
              <w:t>December 30, 2022,</w:t>
            </w:r>
            <w:hyperlink w:anchor="iefe78000fcc84d7eb9dad62280c74976_79" w:history="1">
              <w:r>
                <w:rPr>
                  <w:rStyle w:val="a3"/>
                  <w:rFonts w:ascii="IBM Plex Sans" w:eastAsia="Times New Roman" w:hAnsi="IBM Plex Sans"/>
                  <w:color w:val="000000"/>
                  <w:sz w:val="20"/>
                  <w:szCs w:val="20"/>
                  <w:u w:val="none"/>
                </w:rPr>
                <w:t xml:space="preserve"> </w:t>
              </w:r>
            </w:hyperlink>
            <w:r>
              <w:rPr>
                <w:rFonts w:ascii="IBM Plex Sans" w:eastAsia="Times New Roman" w:hAnsi="IBM Plex Sans"/>
                <w:color w:val="000000"/>
                <w:sz w:val="20"/>
                <w:szCs w:val="20"/>
              </w:rPr>
              <w:t xml:space="preserve">December 31, 2021 and January 1, 2021 </w:t>
            </w:r>
          </w:p>
        </w:tc>
        <w:tc>
          <w:tcPr>
            <w:tcW w:w="0" w:type="auto"/>
            <w:gridSpan w:val="3"/>
            <w:tcMar>
              <w:top w:w="30" w:type="dxa"/>
              <w:left w:w="20" w:type="dxa"/>
              <w:bottom w:w="30" w:type="dxa"/>
              <w:right w:w="20" w:type="dxa"/>
            </w:tcMar>
            <w:vAlign w:val="bottom"/>
            <w:hideMark/>
          </w:tcPr>
          <w:p w:rsidR="00000000" w:rsidRDefault="00F5481A">
            <w:pPr>
              <w:spacing w:after="100"/>
              <w:jc w:val="right"/>
              <w:rPr>
                <w:rFonts w:eastAsia="Times New Roman"/>
              </w:rPr>
            </w:pPr>
            <w:hyperlink w:anchor="iefe78000fcc84d7eb9dad62280c74976_82" w:history="1">
              <w:r>
                <w:rPr>
                  <w:rStyle w:val="a3"/>
                  <w:rFonts w:ascii="IBM Plex Sans" w:eastAsia="Times New Roman" w:hAnsi="IBM Plex Sans"/>
                  <w:color w:val="000000"/>
                  <w:sz w:val="20"/>
                  <w:szCs w:val="20"/>
                  <w:u w:val="none"/>
                </w:rPr>
                <w:t>61</w:t>
              </w:r>
            </w:hyperlink>
          </w:p>
        </w:tc>
      </w:tr>
      <w:tr w:rsidR="00000000">
        <w:trPr>
          <w:divId w:val="256720751"/>
        </w:trPr>
        <w:tc>
          <w:tcPr>
            <w:tcW w:w="0" w:type="auto"/>
            <w:gridSpan w:val="3"/>
            <w:tcMar>
              <w:top w:w="30" w:type="dxa"/>
              <w:left w:w="20" w:type="dxa"/>
              <w:bottom w:w="30" w:type="dxa"/>
              <w:right w:w="20" w:type="dxa"/>
            </w:tcMar>
            <w:hideMark/>
          </w:tcPr>
          <w:p w:rsidR="00000000" w:rsidRDefault="00F5481A">
            <w:pPr>
              <w:spacing w:after="100"/>
              <w:divId w:val="689842975"/>
              <w:rPr>
                <w:rFonts w:eastAsia="Times New Roman"/>
              </w:rPr>
            </w:pPr>
            <w:hyperlink w:anchor="iefe78000fcc84d7eb9dad62280c74976_85" w:history="1">
              <w:r>
                <w:rPr>
                  <w:rStyle w:val="a3"/>
                  <w:rFonts w:ascii="IBM Plex Sans" w:eastAsia="Times New Roman" w:hAnsi="IBM Plex Sans"/>
                  <w:color w:val="000000"/>
                  <w:sz w:val="20"/>
                  <w:szCs w:val="20"/>
                  <w:u w:val="none"/>
                </w:rPr>
                <w:t>Consolidated Balance Sheet —</w:t>
              </w:r>
            </w:hyperlink>
            <w:r>
              <w:rPr>
                <w:rFonts w:ascii="IBM Plex Sans" w:eastAsia="Times New Roman" w:hAnsi="IBM Plex Sans"/>
                <w:color w:val="283030"/>
                <w:sz w:val="20"/>
                <w:szCs w:val="20"/>
              </w:rPr>
              <w:t xml:space="preserve"> </w:t>
            </w:r>
            <w:r>
              <w:rPr>
                <w:rFonts w:ascii="IBM Plex Sans" w:eastAsia="Times New Roman" w:hAnsi="IBM Plex Sans"/>
                <w:color w:val="000000"/>
                <w:sz w:val="20"/>
                <w:szCs w:val="20"/>
              </w:rPr>
              <w:t>December 30, 2022</w:t>
            </w:r>
            <w:r>
              <w:rPr>
                <w:rFonts w:ascii="IBM Plex Sans" w:eastAsia="Times New Roman" w:hAnsi="IBM Plex Sans"/>
                <w:color w:val="283030"/>
                <w:sz w:val="20"/>
                <w:szCs w:val="20"/>
              </w:rPr>
              <w:t xml:space="preserve"> and </w:t>
            </w:r>
            <w:r>
              <w:rPr>
                <w:rFonts w:ascii="IBM Plex Sans" w:eastAsia="Times New Roman" w:hAnsi="IBM Plex Sans"/>
                <w:color w:val="000000"/>
                <w:sz w:val="20"/>
                <w:szCs w:val="20"/>
              </w:rPr>
              <w:t xml:space="preserve">December 31, 2021 </w:t>
            </w:r>
          </w:p>
        </w:tc>
        <w:tc>
          <w:tcPr>
            <w:tcW w:w="0" w:type="auto"/>
            <w:gridSpan w:val="3"/>
            <w:tcMar>
              <w:top w:w="30" w:type="dxa"/>
              <w:left w:w="20" w:type="dxa"/>
              <w:bottom w:w="30" w:type="dxa"/>
              <w:right w:w="20" w:type="dxa"/>
            </w:tcMar>
            <w:vAlign w:val="bottom"/>
            <w:hideMark/>
          </w:tcPr>
          <w:p w:rsidR="00000000" w:rsidRDefault="00F5481A">
            <w:pPr>
              <w:spacing w:after="100"/>
              <w:jc w:val="right"/>
              <w:rPr>
                <w:rFonts w:eastAsia="Times New Roman"/>
              </w:rPr>
            </w:pPr>
            <w:hyperlink w:anchor="iefe78000fcc84d7eb9dad62280c74976_85" w:history="1">
              <w:r>
                <w:rPr>
                  <w:rStyle w:val="a3"/>
                  <w:rFonts w:ascii="IBM Plex Sans" w:eastAsia="Times New Roman" w:hAnsi="IBM Plex Sans"/>
                  <w:color w:val="000000"/>
                  <w:sz w:val="20"/>
                  <w:szCs w:val="20"/>
                  <w:u w:val="none"/>
                </w:rPr>
                <w:t>62</w:t>
              </w:r>
            </w:hyperlink>
          </w:p>
        </w:tc>
      </w:tr>
      <w:tr w:rsidR="00000000">
        <w:trPr>
          <w:divId w:val="256720751"/>
        </w:trPr>
        <w:tc>
          <w:tcPr>
            <w:tcW w:w="0" w:type="auto"/>
            <w:gridSpan w:val="3"/>
            <w:tcMar>
              <w:top w:w="30" w:type="dxa"/>
              <w:left w:w="20" w:type="dxa"/>
              <w:bottom w:w="30" w:type="dxa"/>
              <w:right w:w="20" w:type="dxa"/>
            </w:tcMar>
            <w:hideMark/>
          </w:tcPr>
          <w:p w:rsidR="00000000" w:rsidRDefault="00F5481A">
            <w:pPr>
              <w:spacing w:after="100"/>
              <w:ind w:hanging="270"/>
              <w:divId w:val="1253318918"/>
              <w:rPr>
                <w:rFonts w:eastAsia="Times New Roman"/>
              </w:rPr>
            </w:pPr>
            <w:hyperlink w:anchor="iefe78000fcc84d7eb9dad62280c74976_88" w:history="1">
              <w:r>
                <w:rPr>
                  <w:rStyle w:val="a3"/>
                  <w:rFonts w:ascii="IBM Plex Sans" w:eastAsia="Times New Roman" w:hAnsi="IBM Plex Sans"/>
                  <w:color w:val="000000"/>
                  <w:sz w:val="20"/>
                  <w:szCs w:val="20"/>
                  <w:u w:val="none"/>
                </w:rPr>
                <w:t xml:space="preserve">Consolidated Statement of Cash Flows — </w:t>
              </w:r>
            </w:hyperlink>
            <w:hyperlink w:anchor="iefe78000fcc84d7eb9dad62280c74976_79" w:history="1">
              <w:r>
                <w:rPr>
                  <w:rStyle w:val="a3"/>
                  <w:rFonts w:ascii="IBM Plex Sans" w:eastAsia="Times New Roman" w:hAnsi="IBM Plex Sans"/>
                  <w:color w:val="000000"/>
                  <w:sz w:val="20"/>
                  <w:szCs w:val="20"/>
                  <w:u w:val="none"/>
                </w:rPr>
                <w:t>Fiscal Year</w:t>
              </w:r>
            </w:hyperlink>
            <w:hyperlink w:anchor="iefe78000fcc84d7eb9dad62280c74976_79" w:history="1">
              <w:r>
                <w:rPr>
                  <w:rStyle w:val="a3"/>
                  <w:rFonts w:ascii="IBM Plex Sans" w:eastAsia="Times New Roman" w:hAnsi="IBM Plex Sans"/>
                  <w:color w:val="000000"/>
                  <w:sz w:val="20"/>
                  <w:szCs w:val="20"/>
                  <w:u w:val="none"/>
                </w:rPr>
                <w:t>s</w:t>
              </w:r>
            </w:hyperlink>
            <w:hyperlink w:anchor="iefe78000fcc84d7eb9dad62280c74976_79" w:history="1">
              <w:r>
                <w:rPr>
                  <w:rStyle w:val="a3"/>
                  <w:rFonts w:ascii="IBM Plex Sans" w:eastAsia="Times New Roman" w:hAnsi="IBM Plex Sans"/>
                  <w:color w:val="000000"/>
                  <w:sz w:val="20"/>
                  <w:szCs w:val="20"/>
                  <w:u w:val="none"/>
                </w:rPr>
                <w:t xml:space="preserve"> Ended </w:t>
              </w:r>
            </w:hyperlink>
            <w:r>
              <w:rPr>
                <w:rFonts w:ascii="IBM Plex Sans" w:eastAsia="Times New Roman" w:hAnsi="IBM Plex Sans"/>
                <w:color w:val="000000"/>
                <w:sz w:val="20"/>
                <w:szCs w:val="20"/>
              </w:rPr>
              <w:t>December 30, 2022, December 31, 2021 and January 1, 2021</w:t>
            </w:r>
            <w:hyperlink w:anchor="iefe78000fcc84d7eb9dad62280c74976_79" w:history="1">
              <w:r>
                <w:rPr>
                  <w:rStyle w:val="a3"/>
                  <w:rFonts w:ascii="IBM Plex Sans" w:eastAsia="Times New Roman" w:hAnsi="IBM Plex Sans"/>
                  <w:color w:val="000000"/>
                  <w:sz w:val="20"/>
                  <w:szCs w:val="20"/>
                  <w:u w:val="none"/>
                </w:rPr>
                <w:t xml:space="preserve"> </w:t>
              </w:r>
            </w:hyperlink>
          </w:p>
        </w:tc>
        <w:tc>
          <w:tcPr>
            <w:tcW w:w="0" w:type="auto"/>
            <w:gridSpan w:val="3"/>
            <w:tcMar>
              <w:top w:w="30" w:type="dxa"/>
              <w:left w:w="20" w:type="dxa"/>
              <w:bottom w:w="30" w:type="dxa"/>
              <w:right w:w="20" w:type="dxa"/>
            </w:tcMar>
            <w:vAlign w:val="bottom"/>
            <w:hideMark/>
          </w:tcPr>
          <w:p w:rsidR="00000000" w:rsidRDefault="00F5481A">
            <w:pPr>
              <w:spacing w:after="100"/>
              <w:jc w:val="right"/>
              <w:rPr>
                <w:rFonts w:eastAsia="Times New Roman"/>
              </w:rPr>
            </w:pPr>
            <w:hyperlink w:anchor="iefe78000fcc84d7eb9dad62280c74976_88" w:history="1">
              <w:r>
                <w:rPr>
                  <w:rStyle w:val="a3"/>
                  <w:rFonts w:ascii="IBM Plex Sans" w:eastAsia="Times New Roman" w:hAnsi="IBM Plex Sans"/>
                  <w:color w:val="000000"/>
                  <w:sz w:val="20"/>
                  <w:szCs w:val="20"/>
                  <w:u w:val="none"/>
                </w:rPr>
                <w:t>63</w:t>
              </w:r>
            </w:hyperlink>
          </w:p>
        </w:tc>
      </w:tr>
      <w:tr w:rsidR="00000000">
        <w:trPr>
          <w:divId w:val="256720751"/>
        </w:trPr>
        <w:tc>
          <w:tcPr>
            <w:tcW w:w="0" w:type="auto"/>
            <w:gridSpan w:val="3"/>
            <w:tcMar>
              <w:top w:w="30" w:type="dxa"/>
              <w:left w:w="20" w:type="dxa"/>
              <w:bottom w:w="30" w:type="dxa"/>
              <w:right w:w="20" w:type="dxa"/>
            </w:tcMar>
            <w:hideMark/>
          </w:tcPr>
          <w:p w:rsidR="00000000" w:rsidRDefault="00F5481A">
            <w:pPr>
              <w:spacing w:after="100"/>
              <w:ind w:hanging="270"/>
              <w:divId w:val="1666207080"/>
              <w:rPr>
                <w:rFonts w:eastAsia="Times New Roman"/>
              </w:rPr>
            </w:pPr>
            <w:hyperlink w:anchor="iefe78000fcc84d7eb9dad62280c74976_91" w:history="1">
              <w:r>
                <w:rPr>
                  <w:rStyle w:val="a3"/>
                  <w:rFonts w:ascii="IBM Plex Sans" w:eastAsia="Times New Roman" w:hAnsi="IBM Plex Sans"/>
                  <w:color w:val="000000"/>
                  <w:sz w:val="20"/>
                  <w:szCs w:val="20"/>
                  <w:u w:val="none"/>
                </w:rPr>
                <w:t xml:space="preserve">Consolidated Statement of Equity — </w:t>
              </w:r>
            </w:hyperlink>
            <w:hyperlink w:anchor="iefe78000fcc84d7eb9dad62280c74976_79" w:history="1">
              <w:r>
                <w:rPr>
                  <w:rStyle w:val="a3"/>
                  <w:rFonts w:ascii="IBM Plex Sans" w:eastAsia="Times New Roman" w:hAnsi="IBM Plex Sans"/>
                  <w:color w:val="000000"/>
                  <w:sz w:val="20"/>
                  <w:szCs w:val="20"/>
                  <w:u w:val="none"/>
                </w:rPr>
                <w:t>Fiscal Year</w:t>
              </w:r>
            </w:hyperlink>
            <w:hyperlink w:anchor="iefe78000fcc84d7eb9dad62280c74976_79" w:history="1">
              <w:r>
                <w:rPr>
                  <w:rStyle w:val="a3"/>
                  <w:rFonts w:ascii="IBM Plex Sans" w:eastAsia="Times New Roman" w:hAnsi="IBM Plex Sans"/>
                  <w:color w:val="000000"/>
                  <w:sz w:val="20"/>
                  <w:szCs w:val="20"/>
                  <w:u w:val="none"/>
                </w:rPr>
                <w:t>s</w:t>
              </w:r>
            </w:hyperlink>
            <w:hyperlink w:anchor="iefe78000fcc84d7eb9dad62280c74976_79" w:history="1">
              <w:r>
                <w:rPr>
                  <w:rStyle w:val="a3"/>
                  <w:rFonts w:ascii="IBM Plex Sans" w:eastAsia="Times New Roman" w:hAnsi="IBM Plex Sans"/>
                  <w:color w:val="000000"/>
                  <w:sz w:val="20"/>
                  <w:szCs w:val="20"/>
                  <w:u w:val="none"/>
                </w:rPr>
                <w:t xml:space="preserve"> Ended </w:t>
              </w:r>
            </w:hyperlink>
            <w:r>
              <w:rPr>
                <w:rFonts w:ascii="IBM Plex Sans" w:eastAsia="Times New Roman" w:hAnsi="IBM Plex Sans"/>
                <w:color w:val="000000"/>
                <w:sz w:val="20"/>
                <w:szCs w:val="20"/>
              </w:rPr>
              <w:t>December 30, 2022,</w:t>
            </w:r>
            <w:hyperlink w:anchor="iefe78000fcc84d7eb9dad62280c74976_79" w:history="1">
              <w:r>
                <w:rPr>
                  <w:rStyle w:val="a3"/>
                  <w:rFonts w:ascii="IBM Plex Sans" w:eastAsia="Times New Roman" w:hAnsi="IBM Plex Sans"/>
                  <w:color w:val="000000"/>
                  <w:sz w:val="20"/>
                  <w:szCs w:val="20"/>
                  <w:u w:val="none"/>
                </w:rPr>
                <w:t xml:space="preserve"> </w:t>
              </w:r>
            </w:hyperlink>
            <w:r>
              <w:rPr>
                <w:rFonts w:ascii="IBM Plex Sans" w:eastAsia="Times New Roman" w:hAnsi="IBM Plex Sans"/>
                <w:color w:val="000000"/>
                <w:sz w:val="20"/>
                <w:szCs w:val="20"/>
              </w:rPr>
              <w:t xml:space="preserve">December 31, 2021 and January 1, 2021 </w:t>
            </w:r>
          </w:p>
        </w:tc>
        <w:tc>
          <w:tcPr>
            <w:tcW w:w="0" w:type="auto"/>
            <w:gridSpan w:val="3"/>
            <w:tcMar>
              <w:top w:w="30" w:type="dxa"/>
              <w:left w:w="20" w:type="dxa"/>
              <w:bottom w:w="30" w:type="dxa"/>
              <w:right w:w="20" w:type="dxa"/>
            </w:tcMar>
            <w:vAlign w:val="bottom"/>
            <w:hideMark/>
          </w:tcPr>
          <w:p w:rsidR="00000000" w:rsidRDefault="00F5481A">
            <w:pPr>
              <w:spacing w:after="100"/>
              <w:jc w:val="right"/>
              <w:rPr>
                <w:rFonts w:eastAsia="Times New Roman"/>
              </w:rPr>
            </w:pPr>
            <w:hyperlink w:anchor="iefe78000fcc84d7eb9dad62280c74976_91" w:history="1">
              <w:r>
                <w:rPr>
                  <w:rStyle w:val="a3"/>
                  <w:rFonts w:ascii="IBM Plex Sans" w:eastAsia="Times New Roman" w:hAnsi="IBM Plex Sans"/>
                  <w:color w:val="000000"/>
                  <w:sz w:val="20"/>
                  <w:szCs w:val="20"/>
                  <w:u w:val="none"/>
                </w:rPr>
                <w:t>64</w:t>
              </w:r>
            </w:hyperlink>
          </w:p>
        </w:tc>
      </w:tr>
      <w:tr w:rsidR="00000000">
        <w:trPr>
          <w:divId w:val="256720751"/>
        </w:trPr>
        <w:tc>
          <w:tcPr>
            <w:tcW w:w="0" w:type="auto"/>
            <w:gridSpan w:val="3"/>
            <w:tcMar>
              <w:top w:w="30" w:type="dxa"/>
              <w:left w:w="20" w:type="dxa"/>
              <w:bottom w:w="30" w:type="dxa"/>
              <w:right w:w="20" w:type="dxa"/>
            </w:tcMar>
            <w:hideMark/>
          </w:tcPr>
          <w:p w:rsidR="00000000" w:rsidRDefault="00F5481A">
            <w:pPr>
              <w:spacing w:after="100"/>
              <w:divId w:val="472716527"/>
              <w:rPr>
                <w:rFonts w:eastAsia="Times New Roman"/>
              </w:rPr>
            </w:pPr>
            <w:hyperlink w:anchor="iefe78000fcc84d7eb9dad62280c74976_94" w:history="1">
              <w:r>
                <w:rPr>
                  <w:rStyle w:val="a3"/>
                  <w:rFonts w:ascii="IBM Plex Sans" w:eastAsia="Times New Roman" w:hAnsi="IBM Plex Sans"/>
                  <w:color w:val="000000"/>
                  <w:sz w:val="20"/>
                  <w:szCs w:val="20"/>
                  <w:u w:val="none"/>
                </w:rPr>
                <w:t>Notes to Consolidated Financial Statements</w:t>
              </w:r>
            </w:hyperlink>
          </w:p>
        </w:tc>
        <w:tc>
          <w:tcPr>
            <w:tcW w:w="0" w:type="auto"/>
            <w:gridSpan w:val="3"/>
            <w:tcMar>
              <w:top w:w="30" w:type="dxa"/>
              <w:left w:w="20" w:type="dxa"/>
              <w:bottom w:w="30" w:type="dxa"/>
              <w:right w:w="20" w:type="dxa"/>
            </w:tcMar>
            <w:vAlign w:val="bottom"/>
            <w:hideMark/>
          </w:tcPr>
          <w:p w:rsidR="00000000" w:rsidRDefault="00F5481A">
            <w:pPr>
              <w:spacing w:after="100"/>
              <w:jc w:val="right"/>
              <w:rPr>
                <w:rFonts w:eastAsia="Times New Roman"/>
              </w:rPr>
            </w:pPr>
            <w:hyperlink w:anchor="iefe78000fcc84d7eb9dad62280c74976_94" w:history="1">
              <w:r>
                <w:rPr>
                  <w:rStyle w:val="a3"/>
                  <w:rFonts w:ascii="IBM Plex Sans" w:eastAsia="Times New Roman" w:hAnsi="IBM Plex Sans"/>
                  <w:color w:val="000000"/>
                  <w:sz w:val="20"/>
                  <w:szCs w:val="20"/>
                  <w:u w:val="none"/>
                </w:rPr>
                <w:t>65</w:t>
              </w:r>
            </w:hyperlink>
          </w:p>
        </w:tc>
      </w:tr>
      <w:tr w:rsidR="00000000">
        <w:trPr>
          <w:divId w:val="256720751"/>
        </w:trPr>
        <w:tc>
          <w:tcPr>
            <w:tcW w:w="0" w:type="auto"/>
            <w:gridSpan w:val="3"/>
            <w:tcMar>
              <w:top w:w="30" w:type="dxa"/>
              <w:left w:w="155" w:type="dxa"/>
              <w:bottom w:w="30" w:type="dxa"/>
              <w:right w:w="20" w:type="dxa"/>
            </w:tcMar>
            <w:hideMark/>
          </w:tcPr>
          <w:p w:rsidR="00000000" w:rsidRDefault="00F5481A">
            <w:pPr>
              <w:spacing w:after="100"/>
              <w:rPr>
                <w:rFonts w:eastAsia="Times New Roman"/>
              </w:rPr>
            </w:pPr>
            <w:r>
              <w:rPr>
                <w:rFonts w:ascii="IBM Plex Sans" w:eastAsia="Times New Roman" w:hAnsi="IBM Plex Sans"/>
                <w:b/>
                <w:bCs/>
                <w:color w:val="283030"/>
                <w:sz w:val="20"/>
                <w:szCs w:val="20"/>
              </w:rPr>
              <w:t>(2)    Financial Statement Schedules:</w:t>
            </w: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r>
      <w:tr w:rsidR="00000000">
        <w:trPr>
          <w:divId w:val="256720751"/>
        </w:trPr>
        <w:tc>
          <w:tcPr>
            <w:tcW w:w="0" w:type="auto"/>
            <w:gridSpan w:val="3"/>
            <w:tcMar>
              <w:top w:w="30" w:type="dxa"/>
              <w:left w:w="605"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All schedules are omitted because they are not applicable, the amounts are not significant or the required information is shown in the Consolidated Financial Statements or the Notes thereto.</w:t>
            </w: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r>
    </w:tbl>
    <w:p w:rsidR="00000000" w:rsidRDefault="00F5481A">
      <w:pPr>
        <w:ind w:firstLine="180"/>
        <w:divId w:val="727337966"/>
        <w:rPr>
          <w:rFonts w:eastAsia="Times New Roman"/>
        </w:rPr>
      </w:pPr>
      <w:r>
        <w:rPr>
          <w:rFonts w:ascii="IBM Plex Sans" w:eastAsia="Times New Roman" w:hAnsi="IBM Plex Sans"/>
          <w:b/>
          <w:bCs/>
          <w:color w:val="283030"/>
          <w:sz w:val="20"/>
          <w:szCs w:val="20"/>
        </w:rPr>
        <w:t>(3)</w:t>
      </w:r>
      <w:r>
        <w:rPr>
          <w:rFonts w:ascii="IBM Plex Sans" w:eastAsia="Times New Roman" w:hAnsi="IBM Plex Sans"/>
          <w:b/>
          <w:bCs/>
          <w:color w:val="016676"/>
          <w:sz w:val="20"/>
          <w:szCs w:val="20"/>
        </w:rPr>
        <w:t>   </w:t>
      </w:r>
      <w:r>
        <w:rPr>
          <w:rFonts w:ascii="IBM Plex Sans" w:eastAsia="Times New Roman" w:hAnsi="IBM Plex Sans"/>
          <w:b/>
          <w:bCs/>
          <w:color w:val="283030"/>
          <w:sz w:val="20"/>
          <w:szCs w:val="20"/>
        </w:rPr>
        <w:t> Exhibits:</w:t>
      </w:r>
      <w:r>
        <w:rPr>
          <w:rFonts w:ascii="IBM Plex Sans" w:eastAsia="Times New Roman" w:hAnsi="IBM Plex Sans"/>
          <w:b/>
          <w:bCs/>
          <w:color w:val="016676"/>
          <w:sz w:val="20"/>
          <w:szCs w:val="20"/>
        </w:rPr>
        <w:t xml:space="preserve"> </w:t>
      </w:r>
    </w:p>
    <w:p w:rsidR="00000000" w:rsidRDefault="00F5481A">
      <w:pPr>
        <w:ind w:firstLine="360"/>
        <w:divId w:val="228811522"/>
        <w:rPr>
          <w:rFonts w:eastAsia="Times New Roman"/>
        </w:rPr>
      </w:pPr>
      <w:r>
        <w:rPr>
          <w:rFonts w:ascii="IBM Plex Sans" w:eastAsia="Times New Roman" w:hAnsi="IBM Plex Sans"/>
          <w:color w:val="283030"/>
          <w:sz w:val="20"/>
          <w:szCs w:val="20"/>
        </w:rPr>
        <w:t>The following exhibits are filed herewith or are incorporated herein by reference to exhibits previously filed wit</w:t>
      </w:r>
      <w:r>
        <w:rPr>
          <w:rFonts w:ascii="IBM Plex Sans" w:eastAsia="Times New Roman" w:hAnsi="IBM Plex Sans"/>
          <w:color w:val="000000"/>
          <w:sz w:val="20"/>
          <w:szCs w:val="20"/>
        </w:rPr>
        <w:t>h the SEC:</w:t>
      </w:r>
    </w:p>
    <w:p w:rsidR="00000000" w:rsidRDefault="00F5481A">
      <w:pPr>
        <w:ind w:hanging="900"/>
        <w:divId w:val="1940597122"/>
        <w:rPr>
          <w:rFonts w:eastAsia="Times New Roman"/>
        </w:rPr>
      </w:pPr>
      <w:hyperlink r:id="rId9" w:history="1">
        <w:r>
          <w:rPr>
            <w:rStyle w:val="a3"/>
            <w:rFonts w:ascii="IBM Plex Sans" w:eastAsia="Times New Roman" w:hAnsi="IBM Plex Sans"/>
            <w:color w:val="016676"/>
            <w:sz w:val="20"/>
            <w:szCs w:val="20"/>
          </w:rPr>
          <w:t>***(2) Agreement and Plan o</w:t>
        </w:r>
        <w:r>
          <w:rPr>
            <w:rStyle w:val="a3"/>
            <w:rFonts w:ascii="IBM Plex Sans" w:eastAsia="Times New Roman" w:hAnsi="IBM Plex Sans"/>
            <w:color w:val="016676"/>
            <w:sz w:val="20"/>
            <w:szCs w:val="20"/>
          </w:rPr>
          <w:t>f Merger, dated as of December 17, 2022, by and among L3Harris Technologies, Inc., Aquila Merger Sub Inc. and Aerojet Rocketdyne Holdings, Inc., incorporated herein by reference to exhibit 2.1 to L3Harris Technologies, Inc.’s Current Report on Form 8-K fil</w:t>
        </w:r>
        <w:r>
          <w:rPr>
            <w:rStyle w:val="a3"/>
            <w:rFonts w:ascii="IBM Plex Sans" w:eastAsia="Times New Roman" w:hAnsi="IBM Plex Sans"/>
            <w:color w:val="016676"/>
            <w:sz w:val="20"/>
            <w:szCs w:val="20"/>
          </w:rPr>
          <w:t>ed with the SEC on December 19, 2022 (Commission File Number 1-3863)</w:t>
        </w:r>
      </w:hyperlink>
    </w:p>
    <w:p w:rsidR="00000000" w:rsidRDefault="00F5481A">
      <w:pPr>
        <w:ind w:hanging="900"/>
        <w:divId w:val="1646813798"/>
        <w:rPr>
          <w:rFonts w:eastAsia="Times New Roman"/>
        </w:rPr>
      </w:pPr>
      <w:hyperlink r:id="rId10" w:history="1">
        <w:r>
          <w:rPr>
            <w:rStyle w:val="a3"/>
            <w:rFonts w:ascii="IBM Plex Sans" w:eastAsia="Times New Roman" w:hAnsi="IBM Plex Sans"/>
            <w:color w:val="016676"/>
            <w:sz w:val="20"/>
            <w:szCs w:val="20"/>
          </w:rPr>
          <w:t xml:space="preserve">(3)(a) Restated Certificate of Incorporation of L3Harris Technologies, Inc. </w:t>
        </w:r>
        <w:r>
          <w:rPr>
            <w:rStyle w:val="a3"/>
            <w:rFonts w:ascii="IBM Plex Sans" w:eastAsia="Times New Roman" w:hAnsi="IBM Plex Sans"/>
            <w:color w:val="016676"/>
            <w:sz w:val="20"/>
            <w:szCs w:val="20"/>
          </w:rPr>
          <w:t>(1995), as amended, incorporated herein by reference to Exhibit 3(a) to the L3Harris Technologies, Inc.’s Quarterly Report on Form 10-Q filed with the SEC on July 29, 2022. (Commission File Number 1-3863)</w:t>
        </w:r>
      </w:hyperlink>
    </w:p>
    <w:p w:rsidR="00000000" w:rsidRDefault="00F5481A">
      <w:pPr>
        <w:ind w:hanging="900"/>
        <w:divId w:val="53434416"/>
        <w:rPr>
          <w:rFonts w:eastAsia="Times New Roman"/>
        </w:rPr>
      </w:pPr>
      <w:hyperlink r:id="rId11" w:history="1">
        <w:r>
          <w:rPr>
            <w:rStyle w:val="a3"/>
            <w:rFonts w:ascii="IBM Plex Sans" w:eastAsia="Times New Roman" w:hAnsi="IBM Plex Sans"/>
            <w:color w:val="016676"/>
            <w:sz w:val="20"/>
            <w:szCs w:val="20"/>
          </w:rPr>
          <w:t>(3)(b) By-Laws of L3Harris Technologies, Inc., as amended and restated effective December 8, 2022, incorporated herein by reference to Exhibit</w:t>
        </w:r>
        <w:r>
          <w:rPr>
            <w:rStyle w:val="a3"/>
            <w:rFonts w:ascii="IBM Plex Sans" w:eastAsia="Times New Roman" w:hAnsi="IBM Plex Sans"/>
            <w:color w:val="016676"/>
            <w:sz w:val="20"/>
            <w:szCs w:val="20"/>
          </w:rPr>
          <w:t xml:space="preserve"> 3(b) to the L3Harris Technologies, Inc.’s Current Report on Form 8-K filed with the SEC on December 13, 2022. (Commission File Number 1-3863)</w:t>
        </w:r>
      </w:hyperlink>
    </w:p>
    <w:p w:rsidR="00000000" w:rsidRDefault="00F5481A">
      <w:pPr>
        <w:ind w:hanging="900"/>
        <w:divId w:val="1214269235"/>
        <w:rPr>
          <w:rFonts w:eastAsia="Times New Roman"/>
        </w:rPr>
      </w:pPr>
      <w:hyperlink r:id="rId12" w:history="1">
        <w:r>
          <w:rPr>
            <w:rStyle w:val="a3"/>
            <w:rFonts w:ascii="IBM Plex Sans" w:eastAsia="Times New Roman" w:hAnsi="IBM Plex Sans"/>
            <w:color w:val="016676"/>
            <w:sz w:val="20"/>
            <w:szCs w:val="20"/>
          </w:rPr>
          <w:t>(4)(a)</w:t>
        </w:r>
      </w:hyperlink>
      <w:hyperlink r:id="rId13" w:history="1">
        <w:r>
          <w:rPr>
            <w:rStyle w:val="a3"/>
            <w:rFonts w:ascii="IBM Plex Sans" w:eastAsia="Times New Roman" w:hAnsi="IBM Plex Sans"/>
            <w:color w:val="016676"/>
            <w:sz w:val="20"/>
            <w:szCs w:val="20"/>
          </w:rPr>
          <w:t xml:space="preserve"> </w:t>
        </w:r>
      </w:hyperlink>
      <w:hyperlink r:id="rId14" w:history="1">
        <w:r>
          <w:rPr>
            <w:rStyle w:val="a3"/>
            <w:rFonts w:ascii="IBM Plex Sans" w:eastAsia="Times New Roman" w:hAnsi="IBM Plex Sans"/>
            <w:color w:val="016676"/>
            <w:sz w:val="20"/>
            <w:szCs w:val="20"/>
          </w:rPr>
          <w:t>Specimen Stock Certificate for L3Harris Technologies, Inc.’s common stock, incorporated here</w:t>
        </w:r>
        <w:r>
          <w:rPr>
            <w:rStyle w:val="a3"/>
            <w:rFonts w:ascii="IBM Plex Sans" w:eastAsia="Times New Roman" w:hAnsi="IBM Plex Sans"/>
            <w:color w:val="016676"/>
            <w:sz w:val="20"/>
            <w:szCs w:val="20"/>
          </w:rPr>
          <w:t>in by reference to Exhibit 4 to L3Harris Technologies, Inc.’s Current Report on Form 8-K filed with the SEC on July 1, 2019. (Commission File Number 1-3863)</w:t>
        </w:r>
      </w:hyperlink>
    </w:p>
    <w:p w:rsidR="00000000" w:rsidRDefault="00F5481A">
      <w:pPr>
        <w:ind w:hanging="900"/>
        <w:divId w:val="235633325"/>
        <w:rPr>
          <w:rFonts w:eastAsia="Times New Roman"/>
        </w:rPr>
      </w:pPr>
      <w:hyperlink r:id="rId15" w:history="1">
        <w:r>
          <w:rPr>
            <w:rStyle w:val="a3"/>
            <w:rFonts w:ascii="IBM Plex Sans" w:eastAsia="Times New Roman" w:hAnsi="IBM Plex Sans"/>
            <w:color w:val="016676"/>
            <w:sz w:val="20"/>
            <w:szCs w:val="20"/>
          </w:rPr>
          <w:t>(4)(b)</w:t>
        </w:r>
      </w:hyperlink>
      <w:hyperlink r:id="rId16" w:history="1">
        <w:r>
          <w:rPr>
            <w:rStyle w:val="a3"/>
            <w:rFonts w:ascii="IBM Plex Sans" w:eastAsia="Times New Roman" w:hAnsi="IBM Plex Sans"/>
            <w:color w:val="016676"/>
            <w:sz w:val="20"/>
            <w:szCs w:val="20"/>
          </w:rPr>
          <w:t xml:space="preserve"> </w:t>
        </w:r>
      </w:hyperlink>
      <w:hyperlink r:id="rId17" w:history="1">
        <w:r>
          <w:rPr>
            <w:rStyle w:val="a3"/>
            <w:rFonts w:ascii="IBM Plex Sans" w:eastAsia="Times New Roman" w:hAnsi="IBM Plex Sans"/>
            <w:color w:val="016676"/>
            <w:sz w:val="20"/>
            <w:szCs w:val="20"/>
          </w:rPr>
          <w:t xml:space="preserve">(i) </w:t>
        </w:r>
      </w:hyperlink>
      <w:hyperlink r:id="rId18" w:history="1">
        <w:r>
          <w:rPr>
            <w:rStyle w:val="a3"/>
            <w:rFonts w:ascii="IBM Plex Sans" w:eastAsia="Times New Roman" w:hAnsi="IBM Plex Sans"/>
            <w:color w:val="016676"/>
            <w:sz w:val="20"/>
            <w:szCs w:val="20"/>
          </w:rPr>
          <w:t>Indenture</w:t>
        </w:r>
      </w:hyperlink>
      <w:hyperlink r:id="rId19" w:history="1">
        <w:r>
          <w:rPr>
            <w:rStyle w:val="a3"/>
            <w:rFonts w:ascii="IBM Plex Sans" w:eastAsia="Times New Roman" w:hAnsi="IBM Plex Sans"/>
            <w:color w:val="016676"/>
            <w:sz w:val="20"/>
            <w:szCs w:val="20"/>
          </w:rPr>
          <w:t xml:space="preserve">, dated as of May 1, 1996, between </w:t>
        </w:r>
      </w:hyperlink>
      <w:hyperlink r:id="rId20" w:history="1">
        <w:r>
          <w:rPr>
            <w:rStyle w:val="a3"/>
            <w:rFonts w:ascii="IBM Plex Sans" w:eastAsia="Times New Roman" w:hAnsi="IBM Plex Sans"/>
            <w:color w:val="016676"/>
            <w:sz w:val="20"/>
            <w:szCs w:val="20"/>
          </w:rPr>
          <w:t xml:space="preserve">L3Harris Technologies, Inc. </w:t>
        </w:r>
        <w:r>
          <w:rPr>
            <w:rStyle w:val="a3"/>
            <w:rFonts w:ascii="IBM Plex Sans" w:eastAsia="Times New Roman" w:hAnsi="IBM Plex Sans"/>
            <w:color w:val="016676"/>
            <w:sz w:val="20"/>
            <w:szCs w:val="20"/>
          </w:rPr>
          <w:t>(formerly known as Harris Corporation)</w:t>
        </w:r>
      </w:hyperlink>
      <w:hyperlink r:id="rId21" w:history="1">
        <w:r>
          <w:rPr>
            <w:rStyle w:val="a3"/>
            <w:rFonts w:ascii="IBM Plex Sans" w:eastAsia="Times New Roman" w:hAnsi="IBM Plex Sans"/>
            <w:color w:val="016676"/>
            <w:sz w:val="20"/>
            <w:szCs w:val="20"/>
          </w:rPr>
          <w:t xml:space="preserve"> and The Bank of New York, as Trustee, relating to unlimited amounts of debt securities which may be issued from time to time by </w:t>
        </w:r>
      </w:hyperlink>
      <w:hyperlink r:id="rId22" w:history="1">
        <w:r>
          <w:rPr>
            <w:rStyle w:val="a3"/>
            <w:rFonts w:ascii="IBM Plex Sans" w:eastAsia="Times New Roman" w:hAnsi="IBM Plex Sans"/>
            <w:color w:val="016676"/>
            <w:sz w:val="20"/>
            <w:szCs w:val="20"/>
          </w:rPr>
          <w:t>L3Harris Technologies, Inc. (formerly known as Harris Corporation)</w:t>
        </w:r>
      </w:hyperlink>
      <w:hyperlink r:id="rId23" w:history="1">
        <w:r>
          <w:rPr>
            <w:rStyle w:val="a3"/>
            <w:rFonts w:ascii="IBM Plex Sans" w:eastAsia="Times New Roman" w:hAnsi="IBM Plex Sans"/>
            <w:color w:val="016676"/>
            <w:sz w:val="20"/>
            <w:szCs w:val="20"/>
          </w:rPr>
          <w:t xml:space="preserve"> when and as au</w:t>
        </w:r>
        <w:r>
          <w:rPr>
            <w:rStyle w:val="a3"/>
            <w:rFonts w:ascii="IBM Plex Sans" w:eastAsia="Times New Roman" w:hAnsi="IBM Plex Sans"/>
            <w:color w:val="016676"/>
            <w:sz w:val="20"/>
            <w:szCs w:val="20"/>
          </w:rPr>
          <w:t xml:space="preserve">thorized by </w:t>
        </w:r>
      </w:hyperlink>
      <w:hyperlink r:id="rId24" w:history="1">
        <w:r>
          <w:rPr>
            <w:rStyle w:val="a3"/>
            <w:rFonts w:ascii="IBM Plex Sans" w:eastAsia="Times New Roman" w:hAnsi="IBM Plex Sans"/>
            <w:color w:val="016676"/>
            <w:sz w:val="20"/>
            <w:szCs w:val="20"/>
          </w:rPr>
          <w:t>L3Harris Technologies, Inc.</w:t>
        </w:r>
      </w:hyperlink>
      <w:hyperlink r:id="rId25" w:history="1">
        <w:r>
          <w:rPr>
            <w:rStyle w:val="a3"/>
            <w:rFonts w:ascii="IBM Plex Sans" w:eastAsia="Times New Roman" w:hAnsi="IBM Plex Sans"/>
            <w:color w:val="016676"/>
            <w:sz w:val="20"/>
            <w:szCs w:val="20"/>
          </w:rPr>
          <w:t>’</w:t>
        </w:r>
      </w:hyperlink>
      <w:hyperlink r:id="rId26" w:history="1">
        <w:r>
          <w:rPr>
            <w:rStyle w:val="a3"/>
            <w:rFonts w:ascii="IBM Plex Sans" w:eastAsia="Times New Roman" w:hAnsi="IBM Plex Sans"/>
            <w:color w:val="016676"/>
            <w:sz w:val="20"/>
            <w:szCs w:val="20"/>
          </w:rPr>
          <w:t>s</w:t>
        </w:r>
      </w:hyperlink>
      <w:hyperlink r:id="rId27" w:history="1">
        <w:r>
          <w:rPr>
            <w:rStyle w:val="a3"/>
            <w:rFonts w:ascii="IBM Plex Sans" w:eastAsia="Times New Roman" w:hAnsi="IBM Plex Sans"/>
            <w:color w:val="016676"/>
            <w:sz w:val="20"/>
            <w:szCs w:val="20"/>
          </w:rPr>
          <w:t xml:space="preserve"> (formerly known as Harris Corporation)</w:t>
        </w:r>
      </w:hyperlink>
      <w:hyperlink r:id="rId28" w:history="1">
        <w:r>
          <w:rPr>
            <w:rStyle w:val="a3"/>
            <w:rFonts w:ascii="IBM Plex Sans" w:eastAsia="Times New Roman" w:hAnsi="IBM Plex Sans"/>
            <w:color w:val="016676"/>
            <w:sz w:val="20"/>
            <w:szCs w:val="20"/>
          </w:rPr>
          <w:t xml:space="preserve"> Board of Directors or a Committee of the Board, incorporated herein by reference to Exhibit 4 to </w:t>
        </w:r>
      </w:hyperlink>
      <w:hyperlink r:id="rId29" w:history="1">
        <w:r>
          <w:rPr>
            <w:rStyle w:val="a3"/>
            <w:rFonts w:ascii="IBM Plex Sans" w:eastAsia="Times New Roman" w:hAnsi="IBM Plex Sans"/>
            <w:color w:val="016676"/>
            <w:sz w:val="20"/>
            <w:szCs w:val="20"/>
          </w:rPr>
          <w:t>L3Harris Technologies,</w:t>
        </w:r>
        <w:r>
          <w:rPr>
            <w:rStyle w:val="a3"/>
            <w:rFonts w:ascii="IBM Plex Sans" w:eastAsia="Times New Roman" w:hAnsi="IBM Plex Sans"/>
            <w:color w:val="016676"/>
            <w:sz w:val="20"/>
            <w:szCs w:val="20"/>
          </w:rPr>
          <w:t xml:space="preserve"> Inc.</w:t>
        </w:r>
      </w:hyperlink>
      <w:hyperlink r:id="rId30" w:history="1">
        <w:r>
          <w:rPr>
            <w:rStyle w:val="a3"/>
            <w:rFonts w:ascii="IBM Plex Sans" w:eastAsia="Times New Roman" w:hAnsi="IBM Plex Sans"/>
            <w:color w:val="016676"/>
            <w:sz w:val="20"/>
            <w:szCs w:val="20"/>
          </w:rPr>
          <w:t>’</w:t>
        </w:r>
      </w:hyperlink>
      <w:hyperlink r:id="rId31" w:history="1">
        <w:r>
          <w:rPr>
            <w:rStyle w:val="a3"/>
            <w:rFonts w:ascii="IBM Plex Sans" w:eastAsia="Times New Roman" w:hAnsi="IBM Plex Sans"/>
            <w:color w:val="016676"/>
            <w:sz w:val="20"/>
            <w:szCs w:val="20"/>
          </w:rPr>
          <w:t>s</w:t>
        </w:r>
      </w:hyperlink>
      <w:hyperlink r:id="rId32" w:history="1">
        <w:r>
          <w:rPr>
            <w:rStyle w:val="a3"/>
            <w:rFonts w:ascii="IBM Plex Sans" w:eastAsia="Times New Roman" w:hAnsi="IBM Plex Sans"/>
            <w:color w:val="016676"/>
            <w:sz w:val="20"/>
            <w:szCs w:val="20"/>
          </w:rPr>
          <w:t xml:space="preserve"> (formerly known as Harris Corporation)</w:t>
        </w:r>
      </w:hyperlink>
      <w:hyperlink r:id="rId33" w:history="1">
        <w:r>
          <w:rPr>
            <w:rStyle w:val="a3"/>
            <w:rFonts w:ascii="IBM Plex Sans" w:eastAsia="Times New Roman" w:hAnsi="IBM Plex Sans"/>
            <w:color w:val="016676"/>
            <w:sz w:val="20"/>
            <w:szCs w:val="20"/>
          </w:rPr>
          <w:t xml:space="preserve"> Registration Statement on Form S-3, Registration Statement No. 333-03111, filed with the SEC on Ma</w:t>
        </w:r>
      </w:hyperlink>
      <w:hyperlink r:id="rId34" w:history="1">
        <w:r>
          <w:rPr>
            <w:rStyle w:val="a3"/>
            <w:rFonts w:ascii="IBM Plex Sans" w:eastAsia="Times New Roman" w:hAnsi="IBM Plex Sans"/>
            <w:color w:val="016676"/>
            <w:sz w:val="20"/>
            <w:szCs w:val="20"/>
          </w:rPr>
          <w:t>y 3, 1996</w:t>
        </w:r>
      </w:hyperlink>
      <w:hyperlink r:id="rId35" w:history="1">
        <w:r>
          <w:rPr>
            <w:rStyle w:val="a3"/>
            <w:rFonts w:ascii="IBM Plex Sans" w:eastAsia="Times New Roman" w:hAnsi="IBM Plex Sans"/>
            <w:color w:val="016676"/>
            <w:sz w:val="20"/>
            <w:szCs w:val="20"/>
          </w:rPr>
          <w:t>.</w:t>
        </w:r>
      </w:hyperlink>
    </w:p>
    <w:p w:rsidR="00000000" w:rsidRDefault="00F5481A">
      <w:pPr>
        <w:divId w:val="1622112234"/>
        <w:rPr>
          <w:rFonts w:eastAsia="Times New Roman"/>
        </w:rPr>
      </w:pPr>
      <w:hyperlink r:id="rId36" w:history="1">
        <w:r>
          <w:rPr>
            <w:rStyle w:val="a3"/>
            <w:rFonts w:ascii="IBM Plex Sans" w:eastAsia="Times New Roman" w:hAnsi="IBM Plex Sans"/>
            <w:color w:val="016676"/>
            <w:sz w:val="20"/>
            <w:szCs w:val="20"/>
          </w:rPr>
          <w:t xml:space="preserve">(ii) Instrument of Resignation from Trustee and Appointment and Acceptance of Successor Trustee, dated as of November 1, 2002 (effective November 15, 2002), among </w:t>
        </w:r>
      </w:hyperlink>
      <w:hyperlink r:id="rId37" w:history="1">
        <w:r>
          <w:rPr>
            <w:rStyle w:val="a3"/>
            <w:rFonts w:ascii="IBM Plex Sans" w:eastAsia="Times New Roman" w:hAnsi="IBM Plex Sans"/>
            <w:color w:val="016676"/>
            <w:sz w:val="20"/>
            <w:szCs w:val="20"/>
          </w:rPr>
          <w:t>L3Harris Technologies, Inc. (formerly known as Harris Corporation)</w:t>
        </w:r>
      </w:hyperlink>
      <w:hyperlink r:id="rId38" w:history="1">
        <w:r>
          <w:rPr>
            <w:rStyle w:val="a3"/>
            <w:rFonts w:ascii="IBM Plex Sans" w:eastAsia="Times New Roman" w:hAnsi="IBM Plex Sans"/>
            <w:color w:val="016676"/>
            <w:sz w:val="20"/>
            <w:szCs w:val="20"/>
          </w:rPr>
          <w:t xml:space="preserve">, JP Morgan Chase Bank, as Resigning Trustee, and The Bank of </w:t>
        </w:r>
      </w:hyperlink>
    </w:p>
    <w:p w:rsidR="00000000" w:rsidRDefault="00F5481A">
      <w:pPr>
        <w:ind w:firstLine="360"/>
        <w:jc w:val="center"/>
        <w:divId w:val="1990599387"/>
        <w:rPr>
          <w:rFonts w:eastAsia="Times New Roman"/>
        </w:rPr>
      </w:pPr>
      <w:r>
        <w:rPr>
          <w:rFonts w:ascii="Arial" w:eastAsia="Times New Roman" w:hAnsi="Arial" w:cs="Arial"/>
          <w:b/>
          <w:bCs/>
          <w:color w:val="016676"/>
        </w:rPr>
        <w:t>_</w:t>
      </w:r>
      <w:r>
        <w:rPr>
          <w:rFonts w:ascii="Arial" w:eastAsia="Times New Roman" w:hAnsi="Arial" w:cs="Arial"/>
          <w:b/>
          <w:bCs/>
          <w:color w:val="016676"/>
        </w:rPr>
        <w:t>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118</w:t>
      </w:r>
    </w:p>
    <w:p w:rsidR="00000000" w:rsidRDefault="00F5481A">
      <w:pPr>
        <w:rPr>
          <w:rFonts w:eastAsia="Times New Roman"/>
        </w:rPr>
      </w:pPr>
      <w:r>
        <w:rPr>
          <w:rFonts w:eastAsia="Times New Roman"/>
        </w:rPr>
        <w:pict>
          <v:rect id="_x0000_i1149" style="width:0;height:1.5pt" o:hralign="center" o:hrstd="t" o:hr="t" fillcolor="#a0a0a0" stroked="f"/>
        </w:pict>
      </w:r>
    </w:p>
    <w:p w:rsidR="00000000" w:rsidRDefault="00F5481A">
      <w:pPr>
        <w:ind w:firstLine="360"/>
        <w:divId w:val="1944484969"/>
        <w:rPr>
          <w:rFonts w:eastAsia="Times New Roman"/>
        </w:rPr>
      </w:pPr>
    </w:p>
    <w:p w:rsidR="00000000" w:rsidRDefault="00F5481A">
      <w:pPr>
        <w:divId w:val="1079668178"/>
        <w:rPr>
          <w:rFonts w:eastAsia="Times New Roman"/>
        </w:rPr>
      </w:pPr>
      <w:hyperlink r:id="rId39" w:history="1">
        <w:r>
          <w:rPr>
            <w:rStyle w:val="a3"/>
            <w:rFonts w:ascii="IBM Plex Sans" w:eastAsia="Times New Roman" w:hAnsi="IBM Plex Sans"/>
            <w:color w:val="016676"/>
            <w:sz w:val="20"/>
            <w:szCs w:val="20"/>
          </w:rPr>
          <w:t xml:space="preserve">New York, as Successor Trustee, incorporated herein by reference to Exhibit 99.4 to </w:t>
        </w:r>
      </w:hyperlink>
      <w:hyperlink r:id="rId40" w:history="1">
        <w:r>
          <w:rPr>
            <w:rStyle w:val="a3"/>
            <w:rFonts w:ascii="IBM Plex Sans" w:eastAsia="Times New Roman" w:hAnsi="IBM Plex Sans"/>
            <w:color w:val="016676"/>
            <w:sz w:val="20"/>
            <w:szCs w:val="20"/>
          </w:rPr>
          <w:t>L3Harris Technologies, Inc.</w:t>
        </w:r>
      </w:hyperlink>
      <w:hyperlink r:id="rId41" w:history="1">
        <w:r>
          <w:rPr>
            <w:rStyle w:val="a3"/>
            <w:rFonts w:ascii="IBM Plex Sans" w:eastAsia="Times New Roman" w:hAnsi="IBM Plex Sans"/>
            <w:color w:val="016676"/>
            <w:sz w:val="20"/>
            <w:szCs w:val="20"/>
          </w:rPr>
          <w:t>’</w:t>
        </w:r>
      </w:hyperlink>
      <w:hyperlink r:id="rId42" w:history="1">
        <w:r>
          <w:rPr>
            <w:rStyle w:val="a3"/>
            <w:rFonts w:ascii="IBM Plex Sans" w:eastAsia="Times New Roman" w:hAnsi="IBM Plex Sans"/>
            <w:color w:val="016676"/>
            <w:sz w:val="20"/>
            <w:szCs w:val="20"/>
          </w:rPr>
          <w:t>s</w:t>
        </w:r>
      </w:hyperlink>
      <w:hyperlink r:id="rId43" w:history="1">
        <w:r>
          <w:rPr>
            <w:rStyle w:val="a3"/>
            <w:rFonts w:ascii="IBM Plex Sans" w:eastAsia="Times New Roman" w:hAnsi="IBM Plex Sans"/>
            <w:color w:val="016676"/>
            <w:sz w:val="20"/>
            <w:szCs w:val="20"/>
          </w:rPr>
          <w:t xml:space="preserve"> (formerly known as Harris Corporation)</w:t>
        </w:r>
      </w:hyperlink>
      <w:hyperlink r:id="rId44" w:history="1">
        <w:r>
          <w:rPr>
            <w:rStyle w:val="a3"/>
            <w:rFonts w:ascii="IBM Plex Sans" w:eastAsia="Times New Roman" w:hAnsi="IBM Plex Sans"/>
            <w:color w:val="016676"/>
            <w:sz w:val="20"/>
            <w:szCs w:val="20"/>
          </w:rPr>
          <w:t xml:space="preserve"> Quarterly Report on Form 10-Q for the fiscal quarter ended September 27, 2002. (Commission File Number 1-3863)</w:t>
        </w:r>
      </w:hyperlink>
    </w:p>
    <w:p w:rsidR="00000000" w:rsidRDefault="00F5481A">
      <w:pPr>
        <w:divId w:val="1214347216"/>
        <w:rPr>
          <w:rFonts w:eastAsia="Times New Roman"/>
        </w:rPr>
      </w:pPr>
      <w:hyperlink r:id="rId45" w:history="1">
        <w:r>
          <w:rPr>
            <w:rStyle w:val="a3"/>
            <w:rFonts w:ascii="IBM Plex Sans" w:eastAsia="Times New Roman" w:hAnsi="IBM Plex Sans"/>
            <w:color w:val="016676"/>
            <w:sz w:val="20"/>
            <w:szCs w:val="20"/>
          </w:rPr>
          <w:t>(iii) Supplementa</w:t>
        </w:r>
        <w:r>
          <w:rPr>
            <w:rStyle w:val="a3"/>
            <w:rFonts w:ascii="IBM Plex Sans" w:eastAsia="Times New Roman" w:hAnsi="IBM Plex Sans"/>
            <w:color w:val="016676"/>
            <w:sz w:val="20"/>
            <w:szCs w:val="20"/>
          </w:rPr>
          <w:t xml:space="preserve">l Indenture, dated June 2, 2015, among </w:t>
        </w:r>
      </w:hyperlink>
      <w:hyperlink r:id="rId46" w:history="1">
        <w:r>
          <w:rPr>
            <w:rStyle w:val="a3"/>
            <w:rFonts w:ascii="IBM Plex Sans" w:eastAsia="Times New Roman" w:hAnsi="IBM Plex Sans"/>
            <w:color w:val="016676"/>
            <w:sz w:val="20"/>
            <w:szCs w:val="20"/>
          </w:rPr>
          <w:t>L3Harris Technologies, Inc. (formerly known as Harris Corporation)</w:t>
        </w:r>
      </w:hyperlink>
      <w:hyperlink r:id="rId47" w:history="1">
        <w:r>
          <w:rPr>
            <w:rStyle w:val="a3"/>
            <w:rFonts w:ascii="IBM Plex Sans" w:eastAsia="Times New Roman" w:hAnsi="IBM Plex Sans"/>
            <w:color w:val="016676"/>
            <w:sz w:val="20"/>
            <w:szCs w:val="20"/>
          </w:rPr>
          <w:t xml:space="preserve">, Exelis Inc. and The Bank of New York Mellon (as successor to Chemical Bank), to the Indenture dated as of May 1, 1996 between </w:t>
        </w:r>
      </w:hyperlink>
      <w:hyperlink r:id="rId48" w:history="1">
        <w:r>
          <w:rPr>
            <w:rStyle w:val="a3"/>
            <w:rFonts w:ascii="IBM Plex Sans" w:eastAsia="Times New Roman" w:hAnsi="IBM Plex Sans"/>
            <w:color w:val="016676"/>
            <w:sz w:val="20"/>
            <w:szCs w:val="20"/>
          </w:rPr>
          <w:t>L3Harris Technologies, Inc. (formerly known as Harris Corporation)</w:t>
        </w:r>
      </w:hyperlink>
      <w:hyperlink r:id="rId49" w:history="1">
        <w:r>
          <w:rPr>
            <w:rStyle w:val="a3"/>
            <w:rFonts w:ascii="IBM Plex Sans" w:eastAsia="Times New Roman" w:hAnsi="IBM Plex Sans"/>
            <w:color w:val="016676"/>
            <w:sz w:val="20"/>
            <w:szCs w:val="20"/>
          </w:rPr>
          <w:t xml:space="preserve"> and The Bank of New York (as successor to Chemical Bank), incorporated h</w:t>
        </w:r>
        <w:r>
          <w:rPr>
            <w:rStyle w:val="a3"/>
            <w:rFonts w:ascii="IBM Plex Sans" w:eastAsia="Times New Roman" w:hAnsi="IBM Plex Sans"/>
            <w:color w:val="016676"/>
            <w:sz w:val="20"/>
            <w:szCs w:val="20"/>
          </w:rPr>
          <w:t xml:space="preserve">erein by reference to Exhibit 4.2 to </w:t>
        </w:r>
      </w:hyperlink>
      <w:hyperlink r:id="rId50" w:history="1">
        <w:r>
          <w:rPr>
            <w:rStyle w:val="a3"/>
            <w:rFonts w:ascii="IBM Plex Sans" w:eastAsia="Times New Roman" w:hAnsi="IBM Plex Sans"/>
            <w:color w:val="016676"/>
            <w:sz w:val="20"/>
            <w:szCs w:val="20"/>
          </w:rPr>
          <w:t>L3Harris Technologies, Inc.</w:t>
        </w:r>
      </w:hyperlink>
      <w:hyperlink r:id="rId51" w:history="1">
        <w:r>
          <w:rPr>
            <w:rStyle w:val="a3"/>
            <w:rFonts w:ascii="IBM Plex Sans" w:eastAsia="Times New Roman" w:hAnsi="IBM Plex Sans"/>
            <w:color w:val="016676"/>
            <w:sz w:val="20"/>
            <w:szCs w:val="20"/>
          </w:rPr>
          <w:t>’</w:t>
        </w:r>
      </w:hyperlink>
      <w:hyperlink r:id="rId52" w:history="1">
        <w:r>
          <w:rPr>
            <w:rStyle w:val="a3"/>
            <w:rFonts w:ascii="IBM Plex Sans" w:eastAsia="Times New Roman" w:hAnsi="IBM Plex Sans"/>
            <w:color w:val="016676"/>
            <w:sz w:val="20"/>
            <w:szCs w:val="20"/>
          </w:rPr>
          <w:t>s</w:t>
        </w:r>
      </w:hyperlink>
      <w:hyperlink r:id="rId53" w:history="1">
        <w:r>
          <w:rPr>
            <w:rStyle w:val="a3"/>
            <w:rFonts w:ascii="IBM Plex Sans" w:eastAsia="Times New Roman" w:hAnsi="IBM Plex Sans"/>
            <w:color w:val="016676"/>
            <w:sz w:val="20"/>
            <w:szCs w:val="20"/>
          </w:rPr>
          <w:t xml:space="preserve"> (formerly known as Harris Corporation)</w:t>
        </w:r>
      </w:hyperlink>
      <w:hyperlink r:id="rId54" w:history="1">
        <w:r>
          <w:rPr>
            <w:rStyle w:val="a3"/>
            <w:rFonts w:ascii="IBM Plex Sans" w:eastAsia="Times New Roman" w:hAnsi="IBM Plex Sans"/>
            <w:color w:val="016676"/>
            <w:sz w:val="20"/>
            <w:szCs w:val="20"/>
          </w:rPr>
          <w:t xml:space="preserve"> Current Report on Form 8-K filed with the SEC on June 2, 2015. (Commission</w:t>
        </w:r>
        <w:r>
          <w:rPr>
            <w:rStyle w:val="a3"/>
            <w:rFonts w:ascii="IBM Plex Sans" w:eastAsia="Times New Roman" w:hAnsi="IBM Plex Sans"/>
            <w:color w:val="016676"/>
            <w:sz w:val="20"/>
            <w:szCs w:val="20"/>
          </w:rPr>
          <w:t xml:space="preserve"> File Number 1-3863)</w:t>
        </w:r>
      </w:hyperlink>
    </w:p>
    <w:p w:rsidR="00000000" w:rsidRDefault="00F5481A">
      <w:pPr>
        <w:ind w:hanging="900"/>
        <w:divId w:val="404108442"/>
        <w:rPr>
          <w:rFonts w:eastAsia="Times New Roman"/>
        </w:rPr>
      </w:pPr>
      <w:r>
        <w:rPr>
          <w:rFonts w:ascii="IBM Plex Sans" w:eastAsia="Times New Roman" w:hAnsi="IBM Plex Sans"/>
          <w:color w:val="283030"/>
          <w:sz w:val="20"/>
          <w:szCs w:val="20"/>
        </w:rPr>
        <w:t xml:space="preserve">**(4)(c) (i) Indenture, dated as of October 1, 1990, between L3Harris Technologies, Inc. (formerly known as Harris Corporation) and U.S. Bank National Association (as successor to National City Bank), as Trustee, relating to unlimited </w:t>
      </w:r>
      <w:r>
        <w:rPr>
          <w:rFonts w:ascii="IBM Plex Sans" w:eastAsia="Times New Roman" w:hAnsi="IBM Plex Sans"/>
          <w:color w:val="283030"/>
          <w:sz w:val="20"/>
          <w:szCs w:val="20"/>
        </w:rPr>
        <w:t>amounts of debt securities which may be issued from time to time by L3Harris Technologies, Inc. (formerly known as Harris Corporation) when and as authorized by L3Harris Technologies, Inc.’s (formerly known as Harris Corporation) Board of Directors or a Co</w:t>
      </w:r>
      <w:r>
        <w:rPr>
          <w:rFonts w:ascii="IBM Plex Sans" w:eastAsia="Times New Roman" w:hAnsi="IBM Plex Sans"/>
          <w:color w:val="283030"/>
          <w:sz w:val="20"/>
          <w:szCs w:val="20"/>
        </w:rPr>
        <w:t>mmittee of the Board, incorporated herein by reference to Exhibit 4 to L3Harris Technologies, Inc. (formerly known as Harris Corporation) Registration Statement on Form S-3, Registration Statement No. 33-35315, filed with the SEC on June 8, 1990.</w:t>
      </w:r>
    </w:p>
    <w:p w:rsidR="00000000" w:rsidRDefault="00F5481A">
      <w:pPr>
        <w:divId w:val="72515427"/>
        <w:rPr>
          <w:rFonts w:eastAsia="Times New Roman"/>
        </w:rPr>
      </w:pPr>
      <w:hyperlink r:id="rId55" w:history="1">
        <w:r>
          <w:rPr>
            <w:rStyle w:val="a3"/>
            <w:rFonts w:ascii="IBM Plex Sans" w:eastAsia="Times New Roman" w:hAnsi="IBM Plex Sans"/>
            <w:color w:val="016676"/>
            <w:sz w:val="20"/>
            <w:szCs w:val="20"/>
          </w:rPr>
          <w:t xml:space="preserve">(ii) Supplemental Indenture, dated June 2, 2015, among </w:t>
        </w:r>
      </w:hyperlink>
      <w:hyperlink r:id="rId56" w:history="1">
        <w:r>
          <w:rPr>
            <w:rStyle w:val="a3"/>
            <w:rFonts w:ascii="IBM Plex Sans" w:eastAsia="Times New Roman" w:hAnsi="IBM Plex Sans"/>
            <w:color w:val="016676"/>
            <w:sz w:val="20"/>
            <w:szCs w:val="20"/>
          </w:rPr>
          <w:t>L3Harris Tec</w:t>
        </w:r>
        <w:r>
          <w:rPr>
            <w:rStyle w:val="a3"/>
            <w:rFonts w:ascii="IBM Plex Sans" w:eastAsia="Times New Roman" w:hAnsi="IBM Plex Sans"/>
            <w:color w:val="016676"/>
            <w:sz w:val="20"/>
            <w:szCs w:val="20"/>
          </w:rPr>
          <w:t>hnologies, Inc. (formerly known as Harris Corporation)</w:t>
        </w:r>
      </w:hyperlink>
      <w:hyperlink r:id="rId57" w:history="1">
        <w:r>
          <w:rPr>
            <w:rStyle w:val="a3"/>
            <w:rFonts w:ascii="IBM Plex Sans" w:eastAsia="Times New Roman" w:hAnsi="IBM Plex Sans"/>
            <w:color w:val="016676"/>
            <w:sz w:val="20"/>
            <w:szCs w:val="20"/>
          </w:rPr>
          <w:t>, Exelis Inc. and U.S. Bank National Association (as successor to National City Bank), to the Indenture</w:t>
        </w:r>
        <w:r>
          <w:rPr>
            <w:rStyle w:val="a3"/>
            <w:rFonts w:ascii="IBM Plex Sans" w:eastAsia="Times New Roman" w:hAnsi="IBM Plex Sans"/>
            <w:color w:val="016676"/>
            <w:sz w:val="20"/>
            <w:szCs w:val="20"/>
          </w:rPr>
          <w:t xml:space="preserve"> dated as of October 1, 1990 between </w:t>
        </w:r>
      </w:hyperlink>
      <w:hyperlink r:id="rId58" w:history="1">
        <w:r>
          <w:rPr>
            <w:rStyle w:val="a3"/>
            <w:rFonts w:ascii="IBM Plex Sans" w:eastAsia="Times New Roman" w:hAnsi="IBM Plex Sans"/>
            <w:color w:val="016676"/>
            <w:sz w:val="20"/>
            <w:szCs w:val="20"/>
          </w:rPr>
          <w:t>L3Harris Technologies, Inc. (formerly known as Harris Corporation)</w:t>
        </w:r>
      </w:hyperlink>
      <w:hyperlink r:id="rId59" w:history="1">
        <w:r>
          <w:rPr>
            <w:rStyle w:val="a3"/>
            <w:rFonts w:ascii="IBM Plex Sans" w:eastAsia="Times New Roman" w:hAnsi="IBM Plex Sans"/>
            <w:color w:val="016676"/>
            <w:sz w:val="20"/>
            <w:szCs w:val="20"/>
          </w:rPr>
          <w:t xml:space="preserve"> and U.S. National Association (as successor to National City Bank), incorporated herein by reference to Exhibit 4.1 to </w:t>
        </w:r>
      </w:hyperlink>
      <w:hyperlink r:id="rId60" w:history="1">
        <w:r>
          <w:rPr>
            <w:rStyle w:val="a3"/>
            <w:rFonts w:ascii="IBM Plex Sans" w:eastAsia="Times New Roman" w:hAnsi="IBM Plex Sans"/>
            <w:color w:val="016676"/>
            <w:sz w:val="20"/>
            <w:szCs w:val="20"/>
          </w:rPr>
          <w:t>L3Harris Technologies, Inc.</w:t>
        </w:r>
      </w:hyperlink>
      <w:hyperlink r:id="rId61" w:history="1">
        <w:r>
          <w:rPr>
            <w:rStyle w:val="a3"/>
            <w:rFonts w:ascii="IBM Plex Sans" w:eastAsia="Times New Roman" w:hAnsi="IBM Plex Sans"/>
            <w:color w:val="016676"/>
            <w:sz w:val="20"/>
            <w:szCs w:val="20"/>
          </w:rPr>
          <w:t>’</w:t>
        </w:r>
      </w:hyperlink>
      <w:hyperlink r:id="rId62" w:history="1">
        <w:r>
          <w:rPr>
            <w:rStyle w:val="a3"/>
            <w:rFonts w:ascii="IBM Plex Sans" w:eastAsia="Times New Roman" w:hAnsi="IBM Plex Sans"/>
            <w:color w:val="016676"/>
            <w:sz w:val="20"/>
            <w:szCs w:val="20"/>
          </w:rPr>
          <w:t>s</w:t>
        </w:r>
      </w:hyperlink>
      <w:hyperlink r:id="rId63" w:history="1">
        <w:r>
          <w:rPr>
            <w:rStyle w:val="a3"/>
            <w:rFonts w:ascii="IBM Plex Sans" w:eastAsia="Times New Roman" w:hAnsi="IBM Plex Sans"/>
            <w:color w:val="016676"/>
            <w:sz w:val="20"/>
            <w:szCs w:val="20"/>
          </w:rPr>
          <w:t xml:space="preserve"> (formerly known as Harris Corporation)</w:t>
        </w:r>
      </w:hyperlink>
      <w:hyperlink r:id="rId64" w:history="1">
        <w:r>
          <w:rPr>
            <w:rStyle w:val="a3"/>
            <w:rFonts w:ascii="IBM Plex Sans" w:eastAsia="Times New Roman" w:hAnsi="IBM Plex Sans"/>
            <w:color w:val="016676"/>
            <w:sz w:val="20"/>
            <w:szCs w:val="20"/>
          </w:rPr>
          <w:t xml:space="preserve"> </w:t>
        </w:r>
        <w:r>
          <w:rPr>
            <w:rStyle w:val="a3"/>
            <w:rFonts w:ascii="IBM Plex Sans" w:eastAsia="Times New Roman" w:hAnsi="IBM Plex Sans"/>
            <w:color w:val="016676"/>
            <w:sz w:val="20"/>
            <w:szCs w:val="20"/>
          </w:rPr>
          <w:t>Current Report on Form 8-K filed with the SEC on June 2, 2015. (Commission File Number 1-3863)</w:t>
        </w:r>
      </w:hyperlink>
    </w:p>
    <w:p w:rsidR="00000000" w:rsidRDefault="00F5481A">
      <w:pPr>
        <w:ind w:hanging="900"/>
        <w:divId w:val="701322678"/>
        <w:rPr>
          <w:rFonts w:eastAsia="Times New Roman"/>
        </w:rPr>
      </w:pPr>
      <w:hyperlink r:id="rId65" w:history="1">
        <w:r>
          <w:rPr>
            <w:rStyle w:val="a3"/>
            <w:rFonts w:ascii="IBM Plex Sans" w:eastAsia="Times New Roman" w:hAnsi="IBM Plex Sans"/>
            <w:color w:val="016676"/>
            <w:sz w:val="20"/>
            <w:szCs w:val="20"/>
          </w:rPr>
          <w:t xml:space="preserve">(4)(d) (i) Indenture, dated as of September 3, 2003, between </w:t>
        </w:r>
      </w:hyperlink>
      <w:hyperlink r:id="rId66" w:history="1">
        <w:r>
          <w:rPr>
            <w:rStyle w:val="a3"/>
            <w:rFonts w:ascii="IBM Plex Sans" w:eastAsia="Times New Roman" w:hAnsi="IBM Plex Sans"/>
            <w:color w:val="016676"/>
            <w:sz w:val="20"/>
            <w:szCs w:val="20"/>
          </w:rPr>
          <w:t>L3Harris Technologies, Inc. (formerly known as Harris Corporation)</w:t>
        </w:r>
      </w:hyperlink>
      <w:hyperlink r:id="rId67" w:history="1">
        <w:r>
          <w:rPr>
            <w:rStyle w:val="a3"/>
            <w:rFonts w:ascii="IBM Plex Sans" w:eastAsia="Times New Roman" w:hAnsi="IBM Plex Sans"/>
            <w:color w:val="016676"/>
            <w:sz w:val="20"/>
            <w:szCs w:val="20"/>
          </w:rPr>
          <w:t xml:space="preserve"> and The Bank of New York Mellon Trust Company, N.A., as successor to The Bank of New York, as Trustee, relating to unlimited amounts of debt securities which may be issued from time to time by </w:t>
        </w:r>
      </w:hyperlink>
      <w:hyperlink r:id="rId68" w:history="1">
        <w:r>
          <w:rPr>
            <w:rStyle w:val="a3"/>
            <w:rFonts w:ascii="IBM Plex Sans" w:eastAsia="Times New Roman" w:hAnsi="IBM Plex Sans"/>
            <w:color w:val="016676"/>
            <w:sz w:val="20"/>
            <w:szCs w:val="20"/>
          </w:rPr>
          <w:t>L3Harris Technologies, Inc. (formerly known as Harris Corporation)</w:t>
        </w:r>
      </w:hyperlink>
      <w:hyperlink r:id="rId69" w:history="1">
        <w:r>
          <w:rPr>
            <w:rStyle w:val="a3"/>
            <w:rFonts w:ascii="IBM Plex Sans" w:eastAsia="Times New Roman" w:hAnsi="IBM Plex Sans"/>
            <w:color w:val="016676"/>
            <w:sz w:val="20"/>
            <w:szCs w:val="20"/>
          </w:rPr>
          <w:t xml:space="preserve"> when and as authorized by </w:t>
        </w:r>
      </w:hyperlink>
      <w:hyperlink r:id="rId70" w:history="1">
        <w:r>
          <w:rPr>
            <w:rStyle w:val="a3"/>
            <w:rFonts w:ascii="IBM Plex Sans" w:eastAsia="Times New Roman" w:hAnsi="IBM Plex Sans"/>
            <w:color w:val="016676"/>
            <w:sz w:val="20"/>
            <w:szCs w:val="20"/>
          </w:rPr>
          <w:t>L3Harris Technologies, Inc.</w:t>
        </w:r>
      </w:hyperlink>
      <w:hyperlink r:id="rId71" w:history="1">
        <w:r>
          <w:rPr>
            <w:rStyle w:val="a3"/>
            <w:rFonts w:ascii="IBM Plex Sans" w:eastAsia="Times New Roman" w:hAnsi="IBM Plex Sans"/>
            <w:color w:val="016676"/>
            <w:sz w:val="20"/>
            <w:szCs w:val="20"/>
          </w:rPr>
          <w:t>’</w:t>
        </w:r>
      </w:hyperlink>
      <w:hyperlink r:id="rId72" w:history="1">
        <w:r>
          <w:rPr>
            <w:rStyle w:val="a3"/>
            <w:rFonts w:ascii="IBM Plex Sans" w:eastAsia="Times New Roman" w:hAnsi="IBM Plex Sans"/>
            <w:color w:val="016676"/>
            <w:sz w:val="20"/>
            <w:szCs w:val="20"/>
          </w:rPr>
          <w:t>s</w:t>
        </w:r>
      </w:hyperlink>
      <w:hyperlink r:id="rId73" w:history="1">
        <w:r>
          <w:rPr>
            <w:rStyle w:val="a3"/>
            <w:rFonts w:ascii="IBM Plex Sans" w:eastAsia="Times New Roman" w:hAnsi="IBM Plex Sans"/>
            <w:color w:val="016676"/>
            <w:sz w:val="20"/>
            <w:szCs w:val="20"/>
          </w:rPr>
          <w:t xml:space="preserve"> (formerly known as Harris Corporation)</w:t>
        </w:r>
      </w:hyperlink>
      <w:hyperlink r:id="rId74" w:history="1">
        <w:r>
          <w:rPr>
            <w:rStyle w:val="a3"/>
            <w:rFonts w:ascii="IBM Plex Sans" w:eastAsia="Times New Roman" w:hAnsi="IBM Plex Sans"/>
            <w:color w:val="016676"/>
            <w:sz w:val="20"/>
            <w:szCs w:val="20"/>
          </w:rPr>
          <w:t xml:space="preserve"> Board of Directors or a Committee of the Board, incorporated herein by reference to Exhibit 4(b) to </w:t>
        </w:r>
      </w:hyperlink>
      <w:hyperlink r:id="rId75" w:history="1">
        <w:r>
          <w:rPr>
            <w:rStyle w:val="a3"/>
            <w:rFonts w:ascii="IBM Plex Sans" w:eastAsia="Times New Roman" w:hAnsi="IBM Plex Sans"/>
            <w:color w:val="016676"/>
            <w:sz w:val="20"/>
            <w:szCs w:val="20"/>
          </w:rPr>
          <w:t>L3Harris Techn</w:t>
        </w:r>
        <w:r>
          <w:rPr>
            <w:rStyle w:val="a3"/>
            <w:rFonts w:ascii="IBM Plex Sans" w:eastAsia="Times New Roman" w:hAnsi="IBM Plex Sans"/>
            <w:color w:val="016676"/>
            <w:sz w:val="20"/>
            <w:szCs w:val="20"/>
          </w:rPr>
          <w:t>ologies, Inc.'s (formerly known as Harris Corporation)</w:t>
        </w:r>
      </w:hyperlink>
      <w:hyperlink r:id="rId76" w:history="1">
        <w:r>
          <w:rPr>
            <w:rStyle w:val="a3"/>
            <w:rFonts w:ascii="IBM Plex Sans" w:eastAsia="Times New Roman" w:hAnsi="IBM Plex Sans"/>
            <w:color w:val="016676"/>
            <w:sz w:val="20"/>
            <w:szCs w:val="20"/>
          </w:rPr>
          <w:t xml:space="preserve"> Registration Statement on Form S-3, Registration Statement No. 333-108486, filed with the SEC on Sept</w:t>
        </w:r>
        <w:r>
          <w:rPr>
            <w:rStyle w:val="a3"/>
            <w:rFonts w:ascii="IBM Plex Sans" w:eastAsia="Times New Roman" w:hAnsi="IBM Plex Sans"/>
            <w:color w:val="016676"/>
            <w:sz w:val="20"/>
            <w:szCs w:val="20"/>
          </w:rPr>
          <w:t>ember 3, 2003</w:t>
        </w:r>
      </w:hyperlink>
    </w:p>
    <w:p w:rsidR="00000000" w:rsidRDefault="00F5481A">
      <w:pPr>
        <w:divId w:val="1302349361"/>
        <w:rPr>
          <w:rFonts w:eastAsia="Times New Roman"/>
        </w:rPr>
      </w:pPr>
      <w:hyperlink r:id="rId77" w:history="1">
        <w:r>
          <w:rPr>
            <w:rStyle w:val="a3"/>
            <w:rFonts w:ascii="IBM Plex Sans" w:eastAsia="Times New Roman" w:hAnsi="IBM Plex Sans"/>
            <w:color w:val="016676"/>
            <w:sz w:val="20"/>
            <w:szCs w:val="20"/>
          </w:rPr>
          <w:t xml:space="preserve">(ii) Instrument of Resignation of Trustee, Appointment and Acceptance of Successor Trustee, dated as of June 2, 2009, among </w:t>
        </w:r>
      </w:hyperlink>
      <w:hyperlink r:id="rId78" w:history="1">
        <w:r>
          <w:rPr>
            <w:rStyle w:val="a3"/>
            <w:rFonts w:ascii="IBM Plex Sans" w:eastAsia="Times New Roman" w:hAnsi="IBM Plex Sans"/>
            <w:color w:val="016676"/>
            <w:sz w:val="20"/>
            <w:szCs w:val="20"/>
          </w:rPr>
          <w:t>L3Harris Technologies, Inc. (formerly known as Harris Corporation)</w:t>
        </w:r>
      </w:hyperlink>
      <w:hyperlink r:id="rId79" w:history="1">
        <w:r>
          <w:rPr>
            <w:rStyle w:val="a3"/>
            <w:rFonts w:ascii="IBM Plex Sans" w:eastAsia="Times New Roman" w:hAnsi="IBM Plex Sans"/>
            <w:color w:val="016676"/>
            <w:sz w:val="20"/>
            <w:szCs w:val="20"/>
          </w:rPr>
          <w:t xml:space="preserve">, The Bank of New York Mellon (formerly known as The Bank of New York) and The Bank of New York Mellon Trust Company, N.A., as to Indenture dated as of September 3, 2003, incorporated herein by reference to Exhibit 4(m) to </w:t>
        </w:r>
      </w:hyperlink>
      <w:hyperlink r:id="rId80" w:history="1">
        <w:r>
          <w:rPr>
            <w:rStyle w:val="a3"/>
            <w:rFonts w:ascii="IBM Plex Sans" w:eastAsia="Times New Roman" w:hAnsi="IBM Plex Sans"/>
            <w:color w:val="016676"/>
            <w:sz w:val="20"/>
            <w:szCs w:val="20"/>
          </w:rPr>
          <w:t>L3Harris Technologies, Inc.'s (formerly known as Harris Corporation)</w:t>
        </w:r>
      </w:hyperlink>
      <w:hyperlink r:id="rId81" w:history="1">
        <w:r>
          <w:rPr>
            <w:rStyle w:val="a3"/>
            <w:rFonts w:ascii="IBM Plex Sans" w:eastAsia="Times New Roman" w:hAnsi="IBM Plex Sans"/>
            <w:color w:val="016676"/>
            <w:sz w:val="20"/>
            <w:szCs w:val="20"/>
          </w:rPr>
          <w:t xml:space="preserve"> Registration Statement</w:t>
        </w:r>
        <w:r>
          <w:rPr>
            <w:rStyle w:val="a3"/>
            <w:rFonts w:ascii="IBM Plex Sans" w:eastAsia="Times New Roman" w:hAnsi="IBM Plex Sans"/>
            <w:color w:val="016676"/>
            <w:sz w:val="20"/>
            <w:szCs w:val="20"/>
          </w:rPr>
          <w:t xml:space="preserve"> on Form S-3, Registration Statement No. 333-159688, filed with the SEC on June 3, 2009</w:t>
        </w:r>
      </w:hyperlink>
    </w:p>
    <w:p w:rsidR="00000000" w:rsidRDefault="00F5481A">
      <w:pPr>
        <w:divId w:val="1865165392"/>
        <w:rPr>
          <w:rFonts w:eastAsia="Times New Roman"/>
        </w:rPr>
      </w:pPr>
      <w:hyperlink r:id="rId82" w:history="1">
        <w:r>
          <w:rPr>
            <w:rStyle w:val="a3"/>
            <w:rFonts w:ascii="IBM Plex Sans" w:eastAsia="Times New Roman" w:hAnsi="IBM Plex Sans"/>
            <w:color w:val="016676"/>
            <w:sz w:val="20"/>
            <w:szCs w:val="20"/>
          </w:rPr>
          <w:t xml:space="preserve">(iii) Supplemental Indenture, dated June 2, 2015, among </w:t>
        </w:r>
      </w:hyperlink>
      <w:hyperlink r:id="rId83" w:history="1">
        <w:r>
          <w:rPr>
            <w:rStyle w:val="a3"/>
            <w:rFonts w:ascii="IBM Plex Sans" w:eastAsia="Times New Roman" w:hAnsi="IBM Plex Sans"/>
            <w:color w:val="016676"/>
            <w:sz w:val="20"/>
            <w:szCs w:val="20"/>
          </w:rPr>
          <w:t>L3Harris Technologies, Inc. (formerly known as Harris Corporation)</w:t>
        </w:r>
      </w:hyperlink>
      <w:hyperlink r:id="rId84" w:history="1">
        <w:r>
          <w:rPr>
            <w:rStyle w:val="a3"/>
            <w:rFonts w:ascii="IBM Plex Sans" w:eastAsia="Times New Roman" w:hAnsi="IBM Plex Sans"/>
            <w:color w:val="016676"/>
            <w:sz w:val="20"/>
            <w:szCs w:val="20"/>
          </w:rPr>
          <w:t>, Exe</w:t>
        </w:r>
        <w:r>
          <w:rPr>
            <w:rStyle w:val="a3"/>
            <w:rFonts w:ascii="IBM Plex Sans" w:eastAsia="Times New Roman" w:hAnsi="IBM Plex Sans"/>
            <w:color w:val="016676"/>
            <w:sz w:val="20"/>
            <w:szCs w:val="20"/>
          </w:rPr>
          <w:t xml:space="preserve">lis Inc. and The Bank of New York Mellon Trust Company, N.A. (as successor to The Bank of New York), to the Indenture dated as of September 3, 2003 between </w:t>
        </w:r>
      </w:hyperlink>
      <w:hyperlink r:id="rId85" w:history="1">
        <w:r>
          <w:rPr>
            <w:rStyle w:val="a3"/>
            <w:rFonts w:ascii="IBM Plex Sans" w:eastAsia="Times New Roman" w:hAnsi="IBM Plex Sans"/>
            <w:color w:val="016676"/>
            <w:sz w:val="20"/>
            <w:szCs w:val="20"/>
          </w:rPr>
          <w:t>L</w:t>
        </w:r>
        <w:r>
          <w:rPr>
            <w:rStyle w:val="a3"/>
            <w:rFonts w:ascii="IBM Plex Sans" w:eastAsia="Times New Roman" w:hAnsi="IBM Plex Sans"/>
            <w:color w:val="016676"/>
            <w:sz w:val="20"/>
            <w:szCs w:val="20"/>
          </w:rPr>
          <w:t>3Harris Technologies, Inc. (formerly known as Harris Corporation)</w:t>
        </w:r>
      </w:hyperlink>
      <w:hyperlink r:id="rId86" w:history="1">
        <w:r>
          <w:rPr>
            <w:rStyle w:val="a3"/>
            <w:rFonts w:ascii="IBM Plex Sans" w:eastAsia="Times New Roman" w:hAnsi="IBM Plex Sans"/>
            <w:color w:val="016676"/>
            <w:sz w:val="20"/>
            <w:szCs w:val="20"/>
          </w:rPr>
          <w:t xml:space="preserve"> and The Bank of New York Mellon Trust Company, N.A. (as successor to The Bank of New York),</w:t>
        </w:r>
        <w:r>
          <w:rPr>
            <w:rStyle w:val="a3"/>
            <w:rFonts w:ascii="IBM Plex Sans" w:eastAsia="Times New Roman" w:hAnsi="IBM Plex Sans"/>
            <w:color w:val="016676"/>
            <w:sz w:val="20"/>
            <w:szCs w:val="20"/>
          </w:rPr>
          <w:t xml:space="preserve"> incorporated herein by reference to Exhibit 4.3 to </w:t>
        </w:r>
      </w:hyperlink>
      <w:hyperlink r:id="rId87" w:history="1">
        <w:r>
          <w:rPr>
            <w:rStyle w:val="a3"/>
            <w:rFonts w:ascii="IBM Plex Sans" w:eastAsia="Times New Roman" w:hAnsi="IBM Plex Sans"/>
            <w:color w:val="016676"/>
            <w:sz w:val="20"/>
            <w:szCs w:val="20"/>
          </w:rPr>
          <w:t>L3Harris Technologies, Inc.'s (formerly known as Harris Corporation)</w:t>
        </w:r>
      </w:hyperlink>
      <w:hyperlink r:id="rId88" w:history="1">
        <w:r>
          <w:rPr>
            <w:rStyle w:val="a3"/>
            <w:rFonts w:ascii="IBM Plex Sans" w:eastAsia="Times New Roman" w:hAnsi="IBM Plex Sans"/>
            <w:color w:val="016676"/>
            <w:sz w:val="20"/>
            <w:szCs w:val="20"/>
          </w:rPr>
          <w:t xml:space="preserve"> Current Report on Form 8-K filed with the SEC on June 2, 2015. (Commission File Number 1-3863)</w:t>
        </w:r>
      </w:hyperlink>
    </w:p>
    <w:p w:rsidR="00000000" w:rsidRDefault="00F5481A">
      <w:pPr>
        <w:ind w:hanging="900"/>
        <w:divId w:val="1419713222"/>
        <w:rPr>
          <w:rFonts w:eastAsia="Times New Roman"/>
        </w:rPr>
      </w:pPr>
      <w:hyperlink r:id="rId89" w:history="1">
        <w:r>
          <w:rPr>
            <w:rStyle w:val="a3"/>
            <w:rFonts w:ascii="IBM Plex Sans" w:eastAsia="Times New Roman" w:hAnsi="IBM Plex Sans"/>
            <w:color w:val="016676"/>
            <w:sz w:val="20"/>
            <w:szCs w:val="20"/>
          </w:rPr>
          <w:t xml:space="preserve">(4)(e) (i) Subordinated Indenture, dated as of September 3, 2003, between </w:t>
        </w:r>
      </w:hyperlink>
      <w:hyperlink r:id="rId90" w:history="1">
        <w:r>
          <w:rPr>
            <w:rStyle w:val="a3"/>
            <w:rFonts w:ascii="IBM Plex Sans" w:eastAsia="Times New Roman" w:hAnsi="IBM Plex Sans"/>
            <w:color w:val="016676"/>
            <w:sz w:val="20"/>
            <w:szCs w:val="20"/>
          </w:rPr>
          <w:t>L3Harris Technologies, Inc. (formerly known as Harris Corporation)</w:t>
        </w:r>
      </w:hyperlink>
      <w:hyperlink r:id="rId91" w:history="1">
        <w:r>
          <w:rPr>
            <w:rStyle w:val="a3"/>
            <w:rFonts w:ascii="IBM Plex Sans" w:eastAsia="Times New Roman" w:hAnsi="IBM Plex Sans"/>
            <w:color w:val="016676"/>
            <w:sz w:val="20"/>
            <w:szCs w:val="20"/>
          </w:rPr>
          <w:t xml:space="preserve"> and The Bank of New York Mellon Trust Company, N.A., as successor to Th</w:t>
        </w:r>
        <w:r>
          <w:rPr>
            <w:rStyle w:val="a3"/>
            <w:rFonts w:ascii="IBM Plex Sans" w:eastAsia="Times New Roman" w:hAnsi="IBM Plex Sans"/>
            <w:color w:val="016676"/>
            <w:sz w:val="20"/>
            <w:szCs w:val="20"/>
          </w:rPr>
          <w:t xml:space="preserve">e Bank of New York, as Trustee, relating to unlimited amounts of debt securities which may be issued from time to time by </w:t>
        </w:r>
      </w:hyperlink>
      <w:hyperlink r:id="rId92" w:history="1">
        <w:r>
          <w:rPr>
            <w:rStyle w:val="a3"/>
            <w:rFonts w:ascii="IBM Plex Sans" w:eastAsia="Times New Roman" w:hAnsi="IBM Plex Sans"/>
            <w:color w:val="016676"/>
            <w:sz w:val="20"/>
            <w:szCs w:val="20"/>
          </w:rPr>
          <w:t>L3Harris Technologies, Inc. (forme</w:t>
        </w:r>
        <w:r>
          <w:rPr>
            <w:rStyle w:val="a3"/>
            <w:rFonts w:ascii="IBM Plex Sans" w:eastAsia="Times New Roman" w:hAnsi="IBM Plex Sans"/>
            <w:color w:val="016676"/>
            <w:sz w:val="20"/>
            <w:szCs w:val="20"/>
          </w:rPr>
          <w:t>rly known as Harris Corporation)</w:t>
        </w:r>
      </w:hyperlink>
      <w:hyperlink r:id="rId93" w:history="1">
        <w:r>
          <w:rPr>
            <w:rStyle w:val="a3"/>
            <w:rFonts w:ascii="IBM Plex Sans" w:eastAsia="Times New Roman" w:hAnsi="IBM Plex Sans"/>
            <w:color w:val="016676"/>
            <w:sz w:val="20"/>
            <w:szCs w:val="20"/>
          </w:rPr>
          <w:t xml:space="preserve"> when and as authorized by the </w:t>
        </w:r>
      </w:hyperlink>
      <w:hyperlink r:id="rId94" w:history="1">
        <w:r>
          <w:rPr>
            <w:rStyle w:val="a3"/>
            <w:rFonts w:ascii="IBM Plex Sans" w:eastAsia="Times New Roman" w:hAnsi="IBM Plex Sans"/>
            <w:color w:val="016676"/>
            <w:sz w:val="20"/>
            <w:szCs w:val="20"/>
          </w:rPr>
          <w:t>L3Harris Technologies, Inc.'s (formerly known as Harris Corporation)</w:t>
        </w:r>
      </w:hyperlink>
      <w:hyperlink r:id="rId95" w:history="1">
        <w:r>
          <w:rPr>
            <w:rStyle w:val="a3"/>
            <w:rFonts w:ascii="IBM Plex Sans" w:eastAsia="Times New Roman" w:hAnsi="IBM Plex Sans"/>
            <w:color w:val="016676"/>
            <w:sz w:val="20"/>
            <w:szCs w:val="20"/>
          </w:rPr>
          <w:t xml:space="preserve"> Board of Directors or a Committee of the Board, incorporated herein by reference to Exhibit 4(c) to the </w:t>
        </w:r>
      </w:hyperlink>
      <w:hyperlink r:id="rId96" w:history="1">
        <w:r>
          <w:rPr>
            <w:rStyle w:val="a3"/>
            <w:rFonts w:ascii="IBM Plex Sans" w:eastAsia="Times New Roman" w:hAnsi="IBM Plex Sans"/>
            <w:color w:val="016676"/>
            <w:sz w:val="20"/>
            <w:szCs w:val="20"/>
          </w:rPr>
          <w:t>L3Harris Technologies, Inc.'s (formerly known as Harris Corporation)</w:t>
        </w:r>
      </w:hyperlink>
      <w:hyperlink r:id="rId97" w:history="1">
        <w:r>
          <w:rPr>
            <w:rStyle w:val="a3"/>
            <w:rFonts w:ascii="IBM Plex Sans" w:eastAsia="Times New Roman" w:hAnsi="IBM Plex Sans"/>
            <w:color w:val="016676"/>
            <w:sz w:val="20"/>
            <w:szCs w:val="20"/>
          </w:rPr>
          <w:t xml:space="preserve"> Registration Statement on Form S-3, Re</w:t>
        </w:r>
        <w:r>
          <w:rPr>
            <w:rStyle w:val="a3"/>
            <w:rFonts w:ascii="IBM Plex Sans" w:eastAsia="Times New Roman" w:hAnsi="IBM Plex Sans"/>
            <w:color w:val="016676"/>
            <w:sz w:val="20"/>
            <w:szCs w:val="20"/>
          </w:rPr>
          <w:t>gistration Statement No. 333-108486, filed with the SEC on September 3, 2003</w:t>
        </w:r>
      </w:hyperlink>
    </w:p>
    <w:p w:rsidR="00000000" w:rsidRDefault="00F5481A">
      <w:pPr>
        <w:ind w:firstLine="360"/>
        <w:jc w:val="center"/>
        <w:divId w:val="675619504"/>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119</w:t>
      </w:r>
    </w:p>
    <w:p w:rsidR="00000000" w:rsidRDefault="00F5481A">
      <w:pPr>
        <w:rPr>
          <w:rFonts w:eastAsia="Times New Roman"/>
        </w:rPr>
      </w:pPr>
      <w:r>
        <w:rPr>
          <w:rFonts w:eastAsia="Times New Roman"/>
        </w:rPr>
        <w:pict>
          <v:rect id="_x0000_i1150" style="width:0;height:1.5pt" o:hralign="center" o:hrstd="t" o:hr="t" fillcolor="#a0a0a0" stroked="f"/>
        </w:pict>
      </w:r>
    </w:p>
    <w:p w:rsidR="00000000" w:rsidRDefault="00F5481A">
      <w:pPr>
        <w:ind w:firstLine="360"/>
        <w:divId w:val="1725715309"/>
        <w:rPr>
          <w:rFonts w:eastAsia="Times New Roman"/>
        </w:rPr>
      </w:pPr>
    </w:p>
    <w:p w:rsidR="00000000" w:rsidRDefault="00F5481A">
      <w:pPr>
        <w:divId w:val="248195751"/>
        <w:rPr>
          <w:rFonts w:eastAsia="Times New Roman"/>
        </w:rPr>
      </w:pPr>
      <w:hyperlink r:id="rId98" w:history="1">
        <w:r>
          <w:rPr>
            <w:rStyle w:val="a3"/>
            <w:rFonts w:ascii="IBM Plex Sans" w:eastAsia="Times New Roman" w:hAnsi="IBM Plex Sans"/>
            <w:color w:val="016676"/>
            <w:sz w:val="20"/>
            <w:szCs w:val="20"/>
          </w:rPr>
          <w:t xml:space="preserve">(ii) Instrument of Resignation of Trustee, Appointment and Acceptance of Successor Trustee, dated as of June 2, 2009, among </w:t>
        </w:r>
      </w:hyperlink>
      <w:hyperlink r:id="rId99" w:history="1">
        <w:r>
          <w:rPr>
            <w:rStyle w:val="a3"/>
            <w:rFonts w:ascii="IBM Plex Sans" w:eastAsia="Times New Roman" w:hAnsi="IBM Plex Sans"/>
            <w:color w:val="016676"/>
            <w:sz w:val="20"/>
            <w:szCs w:val="20"/>
          </w:rPr>
          <w:t>L3Harris Technologies, Inc. (formerly known as Harris Corporation)</w:t>
        </w:r>
      </w:hyperlink>
      <w:hyperlink r:id="rId100" w:history="1">
        <w:r>
          <w:rPr>
            <w:rStyle w:val="a3"/>
            <w:rFonts w:ascii="IBM Plex Sans" w:eastAsia="Times New Roman" w:hAnsi="IBM Plex Sans"/>
            <w:color w:val="016676"/>
            <w:sz w:val="20"/>
            <w:szCs w:val="20"/>
          </w:rPr>
          <w:t xml:space="preserve">, The Bank of New York Mellon (formerly known as The Bank of New York) and The Bank of New </w:t>
        </w:r>
        <w:r>
          <w:rPr>
            <w:rStyle w:val="a3"/>
            <w:rFonts w:ascii="IBM Plex Sans" w:eastAsia="Times New Roman" w:hAnsi="IBM Plex Sans"/>
            <w:color w:val="016676"/>
            <w:sz w:val="20"/>
            <w:szCs w:val="20"/>
          </w:rPr>
          <w:t xml:space="preserve">York Mellon Trust Company, N.A., as to Subordinated Indenture dated as of September 3, 2003, incorporated herein by reference to Exhibit 4(n) to </w:t>
        </w:r>
      </w:hyperlink>
      <w:hyperlink r:id="rId101" w:history="1">
        <w:r>
          <w:rPr>
            <w:rStyle w:val="a3"/>
            <w:rFonts w:ascii="IBM Plex Sans" w:eastAsia="Times New Roman" w:hAnsi="IBM Plex Sans"/>
            <w:color w:val="016676"/>
            <w:sz w:val="20"/>
            <w:szCs w:val="20"/>
          </w:rPr>
          <w:t>L3Harris Tec</w:t>
        </w:r>
        <w:r>
          <w:rPr>
            <w:rStyle w:val="a3"/>
            <w:rFonts w:ascii="IBM Plex Sans" w:eastAsia="Times New Roman" w:hAnsi="IBM Plex Sans"/>
            <w:color w:val="016676"/>
            <w:sz w:val="20"/>
            <w:szCs w:val="20"/>
          </w:rPr>
          <w:t>hnologies, Inc.'s (formerly known as Harris Corporation)</w:t>
        </w:r>
      </w:hyperlink>
      <w:hyperlink r:id="rId102" w:history="1">
        <w:r>
          <w:rPr>
            <w:rStyle w:val="a3"/>
            <w:rFonts w:ascii="IBM Plex Sans" w:eastAsia="Times New Roman" w:hAnsi="IBM Plex Sans"/>
            <w:color w:val="016676"/>
            <w:sz w:val="20"/>
            <w:szCs w:val="20"/>
          </w:rPr>
          <w:t xml:space="preserve"> Registration Statement on Form S-3, Registration Statement No. 333-159688, filed with the SEC on Jun</w:t>
        </w:r>
        <w:r>
          <w:rPr>
            <w:rStyle w:val="a3"/>
            <w:rFonts w:ascii="IBM Plex Sans" w:eastAsia="Times New Roman" w:hAnsi="IBM Plex Sans"/>
            <w:color w:val="016676"/>
            <w:sz w:val="20"/>
            <w:szCs w:val="20"/>
          </w:rPr>
          <w:t>e 3, 2009</w:t>
        </w:r>
      </w:hyperlink>
    </w:p>
    <w:p w:rsidR="00000000" w:rsidRDefault="00F5481A">
      <w:pPr>
        <w:ind w:hanging="900"/>
        <w:divId w:val="1841771418"/>
        <w:rPr>
          <w:rFonts w:eastAsia="Times New Roman"/>
        </w:rPr>
      </w:pPr>
      <w:hyperlink r:id="rId103" w:history="1">
        <w:r>
          <w:rPr>
            <w:rStyle w:val="a3"/>
            <w:rFonts w:ascii="IBM Plex Sans" w:eastAsia="Times New Roman" w:hAnsi="IBM Plex Sans"/>
            <w:color w:val="016676"/>
            <w:sz w:val="20"/>
            <w:szCs w:val="20"/>
          </w:rPr>
          <w:t>(4)(f)</w:t>
        </w:r>
      </w:hyperlink>
      <w:hyperlink r:id="rId104" w:history="1">
        <w:r>
          <w:rPr>
            <w:rStyle w:val="a3"/>
            <w:rFonts w:ascii="IBM Plex Sans" w:eastAsia="Times New Roman" w:hAnsi="IBM Plex Sans"/>
            <w:color w:val="016676"/>
            <w:sz w:val="20"/>
            <w:szCs w:val="20"/>
          </w:rPr>
          <w:t xml:space="preserve"> </w:t>
        </w:r>
      </w:hyperlink>
      <w:hyperlink r:id="rId105" w:history="1">
        <w:r>
          <w:rPr>
            <w:rStyle w:val="a3"/>
            <w:rFonts w:ascii="IBM Plex Sans" w:eastAsia="Times New Roman" w:hAnsi="IBM Plex Sans"/>
            <w:color w:val="016676"/>
            <w:sz w:val="20"/>
            <w:szCs w:val="20"/>
          </w:rPr>
          <w:t>Form of Floating Rate Global Note due March 2023, incorporated herein by reference to Exhibit 4.1 to L3Harris Technologies, Inc.’s Current Report</w:t>
        </w:r>
        <w:r>
          <w:rPr>
            <w:rStyle w:val="a3"/>
            <w:rFonts w:ascii="IBM Plex Sans" w:eastAsia="Times New Roman" w:hAnsi="IBM Plex Sans"/>
            <w:color w:val="016676"/>
            <w:sz w:val="20"/>
            <w:szCs w:val="20"/>
          </w:rPr>
          <w:t xml:space="preserve"> on Form 8-K filed with the SEC on March 13, 2020. (Commission File Number 1-3863)</w:t>
        </w:r>
      </w:hyperlink>
    </w:p>
    <w:p w:rsidR="00000000" w:rsidRDefault="00F5481A">
      <w:pPr>
        <w:ind w:hanging="900"/>
        <w:divId w:val="1155998728"/>
        <w:rPr>
          <w:rFonts w:eastAsia="Times New Roman"/>
        </w:rPr>
      </w:pPr>
      <w:hyperlink r:id="rId106" w:history="1">
        <w:r>
          <w:rPr>
            <w:rStyle w:val="a3"/>
            <w:rFonts w:ascii="IBM Plex Sans" w:eastAsia="Times New Roman" w:hAnsi="IBM Plex Sans"/>
            <w:color w:val="016676"/>
            <w:sz w:val="20"/>
            <w:szCs w:val="20"/>
          </w:rPr>
          <w:t>(4)(g)</w:t>
        </w:r>
      </w:hyperlink>
      <w:hyperlink r:id="rId107" w:history="1">
        <w:r>
          <w:rPr>
            <w:rStyle w:val="a3"/>
            <w:rFonts w:ascii="IBM Plex Sans" w:eastAsia="Times New Roman" w:hAnsi="IBM Plex Sans"/>
            <w:color w:val="016676"/>
            <w:sz w:val="20"/>
            <w:szCs w:val="20"/>
          </w:rPr>
          <w:t xml:space="preserve"> </w:t>
        </w:r>
      </w:hyperlink>
      <w:hyperlink r:id="rId108" w:history="1">
        <w:r>
          <w:rPr>
            <w:rStyle w:val="a3"/>
            <w:rFonts w:ascii="IBM Plex Sans" w:eastAsia="Times New Roman" w:hAnsi="IBM Plex Sans"/>
            <w:color w:val="016676"/>
            <w:sz w:val="20"/>
            <w:szCs w:val="20"/>
          </w:rPr>
          <w:t xml:space="preserve">Form of 3.832% Global Note due 2025, incorporated herein by reference to Exhibit 4.3 to </w:t>
        </w:r>
      </w:hyperlink>
      <w:hyperlink r:id="rId109" w:history="1">
        <w:r>
          <w:rPr>
            <w:rStyle w:val="a3"/>
            <w:rFonts w:ascii="IBM Plex Sans" w:eastAsia="Times New Roman" w:hAnsi="IBM Plex Sans"/>
            <w:color w:val="016676"/>
            <w:sz w:val="20"/>
            <w:szCs w:val="20"/>
          </w:rPr>
          <w:t>L3Harris Technologies, Inc.'s (formerly known as Harris Corporation)</w:t>
        </w:r>
      </w:hyperlink>
      <w:hyperlink r:id="rId110" w:history="1">
        <w:r>
          <w:rPr>
            <w:rStyle w:val="a3"/>
            <w:rFonts w:ascii="IBM Plex Sans" w:eastAsia="Times New Roman" w:hAnsi="IBM Plex Sans"/>
            <w:color w:val="016676"/>
            <w:sz w:val="20"/>
            <w:szCs w:val="20"/>
          </w:rPr>
          <w:t xml:space="preserve"> Current Report on Form 8-K</w:t>
        </w:r>
        <w:r>
          <w:rPr>
            <w:rStyle w:val="a3"/>
            <w:rFonts w:ascii="IBM Plex Sans" w:eastAsia="Times New Roman" w:hAnsi="IBM Plex Sans"/>
            <w:color w:val="016676"/>
            <w:sz w:val="20"/>
            <w:szCs w:val="20"/>
          </w:rPr>
          <w:t xml:space="preserve"> filed with the SEC on April 27, 2015. (Commission File Number 1-3863)</w:t>
        </w:r>
      </w:hyperlink>
    </w:p>
    <w:p w:rsidR="00000000" w:rsidRDefault="00F5481A">
      <w:pPr>
        <w:ind w:hanging="900"/>
        <w:divId w:val="1474444507"/>
        <w:rPr>
          <w:rFonts w:eastAsia="Times New Roman"/>
        </w:rPr>
      </w:pPr>
      <w:hyperlink r:id="rId111" w:history="1">
        <w:r>
          <w:rPr>
            <w:rStyle w:val="a3"/>
            <w:rFonts w:ascii="IBM Plex Sans" w:eastAsia="Times New Roman" w:hAnsi="IBM Plex Sans"/>
            <w:color w:val="016676"/>
            <w:sz w:val="20"/>
            <w:szCs w:val="20"/>
          </w:rPr>
          <w:t>(4)(h)</w:t>
        </w:r>
      </w:hyperlink>
      <w:hyperlink r:id="rId112" w:history="1">
        <w:r>
          <w:rPr>
            <w:rStyle w:val="a3"/>
            <w:rFonts w:ascii="IBM Plex Sans" w:eastAsia="Times New Roman" w:hAnsi="IBM Plex Sans"/>
            <w:color w:val="016676"/>
            <w:sz w:val="20"/>
            <w:szCs w:val="20"/>
          </w:rPr>
          <w:t xml:space="preserve"> </w:t>
        </w:r>
      </w:hyperlink>
      <w:hyperlink r:id="rId113" w:history="1">
        <w:r>
          <w:rPr>
            <w:rStyle w:val="a3"/>
            <w:rFonts w:ascii="IBM Plex Sans" w:eastAsia="Times New Roman" w:hAnsi="IBM Plex Sans"/>
            <w:color w:val="016676"/>
            <w:sz w:val="20"/>
            <w:szCs w:val="20"/>
          </w:rPr>
          <w:t xml:space="preserve">Form of 4.400% Global Note due 2028, incorporated herein by reference to Exhibit 4.1 to </w:t>
        </w:r>
      </w:hyperlink>
      <w:hyperlink r:id="rId114" w:history="1">
        <w:r>
          <w:rPr>
            <w:rStyle w:val="a3"/>
            <w:rFonts w:ascii="IBM Plex Sans" w:eastAsia="Times New Roman" w:hAnsi="IBM Plex Sans"/>
            <w:color w:val="016676"/>
            <w:sz w:val="20"/>
            <w:szCs w:val="20"/>
          </w:rPr>
          <w:t>L3Harris Technologies, Inc.'s (formerly known as Harris Corporation)</w:t>
        </w:r>
      </w:hyperlink>
      <w:hyperlink r:id="rId115" w:history="1">
        <w:r>
          <w:rPr>
            <w:rStyle w:val="a3"/>
            <w:rFonts w:ascii="IBM Plex Sans" w:eastAsia="Times New Roman" w:hAnsi="IBM Plex Sans"/>
            <w:color w:val="016676"/>
            <w:sz w:val="20"/>
            <w:szCs w:val="20"/>
          </w:rPr>
          <w:t xml:space="preserve"> Current Report on Form 8-K filed with the SEC on June 4, 2018. (Commission File Number 1-3863)</w:t>
        </w:r>
      </w:hyperlink>
    </w:p>
    <w:p w:rsidR="00000000" w:rsidRDefault="00F5481A">
      <w:pPr>
        <w:ind w:hanging="900"/>
        <w:divId w:val="868303200"/>
        <w:rPr>
          <w:rFonts w:eastAsia="Times New Roman"/>
        </w:rPr>
      </w:pPr>
      <w:hyperlink r:id="rId116" w:history="1">
        <w:r>
          <w:rPr>
            <w:rStyle w:val="a3"/>
            <w:rFonts w:ascii="IBM Plex Sans" w:eastAsia="Times New Roman" w:hAnsi="IBM Plex Sans"/>
            <w:color w:val="016676"/>
            <w:sz w:val="20"/>
            <w:szCs w:val="20"/>
          </w:rPr>
          <w:t>(4)(i)</w:t>
        </w:r>
      </w:hyperlink>
      <w:hyperlink r:id="rId117" w:history="1">
        <w:r>
          <w:rPr>
            <w:rStyle w:val="a3"/>
            <w:rFonts w:ascii="IBM Plex Sans" w:eastAsia="Times New Roman" w:hAnsi="IBM Plex Sans"/>
            <w:color w:val="016676"/>
            <w:sz w:val="20"/>
            <w:szCs w:val="20"/>
          </w:rPr>
          <w:t xml:space="preserve"> </w:t>
        </w:r>
      </w:hyperlink>
      <w:hyperlink r:id="rId118" w:history="1">
        <w:r>
          <w:rPr>
            <w:rStyle w:val="a3"/>
            <w:rFonts w:ascii="IBM Plex Sans" w:eastAsia="Times New Roman" w:hAnsi="IBM Plex Sans"/>
            <w:color w:val="016676"/>
            <w:sz w:val="20"/>
            <w:szCs w:val="20"/>
          </w:rPr>
          <w:t>Form of 2.90% Global Note due 2029, incorporated herein by refer</w:t>
        </w:r>
        <w:r>
          <w:rPr>
            <w:rStyle w:val="a3"/>
            <w:rFonts w:ascii="IBM Plex Sans" w:eastAsia="Times New Roman" w:hAnsi="IBM Plex Sans"/>
            <w:color w:val="016676"/>
            <w:sz w:val="20"/>
            <w:szCs w:val="20"/>
          </w:rPr>
          <w:t xml:space="preserve">ence to Exhibit </w:t>
        </w:r>
      </w:hyperlink>
      <w:hyperlink r:id="rId119" w:history="1">
        <w:r>
          <w:rPr>
            <w:rStyle w:val="a3"/>
            <w:rFonts w:ascii="IBM Plex Sans" w:eastAsia="Times New Roman" w:hAnsi="IBM Plex Sans"/>
            <w:color w:val="016676"/>
            <w:sz w:val="20"/>
            <w:szCs w:val="20"/>
          </w:rPr>
          <w:t>1</w:t>
        </w:r>
      </w:hyperlink>
      <w:hyperlink r:id="rId120" w:history="1">
        <w:r>
          <w:rPr>
            <w:rStyle w:val="a3"/>
            <w:rFonts w:ascii="IBM Plex Sans" w:eastAsia="Times New Roman" w:hAnsi="IBM Plex Sans"/>
            <w:color w:val="016676"/>
            <w:sz w:val="20"/>
            <w:szCs w:val="20"/>
          </w:rPr>
          <w:t>.1 to L3Harris Technologies, Inc.’s Current Report on Form 8-K filed with the SEC on November 27, 2019. (Commission File Number 1-3863)</w:t>
        </w:r>
      </w:hyperlink>
    </w:p>
    <w:p w:rsidR="00000000" w:rsidRDefault="00F5481A">
      <w:pPr>
        <w:ind w:hanging="900"/>
        <w:divId w:val="593975006"/>
        <w:rPr>
          <w:rFonts w:eastAsia="Times New Roman"/>
        </w:rPr>
      </w:pPr>
      <w:hyperlink r:id="rId121" w:history="1">
        <w:r>
          <w:rPr>
            <w:rStyle w:val="a3"/>
            <w:rFonts w:ascii="IBM Plex Sans" w:eastAsia="Times New Roman" w:hAnsi="IBM Plex Sans"/>
            <w:color w:val="016676"/>
            <w:sz w:val="20"/>
            <w:szCs w:val="20"/>
          </w:rPr>
          <w:t>(4)(j)</w:t>
        </w:r>
      </w:hyperlink>
      <w:hyperlink r:id="rId122" w:history="1">
        <w:r>
          <w:rPr>
            <w:rStyle w:val="a3"/>
            <w:rFonts w:ascii="IBM Plex Sans" w:eastAsia="Times New Roman" w:hAnsi="IBM Plex Sans"/>
            <w:color w:val="016676"/>
            <w:sz w:val="20"/>
            <w:szCs w:val="20"/>
          </w:rPr>
          <w:t xml:space="preserve"> </w:t>
        </w:r>
      </w:hyperlink>
      <w:hyperlink r:id="rId123" w:history="1">
        <w:r>
          <w:rPr>
            <w:rStyle w:val="a3"/>
            <w:rFonts w:ascii="IBM Plex Sans" w:eastAsia="Times New Roman" w:hAnsi="IBM Plex Sans"/>
            <w:color w:val="016676"/>
            <w:sz w:val="20"/>
            <w:szCs w:val="20"/>
          </w:rPr>
          <w:t>Form of 1.80% Global Note due 2031, incorporated herein by reference to Exhibit 4.1 to L3Harris Technologies, Inc.’s Current Report on Form 8-K filed with the SEC on November 25, 2020.</w:t>
        </w:r>
        <w:r>
          <w:rPr>
            <w:rStyle w:val="a3"/>
            <w:rFonts w:ascii="IBM Plex Sans" w:eastAsia="Times New Roman" w:hAnsi="IBM Plex Sans"/>
            <w:color w:val="016676"/>
            <w:sz w:val="20"/>
            <w:szCs w:val="20"/>
          </w:rPr>
          <w:t xml:space="preserve"> (Commission File Number 1-3863)</w:t>
        </w:r>
      </w:hyperlink>
    </w:p>
    <w:p w:rsidR="00000000" w:rsidRDefault="00F5481A">
      <w:pPr>
        <w:ind w:hanging="900"/>
        <w:divId w:val="813791345"/>
        <w:rPr>
          <w:rFonts w:eastAsia="Times New Roman"/>
        </w:rPr>
      </w:pPr>
      <w:hyperlink r:id="rId124" w:history="1">
        <w:r>
          <w:rPr>
            <w:rStyle w:val="a3"/>
            <w:rFonts w:ascii="IBM Plex Sans" w:eastAsia="Times New Roman" w:hAnsi="IBM Plex Sans"/>
            <w:color w:val="016676"/>
            <w:sz w:val="20"/>
            <w:szCs w:val="20"/>
          </w:rPr>
          <w:t>(4)(k)</w:t>
        </w:r>
      </w:hyperlink>
      <w:hyperlink r:id="rId125" w:history="1">
        <w:r>
          <w:rPr>
            <w:rStyle w:val="a3"/>
            <w:rFonts w:ascii="IBM Plex Sans" w:eastAsia="Times New Roman" w:hAnsi="IBM Plex Sans"/>
            <w:color w:val="016676"/>
            <w:sz w:val="20"/>
            <w:szCs w:val="20"/>
          </w:rPr>
          <w:t xml:space="preserve"> </w:t>
        </w:r>
      </w:hyperlink>
      <w:hyperlink r:id="rId126" w:history="1">
        <w:r>
          <w:rPr>
            <w:rStyle w:val="a3"/>
            <w:rFonts w:ascii="IBM Plex Sans" w:eastAsia="Times New Roman" w:hAnsi="IBM Plex Sans"/>
            <w:color w:val="016676"/>
            <w:sz w:val="20"/>
            <w:szCs w:val="20"/>
          </w:rPr>
          <w:t xml:space="preserve">Form of 4.854% Global Note due 2035, incorporated herein by reference to Exhibit 4.4 to </w:t>
        </w:r>
      </w:hyperlink>
      <w:hyperlink r:id="rId127" w:history="1">
        <w:r>
          <w:rPr>
            <w:rStyle w:val="a3"/>
            <w:rFonts w:ascii="IBM Plex Sans" w:eastAsia="Times New Roman" w:hAnsi="IBM Plex Sans"/>
            <w:color w:val="016676"/>
            <w:sz w:val="20"/>
            <w:szCs w:val="20"/>
          </w:rPr>
          <w:t>L3Harris Technologies, Inc.'s (formerly known as Harris Corporation)</w:t>
        </w:r>
      </w:hyperlink>
      <w:hyperlink r:id="rId128" w:history="1">
        <w:r>
          <w:rPr>
            <w:rStyle w:val="a3"/>
            <w:rFonts w:ascii="IBM Plex Sans" w:eastAsia="Times New Roman" w:hAnsi="IBM Plex Sans"/>
            <w:color w:val="016676"/>
            <w:sz w:val="20"/>
            <w:szCs w:val="20"/>
          </w:rPr>
          <w:t xml:space="preserve"> Current Report on Form 8-K filed with the SEC on April 27, 2015. (Commission</w:t>
        </w:r>
        <w:r>
          <w:rPr>
            <w:rStyle w:val="a3"/>
            <w:rFonts w:ascii="IBM Plex Sans" w:eastAsia="Times New Roman" w:hAnsi="IBM Plex Sans"/>
            <w:color w:val="016676"/>
            <w:sz w:val="20"/>
            <w:szCs w:val="20"/>
          </w:rPr>
          <w:t xml:space="preserve"> File Number 1-3863)</w:t>
        </w:r>
      </w:hyperlink>
    </w:p>
    <w:p w:rsidR="00000000" w:rsidRDefault="00F5481A">
      <w:pPr>
        <w:ind w:hanging="900"/>
        <w:divId w:val="937562184"/>
        <w:rPr>
          <w:rFonts w:eastAsia="Times New Roman"/>
        </w:rPr>
      </w:pPr>
      <w:hyperlink r:id="rId129" w:history="1">
        <w:r>
          <w:rPr>
            <w:rStyle w:val="a3"/>
            <w:rFonts w:ascii="IBM Plex Sans" w:eastAsia="Times New Roman" w:hAnsi="IBM Plex Sans"/>
            <w:color w:val="016676"/>
            <w:sz w:val="20"/>
            <w:szCs w:val="20"/>
          </w:rPr>
          <w:t>(4)(l)</w:t>
        </w:r>
      </w:hyperlink>
      <w:hyperlink r:id="rId130" w:history="1">
        <w:r>
          <w:rPr>
            <w:rStyle w:val="a3"/>
            <w:rFonts w:ascii="IBM Plex Sans" w:eastAsia="Times New Roman" w:hAnsi="IBM Plex Sans"/>
            <w:color w:val="016676"/>
            <w:sz w:val="20"/>
            <w:szCs w:val="20"/>
          </w:rPr>
          <w:t xml:space="preserve"> </w:t>
        </w:r>
      </w:hyperlink>
      <w:hyperlink r:id="rId131" w:history="1">
        <w:r>
          <w:rPr>
            <w:rStyle w:val="a3"/>
            <w:rFonts w:ascii="IBM Plex Sans" w:eastAsia="Times New Roman" w:hAnsi="IBM Plex Sans"/>
            <w:color w:val="016676"/>
            <w:sz w:val="20"/>
            <w:szCs w:val="20"/>
          </w:rPr>
          <w:t xml:space="preserve">Form of 6.15% Global Note due 2040, incorporated herein by reference to Exhibit 4.2 to </w:t>
        </w:r>
      </w:hyperlink>
      <w:hyperlink r:id="rId132" w:history="1">
        <w:r>
          <w:rPr>
            <w:rStyle w:val="a3"/>
            <w:rFonts w:ascii="IBM Plex Sans" w:eastAsia="Times New Roman" w:hAnsi="IBM Plex Sans"/>
            <w:color w:val="016676"/>
            <w:sz w:val="20"/>
            <w:szCs w:val="20"/>
          </w:rPr>
          <w:t>L</w:t>
        </w:r>
        <w:r>
          <w:rPr>
            <w:rStyle w:val="a3"/>
            <w:rFonts w:ascii="IBM Plex Sans" w:eastAsia="Times New Roman" w:hAnsi="IBM Plex Sans"/>
            <w:color w:val="016676"/>
            <w:sz w:val="20"/>
            <w:szCs w:val="20"/>
          </w:rPr>
          <w:t>3Harris Technologies, Inc.'s (formerly known as Harris Corporation)</w:t>
        </w:r>
      </w:hyperlink>
      <w:hyperlink r:id="rId133" w:history="1">
        <w:r>
          <w:rPr>
            <w:rStyle w:val="a3"/>
            <w:rFonts w:ascii="IBM Plex Sans" w:eastAsia="Times New Roman" w:hAnsi="IBM Plex Sans"/>
            <w:color w:val="016676"/>
            <w:sz w:val="20"/>
            <w:szCs w:val="20"/>
          </w:rPr>
          <w:t xml:space="preserve"> Current Report on Form 8-K filed with the SEC on December 3, 2010. (Commission File Numbe</w:t>
        </w:r>
        <w:r>
          <w:rPr>
            <w:rStyle w:val="a3"/>
            <w:rFonts w:ascii="IBM Plex Sans" w:eastAsia="Times New Roman" w:hAnsi="IBM Plex Sans"/>
            <w:color w:val="016676"/>
            <w:sz w:val="20"/>
            <w:szCs w:val="20"/>
          </w:rPr>
          <w:t>r 1-3863)</w:t>
        </w:r>
      </w:hyperlink>
    </w:p>
    <w:p w:rsidR="00000000" w:rsidRDefault="00F5481A">
      <w:pPr>
        <w:ind w:hanging="900"/>
        <w:divId w:val="859008837"/>
        <w:rPr>
          <w:rFonts w:eastAsia="Times New Roman"/>
        </w:rPr>
      </w:pPr>
      <w:hyperlink r:id="rId134" w:history="1">
        <w:r>
          <w:rPr>
            <w:rStyle w:val="a3"/>
            <w:rFonts w:ascii="IBM Plex Sans" w:eastAsia="Times New Roman" w:hAnsi="IBM Plex Sans"/>
            <w:color w:val="016676"/>
            <w:sz w:val="20"/>
            <w:szCs w:val="20"/>
          </w:rPr>
          <w:t xml:space="preserve">(4)(m) </w:t>
        </w:r>
        <w:r>
          <w:rPr>
            <w:rStyle w:val="a3"/>
            <w:rFonts w:ascii="IBM Plex Sans" w:eastAsia="Times New Roman" w:hAnsi="IBM Plex Sans"/>
            <w:color w:val="016676"/>
            <w:sz w:val="20"/>
            <w:szCs w:val="20"/>
          </w:rPr>
          <w:t xml:space="preserve">Form of 5.054% Global Note due 2045, incorporated herein by reference to Exhibit 4.5 to </w:t>
        </w:r>
      </w:hyperlink>
      <w:hyperlink r:id="rId135" w:history="1">
        <w:r>
          <w:rPr>
            <w:rStyle w:val="a3"/>
            <w:rFonts w:ascii="IBM Plex Sans" w:eastAsia="Times New Roman" w:hAnsi="IBM Plex Sans"/>
            <w:color w:val="016676"/>
            <w:sz w:val="20"/>
            <w:szCs w:val="20"/>
          </w:rPr>
          <w:t>L3Harris Technologies, Inc.'s (formerly known as Harris Corporation)</w:t>
        </w:r>
      </w:hyperlink>
      <w:hyperlink r:id="rId136" w:history="1">
        <w:r>
          <w:rPr>
            <w:rStyle w:val="a3"/>
            <w:rFonts w:ascii="IBM Plex Sans" w:eastAsia="Times New Roman" w:hAnsi="IBM Plex Sans"/>
            <w:color w:val="016676"/>
            <w:sz w:val="20"/>
            <w:szCs w:val="20"/>
          </w:rPr>
          <w:t xml:space="preserve"> Current Report on Form 8-K filed with the SEC on April 27, 2015. (Commission File Number 1-3863)</w:t>
        </w:r>
      </w:hyperlink>
    </w:p>
    <w:p w:rsidR="00000000" w:rsidRDefault="00F5481A">
      <w:pPr>
        <w:ind w:hanging="900"/>
        <w:divId w:val="1686401231"/>
        <w:rPr>
          <w:rFonts w:eastAsia="Times New Roman"/>
        </w:rPr>
      </w:pPr>
      <w:hyperlink r:id="rId137" w:history="1">
        <w:r>
          <w:rPr>
            <w:rStyle w:val="a3"/>
            <w:rFonts w:ascii="IBM Plex Sans" w:eastAsia="Times New Roman" w:hAnsi="IBM Plex Sans"/>
            <w:color w:val="016676"/>
            <w:sz w:val="20"/>
            <w:szCs w:val="20"/>
          </w:rPr>
          <w:t>(4)(n)</w:t>
        </w:r>
      </w:hyperlink>
      <w:hyperlink r:id="rId138" w:history="1">
        <w:r>
          <w:rPr>
            <w:rStyle w:val="a3"/>
            <w:rFonts w:ascii="IBM Plex Sans" w:eastAsia="Times New Roman" w:hAnsi="IBM Plex Sans"/>
            <w:color w:val="016676"/>
            <w:sz w:val="20"/>
            <w:szCs w:val="20"/>
          </w:rPr>
          <w:t xml:space="preserve"> </w:t>
        </w:r>
      </w:hyperlink>
      <w:hyperlink r:id="rId139" w:history="1">
        <w:r>
          <w:rPr>
            <w:rStyle w:val="a3"/>
            <w:rFonts w:ascii="IBM Plex Sans" w:eastAsia="Times New Roman" w:hAnsi="IBM Plex Sans"/>
            <w:color w:val="016676"/>
            <w:sz w:val="20"/>
            <w:szCs w:val="20"/>
          </w:rPr>
          <w:t>Registration Rights Agreement, da</w:t>
        </w:r>
        <w:r>
          <w:rPr>
            <w:rStyle w:val="a3"/>
            <w:rFonts w:ascii="IBM Plex Sans" w:eastAsia="Times New Roman" w:hAnsi="IBM Plex Sans"/>
            <w:color w:val="016676"/>
            <w:sz w:val="20"/>
            <w:szCs w:val="20"/>
          </w:rPr>
          <w:t xml:space="preserve">ted as of July 2, 2019, by and among L3Harris Technologies, Inc. (f/k/a </w:t>
        </w:r>
      </w:hyperlink>
      <w:hyperlink r:id="rId140" w:history="1">
        <w:r>
          <w:rPr>
            <w:rStyle w:val="a3"/>
            <w:rFonts w:ascii="IBM Plex Sans" w:eastAsia="Times New Roman" w:hAnsi="IBM Plex Sans"/>
            <w:color w:val="016676"/>
            <w:sz w:val="20"/>
            <w:szCs w:val="20"/>
          </w:rPr>
          <w:t>L3Harris Technologies, Inc. (formerly known as Harris Corporation)</w:t>
        </w:r>
      </w:hyperlink>
      <w:hyperlink r:id="rId141" w:history="1">
        <w:r>
          <w:rPr>
            <w:rStyle w:val="a3"/>
            <w:rFonts w:ascii="IBM Plex Sans" w:eastAsia="Times New Roman" w:hAnsi="IBM Plex Sans"/>
            <w:color w:val="016676"/>
            <w:sz w:val="20"/>
            <w:szCs w:val="20"/>
          </w:rPr>
          <w:t xml:space="preserve">), BofA Securities, Inc. and Morgan Stanley &amp; Co. LLC, incorporated herein by reference to Exhibit 4.1 to L3Harris Technologies, Inc.’s Current Report on Form 8-K filed with the SEC on July </w:t>
        </w:r>
        <w:r>
          <w:rPr>
            <w:rStyle w:val="a3"/>
            <w:rFonts w:ascii="IBM Plex Sans" w:eastAsia="Times New Roman" w:hAnsi="IBM Plex Sans"/>
            <w:color w:val="016676"/>
            <w:sz w:val="20"/>
            <w:szCs w:val="20"/>
          </w:rPr>
          <w:t>3, 2019. (Commission File Number 1-3863)</w:t>
        </w:r>
      </w:hyperlink>
    </w:p>
    <w:p w:rsidR="00000000" w:rsidRDefault="00F5481A">
      <w:pPr>
        <w:ind w:hanging="900"/>
        <w:divId w:val="1402630197"/>
        <w:rPr>
          <w:rFonts w:eastAsia="Times New Roman"/>
        </w:rPr>
      </w:pPr>
      <w:hyperlink r:id="rId142" w:history="1">
        <w:r>
          <w:rPr>
            <w:rStyle w:val="a3"/>
            <w:rFonts w:ascii="IBM Plex Sans" w:eastAsia="Times New Roman" w:hAnsi="IBM Plex Sans"/>
            <w:color w:val="016676"/>
            <w:sz w:val="20"/>
            <w:szCs w:val="20"/>
          </w:rPr>
          <w:t>(4)(o)</w:t>
        </w:r>
      </w:hyperlink>
      <w:hyperlink r:id="rId143" w:history="1">
        <w:r>
          <w:rPr>
            <w:rStyle w:val="a3"/>
            <w:rFonts w:ascii="IBM Plex Sans" w:eastAsia="Times New Roman" w:hAnsi="IBM Plex Sans"/>
            <w:color w:val="016676"/>
            <w:sz w:val="20"/>
            <w:szCs w:val="20"/>
          </w:rPr>
          <w:t xml:space="preserve"> </w:t>
        </w:r>
      </w:hyperlink>
      <w:hyperlink r:id="rId144" w:history="1">
        <w:r>
          <w:rPr>
            <w:rStyle w:val="a3"/>
            <w:rFonts w:ascii="IBM Plex Sans" w:eastAsia="Times New Roman" w:hAnsi="IBM Plex Sans"/>
            <w:color w:val="016676"/>
            <w:sz w:val="20"/>
            <w:szCs w:val="20"/>
          </w:rPr>
          <w:t>Form of New L3Harris 3.850% 2023 Rule 144A Note, incorporated herein by reference to Exhibit 4.4 to L3Harris Technologies, Inc.’s Current Report on Form 8-K filed with the SEC on July 3, 2</w:t>
        </w:r>
        <w:r>
          <w:rPr>
            <w:rStyle w:val="a3"/>
            <w:rFonts w:ascii="IBM Plex Sans" w:eastAsia="Times New Roman" w:hAnsi="IBM Plex Sans"/>
            <w:color w:val="016676"/>
            <w:sz w:val="20"/>
            <w:szCs w:val="20"/>
          </w:rPr>
          <w:t>019. (Commission File Number 1-3863)</w:t>
        </w:r>
      </w:hyperlink>
    </w:p>
    <w:p w:rsidR="00000000" w:rsidRDefault="00F5481A">
      <w:pPr>
        <w:ind w:hanging="900"/>
        <w:divId w:val="1433355979"/>
        <w:rPr>
          <w:rFonts w:eastAsia="Times New Roman"/>
        </w:rPr>
      </w:pPr>
      <w:hyperlink r:id="rId145" w:history="1">
        <w:r>
          <w:rPr>
            <w:rStyle w:val="a3"/>
            <w:rFonts w:ascii="IBM Plex Sans" w:eastAsia="Times New Roman" w:hAnsi="IBM Plex Sans"/>
            <w:color w:val="016676"/>
            <w:sz w:val="20"/>
            <w:szCs w:val="20"/>
          </w:rPr>
          <w:t>(4)(p)</w:t>
        </w:r>
      </w:hyperlink>
      <w:hyperlink r:id="rId146" w:history="1">
        <w:r>
          <w:rPr>
            <w:rStyle w:val="a3"/>
            <w:rFonts w:ascii="IBM Plex Sans" w:eastAsia="Times New Roman" w:hAnsi="IBM Plex Sans"/>
            <w:color w:val="016676"/>
            <w:sz w:val="20"/>
            <w:szCs w:val="20"/>
          </w:rPr>
          <w:t xml:space="preserve"> </w:t>
        </w:r>
      </w:hyperlink>
      <w:hyperlink r:id="rId147" w:history="1">
        <w:r>
          <w:rPr>
            <w:rStyle w:val="a3"/>
            <w:rFonts w:ascii="IBM Plex Sans" w:eastAsia="Times New Roman" w:hAnsi="IBM Plex Sans"/>
            <w:color w:val="016676"/>
            <w:sz w:val="20"/>
            <w:szCs w:val="20"/>
          </w:rPr>
          <w:t>Form of New L3Harris 3.850% 2023 Regulation S Note, incorporated herein by reference to Exhibit 4.5 to L3Harris Technologies, Inc.’s Current Report on Form 8-K filed with the SEC on July 3, 20</w:t>
        </w:r>
        <w:r>
          <w:rPr>
            <w:rStyle w:val="a3"/>
            <w:rFonts w:ascii="IBM Plex Sans" w:eastAsia="Times New Roman" w:hAnsi="IBM Plex Sans"/>
            <w:color w:val="016676"/>
            <w:sz w:val="20"/>
            <w:szCs w:val="20"/>
          </w:rPr>
          <w:t>19. (Commission File Number 1-3863)</w:t>
        </w:r>
      </w:hyperlink>
    </w:p>
    <w:p w:rsidR="00000000" w:rsidRDefault="00F5481A">
      <w:pPr>
        <w:ind w:hanging="900"/>
        <w:divId w:val="2018800386"/>
        <w:rPr>
          <w:rFonts w:eastAsia="Times New Roman"/>
        </w:rPr>
      </w:pPr>
      <w:hyperlink r:id="rId148" w:history="1">
        <w:r>
          <w:rPr>
            <w:rStyle w:val="a3"/>
            <w:rFonts w:ascii="IBM Plex Sans" w:eastAsia="Times New Roman" w:hAnsi="IBM Plex Sans"/>
            <w:color w:val="016676"/>
            <w:sz w:val="20"/>
            <w:szCs w:val="20"/>
          </w:rPr>
          <w:t>(4)(q)</w:t>
        </w:r>
      </w:hyperlink>
      <w:hyperlink r:id="rId149" w:history="1">
        <w:r>
          <w:rPr>
            <w:rStyle w:val="a3"/>
            <w:rFonts w:ascii="IBM Plex Sans" w:eastAsia="Times New Roman" w:hAnsi="IBM Plex Sans"/>
            <w:color w:val="016676"/>
            <w:sz w:val="20"/>
            <w:szCs w:val="20"/>
          </w:rPr>
          <w:t xml:space="preserve"> </w:t>
        </w:r>
      </w:hyperlink>
      <w:hyperlink r:id="rId150" w:history="1">
        <w:r>
          <w:rPr>
            <w:rStyle w:val="a3"/>
            <w:rFonts w:ascii="IBM Plex Sans" w:eastAsia="Times New Roman" w:hAnsi="IBM Plex Sans"/>
            <w:color w:val="016676"/>
            <w:sz w:val="20"/>
            <w:szCs w:val="20"/>
          </w:rPr>
          <w:t>Form of New L3Harris 3.950% 2024 Rule 144A Note, incorporated herein by</w:t>
        </w:r>
        <w:r>
          <w:rPr>
            <w:rStyle w:val="a3"/>
            <w:rFonts w:ascii="IBM Plex Sans" w:eastAsia="Times New Roman" w:hAnsi="IBM Plex Sans"/>
            <w:color w:val="016676"/>
            <w:sz w:val="20"/>
            <w:szCs w:val="20"/>
          </w:rPr>
          <w:t xml:space="preserve"> reference to Exhibit 4.6 to L3Harris Technologies, Inc.’s Current Report on Form 8-K filed with the SEC on July 3, 2019. (Commission File Number 1-3863)</w:t>
        </w:r>
      </w:hyperlink>
    </w:p>
    <w:p w:rsidR="00000000" w:rsidRDefault="00F5481A">
      <w:pPr>
        <w:ind w:hanging="900"/>
        <w:divId w:val="1153908636"/>
        <w:rPr>
          <w:rFonts w:eastAsia="Times New Roman"/>
        </w:rPr>
      </w:pPr>
      <w:hyperlink r:id="rId151" w:history="1">
        <w:r>
          <w:rPr>
            <w:rStyle w:val="a3"/>
            <w:rFonts w:ascii="IBM Plex Sans" w:eastAsia="Times New Roman" w:hAnsi="IBM Plex Sans"/>
            <w:color w:val="016676"/>
            <w:sz w:val="20"/>
            <w:szCs w:val="20"/>
          </w:rPr>
          <w:t>(4)(r)</w:t>
        </w:r>
      </w:hyperlink>
      <w:hyperlink r:id="rId152" w:history="1">
        <w:r>
          <w:rPr>
            <w:rStyle w:val="a3"/>
            <w:rFonts w:ascii="IBM Plex Sans" w:eastAsia="Times New Roman" w:hAnsi="IBM Plex Sans"/>
            <w:color w:val="016676"/>
            <w:sz w:val="20"/>
            <w:szCs w:val="20"/>
          </w:rPr>
          <w:t xml:space="preserve"> </w:t>
        </w:r>
      </w:hyperlink>
      <w:hyperlink r:id="rId153" w:history="1">
        <w:r>
          <w:rPr>
            <w:rStyle w:val="a3"/>
            <w:rFonts w:ascii="IBM Plex Sans" w:eastAsia="Times New Roman" w:hAnsi="IBM Plex Sans"/>
            <w:color w:val="016676"/>
            <w:sz w:val="20"/>
            <w:szCs w:val="20"/>
          </w:rPr>
          <w:t xml:space="preserve">Form of New L3Harris 3.950% 2024 Regulation S Note, incorporated herein by </w:t>
        </w:r>
        <w:r>
          <w:rPr>
            <w:rStyle w:val="a3"/>
            <w:rFonts w:ascii="IBM Plex Sans" w:eastAsia="Times New Roman" w:hAnsi="IBM Plex Sans"/>
            <w:color w:val="016676"/>
            <w:sz w:val="20"/>
            <w:szCs w:val="20"/>
          </w:rPr>
          <w:t>reference to Exhibit 4.7 to L3Harris Technologies, Inc.’s Current Report on Form 8-K filed with the SEC on July 3, 2019. (Commission File Number 1-3863)</w:t>
        </w:r>
      </w:hyperlink>
    </w:p>
    <w:p w:rsidR="00000000" w:rsidRDefault="00F5481A">
      <w:pPr>
        <w:ind w:hanging="900"/>
        <w:divId w:val="1715157641"/>
        <w:rPr>
          <w:rFonts w:eastAsia="Times New Roman"/>
        </w:rPr>
      </w:pPr>
      <w:hyperlink r:id="rId154" w:history="1">
        <w:r>
          <w:rPr>
            <w:rStyle w:val="a3"/>
            <w:rFonts w:ascii="IBM Plex Sans" w:eastAsia="Times New Roman" w:hAnsi="IBM Plex Sans"/>
            <w:color w:val="016676"/>
            <w:sz w:val="20"/>
            <w:szCs w:val="20"/>
          </w:rPr>
          <w:t>(4)(s) Form</w:t>
        </w:r>
        <w:r>
          <w:rPr>
            <w:rStyle w:val="a3"/>
            <w:rFonts w:ascii="IBM Plex Sans" w:eastAsia="Times New Roman" w:hAnsi="IBM Plex Sans"/>
            <w:color w:val="016676"/>
            <w:sz w:val="20"/>
            <w:szCs w:val="20"/>
          </w:rPr>
          <w:t xml:space="preserve"> of New L3Harris 3.850% 2026 Rule 144A Note, incorporated herein by reference to Exhibit 4.8 to L3Harris Technologies, Inc.’s Current Report on Form 8-K filed with the SEC on July 3, 2019. (Commission File Number 1-3863)</w:t>
        </w:r>
      </w:hyperlink>
    </w:p>
    <w:p w:rsidR="00000000" w:rsidRDefault="00F5481A">
      <w:pPr>
        <w:ind w:firstLine="360"/>
        <w:jc w:val="center"/>
        <w:divId w:val="572854591"/>
        <w:rPr>
          <w:rFonts w:eastAsia="Times New Roman"/>
        </w:rPr>
      </w:pPr>
      <w:r>
        <w:rPr>
          <w:rFonts w:ascii="Arial" w:eastAsia="Times New Roman" w:hAnsi="Arial" w:cs="Arial"/>
          <w:b/>
          <w:bCs/>
          <w:color w:val="016676"/>
        </w:rPr>
        <w:t>___________________________________</w:t>
      </w:r>
      <w:r>
        <w:rPr>
          <w:rFonts w:ascii="Arial" w:eastAsia="Times New Roman" w:hAnsi="Arial" w:cs="Arial"/>
          <w:b/>
          <w:bCs/>
          <w:color w:val="016676"/>
        </w:rPr>
        <w:t>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120</w:t>
      </w:r>
    </w:p>
    <w:p w:rsidR="00000000" w:rsidRDefault="00F5481A">
      <w:pPr>
        <w:rPr>
          <w:rFonts w:eastAsia="Times New Roman"/>
        </w:rPr>
      </w:pPr>
      <w:r>
        <w:rPr>
          <w:rFonts w:eastAsia="Times New Roman"/>
        </w:rPr>
        <w:pict>
          <v:rect id="_x0000_i1151" style="width:0;height:1.5pt" o:hralign="center" o:hrstd="t" o:hr="t" fillcolor="#a0a0a0" stroked="f"/>
        </w:pict>
      </w:r>
    </w:p>
    <w:p w:rsidR="00000000" w:rsidRDefault="00F5481A">
      <w:pPr>
        <w:ind w:firstLine="360"/>
        <w:divId w:val="962228055"/>
        <w:rPr>
          <w:rFonts w:eastAsia="Times New Roman"/>
        </w:rPr>
      </w:pPr>
    </w:p>
    <w:p w:rsidR="00000000" w:rsidRDefault="00F5481A">
      <w:pPr>
        <w:ind w:hanging="900"/>
        <w:divId w:val="1328510955"/>
        <w:rPr>
          <w:rFonts w:eastAsia="Times New Roman"/>
        </w:rPr>
      </w:pPr>
      <w:hyperlink r:id="rId155" w:history="1">
        <w:r>
          <w:rPr>
            <w:rStyle w:val="a3"/>
            <w:rFonts w:ascii="IBM Plex Sans" w:eastAsia="Times New Roman" w:hAnsi="IBM Plex Sans"/>
            <w:color w:val="016676"/>
            <w:sz w:val="20"/>
            <w:szCs w:val="20"/>
          </w:rPr>
          <w:t>(4)(t)</w:t>
        </w:r>
      </w:hyperlink>
      <w:hyperlink r:id="rId156" w:history="1">
        <w:r>
          <w:rPr>
            <w:rStyle w:val="a3"/>
            <w:rFonts w:ascii="IBM Plex Sans" w:eastAsia="Times New Roman" w:hAnsi="IBM Plex Sans"/>
            <w:color w:val="016676"/>
            <w:sz w:val="20"/>
            <w:szCs w:val="20"/>
          </w:rPr>
          <w:t xml:space="preserve"> </w:t>
        </w:r>
      </w:hyperlink>
      <w:hyperlink r:id="rId157" w:history="1">
        <w:r>
          <w:rPr>
            <w:rStyle w:val="a3"/>
            <w:rFonts w:ascii="IBM Plex Sans" w:eastAsia="Times New Roman" w:hAnsi="IBM Plex Sans"/>
            <w:color w:val="016676"/>
            <w:sz w:val="20"/>
            <w:szCs w:val="20"/>
          </w:rPr>
          <w:t xml:space="preserve">Form of New L3Harris 3.850% 2026 Regulation S Note, incorporated herein by reference to Exhibit 4.9 to L3Harris Technologies, Inc.’s Current Report on </w:t>
        </w:r>
        <w:r>
          <w:rPr>
            <w:rStyle w:val="a3"/>
            <w:rFonts w:ascii="IBM Plex Sans" w:eastAsia="Times New Roman" w:hAnsi="IBM Plex Sans"/>
            <w:color w:val="016676"/>
            <w:sz w:val="20"/>
            <w:szCs w:val="20"/>
          </w:rPr>
          <w:t>Form 8-K filed with the SEC on July 3, 2019. (Commission File Number 1-3863)</w:t>
        </w:r>
      </w:hyperlink>
    </w:p>
    <w:p w:rsidR="00000000" w:rsidRDefault="00F5481A">
      <w:pPr>
        <w:ind w:hanging="900"/>
        <w:divId w:val="660892312"/>
        <w:rPr>
          <w:rFonts w:eastAsia="Times New Roman"/>
        </w:rPr>
      </w:pPr>
      <w:hyperlink r:id="rId158" w:history="1">
        <w:r>
          <w:rPr>
            <w:rStyle w:val="a3"/>
            <w:rFonts w:ascii="IBM Plex Sans" w:eastAsia="Times New Roman" w:hAnsi="IBM Plex Sans"/>
            <w:color w:val="016676"/>
            <w:sz w:val="20"/>
            <w:szCs w:val="20"/>
          </w:rPr>
          <w:t>(4)(u)</w:t>
        </w:r>
      </w:hyperlink>
      <w:hyperlink r:id="rId159" w:history="1">
        <w:r>
          <w:rPr>
            <w:rStyle w:val="a3"/>
            <w:rFonts w:ascii="IBM Plex Sans" w:eastAsia="Times New Roman" w:hAnsi="IBM Plex Sans"/>
            <w:color w:val="016676"/>
            <w:sz w:val="20"/>
            <w:szCs w:val="20"/>
          </w:rPr>
          <w:t xml:space="preserve"> </w:t>
        </w:r>
      </w:hyperlink>
      <w:hyperlink r:id="rId160" w:history="1">
        <w:r>
          <w:rPr>
            <w:rStyle w:val="a3"/>
            <w:rFonts w:ascii="IBM Plex Sans" w:eastAsia="Times New Roman" w:hAnsi="IBM Plex Sans"/>
            <w:color w:val="016676"/>
            <w:sz w:val="20"/>
            <w:szCs w:val="20"/>
          </w:rPr>
          <w:t xml:space="preserve">Form of New L3Harris 4.400% 2028 Rule 144A Note, incorporated herein </w:t>
        </w:r>
        <w:r>
          <w:rPr>
            <w:rStyle w:val="a3"/>
            <w:rFonts w:ascii="IBM Plex Sans" w:eastAsia="Times New Roman" w:hAnsi="IBM Plex Sans"/>
            <w:color w:val="016676"/>
            <w:sz w:val="20"/>
            <w:szCs w:val="20"/>
          </w:rPr>
          <w:t>by reference to Exhibit 4.10 to L3Harris Technologies, Inc.’s Current Report on Form 8-K filed with the SEC on July 3, 2019. (Commission File Number 1-3863)</w:t>
        </w:r>
      </w:hyperlink>
    </w:p>
    <w:p w:rsidR="00000000" w:rsidRDefault="00F5481A">
      <w:pPr>
        <w:ind w:hanging="900"/>
        <w:divId w:val="1770350615"/>
        <w:rPr>
          <w:rFonts w:eastAsia="Times New Roman"/>
        </w:rPr>
      </w:pPr>
      <w:hyperlink r:id="rId161" w:history="1">
        <w:r>
          <w:rPr>
            <w:rStyle w:val="a3"/>
            <w:rFonts w:ascii="IBM Plex Sans" w:eastAsia="Times New Roman" w:hAnsi="IBM Plex Sans"/>
            <w:color w:val="016676"/>
            <w:sz w:val="20"/>
            <w:szCs w:val="20"/>
          </w:rPr>
          <w:t>(4)(v)</w:t>
        </w:r>
      </w:hyperlink>
      <w:hyperlink r:id="rId162" w:history="1">
        <w:r>
          <w:rPr>
            <w:rStyle w:val="a3"/>
            <w:rFonts w:ascii="IBM Plex Sans" w:eastAsia="Times New Roman" w:hAnsi="IBM Plex Sans"/>
            <w:color w:val="016676"/>
            <w:sz w:val="20"/>
            <w:szCs w:val="20"/>
          </w:rPr>
          <w:t xml:space="preserve"> </w:t>
        </w:r>
      </w:hyperlink>
      <w:hyperlink r:id="rId163" w:history="1">
        <w:r>
          <w:rPr>
            <w:rStyle w:val="a3"/>
            <w:rFonts w:ascii="IBM Plex Sans" w:eastAsia="Times New Roman" w:hAnsi="IBM Plex Sans"/>
            <w:color w:val="016676"/>
            <w:sz w:val="20"/>
            <w:szCs w:val="20"/>
          </w:rPr>
          <w:t>Form of New L3Harris 4.400% 2028 Regulation S Note, incorporated here</w:t>
        </w:r>
        <w:r>
          <w:rPr>
            <w:rStyle w:val="a3"/>
            <w:rFonts w:ascii="IBM Plex Sans" w:eastAsia="Times New Roman" w:hAnsi="IBM Plex Sans"/>
            <w:color w:val="016676"/>
            <w:sz w:val="20"/>
            <w:szCs w:val="20"/>
          </w:rPr>
          <w:t>in by reference to Exhibit 4.11 to L3Harris Technologies, Inc.’s Current Report on Form 8-K filed with the SEC on July 3, 2019. (Commission File Number 1-3863)</w:t>
        </w:r>
      </w:hyperlink>
    </w:p>
    <w:p w:rsidR="00000000" w:rsidRDefault="00F5481A">
      <w:pPr>
        <w:ind w:hanging="900"/>
        <w:divId w:val="1531379794"/>
        <w:rPr>
          <w:rFonts w:eastAsia="Times New Roman"/>
        </w:rPr>
      </w:pPr>
      <w:r>
        <w:rPr>
          <w:rFonts w:ascii="IBM Plex Sans" w:eastAsia="Times New Roman" w:hAnsi="IBM Plex Sans"/>
          <w:color w:val="283030"/>
          <w:sz w:val="20"/>
          <w:szCs w:val="20"/>
        </w:rPr>
        <w:t>(4)(w) Pursuant to Regulation S-K, Item 601(b)(4)(iii)(A), L3Harris Technologies, Inc. by this f</w:t>
      </w:r>
      <w:r>
        <w:rPr>
          <w:rFonts w:ascii="IBM Plex Sans" w:eastAsia="Times New Roman" w:hAnsi="IBM Plex Sans"/>
          <w:color w:val="283030"/>
          <w:sz w:val="20"/>
          <w:szCs w:val="20"/>
        </w:rPr>
        <w:t>iling agrees, upon request, to furnish to the SEC a copy of other instruments defining the rights of holders of long-term debt of L3Harris Technologies, Inc. or L3 Technologies, Inc.</w:t>
      </w:r>
    </w:p>
    <w:p w:rsidR="00000000" w:rsidRDefault="00F5481A">
      <w:pPr>
        <w:ind w:hanging="900"/>
        <w:divId w:val="1560438431"/>
        <w:rPr>
          <w:rFonts w:eastAsia="Times New Roman"/>
        </w:rPr>
      </w:pPr>
      <w:hyperlink r:id="rId164" w:history="1">
        <w:r>
          <w:rPr>
            <w:rStyle w:val="a3"/>
            <w:rFonts w:ascii="IBM Plex Sans" w:eastAsia="Times New Roman" w:hAnsi="IBM Plex Sans"/>
            <w:color w:val="016676"/>
            <w:sz w:val="20"/>
            <w:szCs w:val="20"/>
          </w:rPr>
          <w:t>(4)(x)</w:t>
        </w:r>
      </w:hyperlink>
      <w:hyperlink r:id="rId165" w:history="1">
        <w:r>
          <w:rPr>
            <w:rStyle w:val="a3"/>
            <w:rFonts w:ascii="IBM Plex Sans" w:eastAsia="Times New Roman" w:hAnsi="IBM Plex Sans"/>
            <w:color w:val="016676"/>
            <w:sz w:val="20"/>
            <w:szCs w:val="20"/>
          </w:rPr>
          <w:t xml:space="preserve"> </w:t>
        </w:r>
      </w:hyperlink>
      <w:hyperlink r:id="rId166" w:history="1">
        <w:r>
          <w:rPr>
            <w:rStyle w:val="a3"/>
            <w:rFonts w:ascii="IBM Plex Sans" w:eastAsia="Times New Roman" w:hAnsi="IBM Plex Sans"/>
            <w:color w:val="016676"/>
            <w:sz w:val="20"/>
            <w:szCs w:val="20"/>
          </w:rPr>
          <w:t>Description of L3Harris Technologies, Inc.’s Securities</w:t>
        </w:r>
      </w:hyperlink>
    </w:p>
    <w:p w:rsidR="00000000" w:rsidRDefault="00F5481A">
      <w:pPr>
        <w:ind w:hanging="900"/>
        <w:divId w:val="66195947"/>
        <w:rPr>
          <w:rFonts w:eastAsia="Times New Roman"/>
        </w:rPr>
      </w:pPr>
      <w:hyperlink r:id="rId167" w:history="1">
        <w:r>
          <w:rPr>
            <w:rStyle w:val="a3"/>
            <w:rFonts w:ascii="IBM Plex Sans" w:eastAsia="Times New Roman" w:hAnsi="IBM Plex Sans"/>
            <w:color w:val="016676"/>
            <w:sz w:val="20"/>
            <w:szCs w:val="20"/>
          </w:rPr>
          <w:t>*(10)(a) Form of Director and Officer Indemnification Agreement, for use on or after June 29, 2019, incorporated herein by reference to Exhibit 10.5 to L3Harris Te</w:t>
        </w:r>
        <w:r>
          <w:rPr>
            <w:rStyle w:val="a3"/>
            <w:rFonts w:ascii="IBM Plex Sans" w:eastAsia="Times New Roman" w:hAnsi="IBM Plex Sans"/>
            <w:color w:val="016676"/>
            <w:sz w:val="20"/>
            <w:szCs w:val="20"/>
          </w:rPr>
          <w:t>chnologies, Inc.’s Current Report on Form 8-K filed with the SEC on July 1, 2019. (Commission File Number 1-3863)</w:t>
        </w:r>
      </w:hyperlink>
      <w:r>
        <w:rPr>
          <w:rFonts w:ascii="IBM Plex Sans" w:eastAsia="Times New Roman" w:hAnsi="IBM Plex Sans"/>
          <w:color w:val="283030"/>
          <w:sz w:val="20"/>
          <w:szCs w:val="20"/>
        </w:rPr>
        <w:t xml:space="preserve"> </w:t>
      </w:r>
    </w:p>
    <w:p w:rsidR="00000000" w:rsidRDefault="00F5481A">
      <w:pPr>
        <w:ind w:hanging="900"/>
        <w:divId w:val="2017295403"/>
        <w:rPr>
          <w:rFonts w:eastAsia="Times New Roman"/>
        </w:rPr>
      </w:pPr>
      <w:hyperlink r:id="rId168" w:history="1">
        <w:r>
          <w:rPr>
            <w:rStyle w:val="a3"/>
            <w:rFonts w:ascii="IBM Plex Sans" w:eastAsia="Times New Roman" w:hAnsi="IBM Plex Sans"/>
            <w:color w:val="016676"/>
            <w:sz w:val="20"/>
            <w:szCs w:val="20"/>
          </w:rPr>
          <w:t xml:space="preserve">*(10)(b) L3Harris Technologies, </w:t>
        </w:r>
        <w:r>
          <w:rPr>
            <w:rStyle w:val="a3"/>
            <w:rFonts w:ascii="IBM Plex Sans" w:eastAsia="Times New Roman" w:hAnsi="IBM Plex Sans"/>
            <w:color w:val="016676"/>
            <w:sz w:val="20"/>
            <w:szCs w:val="20"/>
          </w:rPr>
          <w:t>Inc. Executive Change in Control Severance Plan, effective as of March 1, 2020, incorporated herein by reference to Exhibit 10.1 to L3Harris Technologies, Inc.’s Current Report on Form 8-K filed with the SEC on March 4, 2020. (Commission File Number 1-3863</w:t>
        </w:r>
        <w:r>
          <w:rPr>
            <w:rStyle w:val="a3"/>
            <w:rFonts w:ascii="IBM Plex Sans" w:eastAsia="Times New Roman" w:hAnsi="IBM Plex Sans"/>
            <w:color w:val="016676"/>
            <w:sz w:val="20"/>
            <w:szCs w:val="20"/>
          </w:rPr>
          <w:t>)</w:t>
        </w:r>
      </w:hyperlink>
    </w:p>
    <w:p w:rsidR="00000000" w:rsidRDefault="00F5481A">
      <w:pPr>
        <w:ind w:hanging="900"/>
        <w:divId w:val="1012688093"/>
        <w:rPr>
          <w:rFonts w:eastAsia="Times New Roman"/>
        </w:rPr>
      </w:pPr>
      <w:hyperlink r:id="rId169" w:history="1">
        <w:r>
          <w:rPr>
            <w:rStyle w:val="a3"/>
            <w:rFonts w:ascii="IBM Plex Sans" w:eastAsia="Times New Roman" w:hAnsi="IBM Plex Sans"/>
            <w:color w:val="016676"/>
            <w:sz w:val="20"/>
            <w:szCs w:val="20"/>
          </w:rPr>
          <w:t>*(10)(c) L3Harris Technologies, Inc. Severance Pay Plan, effective as of March 1, 2020, incorporated herein by reference to Exhibit 10.2 to L3H</w:t>
        </w:r>
        <w:r>
          <w:rPr>
            <w:rStyle w:val="a3"/>
            <w:rFonts w:ascii="IBM Plex Sans" w:eastAsia="Times New Roman" w:hAnsi="IBM Plex Sans"/>
            <w:color w:val="016676"/>
            <w:sz w:val="20"/>
            <w:szCs w:val="20"/>
          </w:rPr>
          <w:t>arris Technologies, Inc.’s Current Report on Form 8-K filed with the SEC on March 4, 2020. (Commission File Number 1-3863)</w:t>
        </w:r>
      </w:hyperlink>
    </w:p>
    <w:p w:rsidR="00000000" w:rsidRDefault="00F5481A">
      <w:pPr>
        <w:ind w:hanging="900"/>
        <w:divId w:val="264191719"/>
        <w:rPr>
          <w:rFonts w:eastAsia="Times New Roman"/>
        </w:rPr>
      </w:pPr>
      <w:hyperlink r:id="rId170" w:history="1">
        <w:r>
          <w:rPr>
            <w:rStyle w:val="a3"/>
            <w:rFonts w:ascii="IBM Plex Sans" w:eastAsia="Times New Roman" w:hAnsi="IBM Plex Sans"/>
            <w:color w:val="016676"/>
            <w:sz w:val="20"/>
            <w:szCs w:val="20"/>
          </w:rPr>
          <w:t xml:space="preserve">*(10)(d) </w:t>
        </w:r>
        <w:r>
          <w:rPr>
            <w:rStyle w:val="a3"/>
            <w:rFonts w:ascii="IBM Plex Sans" w:eastAsia="Times New Roman" w:hAnsi="IBM Plex Sans"/>
            <w:color w:val="016676"/>
            <w:sz w:val="20"/>
            <w:szCs w:val="20"/>
          </w:rPr>
          <w:t xml:space="preserve">L3Harris Technologies, Inc. Annual Incentive Plan (Amended and Restated Effective as of August 28, 2020), incorporated herein by reference to Exhibit 10.1 to L3Harris Technologies, Inc.’s Current Report on Form 8-K filed with the SEC on September 1, 2020. </w:t>
        </w:r>
        <w:r>
          <w:rPr>
            <w:rStyle w:val="a3"/>
            <w:rFonts w:ascii="IBM Plex Sans" w:eastAsia="Times New Roman" w:hAnsi="IBM Plex Sans"/>
            <w:color w:val="016676"/>
            <w:sz w:val="20"/>
            <w:szCs w:val="20"/>
          </w:rPr>
          <w:t>(Commission File Number 1-3863)</w:t>
        </w:r>
      </w:hyperlink>
    </w:p>
    <w:p w:rsidR="00000000" w:rsidRDefault="00F5481A">
      <w:pPr>
        <w:ind w:hanging="900"/>
        <w:divId w:val="742996123"/>
        <w:rPr>
          <w:rFonts w:eastAsia="Times New Roman"/>
        </w:rPr>
      </w:pPr>
      <w:hyperlink r:id="rId171" w:history="1">
        <w:r>
          <w:rPr>
            <w:rStyle w:val="a3"/>
            <w:rFonts w:ascii="IBM Plex Sans" w:eastAsia="Times New Roman" w:hAnsi="IBM Plex Sans"/>
            <w:color w:val="016676"/>
            <w:sz w:val="20"/>
            <w:szCs w:val="20"/>
          </w:rPr>
          <w:t>*(10)(e) (i) 2005 Equity Incentive Plan (As Amended and Restated Effective August 27, 2010), incorporated herein by referenc</w:t>
        </w:r>
        <w:r>
          <w:rPr>
            <w:rStyle w:val="a3"/>
            <w:rFonts w:ascii="IBM Plex Sans" w:eastAsia="Times New Roman" w:hAnsi="IBM Plex Sans"/>
            <w:color w:val="016676"/>
            <w:sz w:val="20"/>
            <w:szCs w:val="20"/>
          </w:rPr>
          <w:t xml:space="preserve">e to Exhibit 10.4 to </w:t>
        </w:r>
      </w:hyperlink>
      <w:hyperlink r:id="rId172" w:history="1">
        <w:r>
          <w:rPr>
            <w:rStyle w:val="a3"/>
            <w:rFonts w:ascii="IBM Plex Sans" w:eastAsia="Times New Roman" w:hAnsi="IBM Plex Sans"/>
            <w:color w:val="016676"/>
            <w:sz w:val="20"/>
            <w:szCs w:val="20"/>
          </w:rPr>
          <w:t>L3Harris Technologies, Inc.'s (formerly known as Harris Corporation)</w:t>
        </w:r>
      </w:hyperlink>
      <w:hyperlink r:id="rId173" w:history="1">
        <w:r>
          <w:rPr>
            <w:rStyle w:val="a3"/>
            <w:rFonts w:ascii="IBM Plex Sans" w:eastAsia="Times New Roman" w:hAnsi="IBM Plex Sans"/>
            <w:color w:val="016676"/>
            <w:sz w:val="20"/>
            <w:szCs w:val="20"/>
          </w:rPr>
          <w:t xml:space="preserve"> Current Report on Form 8-K filed with the SEC on September 2, 2010. (Commission File Number 1-3863) </w:t>
        </w:r>
      </w:hyperlink>
    </w:p>
    <w:p w:rsidR="00000000" w:rsidRDefault="00F5481A">
      <w:pPr>
        <w:divId w:val="900797680"/>
        <w:rPr>
          <w:rFonts w:eastAsia="Times New Roman"/>
        </w:rPr>
      </w:pPr>
      <w:hyperlink r:id="rId174" w:history="1">
        <w:r>
          <w:rPr>
            <w:rStyle w:val="a3"/>
            <w:rFonts w:ascii="IBM Plex Sans" w:eastAsia="Times New Roman" w:hAnsi="IBM Plex Sans"/>
            <w:color w:val="016676"/>
            <w:sz w:val="20"/>
            <w:szCs w:val="20"/>
          </w:rPr>
          <w:t xml:space="preserve">(ii) Form of Stock Option </w:t>
        </w:r>
        <w:r>
          <w:rPr>
            <w:rStyle w:val="a3"/>
            <w:rFonts w:ascii="IBM Plex Sans" w:eastAsia="Times New Roman" w:hAnsi="IBM Plex Sans"/>
            <w:color w:val="016676"/>
            <w:sz w:val="20"/>
            <w:szCs w:val="20"/>
          </w:rPr>
          <w:t xml:space="preserve">Award Agreement Terms and Conditions (as of August 26, 2011) for grants under the 2005 Equity Incentive Plan (As Amended and Restated Effective August 27, 2010), incorporated herein by reference to Exhibit 10.1 to </w:t>
        </w:r>
      </w:hyperlink>
      <w:hyperlink r:id="rId175" w:history="1">
        <w:r>
          <w:rPr>
            <w:rStyle w:val="a3"/>
            <w:rFonts w:ascii="IBM Plex Sans" w:eastAsia="Times New Roman" w:hAnsi="IBM Plex Sans"/>
            <w:color w:val="016676"/>
            <w:sz w:val="20"/>
            <w:szCs w:val="20"/>
          </w:rPr>
          <w:t>L3Harris Technologies, Inc.'s (formerly known as Harris Corporation)</w:t>
        </w:r>
      </w:hyperlink>
      <w:hyperlink r:id="rId176" w:history="1">
        <w:r>
          <w:rPr>
            <w:rStyle w:val="a3"/>
            <w:rFonts w:ascii="IBM Plex Sans" w:eastAsia="Times New Roman" w:hAnsi="IBM Plex Sans"/>
            <w:color w:val="016676"/>
            <w:sz w:val="20"/>
            <w:szCs w:val="20"/>
          </w:rPr>
          <w:t xml:space="preserve"> Current Report on Form 8-K filed with t</w:t>
        </w:r>
        <w:r>
          <w:rPr>
            <w:rStyle w:val="a3"/>
            <w:rFonts w:ascii="IBM Plex Sans" w:eastAsia="Times New Roman" w:hAnsi="IBM Plex Sans"/>
            <w:color w:val="016676"/>
            <w:sz w:val="20"/>
            <w:szCs w:val="20"/>
          </w:rPr>
          <w:t>he SEC on August 31, 2011. (Commission File Number 1-3863)</w:t>
        </w:r>
      </w:hyperlink>
    </w:p>
    <w:p w:rsidR="00000000" w:rsidRDefault="00F5481A">
      <w:pPr>
        <w:divId w:val="1391422082"/>
        <w:rPr>
          <w:rFonts w:eastAsia="Times New Roman"/>
        </w:rPr>
      </w:pPr>
      <w:hyperlink r:id="rId177" w:history="1">
        <w:r>
          <w:rPr>
            <w:rStyle w:val="a3"/>
            <w:rFonts w:ascii="IBM Plex Sans" w:eastAsia="Times New Roman" w:hAnsi="IBM Plex Sans"/>
            <w:color w:val="016676"/>
            <w:sz w:val="20"/>
            <w:szCs w:val="20"/>
          </w:rPr>
          <w:t xml:space="preserve">(iii) Form of Stock Option Award Agreement Terms and Conditions (as of June 29, 2013) for grants </w:t>
        </w:r>
        <w:r>
          <w:rPr>
            <w:rStyle w:val="a3"/>
            <w:rFonts w:ascii="IBM Plex Sans" w:eastAsia="Times New Roman" w:hAnsi="IBM Plex Sans"/>
            <w:color w:val="016676"/>
            <w:sz w:val="20"/>
            <w:szCs w:val="20"/>
          </w:rPr>
          <w:t xml:space="preserve">under the 2005 Equity Incentive Plan (As Amended and Restated Effective August 27, 2010), incorporated herein by reference to Exhibit 10(a) to </w:t>
        </w:r>
      </w:hyperlink>
      <w:hyperlink r:id="rId178" w:history="1">
        <w:r>
          <w:rPr>
            <w:rStyle w:val="a3"/>
            <w:rFonts w:ascii="IBM Plex Sans" w:eastAsia="Times New Roman" w:hAnsi="IBM Plex Sans"/>
            <w:color w:val="016676"/>
            <w:sz w:val="20"/>
            <w:szCs w:val="20"/>
          </w:rPr>
          <w:t>L3Harris Tech</w:t>
        </w:r>
        <w:r>
          <w:rPr>
            <w:rStyle w:val="a3"/>
            <w:rFonts w:ascii="IBM Plex Sans" w:eastAsia="Times New Roman" w:hAnsi="IBM Plex Sans"/>
            <w:color w:val="016676"/>
            <w:sz w:val="20"/>
            <w:szCs w:val="20"/>
          </w:rPr>
          <w:t>nologies, Inc.'s (formerly known as Harris Corporation)</w:t>
        </w:r>
      </w:hyperlink>
      <w:hyperlink r:id="rId179" w:history="1">
        <w:r>
          <w:rPr>
            <w:rStyle w:val="a3"/>
            <w:rFonts w:ascii="IBM Plex Sans" w:eastAsia="Times New Roman" w:hAnsi="IBM Plex Sans"/>
            <w:color w:val="016676"/>
            <w:sz w:val="20"/>
            <w:szCs w:val="20"/>
          </w:rPr>
          <w:t xml:space="preserve"> Quarterly Report on Form 10-Q for the fiscal quarter ended September 27, 2013. (Commission File Numb</w:t>
        </w:r>
        <w:r>
          <w:rPr>
            <w:rStyle w:val="a3"/>
            <w:rFonts w:ascii="IBM Plex Sans" w:eastAsia="Times New Roman" w:hAnsi="IBM Plex Sans"/>
            <w:color w:val="016676"/>
            <w:sz w:val="20"/>
            <w:szCs w:val="20"/>
          </w:rPr>
          <w:t>er 1-3863)</w:t>
        </w:r>
      </w:hyperlink>
    </w:p>
    <w:p w:rsidR="00000000" w:rsidRDefault="00F5481A">
      <w:pPr>
        <w:ind w:hanging="900"/>
        <w:divId w:val="608008729"/>
        <w:rPr>
          <w:rFonts w:eastAsia="Times New Roman"/>
        </w:rPr>
      </w:pPr>
      <w:hyperlink r:id="rId180" w:history="1">
        <w:r>
          <w:rPr>
            <w:rStyle w:val="a3"/>
            <w:rFonts w:ascii="IBM Plex Sans" w:eastAsia="Times New Roman" w:hAnsi="IBM Plex Sans"/>
            <w:color w:val="016676"/>
            <w:sz w:val="20"/>
            <w:szCs w:val="20"/>
          </w:rPr>
          <w:t xml:space="preserve">*(10)(f) (i) 2015 Equity Incentive Plan, incorporated herein by reference to Exhibit 10.1 to </w:t>
        </w:r>
      </w:hyperlink>
      <w:hyperlink r:id="rId181" w:history="1">
        <w:r>
          <w:rPr>
            <w:rStyle w:val="a3"/>
            <w:rFonts w:ascii="IBM Plex Sans" w:eastAsia="Times New Roman" w:hAnsi="IBM Plex Sans"/>
            <w:color w:val="016676"/>
            <w:sz w:val="20"/>
            <w:szCs w:val="20"/>
          </w:rPr>
          <w:t>L3Harris Technologies, Inc.'s (formerly known as Harris Corporation)</w:t>
        </w:r>
      </w:hyperlink>
      <w:hyperlink r:id="rId182" w:history="1">
        <w:r>
          <w:rPr>
            <w:rStyle w:val="a3"/>
            <w:rFonts w:ascii="IBM Plex Sans" w:eastAsia="Times New Roman" w:hAnsi="IBM Plex Sans"/>
            <w:color w:val="016676"/>
            <w:sz w:val="20"/>
            <w:szCs w:val="20"/>
          </w:rPr>
          <w:t xml:space="preserve"> Current Report on Form 8-K filed with the SEC on Octob</w:t>
        </w:r>
        <w:r>
          <w:rPr>
            <w:rStyle w:val="a3"/>
            <w:rFonts w:ascii="IBM Plex Sans" w:eastAsia="Times New Roman" w:hAnsi="IBM Plex Sans"/>
            <w:color w:val="016676"/>
            <w:sz w:val="20"/>
            <w:szCs w:val="20"/>
          </w:rPr>
          <w:t xml:space="preserve">er 28, 2015. (Commission File Number 1-3863) </w:t>
        </w:r>
      </w:hyperlink>
    </w:p>
    <w:p w:rsidR="00000000" w:rsidRDefault="00F5481A">
      <w:pPr>
        <w:divId w:val="1056127647"/>
        <w:rPr>
          <w:rFonts w:eastAsia="Times New Roman"/>
        </w:rPr>
      </w:pPr>
      <w:hyperlink r:id="rId183" w:history="1">
        <w:r>
          <w:rPr>
            <w:rStyle w:val="a3"/>
            <w:rFonts w:ascii="IBM Plex Sans" w:eastAsia="Times New Roman" w:hAnsi="IBM Plex Sans"/>
            <w:color w:val="016676"/>
            <w:sz w:val="20"/>
            <w:szCs w:val="20"/>
          </w:rPr>
          <w:t>(ii) 2015 Equity Incentive Plan Stock Option Award Agreement Terms and Conditions (as of October 23, 2015), in</w:t>
        </w:r>
        <w:r>
          <w:rPr>
            <w:rStyle w:val="a3"/>
            <w:rFonts w:ascii="IBM Plex Sans" w:eastAsia="Times New Roman" w:hAnsi="IBM Plex Sans"/>
            <w:color w:val="016676"/>
            <w:sz w:val="20"/>
            <w:szCs w:val="20"/>
          </w:rPr>
          <w:t xml:space="preserve">corporated herein by reference to Exhibit 10(f) to </w:t>
        </w:r>
      </w:hyperlink>
      <w:hyperlink r:id="rId184" w:history="1">
        <w:r>
          <w:rPr>
            <w:rStyle w:val="a3"/>
            <w:rFonts w:ascii="IBM Plex Sans" w:eastAsia="Times New Roman" w:hAnsi="IBM Plex Sans"/>
            <w:color w:val="016676"/>
            <w:sz w:val="20"/>
            <w:szCs w:val="20"/>
          </w:rPr>
          <w:t>L3Harris Technologies, Inc.'s (formerly known as Harris Corporation)</w:t>
        </w:r>
      </w:hyperlink>
      <w:hyperlink r:id="rId185" w:history="1">
        <w:r>
          <w:rPr>
            <w:rStyle w:val="a3"/>
            <w:rFonts w:ascii="IBM Plex Sans" w:eastAsia="Times New Roman" w:hAnsi="IBM Plex Sans"/>
            <w:color w:val="016676"/>
            <w:sz w:val="20"/>
            <w:szCs w:val="20"/>
          </w:rPr>
          <w:t xml:space="preserve"> </w:t>
        </w:r>
        <w:r>
          <w:rPr>
            <w:rStyle w:val="a3"/>
            <w:rFonts w:ascii="IBM Plex Sans" w:eastAsia="Times New Roman" w:hAnsi="IBM Plex Sans"/>
            <w:color w:val="016676"/>
            <w:sz w:val="20"/>
            <w:szCs w:val="20"/>
          </w:rPr>
          <w:t>Quarterly Report on Form 10-Q for the fiscal quarter ended January 1, 2016. (Commission File Number 1-3863)</w:t>
        </w:r>
      </w:hyperlink>
    </w:p>
    <w:p w:rsidR="00000000" w:rsidRDefault="00F5481A">
      <w:pPr>
        <w:divId w:val="1994210101"/>
        <w:rPr>
          <w:rFonts w:eastAsia="Times New Roman"/>
        </w:rPr>
      </w:pPr>
      <w:hyperlink r:id="rId186" w:history="1">
        <w:r>
          <w:rPr>
            <w:rStyle w:val="a3"/>
            <w:rFonts w:ascii="IBM Plex Sans" w:eastAsia="Times New Roman" w:hAnsi="IBM Plex Sans"/>
            <w:color w:val="016676"/>
            <w:sz w:val="20"/>
            <w:szCs w:val="20"/>
          </w:rPr>
          <w:t>(iii) Performance Unit Award Agreement</w:t>
        </w:r>
        <w:r>
          <w:rPr>
            <w:rStyle w:val="a3"/>
            <w:rFonts w:ascii="IBM Plex Sans" w:eastAsia="Times New Roman" w:hAnsi="IBM Plex Sans"/>
            <w:color w:val="016676"/>
            <w:sz w:val="20"/>
            <w:szCs w:val="20"/>
          </w:rPr>
          <w:t xml:space="preserve"> Terms and Conditions (August 1, 2019 CEO-COO Award), incorporated herein by reference to Exhibit 10.3 to L3Harris Technologies, Inc.’s Quarterly Report on Form 10-Q for the fiscal quarter ended September 27, 2019. (Commission File Number 1-3863) </w:t>
        </w:r>
      </w:hyperlink>
    </w:p>
    <w:p w:rsidR="00000000" w:rsidRDefault="00F5481A">
      <w:pPr>
        <w:divId w:val="71856620"/>
        <w:rPr>
          <w:rFonts w:eastAsia="Times New Roman"/>
        </w:rPr>
      </w:pPr>
      <w:hyperlink r:id="rId187" w:history="1">
        <w:r>
          <w:rPr>
            <w:rStyle w:val="a3"/>
            <w:rFonts w:ascii="IBM Plex Sans" w:eastAsia="Times New Roman" w:hAnsi="IBM Plex Sans"/>
            <w:color w:val="016676"/>
            <w:sz w:val="20"/>
            <w:szCs w:val="20"/>
          </w:rPr>
          <w:t>(iv) Performance Unit Award Agreement Terms and Conditions (August 1, 2019 Momentum Award), incorporated herein by reference to Exhibit 10.4 to L3Harris Te</w:t>
        </w:r>
        <w:r>
          <w:rPr>
            <w:rStyle w:val="a3"/>
            <w:rFonts w:ascii="IBM Plex Sans" w:eastAsia="Times New Roman" w:hAnsi="IBM Plex Sans"/>
            <w:color w:val="016676"/>
            <w:sz w:val="20"/>
            <w:szCs w:val="20"/>
          </w:rPr>
          <w:t>chnologies, Inc.’s Quarterly Report on Form 10-Q for the fiscal quarter ended September 27, 2019. (Commission File Number 1-3863)</w:t>
        </w:r>
      </w:hyperlink>
    </w:p>
    <w:p w:rsidR="00000000" w:rsidRDefault="00F5481A">
      <w:pPr>
        <w:ind w:firstLine="360"/>
        <w:jc w:val="center"/>
        <w:divId w:val="41489494"/>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121</w:t>
      </w:r>
    </w:p>
    <w:p w:rsidR="00000000" w:rsidRDefault="00F5481A">
      <w:pPr>
        <w:rPr>
          <w:rFonts w:eastAsia="Times New Roman"/>
        </w:rPr>
      </w:pPr>
      <w:r>
        <w:rPr>
          <w:rFonts w:eastAsia="Times New Roman"/>
        </w:rPr>
        <w:pict>
          <v:rect id="_x0000_i1152" style="width:0;height:1.5pt" o:hralign="center" o:hrstd="t" o:hr="t" fillcolor="#a0a0a0" stroked="f"/>
        </w:pict>
      </w:r>
    </w:p>
    <w:p w:rsidR="00000000" w:rsidRDefault="00F5481A">
      <w:pPr>
        <w:ind w:firstLine="360"/>
        <w:divId w:val="1196622186"/>
        <w:rPr>
          <w:rFonts w:eastAsia="Times New Roman"/>
        </w:rPr>
      </w:pPr>
    </w:p>
    <w:p w:rsidR="00000000" w:rsidRDefault="00F5481A">
      <w:pPr>
        <w:divId w:val="851191027"/>
        <w:rPr>
          <w:rFonts w:eastAsia="Times New Roman"/>
        </w:rPr>
      </w:pPr>
      <w:hyperlink r:id="rId188" w:history="1">
        <w:r>
          <w:rPr>
            <w:rStyle w:val="a3"/>
            <w:rFonts w:ascii="IBM Plex Sans" w:eastAsia="Times New Roman" w:hAnsi="IBM Plex Sans"/>
            <w:color w:val="016676"/>
            <w:sz w:val="20"/>
            <w:szCs w:val="20"/>
          </w:rPr>
          <w:t>(v) Performance Stock Option Award Agreement Terms and Conditions (August 1, 2019 CEO-COO Award), incorporated herein by reference to Exhibit 10.5 to L3Harris T</w:t>
        </w:r>
        <w:r>
          <w:rPr>
            <w:rStyle w:val="a3"/>
            <w:rFonts w:ascii="IBM Plex Sans" w:eastAsia="Times New Roman" w:hAnsi="IBM Plex Sans"/>
            <w:color w:val="016676"/>
            <w:sz w:val="20"/>
            <w:szCs w:val="20"/>
          </w:rPr>
          <w:t>echnologies, Inc.’s Quarterly Report on Form 10-Q for the fiscal quarter ended September 27, 2019. (Commission File Number 1-3863)</w:t>
        </w:r>
      </w:hyperlink>
    </w:p>
    <w:p w:rsidR="00000000" w:rsidRDefault="00F5481A">
      <w:pPr>
        <w:divId w:val="66809325"/>
        <w:rPr>
          <w:rFonts w:eastAsia="Times New Roman"/>
        </w:rPr>
      </w:pPr>
      <w:hyperlink r:id="rId189" w:history="1">
        <w:r>
          <w:rPr>
            <w:rStyle w:val="a3"/>
            <w:rFonts w:ascii="IBM Plex Sans" w:eastAsia="Times New Roman" w:hAnsi="IBM Plex Sans"/>
            <w:color w:val="016676"/>
            <w:sz w:val="20"/>
            <w:szCs w:val="20"/>
          </w:rPr>
          <w:t>(vi) Performance</w:t>
        </w:r>
        <w:r>
          <w:rPr>
            <w:rStyle w:val="a3"/>
            <w:rFonts w:ascii="IBM Plex Sans" w:eastAsia="Times New Roman" w:hAnsi="IBM Plex Sans"/>
            <w:color w:val="016676"/>
            <w:sz w:val="20"/>
            <w:szCs w:val="20"/>
          </w:rPr>
          <w:t xml:space="preserve"> Stock Option Award Agreement Terms and Conditions (August 1, 2019 Momentum Award), incorporated herein by reference to Exhibit 10.6 to L3Harris Technologies, Inc.’s Quarterly Report on Form 10-Q for the fiscal quarter ended September 27, 2019. (Commission</w:t>
        </w:r>
        <w:r>
          <w:rPr>
            <w:rStyle w:val="a3"/>
            <w:rFonts w:ascii="IBM Plex Sans" w:eastAsia="Times New Roman" w:hAnsi="IBM Plex Sans"/>
            <w:color w:val="016676"/>
            <w:sz w:val="20"/>
            <w:szCs w:val="20"/>
          </w:rPr>
          <w:t xml:space="preserve"> File Number 1-3863)</w:t>
        </w:r>
      </w:hyperlink>
    </w:p>
    <w:p w:rsidR="00000000" w:rsidRDefault="00F5481A">
      <w:pPr>
        <w:divId w:val="1293632096"/>
        <w:rPr>
          <w:rFonts w:eastAsia="Times New Roman"/>
        </w:rPr>
      </w:pPr>
      <w:hyperlink r:id="rId190" w:history="1">
        <w:r>
          <w:rPr>
            <w:rStyle w:val="a3"/>
            <w:rFonts w:ascii="IBM Plex Sans" w:eastAsia="Times New Roman" w:hAnsi="IBM Plex Sans"/>
            <w:color w:val="016676"/>
            <w:sz w:val="20"/>
            <w:szCs w:val="20"/>
          </w:rPr>
          <w:t>(vii) Performance Stock Option Award Agreement Terms and Conditions (August 1, 2019 Integration Award), incorporated herein by</w:t>
        </w:r>
        <w:r>
          <w:rPr>
            <w:rStyle w:val="a3"/>
            <w:rFonts w:ascii="IBM Plex Sans" w:eastAsia="Times New Roman" w:hAnsi="IBM Plex Sans"/>
            <w:color w:val="016676"/>
            <w:sz w:val="20"/>
            <w:szCs w:val="20"/>
          </w:rPr>
          <w:t xml:space="preserve"> reference to Exhibit 10.7 to L3Harris Technologies, Inc.’s Quarterly Report on Form 10-Q for the fiscal quarter ended September 27, 2019. (Commission File Number 1-3863) </w:t>
        </w:r>
      </w:hyperlink>
    </w:p>
    <w:p w:rsidR="00000000" w:rsidRDefault="00F5481A">
      <w:pPr>
        <w:divId w:val="1751582927"/>
        <w:rPr>
          <w:rFonts w:eastAsia="Times New Roman"/>
        </w:rPr>
      </w:pPr>
      <w:hyperlink r:id="rId191" w:history="1">
        <w:r>
          <w:rPr>
            <w:rStyle w:val="a3"/>
            <w:rFonts w:ascii="IBM Plex Sans" w:eastAsia="Times New Roman" w:hAnsi="IBM Plex Sans"/>
            <w:color w:val="016676"/>
            <w:sz w:val="20"/>
            <w:szCs w:val="20"/>
          </w:rPr>
          <w:t>(viii) Restricted Unit Award Agreement Terms and Conditions (August 1, 2019 Integration/Retention/Fiscal Transition Period Award), incorporated herein by reference to Exhibit 10.8 to L3Harris Technologies, Inc.’s Quarterly Report o</w:t>
        </w:r>
        <w:r>
          <w:rPr>
            <w:rStyle w:val="a3"/>
            <w:rFonts w:ascii="IBM Plex Sans" w:eastAsia="Times New Roman" w:hAnsi="IBM Plex Sans"/>
            <w:color w:val="016676"/>
            <w:sz w:val="20"/>
            <w:szCs w:val="20"/>
          </w:rPr>
          <w:t xml:space="preserve">n Form 10-Q for the fiscal quarter ended September 27, 2019. (Commission File Number 1-3863) </w:t>
        </w:r>
      </w:hyperlink>
    </w:p>
    <w:p w:rsidR="00000000" w:rsidRDefault="00F5481A">
      <w:pPr>
        <w:divId w:val="73087601"/>
        <w:rPr>
          <w:rFonts w:eastAsia="Times New Roman"/>
        </w:rPr>
      </w:pPr>
      <w:hyperlink r:id="rId192" w:history="1">
        <w:r>
          <w:rPr>
            <w:rStyle w:val="a3"/>
            <w:rFonts w:ascii="IBM Plex Sans" w:eastAsia="Times New Roman" w:hAnsi="IBM Plex Sans"/>
            <w:color w:val="016676"/>
            <w:sz w:val="20"/>
            <w:szCs w:val="20"/>
          </w:rPr>
          <w:t>(ix) Restricted Unit Award Agreement Terms and Condit</w:t>
        </w:r>
        <w:r>
          <w:rPr>
            <w:rStyle w:val="a3"/>
            <w:rFonts w:ascii="IBM Plex Sans" w:eastAsia="Times New Roman" w:hAnsi="IBM Plex Sans"/>
            <w:color w:val="016676"/>
            <w:sz w:val="20"/>
            <w:szCs w:val="20"/>
          </w:rPr>
          <w:t xml:space="preserve">ions (New Hire/Other Award as of August 1, 2019), incorporated herein by reference to Exhibit 10.9 to L3Harris Technologies, Inc.’s Quarterly Report on Form 10-Q for the fiscal quarter ended September 27, 2019. (Commission File Number 1-3863) </w:t>
        </w:r>
      </w:hyperlink>
    </w:p>
    <w:p w:rsidR="00000000" w:rsidRDefault="00F5481A">
      <w:pPr>
        <w:divId w:val="748384487"/>
        <w:rPr>
          <w:rFonts w:eastAsia="Times New Roman"/>
        </w:rPr>
      </w:pPr>
      <w:hyperlink r:id="rId193" w:history="1">
        <w:r>
          <w:rPr>
            <w:rStyle w:val="a3"/>
            <w:rFonts w:ascii="IBM Plex Sans" w:eastAsia="Times New Roman" w:hAnsi="IBM Plex Sans"/>
            <w:color w:val="016676"/>
            <w:sz w:val="20"/>
            <w:szCs w:val="20"/>
          </w:rPr>
          <w:t>(x) Non-Employee Director Share Unit Agreement Terms and Conditions (as of June 29, 2019), incorporated herein by reference to Exhibit 10(f)(x) to L3Harris Technologies, Inc.’s Transition Report on Form 10-KT for the fiscal year ended January 3, 2020. (Com</w:t>
        </w:r>
        <w:r>
          <w:rPr>
            <w:rStyle w:val="a3"/>
            <w:rFonts w:ascii="IBM Plex Sans" w:eastAsia="Times New Roman" w:hAnsi="IBM Plex Sans"/>
            <w:color w:val="016676"/>
            <w:sz w:val="20"/>
            <w:szCs w:val="20"/>
          </w:rPr>
          <w:t>mission File Number 1-3863)</w:t>
        </w:r>
      </w:hyperlink>
    </w:p>
    <w:p w:rsidR="00000000" w:rsidRDefault="00F5481A">
      <w:pPr>
        <w:divId w:val="1753624613"/>
        <w:rPr>
          <w:rFonts w:eastAsia="Times New Roman"/>
        </w:rPr>
      </w:pPr>
      <w:hyperlink r:id="rId194" w:history="1">
        <w:r>
          <w:rPr>
            <w:rStyle w:val="a3"/>
            <w:rFonts w:ascii="IBM Plex Sans" w:eastAsia="Times New Roman" w:hAnsi="IBM Plex Sans"/>
            <w:color w:val="016676"/>
            <w:sz w:val="20"/>
            <w:szCs w:val="20"/>
          </w:rPr>
          <w:t>(xi) L3Harris Technologies, Inc. Restricted Unit Award Agreement Terms and Conditions (as of February 5, 2020), incorpo</w:t>
        </w:r>
        <w:r>
          <w:rPr>
            <w:rStyle w:val="a3"/>
            <w:rFonts w:ascii="IBM Plex Sans" w:eastAsia="Times New Roman" w:hAnsi="IBM Plex Sans"/>
            <w:color w:val="016676"/>
            <w:sz w:val="20"/>
            <w:szCs w:val="20"/>
          </w:rPr>
          <w:t>rated herein by reference to Exhibit 10.3 to L3Harris Technologies, Inc.’s Quarterly Report on Form 10-Q for the fiscal quarter ended April 3, 2020. (Commission File Number 1-3863)</w:t>
        </w:r>
      </w:hyperlink>
    </w:p>
    <w:p w:rsidR="00000000" w:rsidRDefault="00F5481A">
      <w:pPr>
        <w:divId w:val="192808627"/>
        <w:rPr>
          <w:rFonts w:eastAsia="Times New Roman"/>
        </w:rPr>
      </w:pPr>
      <w:hyperlink r:id="rId195" w:history="1">
        <w:r>
          <w:rPr>
            <w:rStyle w:val="a3"/>
            <w:rFonts w:ascii="IBM Plex Sans" w:eastAsia="Times New Roman" w:hAnsi="IBM Plex Sans"/>
            <w:color w:val="016676"/>
            <w:sz w:val="20"/>
            <w:szCs w:val="20"/>
          </w:rPr>
          <w:t xml:space="preserve">(xii) L3Harris Technologies, Inc. Performance Unit Award Agreement Terms and Conditions (as of February 28, 2020), incorporated herein by reference to Exhibit 10.4 to L3Harris Technologies, Inc.’s Quarterly Report on Form </w:t>
        </w:r>
        <w:r>
          <w:rPr>
            <w:rStyle w:val="a3"/>
            <w:rFonts w:ascii="IBM Plex Sans" w:eastAsia="Times New Roman" w:hAnsi="IBM Plex Sans"/>
            <w:color w:val="016676"/>
            <w:sz w:val="20"/>
            <w:szCs w:val="20"/>
          </w:rPr>
          <w:t>10-Q for the fiscal quarter ended April 3, 2020. (Commission File Number 1-3863)</w:t>
        </w:r>
      </w:hyperlink>
    </w:p>
    <w:p w:rsidR="00000000" w:rsidRDefault="00F5481A">
      <w:pPr>
        <w:divId w:val="2072387142"/>
        <w:rPr>
          <w:rFonts w:eastAsia="Times New Roman"/>
        </w:rPr>
      </w:pPr>
      <w:hyperlink r:id="rId196" w:history="1">
        <w:r>
          <w:rPr>
            <w:rStyle w:val="a3"/>
            <w:rFonts w:ascii="IBM Plex Sans" w:eastAsia="Times New Roman" w:hAnsi="IBM Plex Sans"/>
            <w:color w:val="016676"/>
            <w:sz w:val="20"/>
            <w:szCs w:val="20"/>
          </w:rPr>
          <w:t>(xiii) L3Harris Technologies, Inc. Stock Option Award Agreement Te</w:t>
        </w:r>
        <w:r>
          <w:rPr>
            <w:rStyle w:val="a3"/>
            <w:rFonts w:ascii="IBM Plex Sans" w:eastAsia="Times New Roman" w:hAnsi="IBM Plex Sans"/>
            <w:color w:val="016676"/>
            <w:sz w:val="20"/>
            <w:szCs w:val="20"/>
          </w:rPr>
          <w:t>rms and Conditions (as of February 28, 2020), incorporated herein by reference to Exhibit 10.5 to L3Harris Technologies, Inc.’s Quarterly Report on Form 10-Q for the fiscal quarter ended April 3, 2020. (Commission File Number 1-3863)</w:t>
        </w:r>
      </w:hyperlink>
    </w:p>
    <w:p w:rsidR="00000000" w:rsidRDefault="00F5481A">
      <w:pPr>
        <w:ind w:hanging="900"/>
        <w:divId w:val="1847818571"/>
        <w:rPr>
          <w:rFonts w:eastAsia="Times New Roman"/>
        </w:rPr>
      </w:pPr>
      <w:hyperlink r:id="rId197" w:history="1">
        <w:r>
          <w:rPr>
            <w:rStyle w:val="a3"/>
            <w:rFonts w:ascii="IBM Plex Sans" w:eastAsia="Times New Roman" w:hAnsi="IBM Plex Sans"/>
            <w:color w:val="016676"/>
            <w:sz w:val="20"/>
            <w:szCs w:val="20"/>
          </w:rPr>
          <w:t xml:space="preserve">*(10)(g) L3Harris Technologies, Inc. 2015 Equity Incentive Plan (Amended and Restated Effective as of August 28, 2020), incorporated herein by reference to Exhibit 10.2 </w:t>
        </w:r>
        <w:r>
          <w:rPr>
            <w:rStyle w:val="a3"/>
            <w:rFonts w:ascii="IBM Plex Sans" w:eastAsia="Times New Roman" w:hAnsi="IBM Plex Sans"/>
            <w:color w:val="016676"/>
            <w:sz w:val="20"/>
            <w:szCs w:val="20"/>
          </w:rPr>
          <w:t>to L3Harris Technologies, Inc.’s Current Report on Form 8-K filed with the SEC on September 1, 2020. (Commission File Number 1-3863)</w:t>
        </w:r>
      </w:hyperlink>
    </w:p>
    <w:p w:rsidR="00000000" w:rsidRDefault="00F5481A">
      <w:pPr>
        <w:ind w:hanging="900"/>
        <w:divId w:val="1495536741"/>
        <w:rPr>
          <w:rFonts w:eastAsia="Times New Roman"/>
        </w:rPr>
      </w:pPr>
      <w:hyperlink r:id="rId198" w:history="1">
        <w:r>
          <w:rPr>
            <w:rStyle w:val="a3"/>
            <w:rFonts w:ascii="IBM Plex Sans" w:eastAsia="Times New Roman" w:hAnsi="IBM Plex Sans"/>
            <w:color w:val="016676"/>
            <w:sz w:val="20"/>
            <w:szCs w:val="20"/>
          </w:rPr>
          <w:t>*10(h) (i) L3Harris Retire</w:t>
        </w:r>
        <w:r>
          <w:rPr>
            <w:rStyle w:val="a3"/>
            <w:rFonts w:ascii="IBM Plex Sans" w:eastAsia="Times New Roman" w:hAnsi="IBM Plex Sans"/>
            <w:color w:val="016676"/>
            <w:sz w:val="20"/>
            <w:szCs w:val="20"/>
          </w:rPr>
          <w:t>ment Savings Plan (Amended and Restated Effective January 1, 2021), incorporated herein by reference to Exhibit 10.1 to L3Harris Technologies, Inc.'s Quarterly Report on Form 10-Q for the fiscal quarter ended April 2, 2021. (Commission File Number 1-3863)</w:t>
        </w:r>
      </w:hyperlink>
    </w:p>
    <w:p w:rsidR="00000000" w:rsidRDefault="00F5481A">
      <w:pPr>
        <w:divId w:val="60756387"/>
        <w:rPr>
          <w:rFonts w:eastAsia="Times New Roman"/>
        </w:rPr>
      </w:pPr>
      <w:hyperlink r:id="rId199" w:history="1">
        <w:r>
          <w:rPr>
            <w:rStyle w:val="a3"/>
            <w:rFonts w:ascii="IBM Plex Sans" w:eastAsia="Times New Roman" w:hAnsi="IBM Plex Sans"/>
            <w:color w:val="016676"/>
            <w:sz w:val="20"/>
            <w:szCs w:val="20"/>
          </w:rPr>
          <w:t>(ii) Amendment One to the L3Harris Retirement Savings Plan (Amended and Restated Effective January 1, 2021), dated April 5, 2021, incorporated herein by refere</w:t>
        </w:r>
        <w:r>
          <w:rPr>
            <w:rStyle w:val="a3"/>
            <w:rFonts w:ascii="IBM Plex Sans" w:eastAsia="Times New Roman" w:hAnsi="IBM Plex Sans"/>
            <w:color w:val="016676"/>
            <w:sz w:val="20"/>
            <w:szCs w:val="20"/>
          </w:rPr>
          <w:t>nce to Exhibit 10.2 to L3Harris Technologies, Inc.'s Quarterly Report on Form 10-Q for the fiscal quarter ended April 2, 2021. (Commission File Number 1-3863)</w:t>
        </w:r>
      </w:hyperlink>
    </w:p>
    <w:p w:rsidR="00000000" w:rsidRDefault="00F5481A">
      <w:pPr>
        <w:divId w:val="573275904"/>
        <w:rPr>
          <w:rFonts w:eastAsia="Times New Roman"/>
        </w:rPr>
      </w:pPr>
      <w:hyperlink r:id="rId200" w:history="1">
        <w:r>
          <w:rPr>
            <w:rStyle w:val="a3"/>
            <w:rFonts w:ascii="IBM Plex Sans" w:eastAsia="Times New Roman" w:hAnsi="IBM Plex Sans"/>
            <w:color w:val="016676"/>
            <w:sz w:val="20"/>
            <w:szCs w:val="20"/>
          </w:rPr>
          <w:t>(iii) Amendment Two to the L3Harris Retirement Savings Plan (Amended and Restated Effective January 1, 2021), dated April 5, 2021, incorporated herein by reference to Exhibit 10.3 to L3Harris Technologies, Inc.'s Quarterly Report on Form 10-Q for the fisca</w:t>
        </w:r>
        <w:r>
          <w:rPr>
            <w:rStyle w:val="a3"/>
            <w:rFonts w:ascii="IBM Plex Sans" w:eastAsia="Times New Roman" w:hAnsi="IBM Plex Sans"/>
            <w:color w:val="016676"/>
            <w:sz w:val="20"/>
            <w:szCs w:val="20"/>
          </w:rPr>
          <w:t>l quarter ended April 2, 2021. (Commission File Number 1-3863)</w:t>
        </w:r>
      </w:hyperlink>
    </w:p>
    <w:p w:rsidR="00000000" w:rsidRDefault="00F5481A">
      <w:pPr>
        <w:divId w:val="1224025381"/>
        <w:rPr>
          <w:rFonts w:eastAsia="Times New Roman"/>
        </w:rPr>
      </w:pPr>
      <w:hyperlink r:id="rId201" w:history="1">
        <w:r>
          <w:rPr>
            <w:rStyle w:val="a3"/>
            <w:rFonts w:ascii="IBM Plex Sans" w:eastAsia="Times New Roman" w:hAnsi="IBM Plex Sans"/>
            <w:color w:val="016676"/>
            <w:sz w:val="20"/>
            <w:szCs w:val="20"/>
          </w:rPr>
          <w:t>(iv) Amendment Three to the L3Harris Retirement Savings Plan (Amended and Restated Effective January 1, 2021), dated May 12, 2021, incorporated h</w:t>
        </w:r>
        <w:r>
          <w:rPr>
            <w:rStyle w:val="a3"/>
            <w:rFonts w:ascii="IBM Plex Sans" w:eastAsia="Times New Roman" w:hAnsi="IBM Plex Sans"/>
            <w:color w:val="016676"/>
            <w:sz w:val="20"/>
            <w:szCs w:val="20"/>
          </w:rPr>
          <w:t>erein by reference to Exhibit 10.1 to L3Harris Technologies, Inc.'s Quarterly Report on Form 10-Q for the fiscal quarter ended July 2, 2021. (Commission File Number 1-3863)</w:t>
        </w:r>
      </w:hyperlink>
    </w:p>
    <w:p w:rsidR="00000000" w:rsidRDefault="00F5481A">
      <w:pPr>
        <w:ind w:firstLine="360"/>
        <w:jc w:val="center"/>
        <w:divId w:val="278876352"/>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122</w:t>
      </w:r>
    </w:p>
    <w:p w:rsidR="00000000" w:rsidRDefault="00F5481A">
      <w:pPr>
        <w:rPr>
          <w:rFonts w:eastAsia="Times New Roman"/>
        </w:rPr>
      </w:pPr>
      <w:r>
        <w:rPr>
          <w:rFonts w:eastAsia="Times New Roman"/>
        </w:rPr>
        <w:pict>
          <v:rect id="_x0000_i1153" style="width:0;height:1.5pt" o:hralign="center" o:hrstd="t" o:hr="t" fillcolor="#a0a0a0" stroked="f"/>
        </w:pict>
      </w:r>
    </w:p>
    <w:p w:rsidR="00000000" w:rsidRDefault="00F5481A">
      <w:pPr>
        <w:ind w:firstLine="360"/>
        <w:divId w:val="1198349455"/>
        <w:rPr>
          <w:rFonts w:eastAsia="Times New Roman"/>
        </w:rPr>
      </w:pPr>
    </w:p>
    <w:p w:rsidR="00000000" w:rsidRDefault="00F5481A">
      <w:pPr>
        <w:divId w:val="292374199"/>
        <w:rPr>
          <w:rFonts w:eastAsia="Times New Roman"/>
        </w:rPr>
      </w:pPr>
      <w:hyperlink r:id="rId202" w:history="1">
        <w:r>
          <w:rPr>
            <w:rStyle w:val="a3"/>
            <w:rFonts w:ascii="IBM Plex Sans" w:eastAsia="Times New Roman" w:hAnsi="IBM Plex Sans"/>
            <w:color w:val="016676"/>
            <w:sz w:val="20"/>
            <w:szCs w:val="20"/>
          </w:rPr>
          <w:t xml:space="preserve">(v) Amendment Four to the L3Harris Retirement Savings Plan (Amended and Restated Effective January 1, 2021), dated May 12, 2021, incorporated herein by reference to Exhibit 10.2 to L3Harris Technologies, Inc.'s Quarterly Report on Form 10-Q for the fiscal </w:t>
        </w:r>
        <w:r>
          <w:rPr>
            <w:rStyle w:val="a3"/>
            <w:rFonts w:ascii="IBM Plex Sans" w:eastAsia="Times New Roman" w:hAnsi="IBM Plex Sans"/>
            <w:color w:val="016676"/>
            <w:sz w:val="20"/>
            <w:szCs w:val="20"/>
          </w:rPr>
          <w:t>quarter ended July 2, 2021. (Commission File Number 1-3863)</w:t>
        </w:r>
      </w:hyperlink>
    </w:p>
    <w:p w:rsidR="00000000" w:rsidRDefault="00F5481A">
      <w:pPr>
        <w:divId w:val="155924616"/>
        <w:rPr>
          <w:rFonts w:eastAsia="Times New Roman"/>
        </w:rPr>
      </w:pPr>
      <w:hyperlink r:id="rId203" w:history="1">
        <w:r>
          <w:rPr>
            <w:rStyle w:val="a3"/>
            <w:rFonts w:ascii="IBM Plex Sans" w:eastAsia="Times New Roman" w:hAnsi="IBM Plex Sans"/>
            <w:color w:val="016676"/>
            <w:sz w:val="20"/>
            <w:szCs w:val="20"/>
          </w:rPr>
          <w:t>(vi) Amendment Five to the L3Harris Retirement Savings Plan (Amended and Restated Eff</w:t>
        </w:r>
        <w:r>
          <w:rPr>
            <w:rStyle w:val="a3"/>
            <w:rFonts w:ascii="IBM Plex Sans" w:eastAsia="Times New Roman" w:hAnsi="IBM Plex Sans"/>
            <w:color w:val="016676"/>
            <w:sz w:val="20"/>
            <w:szCs w:val="20"/>
          </w:rPr>
          <w:t>ective January 1, 2021), dated August 23, 2021, incorporated herein by reference to Exhibit 10.2 to L3Harris Technologies, Inc.'s Quarterly Report on Form 10-Q for the fiscal quarter ended October 1, 2021. (Commission File Number 1-3863)</w:t>
        </w:r>
      </w:hyperlink>
    </w:p>
    <w:p w:rsidR="00000000" w:rsidRDefault="00F5481A">
      <w:pPr>
        <w:divId w:val="1466655731"/>
        <w:rPr>
          <w:rFonts w:eastAsia="Times New Roman"/>
        </w:rPr>
      </w:pPr>
      <w:hyperlink r:id="rId204" w:history="1">
        <w:r>
          <w:rPr>
            <w:rStyle w:val="a3"/>
            <w:rFonts w:ascii="IBM Plex Sans" w:eastAsia="Times New Roman" w:hAnsi="IBM Plex Sans"/>
            <w:color w:val="016676"/>
            <w:sz w:val="20"/>
            <w:szCs w:val="20"/>
          </w:rPr>
          <w:t>(vii) Amendment Six to the L3Harris Retirement Savings Plan (Amended and Restated Effective January 1, 2021), dated September 27, 2021, incorporated herein by refe</w:t>
        </w:r>
        <w:r>
          <w:rPr>
            <w:rStyle w:val="a3"/>
            <w:rFonts w:ascii="IBM Plex Sans" w:eastAsia="Times New Roman" w:hAnsi="IBM Plex Sans"/>
            <w:color w:val="016676"/>
            <w:sz w:val="20"/>
            <w:szCs w:val="20"/>
          </w:rPr>
          <w:t xml:space="preserve">rence to Exhibit 10.3 to L3Harris Technologies, </w:t>
        </w:r>
      </w:hyperlink>
      <w:hyperlink r:id="rId205" w:history="1">
        <w:r>
          <w:rPr>
            <w:rStyle w:val="a3"/>
            <w:rFonts w:ascii="IBM Plex Sans" w:eastAsia="Times New Roman" w:hAnsi="IBM Plex Sans"/>
            <w:color w:val="016676"/>
            <w:sz w:val="20"/>
            <w:szCs w:val="20"/>
          </w:rPr>
          <w:t>Inc.'s Quarterly Report on Form 10-Q for the fiscal quarter ended October 1, 2021. (Commission Fi</w:t>
        </w:r>
        <w:r>
          <w:rPr>
            <w:rStyle w:val="a3"/>
            <w:rFonts w:ascii="IBM Plex Sans" w:eastAsia="Times New Roman" w:hAnsi="IBM Plex Sans"/>
            <w:color w:val="016676"/>
            <w:sz w:val="20"/>
            <w:szCs w:val="20"/>
          </w:rPr>
          <w:t>le Number 1-3863)</w:t>
        </w:r>
      </w:hyperlink>
    </w:p>
    <w:p w:rsidR="00000000" w:rsidRDefault="00F5481A">
      <w:pPr>
        <w:divId w:val="2016682730"/>
        <w:rPr>
          <w:rFonts w:eastAsia="Times New Roman"/>
        </w:rPr>
      </w:pPr>
      <w:hyperlink r:id="rId206" w:history="1">
        <w:r>
          <w:rPr>
            <w:rStyle w:val="a3"/>
            <w:rFonts w:ascii="IBM Plex Sans" w:eastAsia="Times New Roman" w:hAnsi="IBM Plex Sans"/>
            <w:color w:val="016676"/>
            <w:sz w:val="20"/>
            <w:szCs w:val="20"/>
          </w:rPr>
          <w:t>(viii) Amendment Seven to the L3Harris Retirement Savings Plan (Amended and Restated Effective January 1, 2021), dated Septembe</w:t>
        </w:r>
        <w:r>
          <w:rPr>
            <w:rStyle w:val="a3"/>
            <w:rFonts w:ascii="IBM Plex Sans" w:eastAsia="Times New Roman" w:hAnsi="IBM Plex Sans"/>
            <w:color w:val="016676"/>
            <w:sz w:val="20"/>
            <w:szCs w:val="20"/>
          </w:rPr>
          <w:t>r 27, 2021, incorporated herein by reference to Exhibit 10.4 to L3Harris Technologies, Inc.'s Quarterly Report on Form 10-Q for the fiscal quarter ended October 1, 2021. (Commission File Number 1-3863)</w:t>
        </w:r>
      </w:hyperlink>
    </w:p>
    <w:p w:rsidR="00000000" w:rsidRDefault="00F5481A">
      <w:pPr>
        <w:divId w:val="1991980035"/>
        <w:rPr>
          <w:rFonts w:eastAsia="Times New Roman"/>
        </w:rPr>
      </w:pPr>
      <w:hyperlink r:id="rId207" w:history="1">
        <w:r>
          <w:rPr>
            <w:rStyle w:val="a3"/>
            <w:rFonts w:ascii="IBM Plex Sans" w:eastAsia="Times New Roman" w:hAnsi="IBM Plex Sans"/>
            <w:color w:val="016676"/>
            <w:sz w:val="20"/>
            <w:szCs w:val="20"/>
          </w:rPr>
          <w:t>(ix) Amendment Eight to the L3Harris Retirement Savings Plan (Amended and Restated Effective January 1, 2021), dated October 7, 2021 incorporated herein by reference to Exhibit 10(i)(ix) to the L3H</w:t>
        </w:r>
        <w:r>
          <w:rPr>
            <w:rStyle w:val="a3"/>
            <w:rFonts w:ascii="IBM Plex Sans" w:eastAsia="Times New Roman" w:hAnsi="IBM Plex Sans"/>
            <w:color w:val="016676"/>
            <w:sz w:val="20"/>
            <w:szCs w:val="20"/>
          </w:rPr>
          <w:t>arris Technologies, Inc.’s Annual Report on Form 10-K filed for the fiscal year ended December 31, 2021. (Commission File Number 1-3863)</w:t>
        </w:r>
      </w:hyperlink>
    </w:p>
    <w:p w:rsidR="00000000" w:rsidRDefault="00F5481A">
      <w:pPr>
        <w:divId w:val="1614243192"/>
        <w:rPr>
          <w:rFonts w:eastAsia="Times New Roman"/>
        </w:rPr>
      </w:pPr>
      <w:hyperlink r:id="rId208" w:history="1">
        <w:r>
          <w:rPr>
            <w:rStyle w:val="a3"/>
            <w:rFonts w:ascii="IBM Plex Sans" w:eastAsia="Times New Roman" w:hAnsi="IBM Plex Sans"/>
            <w:color w:val="016676"/>
            <w:sz w:val="20"/>
            <w:szCs w:val="20"/>
          </w:rPr>
          <w:t>(x) A</w:t>
        </w:r>
        <w:r>
          <w:rPr>
            <w:rStyle w:val="a3"/>
            <w:rFonts w:ascii="IBM Plex Sans" w:eastAsia="Times New Roman" w:hAnsi="IBM Plex Sans"/>
            <w:color w:val="016676"/>
            <w:sz w:val="20"/>
            <w:szCs w:val="20"/>
          </w:rPr>
          <w:t xml:space="preserve">mendment Nine to the L3Harris Retirement Savings Plan (Amended and Restated Effective January 1, 2021), dated December 21, 2021 </w:t>
        </w:r>
      </w:hyperlink>
      <w:hyperlink r:id="rId209" w:history="1">
        <w:r>
          <w:rPr>
            <w:rStyle w:val="a3"/>
            <w:rFonts w:ascii="IBM Plex Sans" w:eastAsia="Times New Roman" w:hAnsi="IBM Plex Sans"/>
            <w:color w:val="016676"/>
            <w:sz w:val="20"/>
            <w:szCs w:val="20"/>
          </w:rPr>
          <w:t xml:space="preserve">incorporated herein by reference to Exhibit 10(i)(x) to the L3Harris Technologies, Inc.’s Annual Report on Form 10-K for the fiscal year ended December 31, </w:t>
        </w:r>
        <w:r>
          <w:rPr>
            <w:rStyle w:val="a3"/>
            <w:rFonts w:ascii="IBM Plex Sans" w:eastAsia="Times New Roman" w:hAnsi="IBM Plex Sans"/>
            <w:color w:val="016676"/>
            <w:sz w:val="20"/>
            <w:szCs w:val="20"/>
          </w:rPr>
          <w:t>2021. (Commission File Number 1-3863)</w:t>
        </w:r>
      </w:hyperlink>
    </w:p>
    <w:p w:rsidR="00000000" w:rsidRDefault="00F5481A">
      <w:pPr>
        <w:divId w:val="1334603192"/>
        <w:rPr>
          <w:rFonts w:eastAsia="Times New Roman"/>
        </w:rPr>
      </w:pPr>
      <w:hyperlink r:id="rId210" w:history="1">
        <w:r>
          <w:rPr>
            <w:rStyle w:val="a3"/>
            <w:rFonts w:ascii="IBM Plex Sans" w:eastAsia="Times New Roman" w:hAnsi="IBM Plex Sans"/>
            <w:color w:val="016676"/>
            <w:sz w:val="20"/>
            <w:szCs w:val="20"/>
          </w:rPr>
          <w:t>(xi) Amendment Ten to the L3Harris Retirement Savings Plan (Amended and Restated Effective January 1, 202</w:t>
        </w:r>
        <w:r>
          <w:rPr>
            <w:rStyle w:val="a3"/>
            <w:rFonts w:ascii="IBM Plex Sans" w:eastAsia="Times New Roman" w:hAnsi="IBM Plex Sans"/>
            <w:color w:val="016676"/>
            <w:sz w:val="20"/>
            <w:szCs w:val="20"/>
          </w:rPr>
          <w:t>1), dated March 28, 2022 incorporated herein by reference to Exhibit 10.3 to the L3Harris Technologies, Inc.’s Quarterly Report on Form 10-Q filed with the SEC on April 29, 2022. (Commission File Number 1-3863)</w:t>
        </w:r>
      </w:hyperlink>
    </w:p>
    <w:p w:rsidR="00000000" w:rsidRDefault="00F5481A">
      <w:pPr>
        <w:ind w:hanging="900"/>
        <w:divId w:val="1201164259"/>
        <w:rPr>
          <w:rFonts w:eastAsia="Times New Roman"/>
        </w:rPr>
      </w:pPr>
      <w:hyperlink r:id="rId211" w:history="1">
        <w:r>
          <w:rPr>
            <w:rStyle w:val="a3"/>
            <w:rFonts w:ascii="IBM Plex Sans" w:eastAsia="Times New Roman" w:hAnsi="IBM Plex Sans"/>
            <w:color w:val="016676"/>
            <w:sz w:val="20"/>
            <w:szCs w:val="20"/>
          </w:rPr>
          <w:t>*(10)(i) (i) L3Harris Excess Retirement Savings Plan, as amended and restated effective January 1, 2020, incorporated herein by reference to Exhibit 10(h) to L3Harris Technologies, Inc.’s Tran</w:t>
        </w:r>
        <w:r>
          <w:rPr>
            <w:rStyle w:val="a3"/>
            <w:rFonts w:ascii="IBM Plex Sans" w:eastAsia="Times New Roman" w:hAnsi="IBM Plex Sans"/>
            <w:color w:val="016676"/>
            <w:sz w:val="20"/>
            <w:szCs w:val="20"/>
          </w:rPr>
          <w:t xml:space="preserve">sition Report on Form 10-KT for the fiscal year ended January 3, 2020. (Commission File Number 1-3863) </w:t>
        </w:r>
      </w:hyperlink>
    </w:p>
    <w:p w:rsidR="00000000" w:rsidRDefault="00F5481A">
      <w:pPr>
        <w:divId w:val="1772050679"/>
        <w:rPr>
          <w:rFonts w:eastAsia="Times New Roman"/>
        </w:rPr>
      </w:pPr>
      <w:hyperlink r:id="rId212" w:history="1">
        <w:r>
          <w:rPr>
            <w:rStyle w:val="a3"/>
            <w:rFonts w:ascii="IBM Plex Sans" w:eastAsia="Times New Roman" w:hAnsi="IBM Plex Sans"/>
            <w:color w:val="016676"/>
            <w:sz w:val="20"/>
            <w:szCs w:val="20"/>
          </w:rPr>
          <w:t>(ii) Amendment Number One to the L3Harris Excess Retire</w:t>
        </w:r>
        <w:r>
          <w:rPr>
            <w:rStyle w:val="a3"/>
            <w:rFonts w:ascii="IBM Plex Sans" w:eastAsia="Times New Roman" w:hAnsi="IBM Plex Sans"/>
            <w:color w:val="016676"/>
            <w:sz w:val="20"/>
            <w:szCs w:val="20"/>
          </w:rPr>
          <w:t>ment Savings Plan (Amended and Restated Effective January 1, 2021), dated December 14, 2020, incorporated herein by reference to Exhibit 10.4 to L3Harris Technologies, Inc.'s Quarterly Report on Form 10-Q for the fiscal quarter ended April 2, 2021. (Commis</w:t>
        </w:r>
        <w:r>
          <w:rPr>
            <w:rStyle w:val="a3"/>
            <w:rFonts w:ascii="IBM Plex Sans" w:eastAsia="Times New Roman" w:hAnsi="IBM Plex Sans"/>
            <w:color w:val="016676"/>
            <w:sz w:val="20"/>
            <w:szCs w:val="20"/>
          </w:rPr>
          <w:t>sion File Number 1-3863)</w:t>
        </w:r>
      </w:hyperlink>
    </w:p>
    <w:p w:rsidR="00000000" w:rsidRDefault="00F5481A">
      <w:pPr>
        <w:ind w:hanging="900"/>
        <w:divId w:val="294912358"/>
        <w:rPr>
          <w:rFonts w:eastAsia="Times New Roman"/>
        </w:rPr>
      </w:pPr>
      <w:hyperlink r:id="rId213" w:history="1">
        <w:r>
          <w:rPr>
            <w:rStyle w:val="a3"/>
            <w:rFonts w:ascii="IBM Plex Sans" w:eastAsia="Times New Roman" w:hAnsi="IBM Plex Sans"/>
            <w:color w:val="016676"/>
            <w:sz w:val="20"/>
            <w:szCs w:val="20"/>
          </w:rPr>
          <w:t>*(10)(j) L3Harris Technologies, Inc. 2019 Non-Employee Director Deferred Compensation Plan, incorporated herein by referen</w:t>
        </w:r>
        <w:r>
          <w:rPr>
            <w:rStyle w:val="a3"/>
            <w:rFonts w:ascii="IBM Plex Sans" w:eastAsia="Times New Roman" w:hAnsi="IBM Plex Sans"/>
            <w:color w:val="016676"/>
            <w:sz w:val="20"/>
            <w:szCs w:val="20"/>
          </w:rPr>
          <w:t>ce to Exhibit 10(j) to L3Harris Technologies, Inc.’s Transition Report on Form 10-KT for the fiscal year ended January 3, 2020. (Commission File Number 1-3863)</w:t>
        </w:r>
      </w:hyperlink>
    </w:p>
    <w:p w:rsidR="00000000" w:rsidRDefault="00F5481A">
      <w:pPr>
        <w:ind w:hanging="900"/>
        <w:divId w:val="765728628"/>
        <w:rPr>
          <w:rFonts w:eastAsia="Times New Roman"/>
        </w:rPr>
      </w:pPr>
      <w:hyperlink r:id="rId214" w:history="1">
        <w:r>
          <w:rPr>
            <w:rStyle w:val="a3"/>
            <w:rFonts w:ascii="IBM Plex Sans" w:eastAsia="Times New Roman" w:hAnsi="IBM Plex Sans"/>
            <w:color w:val="016676"/>
            <w:sz w:val="20"/>
            <w:szCs w:val="20"/>
          </w:rPr>
          <w:t xml:space="preserve">*(10)(k) (i) Amended and Restated Master Trust Agreement and Declaration of Trust, made as of December 2, 2003, by and between </w:t>
        </w:r>
      </w:hyperlink>
      <w:hyperlink r:id="rId215" w:history="1">
        <w:r>
          <w:rPr>
            <w:rStyle w:val="a3"/>
            <w:rFonts w:ascii="IBM Plex Sans" w:eastAsia="Times New Roman" w:hAnsi="IBM Plex Sans"/>
            <w:color w:val="016676"/>
            <w:sz w:val="20"/>
            <w:szCs w:val="20"/>
          </w:rPr>
          <w:t xml:space="preserve">L3Harris Technologies, </w:t>
        </w:r>
        <w:r>
          <w:rPr>
            <w:rStyle w:val="a3"/>
            <w:rFonts w:ascii="IBM Plex Sans" w:eastAsia="Times New Roman" w:hAnsi="IBM Plex Sans"/>
            <w:color w:val="016676"/>
            <w:sz w:val="20"/>
            <w:szCs w:val="20"/>
          </w:rPr>
          <w:t>Inc. (formerly known as Harris Corporation)</w:t>
        </w:r>
      </w:hyperlink>
      <w:hyperlink r:id="rId216" w:history="1">
        <w:r>
          <w:rPr>
            <w:rStyle w:val="a3"/>
            <w:rFonts w:ascii="IBM Plex Sans" w:eastAsia="Times New Roman" w:hAnsi="IBM Plex Sans"/>
            <w:color w:val="016676"/>
            <w:sz w:val="20"/>
            <w:szCs w:val="20"/>
          </w:rPr>
          <w:t xml:space="preserve"> and The Northern Trust Company, incorporated herein by reference to Exhibit 10(c) to </w:t>
        </w:r>
      </w:hyperlink>
      <w:hyperlink r:id="rId217" w:history="1">
        <w:r>
          <w:rPr>
            <w:rStyle w:val="a3"/>
            <w:rFonts w:ascii="IBM Plex Sans" w:eastAsia="Times New Roman" w:hAnsi="IBM Plex Sans"/>
            <w:color w:val="016676"/>
            <w:sz w:val="20"/>
            <w:szCs w:val="20"/>
          </w:rPr>
          <w:t>L3Harris Technologies, Inc.'s (formerly known as Harris Corporation)</w:t>
        </w:r>
      </w:hyperlink>
      <w:hyperlink r:id="rId218" w:history="1">
        <w:r>
          <w:rPr>
            <w:rStyle w:val="a3"/>
            <w:rFonts w:ascii="IBM Plex Sans" w:eastAsia="Times New Roman" w:hAnsi="IBM Plex Sans"/>
            <w:color w:val="016676"/>
            <w:sz w:val="20"/>
            <w:szCs w:val="20"/>
          </w:rPr>
          <w:t xml:space="preserve"> Quarterly R</w:t>
        </w:r>
        <w:r>
          <w:rPr>
            <w:rStyle w:val="a3"/>
            <w:rFonts w:ascii="IBM Plex Sans" w:eastAsia="Times New Roman" w:hAnsi="IBM Plex Sans"/>
            <w:color w:val="016676"/>
            <w:sz w:val="20"/>
            <w:szCs w:val="20"/>
          </w:rPr>
          <w:t>eport on Form 10-Q for the fiscal quarter ended January 2, 2004. (Commission File Number 1-3863)</w:t>
        </w:r>
      </w:hyperlink>
    </w:p>
    <w:p w:rsidR="00000000" w:rsidRDefault="00F5481A">
      <w:pPr>
        <w:divId w:val="1261110451"/>
        <w:rPr>
          <w:rFonts w:eastAsia="Times New Roman"/>
        </w:rPr>
      </w:pPr>
      <w:hyperlink r:id="rId219" w:history="1">
        <w:r>
          <w:rPr>
            <w:rStyle w:val="a3"/>
            <w:rFonts w:ascii="IBM Plex Sans" w:eastAsia="Times New Roman" w:hAnsi="IBM Plex Sans"/>
            <w:color w:val="016676"/>
            <w:sz w:val="20"/>
            <w:szCs w:val="20"/>
          </w:rPr>
          <w:t xml:space="preserve">(ii) Amendment to the </w:t>
        </w:r>
      </w:hyperlink>
      <w:hyperlink r:id="rId220" w:history="1">
        <w:r>
          <w:rPr>
            <w:rStyle w:val="a3"/>
            <w:rFonts w:ascii="IBM Plex Sans" w:eastAsia="Times New Roman" w:hAnsi="IBM Plex Sans"/>
            <w:color w:val="016676"/>
            <w:sz w:val="20"/>
            <w:szCs w:val="20"/>
          </w:rPr>
          <w:t>L3Harris Technologies, Inc. (formerly known as Harris Corporation)</w:t>
        </w:r>
      </w:hyperlink>
      <w:hyperlink r:id="rId221" w:history="1">
        <w:r>
          <w:rPr>
            <w:rStyle w:val="a3"/>
            <w:rFonts w:ascii="IBM Plex Sans" w:eastAsia="Times New Roman" w:hAnsi="IBM Plex Sans"/>
            <w:color w:val="016676"/>
            <w:sz w:val="20"/>
            <w:szCs w:val="20"/>
          </w:rPr>
          <w:t xml:space="preserve"> Master T</w:t>
        </w:r>
        <w:r>
          <w:rPr>
            <w:rStyle w:val="a3"/>
            <w:rFonts w:ascii="IBM Plex Sans" w:eastAsia="Times New Roman" w:hAnsi="IBM Plex Sans"/>
            <w:color w:val="016676"/>
            <w:sz w:val="20"/>
            <w:szCs w:val="20"/>
          </w:rPr>
          <w:t xml:space="preserve">rust, dated May 21, 2009, incorporated herein by reference to Exhibit 10(m)(ii) to </w:t>
        </w:r>
      </w:hyperlink>
      <w:hyperlink r:id="rId222" w:history="1">
        <w:r>
          <w:rPr>
            <w:rStyle w:val="a3"/>
            <w:rFonts w:ascii="IBM Plex Sans" w:eastAsia="Times New Roman" w:hAnsi="IBM Plex Sans"/>
            <w:color w:val="016676"/>
            <w:sz w:val="20"/>
            <w:szCs w:val="20"/>
          </w:rPr>
          <w:t>L3Harris Technologies, Inc.'s (formerly known as Harris Corporation</w:t>
        </w:r>
        <w:r>
          <w:rPr>
            <w:rStyle w:val="a3"/>
            <w:rFonts w:ascii="IBM Plex Sans" w:eastAsia="Times New Roman" w:hAnsi="IBM Plex Sans"/>
            <w:color w:val="016676"/>
            <w:sz w:val="20"/>
            <w:szCs w:val="20"/>
          </w:rPr>
          <w:t>)</w:t>
        </w:r>
      </w:hyperlink>
      <w:hyperlink r:id="rId223" w:history="1">
        <w:r>
          <w:rPr>
            <w:rStyle w:val="a3"/>
            <w:rFonts w:ascii="IBM Plex Sans" w:eastAsia="Times New Roman" w:hAnsi="IBM Plex Sans"/>
            <w:color w:val="016676"/>
            <w:sz w:val="20"/>
            <w:szCs w:val="20"/>
          </w:rPr>
          <w:t xml:space="preserve"> Annual Report on Form 10-K for the fiscal year ended July 3, 2009. (Commission File Number 1-3863)</w:t>
        </w:r>
      </w:hyperlink>
    </w:p>
    <w:p w:rsidR="00000000" w:rsidRDefault="00F5481A">
      <w:pPr>
        <w:divId w:val="1454327720"/>
        <w:rPr>
          <w:rFonts w:eastAsia="Times New Roman"/>
        </w:rPr>
      </w:pPr>
      <w:hyperlink r:id="rId224" w:history="1">
        <w:r>
          <w:rPr>
            <w:rStyle w:val="a3"/>
            <w:rFonts w:ascii="IBM Plex Sans" w:eastAsia="Times New Roman" w:hAnsi="IBM Plex Sans"/>
            <w:color w:val="016676"/>
            <w:sz w:val="20"/>
            <w:szCs w:val="20"/>
          </w:rPr>
          <w:t xml:space="preserve">(iii) Amendment to the </w:t>
        </w:r>
      </w:hyperlink>
      <w:hyperlink r:id="rId225" w:history="1">
        <w:r>
          <w:rPr>
            <w:rStyle w:val="a3"/>
            <w:rFonts w:ascii="IBM Plex Sans" w:eastAsia="Times New Roman" w:hAnsi="IBM Plex Sans"/>
            <w:color w:val="016676"/>
            <w:sz w:val="20"/>
            <w:szCs w:val="20"/>
          </w:rPr>
          <w:t>L3Harris Technologies, Inc. (formerly known as Harris Corporation)</w:t>
        </w:r>
      </w:hyperlink>
      <w:hyperlink r:id="rId226" w:history="1">
        <w:r>
          <w:rPr>
            <w:rStyle w:val="a3"/>
            <w:rFonts w:ascii="IBM Plex Sans" w:eastAsia="Times New Roman" w:hAnsi="IBM Plex Sans"/>
            <w:color w:val="016676"/>
            <w:sz w:val="20"/>
            <w:szCs w:val="20"/>
          </w:rPr>
          <w:t xml:space="preserve"> Master Trust, dated December 8, 2009 and effective December 31, 2009, incorporated herein by reference to Exhibit 4(e)(iii) to </w:t>
        </w:r>
      </w:hyperlink>
      <w:hyperlink r:id="rId227" w:history="1">
        <w:r>
          <w:rPr>
            <w:rStyle w:val="a3"/>
            <w:rFonts w:ascii="IBM Plex Sans" w:eastAsia="Times New Roman" w:hAnsi="IBM Plex Sans"/>
            <w:color w:val="016676"/>
            <w:sz w:val="20"/>
            <w:szCs w:val="20"/>
          </w:rPr>
          <w:t>L3Harris Technologies, Inc.'s (formerly known as Harris Corporation)</w:t>
        </w:r>
      </w:hyperlink>
      <w:hyperlink r:id="rId228" w:history="1">
        <w:r>
          <w:rPr>
            <w:rStyle w:val="a3"/>
            <w:rFonts w:ascii="IBM Plex Sans" w:eastAsia="Times New Roman" w:hAnsi="IBM Plex Sans"/>
            <w:color w:val="016676"/>
            <w:sz w:val="20"/>
            <w:szCs w:val="20"/>
          </w:rPr>
          <w:t xml:space="preserve"> Registration Sta</w:t>
        </w:r>
        <w:r>
          <w:rPr>
            <w:rStyle w:val="a3"/>
            <w:rFonts w:ascii="IBM Plex Sans" w:eastAsia="Times New Roman" w:hAnsi="IBM Plex Sans"/>
            <w:color w:val="016676"/>
            <w:sz w:val="20"/>
            <w:szCs w:val="20"/>
          </w:rPr>
          <w:t>tement on Form S-8, Registration Statement No. 333-163647, filed with the SEC on December 10, 2009</w:t>
        </w:r>
      </w:hyperlink>
    </w:p>
    <w:p w:rsidR="00000000" w:rsidRDefault="00F5481A">
      <w:pPr>
        <w:ind w:firstLine="360"/>
        <w:jc w:val="center"/>
        <w:divId w:val="210925190"/>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123</w:t>
      </w:r>
    </w:p>
    <w:p w:rsidR="00000000" w:rsidRDefault="00F5481A">
      <w:pPr>
        <w:rPr>
          <w:rFonts w:eastAsia="Times New Roman"/>
        </w:rPr>
      </w:pPr>
      <w:r>
        <w:rPr>
          <w:rFonts w:eastAsia="Times New Roman"/>
        </w:rPr>
        <w:pict>
          <v:rect id="_x0000_i1154" style="width:0;height:1.5pt" o:hralign="center" o:hrstd="t" o:hr="t" fillcolor="#a0a0a0" stroked="f"/>
        </w:pict>
      </w:r>
    </w:p>
    <w:p w:rsidR="00000000" w:rsidRDefault="00F5481A">
      <w:pPr>
        <w:ind w:firstLine="360"/>
        <w:divId w:val="1985507164"/>
        <w:rPr>
          <w:rFonts w:eastAsia="Times New Roman"/>
        </w:rPr>
      </w:pPr>
    </w:p>
    <w:p w:rsidR="00000000" w:rsidRDefault="00F5481A">
      <w:pPr>
        <w:divId w:val="1620408837"/>
        <w:rPr>
          <w:rFonts w:eastAsia="Times New Roman"/>
        </w:rPr>
      </w:pPr>
      <w:hyperlink r:id="rId229" w:history="1">
        <w:r>
          <w:rPr>
            <w:rStyle w:val="a3"/>
            <w:rFonts w:ascii="IBM Plex Sans" w:eastAsia="Times New Roman" w:hAnsi="IBM Plex Sans"/>
            <w:color w:val="016676"/>
            <w:sz w:val="20"/>
            <w:szCs w:val="20"/>
          </w:rPr>
          <w:t xml:space="preserve">(iv) Amendment to the </w:t>
        </w:r>
      </w:hyperlink>
      <w:hyperlink r:id="rId230" w:history="1">
        <w:r>
          <w:rPr>
            <w:rStyle w:val="a3"/>
            <w:rFonts w:ascii="IBM Plex Sans" w:eastAsia="Times New Roman" w:hAnsi="IBM Plex Sans"/>
            <w:color w:val="016676"/>
            <w:sz w:val="20"/>
            <w:szCs w:val="20"/>
          </w:rPr>
          <w:t>L3Harris Technologies, Inc. (formerly known as Harris Corporation)</w:t>
        </w:r>
      </w:hyperlink>
      <w:hyperlink r:id="rId231" w:history="1">
        <w:r>
          <w:rPr>
            <w:rStyle w:val="a3"/>
            <w:rFonts w:ascii="IBM Plex Sans" w:eastAsia="Times New Roman" w:hAnsi="IBM Plex Sans"/>
            <w:color w:val="016676"/>
            <w:sz w:val="20"/>
            <w:szCs w:val="20"/>
          </w:rPr>
          <w:t xml:space="preserve"> Master Trust, dated and effective May 3, 2010, incorporated here</w:t>
        </w:r>
        <w:r>
          <w:rPr>
            <w:rStyle w:val="a3"/>
            <w:rFonts w:ascii="IBM Plex Sans" w:eastAsia="Times New Roman" w:hAnsi="IBM Plex Sans"/>
            <w:color w:val="016676"/>
            <w:sz w:val="20"/>
            <w:szCs w:val="20"/>
          </w:rPr>
          <w:t xml:space="preserve">in by reference to Exhibit 4(e)(iv) to </w:t>
        </w:r>
      </w:hyperlink>
      <w:hyperlink r:id="rId232" w:history="1">
        <w:r>
          <w:rPr>
            <w:rStyle w:val="a3"/>
            <w:rFonts w:ascii="IBM Plex Sans" w:eastAsia="Times New Roman" w:hAnsi="IBM Plex Sans"/>
            <w:color w:val="016676"/>
            <w:sz w:val="20"/>
            <w:szCs w:val="20"/>
          </w:rPr>
          <w:t>L3Harris Technologies, Inc.'s (formerly known as Harris Corporation)</w:t>
        </w:r>
      </w:hyperlink>
      <w:hyperlink r:id="rId233" w:history="1">
        <w:r>
          <w:rPr>
            <w:rStyle w:val="a3"/>
            <w:rFonts w:ascii="IBM Plex Sans" w:eastAsia="Times New Roman" w:hAnsi="IBM Plex Sans"/>
            <w:color w:val="016676"/>
            <w:sz w:val="20"/>
            <w:szCs w:val="20"/>
          </w:rPr>
          <w:t xml:space="preserve"> Registration Statement on Form S-8, Registration Statement No. 333-222821, filed with the SEC on February 1, 2018</w:t>
        </w:r>
      </w:hyperlink>
    </w:p>
    <w:p w:rsidR="00000000" w:rsidRDefault="00F5481A">
      <w:pPr>
        <w:ind w:hanging="900"/>
        <w:divId w:val="948004983"/>
        <w:rPr>
          <w:rFonts w:eastAsia="Times New Roman"/>
        </w:rPr>
      </w:pPr>
      <w:hyperlink r:id="rId234" w:history="1">
        <w:r>
          <w:rPr>
            <w:rStyle w:val="a3"/>
            <w:rFonts w:ascii="IBM Plex Sans" w:eastAsia="Times New Roman" w:hAnsi="IBM Plex Sans"/>
            <w:color w:val="016676"/>
            <w:sz w:val="20"/>
            <w:szCs w:val="20"/>
          </w:rPr>
          <w:t xml:space="preserve">*(10)(l) (i) Master Rabbi Trust Agreement, amended and restated as of December 2, 2003, by and between </w:t>
        </w:r>
      </w:hyperlink>
      <w:hyperlink r:id="rId235" w:history="1">
        <w:r>
          <w:rPr>
            <w:rStyle w:val="a3"/>
            <w:rFonts w:ascii="IBM Plex Sans" w:eastAsia="Times New Roman" w:hAnsi="IBM Plex Sans"/>
            <w:color w:val="016676"/>
            <w:sz w:val="20"/>
            <w:szCs w:val="20"/>
          </w:rPr>
          <w:t>L3Harris Technologies, Inc.</w:t>
        </w:r>
        <w:r>
          <w:rPr>
            <w:rStyle w:val="a3"/>
            <w:rFonts w:ascii="IBM Plex Sans" w:eastAsia="Times New Roman" w:hAnsi="IBM Plex Sans"/>
            <w:color w:val="016676"/>
            <w:sz w:val="20"/>
            <w:szCs w:val="20"/>
          </w:rPr>
          <w:t xml:space="preserve"> (formerly known as Harris Corporation)</w:t>
        </w:r>
      </w:hyperlink>
      <w:hyperlink r:id="rId236" w:history="1">
        <w:r>
          <w:rPr>
            <w:rStyle w:val="a3"/>
            <w:rFonts w:ascii="IBM Plex Sans" w:eastAsia="Times New Roman" w:hAnsi="IBM Plex Sans"/>
            <w:color w:val="016676"/>
            <w:sz w:val="20"/>
            <w:szCs w:val="20"/>
          </w:rPr>
          <w:t xml:space="preserve"> and The Northern Trust Company, incorporated herein by reference to Exhibit 10(d) to </w:t>
        </w:r>
      </w:hyperlink>
      <w:hyperlink r:id="rId237" w:history="1">
        <w:r>
          <w:rPr>
            <w:rStyle w:val="a3"/>
            <w:rFonts w:ascii="IBM Plex Sans" w:eastAsia="Times New Roman" w:hAnsi="IBM Plex Sans"/>
            <w:color w:val="016676"/>
            <w:sz w:val="20"/>
            <w:szCs w:val="20"/>
          </w:rPr>
          <w:t>L3Harris Technologies, Inc.'s (formerly known as Harris Corporation)</w:t>
        </w:r>
      </w:hyperlink>
      <w:hyperlink r:id="rId238" w:history="1">
        <w:r>
          <w:rPr>
            <w:rStyle w:val="a3"/>
            <w:rFonts w:ascii="IBM Plex Sans" w:eastAsia="Times New Roman" w:hAnsi="IBM Plex Sans"/>
            <w:color w:val="016676"/>
            <w:sz w:val="20"/>
            <w:szCs w:val="20"/>
          </w:rPr>
          <w:t xml:space="preserve"> </w:t>
        </w:r>
        <w:r>
          <w:rPr>
            <w:rStyle w:val="a3"/>
            <w:rFonts w:ascii="IBM Plex Sans" w:eastAsia="Times New Roman" w:hAnsi="IBM Plex Sans"/>
            <w:color w:val="016676"/>
            <w:sz w:val="20"/>
            <w:szCs w:val="20"/>
          </w:rPr>
          <w:t>Quarterly Report on Form 10-Q for the fiscal quarter ended January 2, 2004. (Commission File Number 1-3863)</w:t>
        </w:r>
      </w:hyperlink>
    </w:p>
    <w:p w:rsidR="00000000" w:rsidRDefault="00F5481A">
      <w:pPr>
        <w:divId w:val="1448309038"/>
        <w:rPr>
          <w:rFonts w:eastAsia="Times New Roman"/>
        </w:rPr>
      </w:pPr>
      <w:hyperlink r:id="rId239" w:history="1">
        <w:r>
          <w:rPr>
            <w:rStyle w:val="a3"/>
            <w:rFonts w:ascii="IBM Plex Sans" w:eastAsia="Times New Roman" w:hAnsi="IBM Plex Sans"/>
            <w:color w:val="016676"/>
            <w:sz w:val="20"/>
            <w:szCs w:val="20"/>
          </w:rPr>
          <w:t xml:space="preserve">(ii) First Amendment to the </w:t>
        </w:r>
      </w:hyperlink>
      <w:hyperlink r:id="rId240" w:history="1">
        <w:r>
          <w:rPr>
            <w:rStyle w:val="a3"/>
            <w:rFonts w:ascii="IBM Plex Sans" w:eastAsia="Times New Roman" w:hAnsi="IBM Plex Sans"/>
            <w:color w:val="016676"/>
            <w:sz w:val="20"/>
            <w:szCs w:val="20"/>
          </w:rPr>
          <w:t>L3Harris Technologies, Inc. (formerly known as Harris Corporation)</w:t>
        </w:r>
      </w:hyperlink>
      <w:hyperlink r:id="rId241" w:history="1">
        <w:r>
          <w:rPr>
            <w:rStyle w:val="a3"/>
            <w:rFonts w:ascii="IBM Plex Sans" w:eastAsia="Times New Roman" w:hAnsi="IBM Plex Sans"/>
            <w:color w:val="016676"/>
            <w:sz w:val="20"/>
            <w:szCs w:val="20"/>
          </w:rPr>
          <w:t xml:space="preserve"> Master</w:t>
        </w:r>
        <w:r>
          <w:rPr>
            <w:rStyle w:val="a3"/>
            <w:rFonts w:ascii="IBM Plex Sans" w:eastAsia="Times New Roman" w:hAnsi="IBM Plex Sans"/>
            <w:color w:val="016676"/>
            <w:sz w:val="20"/>
            <w:szCs w:val="20"/>
          </w:rPr>
          <w:t xml:space="preserve"> Rabbi Trust Agreement, dated September 24, 2004, incorporated herein by reference to Exhibit 10(b) to </w:t>
        </w:r>
      </w:hyperlink>
      <w:hyperlink r:id="rId242" w:history="1">
        <w:r>
          <w:rPr>
            <w:rStyle w:val="a3"/>
            <w:rFonts w:ascii="IBM Plex Sans" w:eastAsia="Times New Roman" w:hAnsi="IBM Plex Sans"/>
            <w:color w:val="016676"/>
            <w:sz w:val="20"/>
            <w:szCs w:val="20"/>
          </w:rPr>
          <w:t>L3Harris Technologies, Inc.'s (formerly known as Har</w:t>
        </w:r>
        <w:r>
          <w:rPr>
            <w:rStyle w:val="a3"/>
            <w:rFonts w:ascii="IBM Plex Sans" w:eastAsia="Times New Roman" w:hAnsi="IBM Plex Sans"/>
            <w:color w:val="016676"/>
            <w:sz w:val="20"/>
            <w:szCs w:val="20"/>
          </w:rPr>
          <w:t>ris Corporation)</w:t>
        </w:r>
      </w:hyperlink>
      <w:hyperlink r:id="rId243" w:history="1">
        <w:r>
          <w:rPr>
            <w:rStyle w:val="a3"/>
            <w:rFonts w:ascii="IBM Plex Sans" w:eastAsia="Times New Roman" w:hAnsi="IBM Plex Sans"/>
            <w:color w:val="016676"/>
            <w:sz w:val="20"/>
            <w:szCs w:val="20"/>
          </w:rPr>
          <w:t xml:space="preserve"> Quarterly Report on Form 10-Q for the fiscal quarter ended October 1, 2004. (Commission File Number 1-3863)</w:t>
        </w:r>
      </w:hyperlink>
    </w:p>
    <w:p w:rsidR="00000000" w:rsidRDefault="00F5481A">
      <w:pPr>
        <w:divId w:val="413163543"/>
        <w:rPr>
          <w:rFonts w:eastAsia="Times New Roman"/>
        </w:rPr>
      </w:pPr>
      <w:hyperlink r:id="rId244" w:history="1">
        <w:r>
          <w:rPr>
            <w:rStyle w:val="a3"/>
            <w:rFonts w:ascii="IBM Plex Sans" w:eastAsia="Times New Roman" w:hAnsi="IBM Plex Sans"/>
            <w:color w:val="016676"/>
            <w:sz w:val="20"/>
            <w:szCs w:val="20"/>
          </w:rPr>
          <w:t xml:space="preserve">(iii) Second Amendment to the </w:t>
        </w:r>
      </w:hyperlink>
      <w:hyperlink r:id="rId245" w:history="1">
        <w:r>
          <w:rPr>
            <w:rStyle w:val="a3"/>
            <w:rFonts w:ascii="IBM Plex Sans" w:eastAsia="Times New Roman" w:hAnsi="IBM Plex Sans"/>
            <w:color w:val="016676"/>
            <w:sz w:val="20"/>
            <w:szCs w:val="20"/>
          </w:rPr>
          <w:t xml:space="preserve">L3Harris Technologies, Inc. (formerly known as Harris </w:t>
        </w:r>
        <w:r>
          <w:rPr>
            <w:rStyle w:val="a3"/>
            <w:rFonts w:ascii="IBM Plex Sans" w:eastAsia="Times New Roman" w:hAnsi="IBM Plex Sans"/>
            <w:color w:val="016676"/>
            <w:sz w:val="20"/>
            <w:szCs w:val="20"/>
          </w:rPr>
          <w:t>Corporation)</w:t>
        </w:r>
      </w:hyperlink>
      <w:hyperlink r:id="rId246" w:history="1">
        <w:r>
          <w:rPr>
            <w:rStyle w:val="a3"/>
            <w:rFonts w:ascii="IBM Plex Sans" w:eastAsia="Times New Roman" w:hAnsi="IBM Plex Sans"/>
            <w:color w:val="016676"/>
            <w:sz w:val="20"/>
            <w:szCs w:val="20"/>
          </w:rPr>
          <w:t xml:space="preserve"> Master Rabbi Trust Agreement, dated as of December 8, 2004, incorporated herein by reference to Exhibit 10.5 to </w:t>
        </w:r>
      </w:hyperlink>
      <w:hyperlink r:id="rId247" w:history="1">
        <w:r>
          <w:rPr>
            <w:rStyle w:val="a3"/>
            <w:rFonts w:ascii="IBM Plex Sans" w:eastAsia="Times New Roman" w:hAnsi="IBM Plex Sans"/>
            <w:color w:val="016676"/>
            <w:sz w:val="20"/>
            <w:szCs w:val="20"/>
          </w:rPr>
          <w:t>L3Harris Technologies, Inc.'s (formerly known as Harris Corporation)</w:t>
        </w:r>
      </w:hyperlink>
      <w:hyperlink r:id="rId248" w:history="1">
        <w:r>
          <w:rPr>
            <w:rStyle w:val="a3"/>
            <w:rFonts w:ascii="IBM Plex Sans" w:eastAsia="Times New Roman" w:hAnsi="IBM Plex Sans"/>
            <w:color w:val="016676"/>
            <w:sz w:val="20"/>
            <w:szCs w:val="20"/>
          </w:rPr>
          <w:t xml:space="preserve"> Current Report </w:t>
        </w:r>
        <w:r>
          <w:rPr>
            <w:rStyle w:val="a3"/>
            <w:rFonts w:ascii="IBM Plex Sans" w:eastAsia="Times New Roman" w:hAnsi="IBM Plex Sans"/>
            <w:color w:val="016676"/>
            <w:sz w:val="20"/>
            <w:szCs w:val="20"/>
          </w:rPr>
          <w:t>on Form 8-K filed with the SEC on December 8, 2004. (Commission File Number 1-3863)</w:t>
        </w:r>
      </w:hyperlink>
    </w:p>
    <w:p w:rsidR="00000000" w:rsidRDefault="00F5481A">
      <w:pPr>
        <w:divId w:val="1699744414"/>
        <w:rPr>
          <w:rFonts w:eastAsia="Times New Roman"/>
        </w:rPr>
      </w:pPr>
      <w:hyperlink r:id="rId249" w:history="1">
        <w:r>
          <w:rPr>
            <w:rStyle w:val="a3"/>
            <w:rFonts w:ascii="IBM Plex Sans" w:eastAsia="Times New Roman" w:hAnsi="IBM Plex Sans"/>
            <w:color w:val="016676"/>
            <w:sz w:val="20"/>
            <w:szCs w:val="20"/>
          </w:rPr>
          <w:t xml:space="preserve">(iv) Third Amendment to the </w:t>
        </w:r>
      </w:hyperlink>
      <w:hyperlink r:id="rId250" w:history="1">
        <w:r>
          <w:rPr>
            <w:rStyle w:val="a3"/>
            <w:rFonts w:ascii="IBM Plex Sans" w:eastAsia="Times New Roman" w:hAnsi="IBM Plex Sans"/>
            <w:color w:val="016676"/>
            <w:sz w:val="20"/>
            <w:szCs w:val="20"/>
          </w:rPr>
          <w:t>L3Harris Technologies, Inc. (formerly known as Harris Corporation)</w:t>
        </w:r>
      </w:hyperlink>
      <w:hyperlink r:id="rId251" w:history="1">
        <w:r>
          <w:rPr>
            <w:rStyle w:val="a3"/>
            <w:rFonts w:ascii="IBM Plex Sans" w:eastAsia="Times New Roman" w:hAnsi="IBM Plex Sans"/>
            <w:color w:val="016676"/>
            <w:sz w:val="20"/>
            <w:szCs w:val="20"/>
          </w:rPr>
          <w:t xml:space="preserve"> Master Rabbi Trust Agreemen</w:t>
        </w:r>
        <w:r>
          <w:rPr>
            <w:rStyle w:val="a3"/>
            <w:rFonts w:ascii="IBM Plex Sans" w:eastAsia="Times New Roman" w:hAnsi="IBM Plex Sans"/>
            <w:color w:val="016676"/>
            <w:sz w:val="20"/>
            <w:szCs w:val="20"/>
          </w:rPr>
          <w:t xml:space="preserve">t, dated January 15, 2009 and effective January 1, 2009, incorporated herein by reference to Exhibit 10(i) to </w:t>
        </w:r>
      </w:hyperlink>
      <w:hyperlink r:id="rId252" w:history="1">
        <w:r>
          <w:rPr>
            <w:rStyle w:val="a3"/>
            <w:rFonts w:ascii="IBM Plex Sans" w:eastAsia="Times New Roman" w:hAnsi="IBM Plex Sans"/>
            <w:color w:val="016676"/>
            <w:sz w:val="20"/>
            <w:szCs w:val="20"/>
          </w:rPr>
          <w:t>L3Harris Technologies, Inc.'s (formerly know</w:t>
        </w:r>
        <w:r>
          <w:rPr>
            <w:rStyle w:val="a3"/>
            <w:rFonts w:ascii="IBM Plex Sans" w:eastAsia="Times New Roman" w:hAnsi="IBM Plex Sans"/>
            <w:color w:val="016676"/>
            <w:sz w:val="20"/>
            <w:szCs w:val="20"/>
          </w:rPr>
          <w:t>n as Harris Corporation)</w:t>
        </w:r>
      </w:hyperlink>
      <w:hyperlink r:id="rId253" w:history="1">
        <w:r>
          <w:rPr>
            <w:rStyle w:val="a3"/>
            <w:rFonts w:ascii="IBM Plex Sans" w:eastAsia="Times New Roman" w:hAnsi="IBM Plex Sans"/>
            <w:color w:val="016676"/>
            <w:sz w:val="20"/>
            <w:szCs w:val="20"/>
          </w:rPr>
          <w:t xml:space="preserve"> </w:t>
        </w:r>
        <w:r>
          <w:rPr>
            <w:rStyle w:val="a3"/>
            <w:rFonts w:ascii="IBM Plex Sans" w:eastAsia="Times New Roman" w:hAnsi="IBM Plex Sans"/>
            <w:color w:val="016676"/>
            <w:sz w:val="20"/>
            <w:szCs w:val="20"/>
          </w:rPr>
          <w:t>Quarterly Report on Form 10-Q for the fiscal quarter ended January 2, 2009. (Commission File Number 1-3863)</w:t>
        </w:r>
      </w:hyperlink>
    </w:p>
    <w:p w:rsidR="00000000" w:rsidRDefault="00F5481A">
      <w:pPr>
        <w:divId w:val="1498301345"/>
        <w:rPr>
          <w:rFonts w:eastAsia="Times New Roman"/>
        </w:rPr>
      </w:pPr>
      <w:hyperlink r:id="rId254" w:history="1">
        <w:r>
          <w:rPr>
            <w:rStyle w:val="a3"/>
            <w:rFonts w:ascii="IBM Plex Sans" w:eastAsia="Times New Roman" w:hAnsi="IBM Plex Sans"/>
            <w:color w:val="016676"/>
            <w:sz w:val="20"/>
            <w:szCs w:val="20"/>
          </w:rPr>
          <w:t xml:space="preserve">(v) Fourth Amendment to the </w:t>
        </w:r>
      </w:hyperlink>
      <w:hyperlink r:id="rId255" w:history="1">
        <w:r>
          <w:rPr>
            <w:rStyle w:val="a3"/>
            <w:rFonts w:ascii="IBM Plex Sans" w:eastAsia="Times New Roman" w:hAnsi="IBM Plex Sans"/>
            <w:color w:val="016676"/>
            <w:sz w:val="20"/>
            <w:szCs w:val="20"/>
          </w:rPr>
          <w:t>L3Harris Technologies, Inc. (formerly known as Harris Corporation)</w:t>
        </w:r>
      </w:hyperlink>
      <w:hyperlink r:id="rId256" w:history="1">
        <w:r>
          <w:rPr>
            <w:rStyle w:val="a3"/>
            <w:rFonts w:ascii="IBM Plex Sans" w:eastAsia="Times New Roman" w:hAnsi="IBM Plex Sans"/>
            <w:color w:val="016676"/>
            <w:sz w:val="20"/>
            <w:szCs w:val="20"/>
          </w:rPr>
          <w:t xml:space="preserve"> Master Ra</w:t>
        </w:r>
        <w:r>
          <w:rPr>
            <w:rStyle w:val="a3"/>
            <w:rFonts w:ascii="IBM Plex Sans" w:eastAsia="Times New Roman" w:hAnsi="IBM Plex Sans"/>
            <w:color w:val="016676"/>
            <w:sz w:val="20"/>
            <w:szCs w:val="20"/>
          </w:rPr>
          <w:t xml:space="preserve">bbi Trust Agreement, dated October 27, 2010 and effective as of August 28, 2010, incorporated herein by reference to Exhibit 10(n) to </w:t>
        </w:r>
      </w:hyperlink>
      <w:hyperlink r:id="rId257" w:history="1">
        <w:r>
          <w:rPr>
            <w:rStyle w:val="a3"/>
            <w:rFonts w:ascii="IBM Plex Sans" w:eastAsia="Times New Roman" w:hAnsi="IBM Plex Sans"/>
            <w:color w:val="016676"/>
            <w:sz w:val="20"/>
            <w:szCs w:val="20"/>
          </w:rPr>
          <w:t>L3Harris Technologies,</w:t>
        </w:r>
        <w:r>
          <w:rPr>
            <w:rStyle w:val="a3"/>
            <w:rFonts w:ascii="IBM Plex Sans" w:eastAsia="Times New Roman" w:hAnsi="IBM Plex Sans"/>
            <w:color w:val="016676"/>
            <w:sz w:val="20"/>
            <w:szCs w:val="20"/>
          </w:rPr>
          <w:t xml:space="preserve"> Inc.'s (formerly known as Harris Corporation)</w:t>
        </w:r>
      </w:hyperlink>
      <w:hyperlink r:id="rId258" w:history="1">
        <w:r>
          <w:rPr>
            <w:rStyle w:val="a3"/>
            <w:rFonts w:ascii="IBM Plex Sans" w:eastAsia="Times New Roman" w:hAnsi="IBM Plex Sans"/>
            <w:color w:val="016676"/>
            <w:sz w:val="20"/>
            <w:szCs w:val="20"/>
          </w:rPr>
          <w:t xml:space="preserve"> Quarterly Report on Form 10-Q for the fiscal quarter ended October 1, 2010. (Commission File Number 1-3863)</w:t>
        </w:r>
      </w:hyperlink>
    </w:p>
    <w:p w:rsidR="00000000" w:rsidRDefault="00F5481A">
      <w:pPr>
        <w:divId w:val="179587837"/>
        <w:rPr>
          <w:rFonts w:eastAsia="Times New Roman"/>
        </w:rPr>
      </w:pPr>
      <w:hyperlink r:id="rId259" w:history="1">
        <w:r>
          <w:rPr>
            <w:rStyle w:val="a3"/>
            <w:rFonts w:ascii="IBM Plex Sans" w:eastAsia="Times New Roman" w:hAnsi="IBM Plex Sans"/>
            <w:color w:val="016676"/>
            <w:sz w:val="20"/>
            <w:szCs w:val="20"/>
          </w:rPr>
          <w:t xml:space="preserve">(vi) Fifth Amendment to the </w:t>
        </w:r>
      </w:hyperlink>
      <w:hyperlink r:id="rId260" w:history="1">
        <w:r>
          <w:rPr>
            <w:rStyle w:val="a3"/>
            <w:rFonts w:ascii="IBM Plex Sans" w:eastAsia="Times New Roman" w:hAnsi="IBM Plex Sans"/>
            <w:color w:val="016676"/>
            <w:sz w:val="20"/>
            <w:szCs w:val="20"/>
          </w:rPr>
          <w:t>L3Harris Technologies, In</w:t>
        </w:r>
        <w:r>
          <w:rPr>
            <w:rStyle w:val="a3"/>
            <w:rFonts w:ascii="IBM Plex Sans" w:eastAsia="Times New Roman" w:hAnsi="IBM Plex Sans"/>
            <w:color w:val="016676"/>
            <w:sz w:val="20"/>
            <w:szCs w:val="20"/>
          </w:rPr>
          <w:t>c. (formerly known as Harris Corporation)</w:t>
        </w:r>
      </w:hyperlink>
      <w:hyperlink r:id="rId261" w:history="1">
        <w:r>
          <w:rPr>
            <w:rStyle w:val="a3"/>
            <w:rFonts w:ascii="IBM Plex Sans" w:eastAsia="Times New Roman" w:hAnsi="IBM Plex Sans"/>
            <w:color w:val="016676"/>
            <w:sz w:val="20"/>
            <w:szCs w:val="20"/>
          </w:rPr>
          <w:t xml:space="preserve"> Master Rabbi Trust Agreement, dated and effective as of February 28, 2019, incorporated herein by reference to E</w:t>
        </w:r>
        <w:r>
          <w:rPr>
            <w:rStyle w:val="a3"/>
            <w:rFonts w:ascii="IBM Plex Sans" w:eastAsia="Times New Roman" w:hAnsi="IBM Plex Sans"/>
            <w:color w:val="016676"/>
            <w:sz w:val="20"/>
            <w:szCs w:val="20"/>
          </w:rPr>
          <w:t xml:space="preserve">xhibit 10 to </w:t>
        </w:r>
      </w:hyperlink>
      <w:hyperlink r:id="rId262" w:history="1">
        <w:r>
          <w:rPr>
            <w:rStyle w:val="a3"/>
            <w:rFonts w:ascii="IBM Plex Sans" w:eastAsia="Times New Roman" w:hAnsi="IBM Plex Sans"/>
            <w:color w:val="016676"/>
            <w:sz w:val="20"/>
            <w:szCs w:val="20"/>
          </w:rPr>
          <w:t>L3Harris Technologies, Inc.'s (formerly known as Harris Corporation)</w:t>
        </w:r>
      </w:hyperlink>
      <w:hyperlink r:id="rId263" w:history="1">
        <w:r>
          <w:rPr>
            <w:rStyle w:val="a3"/>
            <w:rFonts w:ascii="IBM Plex Sans" w:eastAsia="Times New Roman" w:hAnsi="IBM Plex Sans"/>
            <w:color w:val="016676"/>
            <w:sz w:val="20"/>
            <w:szCs w:val="20"/>
          </w:rPr>
          <w:t xml:space="preserve"> Quarterly Report on Form 10-Q for the fiscal quarter ended March 29, 2019. (Commission File Number 1-3863)</w:t>
        </w:r>
      </w:hyperlink>
    </w:p>
    <w:p w:rsidR="00000000" w:rsidRDefault="00F5481A">
      <w:pPr>
        <w:ind w:hanging="900"/>
        <w:divId w:val="1830294475"/>
        <w:rPr>
          <w:rFonts w:eastAsia="Times New Roman"/>
        </w:rPr>
      </w:pPr>
      <w:hyperlink r:id="rId264" w:history="1">
        <w:r>
          <w:rPr>
            <w:rStyle w:val="a3"/>
            <w:rFonts w:ascii="IBM Plex Sans" w:eastAsia="Times New Roman" w:hAnsi="IBM Plex Sans"/>
            <w:color w:val="016676"/>
            <w:sz w:val="20"/>
            <w:szCs w:val="20"/>
          </w:rPr>
          <w:t xml:space="preserve">(10)(m) Commercial Paper Issuing and Paying Agent Agreement, dated as of March 30, 2005, between Citibank, N.A. and </w:t>
        </w:r>
      </w:hyperlink>
      <w:hyperlink r:id="rId265" w:history="1">
        <w:r>
          <w:rPr>
            <w:rStyle w:val="a3"/>
            <w:rFonts w:ascii="IBM Plex Sans" w:eastAsia="Times New Roman" w:hAnsi="IBM Plex Sans"/>
            <w:color w:val="016676"/>
            <w:sz w:val="20"/>
            <w:szCs w:val="20"/>
          </w:rPr>
          <w:t>L3Harris Technologies, Inc. (formerly known as Harris Corporation)</w:t>
        </w:r>
      </w:hyperlink>
      <w:hyperlink r:id="rId266" w:history="1">
        <w:r>
          <w:rPr>
            <w:rStyle w:val="a3"/>
            <w:rFonts w:ascii="IBM Plex Sans" w:eastAsia="Times New Roman" w:hAnsi="IBM Plex Sans"/>
            <w:color w:val="016676"/>
            <w:sz w:val="20"/>
            <w:szCs w:val="20"/>
          </w:rPr>
          <w:t>, incorporated herein by re</w:t>
        </w:r>
        <w:r>
          <w:rPr>
            <w:rStyle w:val="a3"/>
            <w:rFonts w:ascii="IBM Plex Sans" w:eastAsia="Times New Roman" w:hAnsi="IBM Plex Sans"/>
            <w:color w:val="016676"/>
            <w:sz w:val="20"/>
            <w:szCs w:val="20"/>
          </w:rPr>
          <w:t xml:space="preserve">ference to Exhibit 99.2 to </w:t>
        </w:r>
      </w:hyperlink>
      <w:hyperlink r:id="rId267" w:history="1">
        <w:r>
          <w:rPr>
            <w:rStyle w:val="a3"/>
            <w:rFonts w:ascii="IBM Plex Sans" w:eastAsia="Times New Roman" w:hAnsi="IBM Plex Sans"/>
            <w:color w:val="016676"/>
            <w:sz w:val="20"/>
            <w:szCs w:val="20"/>
          </w:rPr>
          <w:t>L3Harris Technologies, Inc.'s (formerly known as Harris Corporation)</w:t>
        </w:r>
      </w:hyperlink>
      <w:hyperlink r:id="rId268" w:history="1">
        <w:r>
          <w:rPr>
            <w:rStyle w:val="a3"/>
            <w:rFonts w:ascii="IBM Plex Sans" w:eastAsia="Times New Roman" w:hAnsi="IBM Plex Sans"/>
            <w:color w:val="016676"/>
            <w:sz w:val="20"/>
            <w:szCs w:val="20"/>
          </w:rPr>
          <w:t xml:space="preserve"> Current Report on Form 8-K filed with the SEC on April 5, 2005. (Commission File Number 1-3863)</w:t>
        </w:r>
      </w:hyperlink>
    </w:p>
    <w:p w:rsidR="00000000" w:rsidRDefault="00F5481A">
      <w:pPr>
        <w:ind w:hanging="900"/>
        <w:divId w:val="1507287121"/>
        <w:rPr>
          <w:rFonts w:eastAsia="Times New Roman"/>
        </w:rPr>
      </w:pPr>
      <w:hyperlink r:id="rId269" w:history="1">
        <w:r>
          <w:rPr>
            <w:rStyle w:val="a3"/>
            <w:rFonts w:ascii="IBM Plex Sans" w:eastAsia="Times New Roman" w:hAnsi="IBM Plex Sans"/>
            <w:color w:val="016676"/>
            <w:sz w:val="20"/>
            <w:szCs w:val="20"/>
          </w:rPr>
          <w:t xml:space="preserve">(10)(n) Commercial Paper Dealer Agreement, dated as of June 12, 2007, between Citigroup Global Markets Inc. and </w:t>
        </w:r>
      </w:hyperlink>
      <w:hyperlink r:id="rId270" w:history="1">
        <w:r>
          <w:rPr>
            <w:rStyle w:val="a3"/>
            <w:rFonts w:ascii="IBM Plex Sans" w:eastAsia="Times New Roman" w:hAnsi="IBM Plex Sans"/>
            <w:color w:val="016676"/>
            <w:sz w:val="20"/>
            <w:szCs w:val="20"/>
          </w:rPr>
          <w:t>L3Harris Technologies, Inc. (formerly known as Harris Corporation)</w:t>
        </w:r>
      </w:hyperlink>
      <w:hyperlink r:id="rId271" w:history="1">
        <w:r>
          <w:rPr>
            <w:rStyle w:val="a3"/>
            <w:rFonts w:ascii="IBM Plex Sans" w:eastAsia="Times New Roman" w:hAnsi="IBM Plex Sans"/>
            <w:color w:val="016676"/>
            <w:sz w:val="20"/>
            <w:szCs w:val="20"/>
          </w:rPr>
          <w:t>, incorporated herein by reference</w:t>
        </w:r>
        <w:r>
          <w:rPr>
            <w:rStyle w:val="a3"/>
            <w:rFonts w:ascii="IBM Plex Sans" w:eastAsia="Times New Roman" w:hAnsi="IBM Plex Sans"/>
            <w:color w:val="016676"/>
            <w:sz w:val="20"/>
            <w:szCs w:val="20"/>
          </w:rPr>
          <w:t xml:space="preserve"> to Exhibit 10.1 to </w:t>
        </w:r>
      </w:hyperlink>
      <w:hyperlink r:id="rId272" w:history="1">
        <w:r>
          <w:rPr>
            <w:rStyle w:val="a3"/>
            <w:rFonts w:ascii="IBM Plex Sans" w:eastAsia="Times New Roman" w:hAnsi="IBM Plex Sans"/>
            <w:color w:val="016676"/>
            <w:sz w:val="20"/>
            <w:szCs w:val="20"/>
          </w:rPr>
          <w:t>L3Harris Technologies, Inc.'s (formerly known as Harris Corporation)</w:t>
        </w:r>
      </w:hyperlink>
      <w:hyperlink r:id="rId273" w:history="1">
        <w:r>
          <w:rPr>
            <w:rStyle w:val="a3"/>
            <w:rFonts w:ascii="IBM Plex Sans" w:eastAsia="Times New Roman" w:hAnsi="IBM Plex Sans"/>
            <w:color w:val="016676"/>
            <w:sz w:val="20"/>
            <w:szCs w:val="20"/>
          </w:rPr>
          <w:t xml:space="preserve"> Current Report on Form 8-K filed with the SEC on June 18, 2007. (Commission File Number 1-3863)</w:t>
        </w:r>
      </w:hyperlink>
    </w:p>
    <w:p w:rsidR="00000000" w:rsidRDefault="00F5481A">
      <w:pPr>
        <w:ind w:hanging="900"/>
        <w:divId w:val="959338330"/>
        <w:rPr>
          <w:rFonts w:eastAsia="Times New Roman"/>
        </w:rPr>
      </w:pPr>
      <w:hyperlink r:id="rId274" w:history="1">
        <w:r>
          <w:rPr>
            <w:rStyle w:val="a3"/>
            <w:rFonts w:ascii="IBM Plex Sans" w:eastAsia="Times New Roman" w:hAnsi="IBM Plex Sans"/>
            <w:color w:val="016676"/>
            <w:sz w:val="20"/>
            <w:szCs w:val="20"/>
          </w:rPr>
          <w:t>(10)(o) Commercial Paper De</w:t>
        </w:r>
        <w:r>
          <w:rPr>
            <w:rStyle w:val="a3"/>
            <w:rFonts w:ascii="IBM Plex Sans" w:eastAsia="Times New Roman" w:hAnsi="IBM Plex Sans"/>
            <w:color w:val="016676"/>
            <w:sz w:val="20"/>
            <w:szCs w:val="20"/>
          </w:rPr>
          <w:t xml:space="preserve">aler Agreement, dated June 13, 2007, between Banc of America Securities LLC and </w:t>
        </w:r>
      </w:hyperlink>
      <w:hyperlink r:id="rId275" w:history="1">
        <w:r>
          <w:rPr>
            <w:rStyle w:val="a3"/>
            <w:rFonts w:ascii="IBM Plex Sans" w:eastAsia="Times New Roman" w:hAnsi="IBM Plex Sans"/>
            <w:color w:val="016676"/>
            <w:sz w:val="20"/>
            <w:szCs w:val="20"/>
          </w:rPr>
          <w:t>L3Harris Technologies, Inc. (formerly known as Harris Corporation)</w:t>
        </w:r>
      </w:hyperlink>
      <w:hyperlink r:id="rId276" w:history="1">
        <w:r>
          <w:rPr>
            <w:rStyle w:val="a3"/>
            <w:rFonts w:ascii="IBM Plex Sans" w:eastAsia="Times New Roman" w:hAnsi="IBM Plex Sans"/>
            <w:color w:val="016676"/>
            <w:sz w:val="20"/>
            <w:szCs w:val="20"/>
          </w:rPr>
          <w:t xml:space="preserve">, incorporated herein by reference to Exhibit 10.2 to </w:t>
        </w:r>
      </w:hyperlink>
      <w:hyperlink r:id="rId277" w:history="1">
        <w:r>
          <w:rPr>
            <w:rStyle w:val="a3"/>
            <w:rFonts w:ascii="IBM Plex Sans" w:eastAsia="Times New Roman" w:hAnsi="IBM Plex Sans"/>
            <w:color w:val="016676"/>
            <w:sz w:val="20"/>
            <w:szCs w:val="20"/>
          </w:rPr>
          <w:t>L3Harris Tec</w:t>
        </w:r>
        <w:r>
          <w:rPr>
            <w:rStyle w:val="a3"/>
            <w:rFonts w:ascii="IBM Plex Sans" w:eastAsia="Times New Roman" w:hAnsi="IBM Plex Sans"/>
            <w:color w:val="016676"/>
            <w:sz w:val="20"/>
            <w:szCs w:val="20"/>
          </w:rPr>
          <w:t>hnologies, Inc.'s (formerly known as Harris Corporation)</w:t>
        </w:r>
      </w:hyperlink>
      <w:hyperlink r:id="rId278" w:history="1">
        <w:r>
          <w:rPr>
            <w:rStyle w:val="a3"/>
            <w:rFonts w:ascii="IBM Plex Sans" w:eastAsia="Times New Roman" w:hAnsi="IBM Plex Sans"/>
            <w:color w:val="016676"/>
            <w:sz w:val="20"/>
            <w:szCs w:val="20"/>
          </w:rPr>
          <w:t xml:space="preserve"> Current Report on Form 8-K filed with the SEC on June 18, 2007. (Commission File Number 1-3863)</w:t>
        </w:r>
      </w:hyperlink>
    </w:p>
    <w:p w:rsidR="00000000" w:rsidRDefault="00F5481A">
      <w:pPr>
        <w:ind w:hanging="900"/>
        <w:divId w:val="1110470875"/>
        <w:rPr>
          <w:rFonts w:eastAsia="Times New Roman"/>
        </w:rPr>
      </w:pPr>
      <w:hyperlink r:id="rId279" w:history="1">
        <w:r>
          <w:rPr>
            <w:rStyle w:val="a3"/>
            <w:rFonts w:ascii="IBM Plex Sans" w:eastAsia="Times New Roman" w:hAnsi="IBM Plex Sans"/>
            <w:color w:val="016676"/>
            <w:sz w:val="20"/>
            <w:szCs w:val="20"/>
          </w:rPr>
          <w:t xml:space="preserve">(10)(p) Commercial Paper Dealer Agreement, dated as of June 14, 2007, between SunTrust Capital Markets, Inc. and </w:t>
        </w:r>
      </w:hyperlink>
      <w:hyperlink r:id="rId280" w:history="1">
        <w:r>
          <w:rPr>
            <w:rStyle w:val="a3"/>
            <w:rFonts w:ascii="IBM Plex Sans" w:eastAsia="Times New Roman" w:hAnsi="IBM Plex Sans"/>
            <w:color w:val="016676"/>
            <w:sz w:val="20"/>
            <w:szCs w:val="20"/>
          </w:rPr>
          <w:t>L3Harris Technologies, Inc. (formerly known as Harris Corporation)</w:t>
        </w:r>
      </w:hyperlink>
      <w:hyperlink r:id="rId281" w:history="1">
        <w:r>
          <w:rPr>
            <w:rStyle w:val="a3"/>
            <w:rFonts w:ascii="IBM Plex Sans" w:eastAsia="Times New Roman" w:hAnsi="IBM Plex Sans"/>
            <w:color w:val="016676"/>
            <w:sz w:val="20"/>
            <w:szCs w:val="20"/>
          </w:rPr>
          <w:t>, incorporated herein by reference t</w:t>
        </w:r>
        <w:r>
          <w:rPr>
            <w:rStyle w:val="a3"/>
            <w:rFonts w:ascii="IBM Plex Sans" w:eastAsia="Times New Roman" w:hAnsi="IBM Plex Sans"/>
            <w:color w:val="016676"/>
            <w:sz w:val="20"/>
            <w:szCs w:val="20"/>
          </w:rPr>
          <w:t xml:space="preserve">o Exhibit 10.3 to </w:t>
        </w:r>
      </w:hyperlink>
      <w:hyperlink r:id="rId282" w:history="1">
        <w:r>
          <w:rPr>
            <w:rStyle w:val="a3"/>
            <w:rFonts w:ascii="IBM Plex Sans" w:eastAsia="Times New Roman" w:hAnsi="IBM Plex Sans"/>
            <w:color w:val="016676"/>
            <w:sz w:val="20"/>
            <w:szCs w:val="20"/>
          </w:rPr>
          <w:t>L3Harris Technologies, Inc.'s (formerly known as Harris Corporation)</w:t>
        </w:r>
      </w:hyperlink>
      <w:hyperlink r:id="rId283" w:history="1">
        <w:r>
          <w:rPr>
            <w:rStyle w:val="a3"/>
            <w:rFonts w:ascii="IBM Plex Sans" w:eastAsia="Times New Roman" w:hAnsi="IBM Plex Sans"/>
            <w:color w:val="016676"/>
            <w:sz w:val="20"/>
            <w:szCs w:val="20"/>
          </w:rPr>
          <w:t xml:space="preserve"> Current Report on Form 8-K filed with the SEC on June 18, 2007. (Commission File Number 1-3863)</w:t>
        </w:r>
      </w:hyperlink>
    </w:p>
    <w:p w:rsidR="00000000" w:rsidRDefault="00F5481A">
      <w:pPr>
        <w:ind w:hanging="900"/>
        <w:divId w:val="1025206284"/>
        <w:rPr>
          <w:rFonts w:eastAsia="Times New Roman"/>
        </w:rPr>
      </w:pPr>
      <w:hyperlink r:id="rId284" w:history="1">
        <w:r>
          <w:rPr>
            <w:rStyle w:val="a3"/>
            <w:rFonts w:ascii="IBM Plex Sans" w:eastAsia="Times New Roman" w:hAnsi="IBM Plex Sans"/>
            <w:color w:val="016676"/>
            <w:sz w:val="20"/>
            <w:szCs w:val="20"/>
          </w:rPr>
          <w:t xml:space="preserve">*(10)(q) (i) Employment Agreement, dated October 8, 2011 and effective November 1, 2011, by and between </w:t>
        </w:r>
      </w:hyperlink>
      <w:hyperlink r:id="rId285" w:history="1">
        <w:r>
          <w:rPr>
            <w:rStyle w:val="a3"/>
            <w:rFonts w:ascii="IBM Plex Sans" w:eastAsia="Times New Roman" w:hAnsi="IBM Plex Sans"/>
            <w:color w:val="016676"/>
            <w:sz w:val="20"/>
            <w:szCs w:val="20"/>
          </w:rPr>
          <w:t>L3Harris Technologies, Inc. (formerly known as Harris Corporation)</w:t>
        </w:r>
      </w:hyperlink>
      <w:hyperlink r:id="rId286" w:history="1">
        <w:r>
          <w:rPr>
            <w:rStyle w:val="a3"/>
            <w:rFonts w:ascii="IBM Plex Sans" w:eastAsia="Times New Roman" w:hAnsi="IBM Plex Sans"/>
            <w:color w:val="016676"/>
            <w:sz w:val="20"/>
            <w:szCs w:val="20"/>
          </w:rPr>
          <w:t xml:space="preserve"> and William M. Brown, incorporated herein</w:t>
        </w:r>
        <w:r>
          <w:rPr>
            <w:rStyle w:val="a3"/>
            <w:rFonts w:ascii="IBM Plex Sans" w:eastAsia="Times New Roman" w:hAnsi="IBM Plex Sans"/>
            <w:color w:val="016676"/>
            <w:sz w:val="20"/>
            <w:szCs w:val="20"/>
          </w:rPr>
          <w:t xml:space="preserve"> by reference to Exhibit 10.1 to </w:t>
        </w:r>
      </w:hyperlink>
      <w:hyperlink r:id="rId287" w:history="1">
        <w:r>
          <w:rPr>
            <w:rStyle w:val="a3"/>
            <w:rFonts w:ascii="IBM Plex Sans" w:eastAsia="Times New Roman" w:hAnsi="IBM Plex Sans"/>
            <w:color w:val="016676"/>
            <w:sz w:val="20"/>
            <w:szCs w:val="20"/>
          </w:rPr>
          <w:t>L3Harris Technologies, Inc.'s (formerly known as Harris Corporation)</w:t>
        </w:r>
      </w:hyperlink>
      <w:hyperlink r:id="rId288" w:history="1">
        <w:r>
          <w:rPr>
            <w:rStyle w:val="a3"/>
            <w:rFonts w:ascii="IBM Plex Sans" w:eastAsia="Times New Roman" w:hAnsi="IBM Plex Sans"/>
            <w:color w:val="016676"/>
            <w:sz w:val="20"/>
            <w:szCs w:val="20"/>
          </w:rPr>
          <w:t xml:space="preserve"> Current Report on Form 8-K filed with the SEC on October 11, 2011. (Commission File Number 1-3863)</w:t>
        </w:r>
      </w:hyperlink>
    </w:p>
    <w:p w:rsidR="00000000" w:rsidRDefault="00F5481A">
      <w:pPr>
        <w:ind w:firstLine="360"/>
        <w:jc w:val="center"/>
        <w:divId w:val="1258637852"/>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124</w:t>
      </w:r>
    </w:p>
    <w:p w:rsidR="00000000" w:rsidRDefault="00F5481A">
      <w:pPr>
        <w:rPr>
          <w:rFonts w:eastAsia="Times New Roman"/>
        </w:rPr>
      </w:pPr>
      <w:r>
        <w:rPr>
          <w:rFonts w:eastAsia="Times New Roman"/>
        </w:rPr>
        <w:pict>
          <v:rect id="_x0000_i1155" style="width:0;height:1.5pt" o:hralign="center" o:hrstd="t" o:hr="t" fillcolor="#a0a0a0" stroked="f"/>
        </w:pict>
      </w:r>
    </w:p>
    <w:p w:rsidR="00000000" w:rsidRDefault="00F5481A">
      <w:pPr>
        <w:ind w:firstLine="360"/>
        <w:divId w:val="1205672904"/>
        <w:rPr>
          <w:rFonts w:eastAsia="Times New Roman"/>
        </w:rPr>
      </w:pPr>
    </w:p>
    <w:p w:rsidR="00000000" w:rsidRDefault="00F5481A">
      <w:pPr>
        <w:divId w:val="210577068"/>
        <w:rPr>
          <w:rFonts w:eastAsia="Times New Roman"/>
        </w:rPr>
      </w:pPr>
      <w:hyperlink r:id="rId289" w:history="1">
        <w:r>
          <w:rPr>
            <w:rStyle w:val="a3"/>
            <w:rFonts w:ascii="IBM Plex Sans" w:eastAsia="Times New Roman" w:hAnsi="IBM Plex Sans"/>
            <w:color w:val="016676"/>
            <w:sz w:val="20"/>
            <w:szCs w:val="20"/>
          </w:rPr>
          <w:t xml:space="preserve">(ii) Employment Agreement Amendment, dated October 12, 2018, by and between </w:t>
        </w:r>
      </w:hyperlink>
      <w:hyperlink r:id="rId290" w:history="1">
        <w:r>
          <w:rPr>
            <w:rStyle w:val="a3"/>
            <w:rFonts w:ascii="IBM Plex Sans" w:eastAsia="Times New Roman" w:hAnsi="IBM Plex Sans"/>
            <w:color w:val="016676"/>
            <w:sz w:val="20"/>
            <w:szCs w:val="20"/>
          </w:rPr>
          <w:t>L3Harris Technologies, Inc. (formerly known as Harris Corporation)</w:t>
        </w:r>
      </w:hyperlink>
      <w:hyperlink r:id="rId291" w:history="1">
        <w:r>
          <w:rPr>
            <w:rStyle w:val="a3"/>
            <w:rFonts w:ascii="IBM Plex Sans" w:eastAsia="Times New Roman" w:hAnsi="IBM Plex Sans"/>
            <w:color w:val="016676"/>
            <w:sz w:val="20"/>
            <w:szCs w:val="20"/>
          </w:rPr>
          <w:t xml:space="preserve"> and William M. Brown, incorp</w:t>
        </w:r>
        <w:r>
          <w:rPr>
            <w:rStyle w:val="a3"/>
            <w:rFonts w:ascii="IBM Plex Sans" w:eastAsia="Times New Roman" w:hAnsi="IBM Plex Sans"/>
            <w:color w:val="016676"/>
            <w:sz w:val="20"/>
            <w:szCs w:val="20"/>
          </w:rPr>
          <w:t xml:space="preserve">orated herein by reference to Exhibit 10.1 to </w:t>
        </w:r>
      </w:hyperlink>
      <w:hyperlink r:id="rId292" w:history="1">
        <w:r>
          <w:rPr>
            <w:rStyle w:val="a3"/>
            <w:rFonts w:ascii="IBM Plex Sans" w:eastAsia="Times New Roman" w:hAnsi="IBM Plex Sans"/>
            <w:color w:val="016676"/>
            <w:sz w:val="20"/>
            <w:szCs w:val="20"/>
          </w:rPr>
          <w:t>L3Harris Technologies, Inc.'s (formerly known as Harris Corporation)</w:t>
        </w:r>
      </w:hyperlink>
      <w:hyperlink r:id="rId293" w:history="1">
        <w:r>
          <w:rPr>
            <w:rStyle w:val="a3"/>
            <w:rFonts w:ascii="IBM Plex Sans" w:eastAsia="Times New Roman" w:hAnsi="IBM Plex Sans"/>
            <w:color w:val="016676"/>
            <w:sz w:val="20"/>
            <w:szCs w:val="20"/>
          </w:rPr>
          <w:t xml:space="preserve"> Quarterly Report on Form</w:t>
        </w:r>
      </w:hyperlink>
      <w:hyperlink r:id="rId294" w:history="1">
        <w:r>
          <w:rPr>
            <w:rStyle w:val="a3"/>
            <w:rFonts w:ascii="IBM Plex Sans" w:eastAsia="Times New Roman" w:hAnsi="IBM Plex Sans"/>
            <w:color w:val="016676"/>
            <w:sz w:val="20"/>
            <w:szCs w:val="20"/>
          </w:rPr>
          <w:t xml:space="preserve"> </w:t>
        </w:r>
      </w:hyperlink>
      <w:hyperlink r:id="rId295" w:history="1">
        <w:r>
          <w:rPr>
            <w:rStyle w:val="a3"/>
            <w:rFonts w:ascii="IBM Plex Sans" w:eastAsia="Times New Roman" w:hAnsi="IBM Plex Sans"/>
            <w:color w:val="016676"/>
            <w:sz w:val="20"/>
            <w:szCs w:val="20"/>
          </w:rPr>
          <w:t>10-Q for the fiscal quarter e</w:t>
        </w:r>
        <w:r>
          <w:rPr>
            <w:rStyle w:val="a3"/>
            <w:rFonts w:ascii="IBM Plex Sans" w:eastAsia="Times New Roman" w:hAnsi="IBM Plex Sans"/>
            <w:color w:val="016676"/>
            <w:sz w:val="20"/>
            <w:szCs w:val="20"/>
          </w:rPr>
          <w:t xml:space="preserve">nded December 28, 2018. (Commission File Number 1-3863) </w:t>
        </w:r>
      </w:hyperlink>
    </w:p>
    <w:p w:rsidR="00000000" w:rsidRDefault="00F5481A">
      <w:pPr>
        <w:ind w:hanging="900"/>
        <w:divId w:val="470756281"/>
        <w:rPr>
          <w:rFonts w:eastAsia="Times New Roman"/>
        </w:rPr>
      </w:pPr>
      <w:hyperlink r:id="rId296" w:history="1">
        <w:r>
          <w:rPr>
            <w:rStyle w:val="a3"/>
            <w:rFonts w:ascii="IBM Plex Sans" w:eastAsia="Times New Roman" w:hAnsi="IBM Plex Sans"/>
            <w:color w:val="016676"/>
            <w:sz w:val="20"/>
            <w:szCs w:val="20"/>
          </w:rPr>
          <w:t>*(10)(r) Letter Agreement with Christopher E. Kubasik, dated as of November 5, 2018, incorporated herein b</w:t>
        </w:r>
        <w:r>
          <w:rPr>
            <w:rStyle w:val="a3"/>
            <w:rFonts w:ascii="IBM Plex Sans" w:eastAsia="Times New Roman" w:hAnsi="IBM Plex Sans"/>
            <w:color w:val="016676"/>
            <w:sz w:val="20"/>
            <w:szCs w:val="20"/>
          </w:rPr>
          <w:t>y reference to Exhibit 10.4 to L3Harris Technologies, Inc.’s Current Report on Form 8-K filed with the SEC on July 1, 2019. (Commission File Number 1-3863)</w:t>
        </w:r>
      </w:hyperlink>
    </w:p>
    <w:p w:rsidR="00000000" w:rsidRDefault="00F5481A">
      <w:pPr>
        <w:ind w:hanging="900"/>
        <w:divId w:val="1853758410"/>
        <w:rPr>
          <w:rFonts w:eastAsia="Times New Roman"/>
        </w:rPr>
      </w:pPr>
      <w:hyperlink r:id="rId297" w:history="1">
        <w:r>
          <w:rPr>
            <w:rStyle w:val="a3"/>
            <w:rFonts w:ascii="IBM Plex Sans" w:eastAsia="Times New Roman" w:hAnsi="IBM Plex Sans"/>
            <w:color w:val="016676"/>
            <w:sz w:val="20"/>
            <w:szCs w:val="20"/>
          </w:rPr>
          <w:t>*(10)(s</w:t>
        </w:r>
        <w:r>
          <w:rPr>
            <w:rStyle w:val="a3"/>
            <w:rFonts w:ascii="IBM Plex Sans" w:eastAsia="Times New Roman" w:hAnsi="IBM Plex Sans"/>
            <w:color w:val="016676"/>
            <w:sz w:val="20"/>
            <w:szCs w:val="20"/>
          </w:rPr>
          <w:t>) Offer Letter Agreement with Jesus Malave Jr., dated as of June 6, 2019, incorporated herein by reference to Exhibit 10.3 to L3Harris Technologies, Inc.’s Current Report on Form 8-K filed with the SEC on July 1, 2019. (Commission File Number 1-3863)</w:t>
        </w:r>
      </w:hyperlink>
      <w:r>
        <w:rPr>
          <w:rFonts w:ascii="IBM Plex Sans" w:eastAsia="Times New Roman" w:hAnsi="IBM Plex Sans"/>
          <w:color w:val="0000FF"/>
          <w:sz w:val="20"/>
          <w:szCs w:val="20"/>
          <w:u w:val="single"/>
        </w:rPr>
        <w:t xml:space="preserve"> </w:t>
      </w:r>
    </w:p>
    <w:p w:rsidR="00000000" w:rsidRDefault="00F5481A">
      <w:pPr>
        <w:ind w:hanging="900"/>
        <w:divId w:val="383405096"/>
        <w:rPr>
          <w:rFonts w:eastAsia="Times New Roman"/>
        </w:rPr>
      </w:pPr>
      <w:hyperlink r:id="rId298" w:history="1">
        <w:r>
          <w:rPr>
            <w:rStyle w:val="a3"/>
            <w:rFonts w:ascii="IBM Plex Sans" w:eastAsia="Times New Roman" w:hAnsi="IBM Plex Sans"/>
            <w:color w:val="016676"/>
            <w:sz w:val="20"/>
            <w:szCs w:val="20"/>
          </w:rPr>
          <w:t>*(10)(t) Summary of Annual Compensation of L3Harris Technologies, Inc., Non-Employee Directors effective as of January 1, 2022, incorporated herein</w:t>
        </w:r>
        <w:r>
          <w:rPr>
            <w:rStyle w:val="a3"/>
            <w:rFonts w:ascii="IBM Plex Sans" w:eastAsia="Times New Roman" w:hAnsi="IBM Plex Sans"/>
            <w:color w:val="016676"/>
            <w:sz w:val="20"/>
            <w:szCs w:val="20"/>
          </w:rPr>
          <w:t xml:space="preserve"> by reference to Exhibit 10.1 to the Company's Current Report on Form 8-K filed with the SEC on August 4, 2021. (Commission File Number 1-3863)</w:t>
        </w:r>
      </w:hyperlink>
    </w:p>
    <w:p w:rsidR="00000000" w:rsidRDefault="00F5481A">
      <w:pPr>
        <w:ind w:hanging="900"/>
        <w:divId w:val="1185630453"/>
        <w:rPr>
          <w:rFonts w:eastAsia="Times New Roman"/>
        </w:rPr>
      </w:pPr>
      <w:hyperlink r:id="rId299" w:history="1">
        <w:r>
          <w:rPr>
            <w:rStyle w:val="a3"/>
            <w:rFonts w:ascii="IBM Plex Sans" w:eastAsia="Times New Roman" w:hAnsi="IBM Plex Sans"/>
            <w:color w:val="016676"/>
            <w:sz w:val="20"/>
            <w:szCs w:val="20"/>
          </w:rPr>
          <w:t>*(1</w:t>
        </w:r>
        <w:r>
          <w:rPr>
            <w:rStyle w:val="a3"/>
            <w:rFonts w:ascii="IBM Plex Sans" w:eastAsia="Times New Roman" w:hAnsi="IBM Plex Sans"/>
            <w:color w:val="016676"/>
            <w:sz w:val="20"/>
            <w:szCs w:val="20"/>
          </w:rPr>
          <w:t>0)(u) L3Harris Supplemental Executive Retirement Plan (restated January 1, 2020), incorporated herein by reference to Exhibit 10(z) to L3Harris Technologies, Inc.’s Annual Report on Form 10-K for fiscal year-ended January 1, 2021. (Commission File Number 1</w:t>
        </w:r>
        <w:r>
          <w:rPr>
            <w:rStyle w:val="a3"/>
            <w:rFonts w:ascii="IBM Plex Sans" w:eastAsia="Times New Roman" w:hAnsi="IBM Plex Sans"/>
            <w:color w:val="016676"/>
            <w:sz w:val="20"/>
            <w:szCs w:val="20"/>
          </w:rPr>
          <w:t>-3863)</w:t>
        </w:r>
      </w:hyperlink>
    </w:p>
    <w:p w:rsidR="00000000" w:rsidRDefault="00F5481A">
      <w:pPr>
        <w:ind w:hanging="900"/>
        <w:divId w:val="2002193704"/>
        <w:rPr>
          <w:rFonts w:eastAsia="Times New Roman"/>
        </w:rPr>
      </w:pPr>
      <w:hyperlink r:id="rId300" w:history="1">
        <w:r>
          <w:rPr>
            <w:rStyle w:val="a3"/>
            <w:rFonts w:ascii="IBM Plex Sans" w:eastAsia="Times New Roman" w:hAnsi="IBM Plex Sans"/>
            <w:color w:val="016676"/>
            <w:sz w:val="20"/>
            <w:szCs w:val="20"/>
          </w:rPr>
          <w:t>*(10)(v) L3Harris Salaried Pension Plan (as amended and restated as of December 31, 2021), incorporated herein by reference to Exhibit 1</w:t>
        </w:r>
        <w:r>
          <w:rPr>
            <w:rStyle w:val="a3"/>
            <w:rFonts w:ascii="IBM Plex Sans" w:eastAsia="Times New Roman" w:hAnsi="IBM Plex Sans"/>
            <w:color w:val="016676"/>
            <w:sz w:val="20"/>
            <w:szCs w:val="20"/>
          </w:rPr>
          <w:t>0(x)(ii) to L3Harris Technologies, Inc.’s Annual Report on Form 10-K filed for the fiscal year ended December 31, 2021. (Commission File Number 1-3863)</w:t>
        </w:r>
      </w:hyperlink>
    </w:p>
    <w:p w:rsidR="00000000" w:rsidRDefault="00F5481A">
      <w:pPr>
        <w:ind w:hanging="900"/>
        <w:divId w:val="827214814"/>
        <w:rPr>
          <w:rFonts w:eastAsia="Times New Roman"/>
        </w:rPr>
      </w:pPr>
      <w:hyperlink r:id="rId301" w:history="1">
        <w:r>
          <w:rPr>
            <w:rStyle w:val="a3"/>
            <w:rFonts w:ascii="IBM Plex Sans" w:eastAsia="Times New Roman" w:hAnsi="IBM Plex Sans"/>
            <w:color w:val="016676"/>
            <w:sz w:val="20"/>
            <w:szCs w:val="20"/>
          </w:rPr>
          <w:t>*10(w) Link Supplement Nine Component of L3Harris Salaried Pension Plan (as amended and restated effective December 31, 2021), incorporated herein by reference to Exhibit 10(y)(ii) to L3Harris Technologies, Inc.’s Annual Report on Form 10-K filed for t</w:t>
        </w:r>
        <w:r>
          <w:rPr>
            <w:rStyle w:val="a3"/>
            <w:rFonts w:ascii="IBM Plex Sans" w:eastAsia="Times New Roman" w:hAnsi="IBM Plex Sans"/>
            <w:color w:val="016676"/>
            <w:sz w:val="20"/>
            <w:szCs w:val="20"/>
          </w:rPr>
          <w:t>he fiscal year ended December 31, 2021. (Commission File Number 1-3863)</w:t>
        </w:r>
      </w:hyperlink>
    </w:p>
    <w:p w:rsidR="00000000" w:rsidRDefault="00F5481A">
      <w:pPr>
        <w:ind w:hanging="900"/>
        <w:divId w:val="869491466"/>
        <w:rPr>
          <w:rFonts w:eastAsia="Times New Roman"/>
        </w:rPr>
      </w:pPr>
      <w:hyperlink r:id="rId302" w:history="1">
        <w:r>
          <w:rPr>
            <w:rStyle w:val="a3"/>
            <w:rFonts w:ascii="IBM Plex Sans" w:eastAsia="Times New Roman" w:hAnsi="IBM Plex Sans"/>
            <w:color w:val="016676"/>
            <w:sz w:val="20"/>
            <w:szCs w:val="20"/>
          </w:rPr>
          <w:t>*10(x) Conditional Waiver, Separation Agreement and Release of All Clai</w:t>
        </w:r>
        <w:r>
          <w:rPr>
            <w:rStyle w:val="a3"/>
            <w:rFonts w:ascii="IBM Plex Sans" w:eastAsia="Times New Roman" w:hAnsi="IBM Plex Sans"/>
            <w:color w:val="016676"/>
            <w:sz w:val="20"/>
            <w:szCs w:val="20"/>
          </w:rPr>
          <w:t>ms, dated January 21, 2022, between L3Harris Technologies, Inc. and Jesus Malave, incorporated herein by reference to Exhibit 10.1 to L3Harris Technologies, Inc.’s Quarterly Report on Form 10-Q for the fiscal quarter ended April 1, 2022. (Commission File N</w:t>
        </w:r>
        <w:r>
          <w:rPr>
            <w:rStyle w:val="a3"/>
            <w:rFonts w:ascii="IBM Plex Sans" w:eastAsia="Times New Roman" w:hAnsi="IBM Plex Sans"/>
            <w:color w:val="016676"/>
            <w:sz w:val="20"/>
            <w:szCs w:val="20"/>
          </w:rPr>
          <w:t>umber 1-3863)</w:t>
        </w:r>
      </w:hyperlink>
    </w:p>
    <w:p w:rsidR="00000000" w:rsidRDefault="00F5481A">
      <w:pPr>
        <w:ind w:hanging="900"/>
        <w:divId w:val="383797095"/>
        <w:rPr>
          <w:rFonts w:eastAsia="Times New Roman"/>
        </w:rPr>
      </w:pPr>
      <w:hyperlink r:id="rId303" w:history="1">
        <w:r>
          <w:rPr>
            <w:rStyle w:val="a3"/>
            <w:rFonts w:ascii="IBM Plex Sans" w:eastAsia="Times New Roman" w:hAnsi="IBM Plex Sans"/>
            <w:color w:val="016676"/>
            <w:sz w:val="20"/>
            <w:szCs w:val="20"/>
          </w:rPr>
          <w:t>*10(y) Offer Letter Agreement dated January 24, 2022, between L3Harris Technologies, Inc. and Michelle L. Turner, incorporated he</w:t>
        </w:r>
        <w:r>
          <w:rPr>
            <w:rStyle w:val="a3"/>
            <w:rFonts w:ascii="IBM Plex Sans" w:eastAsia="Times New Roman" w:hAnsi="IBM Plex Sans"/>
            <w:color w:val="016676"/>
            <w:sz w:val="20"/>
            <w:szCs w:val="20"/>
          </w:rPr>
          <w:t>rein by reference to Exhibit 10.2 to L3Harris Technologies, Inc.’s Quarterly Report on Form 10-Q for the fiscal quarter ended April 1, 2022. (Commission File Number 1-3863)</w:t>
        </w:r>
      </w:hyperlink>
    </w:p>
    <w:p w:rsidR="00000000" w:rsidRDefault="00F5481A">
      <w:pPr>
        <w:ind w:hanging="900"/>
        <w:divId w:val="1730836477"/>
        <w:rPr>
          <w:rFonts w:eastAsia="Times New Roman"/>
        </w:rPr>
      </w:pPr>
      <w:hyperlink r:id="rId304" w:history="1">
        <w:r>
          <w:rPr>
            <w:rStyle w:val="a3"/>
            <w:rFonts w:ascii="IBM Plex Sans" w:eastAsia="Times New Roman" w:hAnsi="IBM Plex Sans"/>
            <w:color w:val="016676"/>
            <w:sz w:val="20"/>
            <w:szCs w:val="20"/>
          </w:rPr>
          <w:t xml:space="preserve">***10(z) Revolving Credit Agreement, dated as of July 29, 2022, by and among L3Harris Technologies, Inc. and the other parties thereto, incorporated herein by reference to Exhibit 10.1 to L3Harris Technologies, Inc.’s Current </w:t>
        </w:r>
        <w:r>
          <w:rPr>
            <w:rStyle w:val="a3"/>
            <w:rFonts w:ascii="IBM Plex Sans" w:eastAsia="Times New Roman" w:hAnsi="IBM Plex Sans"/>
            <w:color w:val="016676"/>
            <w:sz w:val="20"/>
            <w:szCs w:val="20"/>
          </w:rPr>
          <w:t>Report on Form 8-K filed with the SEC on August 4, 2022. (Commission File Number 1-3863)</w:t>
        </w:r>
      </w:hyperlink>
    </w:p>
    <w:p w:rsidR="00000000" w:rsidRDefault="00F5481A">
      <w:pPr>
        <w:ind w:hanging="900"/>
        <w:divId w:val="1628900172"/>
        <w:rPr>
          <w:rFonts w:eastAsia="Times New Roman"/>
        </w:rPr>
      </w:pPr>
      <w:hyperlink r:id="rId305" w:history="1">
        <w:r>
          <w:rPr>
            <w:rStyle w:val="a3"/>
            <w:rFonts w:ascii="IBM Plex Sans" w:eastAsia="Times New Roman" w:hAnsi="IBM Plex Sans"/>
            <w:color w:val="016676"/>
            <w:sz w:val="20"/>
            <w:szCs w:val="20"/>
          </w:rPr>
          <w:t>***10(a</w:t>
        </w:r>
      </w:hyperlink>
      <w:hyperlink r:id="rId306" w:history="1">
        <w:r>
          <w:rPr>
            <w:rStyle w:val="a3"/>
            <w:rFonts w:ascii="IBM Plex Sans" w:eastAsia="Times New Roman" w:hAnsi="IBM Plex Sans"/>
            <w:color w:val="016676"/>
            <w:sz w:val="20"/>
            <w:szCs w:val="20"/>
          </w:rPr>
          <w:t>a) Loan Agreement, dated as of November 22, 2022, by and among L3Harris Technologies, Inc. and the other parties thereto, incorporated herein b</w:t>
        </w:r>
        <w:r>
          <w:rPr>
            <w:rStyle w:val="a3"/>
            <w:rFonts w:ascii="IBM Plex Sans" w:eastAsia="Times New Roman" w:hAnsi="IBM Plex Sans"/>
            <w:color w:val="016676"/>
            <w:sz w:val="20"/>
            <w:szCs w:val="20"/>
          </w:rPr>
          <w:t>y reference to Exhibit 10.1 to L3Harris Technologies, Inc.’s Current Report on Form 8-K filed with the SEC on November 28, 2022. (Commission File Number 1-3863)</w:t>
        </w:r>
      </w:hyperlink>
    </w:p>
    <w:p w:rsidR="00000000" w:rsidRDefault="00F5481A">
      <w:pPr>
        <w:ind w:hanging="900"/>
        <w:divId w:val="2125804513"/>
        <w:rPr>
          <w:rFonts w:eastAsia="Times New Roman"/>
        </w:rPr>
      </w:pPr>
      <w:hyperlink r:id="rId307" w:history="1">
        <w:r>
          <w:rPr>
            <w:rStyle w:val="a3"/>
            <w:rFonts w:ascii="IBM Plex Sans" w:eastAsia="Times New Roman" w:hAnsi="IBM Plex Sans"/>
            <w:color w:val="016676"/>
            <w:sz w:val="20"/>
            <w:szCs w:val="20"/>
          </w:rPr>
          <w:t>*10(</w:t>
        </w:r>
      </w:hyperlink>
      <w:hyperlink r:id="rId308" w:history="1">
        <w:r>
          <w:rPr>
            <w:rStyle w:val="a3"/>
            <w:rFonts w:ascii="IBM Plex Sans" w:eastAsia="Times New Roman" w:hAnsi="IBM Plex Sans"/>
            <w:color w:val="016676"/>
            <w:sz w:val="20"/>
            <w:szCs w:val="20"/>
          </w:rPr>
          <w:t>b</w:t>
        </w:r>
      </w:hyperlink>
      <w:hyperlink r:id="rId309" w:history="1">
        <w:r>
          <w:rPr>
            <w:rStyle w:val="a3"/>
            <w:rFonts w:ascii="IBM Plex Sans" w:eastAsia="Times New Roman" w:hAnsi="IBM Plex Sans"/>
            <w:color w:val="016676"/>
            <w:sz w:val="20"/>
            <w:szCs w:val="20"/>
          </w:rPr>
          <w:t>b</w:t>
        </w:r>
      </w:hyperlink>
      <w:hyperlink r:id="rId310" w:history="1">
        <w:r>
          <w:rPr>
            <w:rStyle w:val="a3"/>
            <w:rFonts w:ascii="IBM Plex Sans" w:eastAsia="Times New Roman" w:hAnsi="IBM Plex Sans"/>
            <w:color w:val="016676"/>
            <w:sz w:val="20"/>
            <w:szCs w:val="20"/>
          </w:rPr>
          <w:t xml:space="preserve">) </w:t>
        </w:r>
      </w:hyperlink>
      <w:hyperlink r:id="rId311" w:history="1">
        <w:r>
          <w:rPr>
            <w:rStyle w:val="a3"/>
            <w:rFonts w:ascii="IBM Plex Sans" w:eastAsia="Times New Roman" w:hAnsi="IBM Plex Sans"/>
            <w:color w:val="016676"/>
            <w:sz w:val="20"/>
            <w:szCs w:val="20"/>
          </w:rPr>
          <w:t>Offer L</w:t>
        </w:r>
      </w:hyperlink>
      <w:hyperlink r:id="rId312" w:history="1">
        <w:r>
          <w:rPr>
            <w:rStyle w:val="a3"/>
            <w:rFonts w:ascii="IBM Plex Sans" w:eastAsia="Times New Roman" w:hAnsi="IBM Plex Sans"/>
            <w:color w:val="016676"/>
            <w:sz w:val="20"/>
            <w:szCs w:val="20"/>
          </w:rPr>
          <w:t>etter</w:t>
        </w:r>
      </w:hyperlink>
      <w:hyperlink r:id="rId313" w:history="1">
        <w:r>
          <w:rPr>
            <w:rStyle w:val="a3"/>
            <w:rFonts w:ascii="IBM Plex Sans" w:eastAsia="Times New Roman" w:hAnsi="IBM Plex Sans"/>
            <w:color w:val="016676"/>
            <w:sz w:val="20"/>
            <w:szCs w:val="20"/>
          </w:rPr>
          <w:t>, dated August 12, 2022</w:t>
        </w:r>
        <w:r>
          <w:rPr>
            <w:rStyle w:val="a3"/>
            <w:rFonts w:ascii="IBM Plex Sans" w:eastAsia="Times New Roman" w:hAnsi="IBM Plex Sans"/>
            <w:color w:val="016676"/>
            <w:sz w:val="20"/>
            <w:szCs w:val="20"/>
          </w:rPr>
          <w:t>, between L3Harris Technologies, Inc. and Jon Rambeau</w:t>
        </w:r>
      </w:hyperlink>
    </w:p>
    <w:p w:rsidR="00000000" w:rsidRDefault="00F5481A">
      <w:pPr>
        <w:ind w:hanging="900"/>
        <w:divId w:val="1746566023"/>
        <w:rPr>
          <w:rFonts w:eastAsia="Times New Roman"/>
        </w:rPr>
      </w:pPr>
      <w:hyperlink r:id="rId314" w:history="1">
        <w:r>
          <w:rPr>
            <w:rStyle w:val="a3"/>
            <w:rFonts w:ascii="IBM Plex Sans" w:eastAsia="Times New Roman" w:hAnsi="IBM Plex Sans"/>
            <w:color w:val="016676"/>
            <w:sz w:val="20"/>
            <w:szCs w:val="20"/>
          </w:rPr>
          <w:t xml:space="preserve">(21) </w:t>
        </w:r>
      </w:hyperlink>
      <w:hyperlink r:id="rId315" w:history="1">
        <w:r>
          <w:rPr>
            <w:rStyle w:val="a3"/>
            <w:rFonts w:ascii="IBM Plex Sans" w:eastAsia="Times New Roman" w:hAnsi="IBM Plex Sans"/>
            <w:color w:val="016676"/>
            <w:sz w:val="20"/>
            <w:szCs w:val="20"/>
          </w:rPr>
          <w:t>Subsidiaries of the Registrant.</w:t>
        </w:r>
      </w:hyperlink>
    </w:p>
    <w:p w:rsidR="00000000" w:rsidRDefault="00F5481A">
      <w:pPr>
        <w:ind w:hanging="900"/>
        <w:divId w:val="420109629"/>
        <w:rPr>
          <w:rFonts w:eastAsia="Times New Roman"/>
        </w:rPr>
      </w:pPr>
      <w:hyperlink r:id="rId316" w:history="1">
        <w:r>
          <w:rPr>
            <w:rStyle w:val="a3"/>
            <w:rFonts w:ascii="IBM Plex Sans" w:eastAsia="Times New Roman" w:hAnsi="IBM Plex Sans"/>
            <w:color w:val="016676"/>
            <w:sz w:val="20"/>
            <w:szCs w:val="20"/>
          </w:rPr>
          <w:t xml:space="preserve">(23) </w:t>
        </w:r>
      </w:hyperlink>
      <w:hyperlink r:id="rId317" w:history="1">
        <w:r>
          <w:rPr>
            <w:rStyle w:val="a3"/>
            <w:rFonts w:ascii="IBM Plex Sans" w:eastAsia="Times New Roman" w:hAnsi="IBM Plex Sans"/>
            <w:color w:val="016676"/>
            <w:sz w:val="20"/>
            <w:szCs w:val="20"/>
          </w:rPr>
          <w:t>Consent of Ernst &amp; Young LLP, Independent Registered Public Accounting Firm.</w:t>
        </w:r>
      </w:hyperlink>
    </w:p>
    <w:p w:rsidR="00000000" w:rsidRDefault="00F5481A">
      <w:pPr>
        <w:ind w:hanging="900"/>
        <w:divId w:val="544173885"/>
        <w:rPr>
          <w:rFonts w:eastAsia="Times New Roman"/>
        </w:rPr>
      </w:pPr>
      <w:hyperlink r:id="rId318" w:history="1">
        <w:r>
          <w:rPr>
            <w:rStyle w:val="a3"/>
            <w:rFonts w:ascii="IBM Plex Sans" w:eastAsia="Times New Roman" w:hAnsi="IBM Plex Sans"/>
            <w:color w:val="016676"/>
            <w:sz w:val="20"/>
            <w:szCs w:val="20"/>
          </w:rPr>
          <w:t xml:space="preserve">(24) </w:t>
        </w:r>
      </w:hyperlink>
      <w:hyperlink r:id="rId319" w:history="1">
        <w:r>
          <w:rPr>
            <w:rStyle w:val="a3"/>
            <w:rFonts w:ascii="IBM Plex Sans" w:eastAsia="Times New Roman" w:hAnsi="IBM Plex Sans"/>
            <w:color w:val="016676"/>
            <w:sz w:val="20"/>
            <w:szCs w:val="20"/>
          </w:rPr>
          <w:t>Power of Attorney.</w:t>
        </w:r>
      </w:hyperlink>
    </w:p>
    <w:p w:rsidR="00000000" w:rsidRDefault="00F5481A">
      <w:pPr>
        <w:ind w:hanging="900"/>
        <w:divId w:val="329453261"/>
        <w:rPr>
          <w:rFonts w:eastAsia="Times New Roman"/>
        </w:rPr>
      </w:pPr>
      <w:hyperlink r:id="rId320" w:history="1">
        <w:r>
          <w:rPr>
            <w:rStyle w:val="a3"/>
            <w:rFonts w:ascii="IBM Plex Sans" w:eastAsia="Times New Roman" w:hAnsi="IBM Plex Sans"/>
            <w:color w:val="016676"/>
            <w:sz w:val="20"/>
            <w:szCs w:val="20"/>
          </w:rPr>
          <w:t xml:space="preserve">(31.1) </w:t>
        </w:r>
      </w:hyperlink>
      <w:hyperlink r:id="rId321" w:history="1">
        <w:r>
          <w:rPr>
            <w:rStyle w:val="a3"/>
            <w:rFonts w:ascii="IBM Plex Sans" w:eastAsia="Times New Roman" w:hAnsi="IBM Plex Sans"/>
            <w:color w:val="016676"/>
            <w:sz w:val="20"/>
            <w:szCs w:val="20"/>
          </w:rPr>
          <w:t>Rule 13a-14(a)/15d-1</w:t>
        </w:r>
        <w:r>
          <w:rPr>
            <w:rStyle w:val="a3"/>
            <w:rFonts w:ascii="IBM Plex Sans" w:eastAsia="Times New Roman" w:hAnsi="IBM Plex Sans"/>
            <w:color w:val="016676"/>
            <w:sz w:val="20"/>
            <w:szCs w:val="20"/>
          </w:rPr>
          <w:t>4(a) Certification of Chief Executive Officer.</w:t>
        </w:r>
      </w:hyperlink>
    </w:p>
    <w:p w:rsidR="00000000" w:rsidRDefault="00F5481A">
      <w:pPr>
        <w:ind w:hanging="900"/>
        <w:divId w:val="1822310017"/>
        <w:rPr>
          <w:rFonts w:eastAsia="Times New Roman"/>
        </w:rPr>
      </w:pPr>
      <w:hyperlink r:id="rId322" w:history="1">
        <w:r>
          <w:rPr>
            <w:rStyle w:val="a3"/>
            <w:rFonts w:ascii="IBM Plex Sans" w:eastAsia="Times New Roman" w:hAnsi="IBM Plex Sans"/>
            <w:color w:val="016676"/>
            <w:sz w:val="20"/>
            <w:szCs w:val="20"/>
          </w:rPr>
          <w:t xml:space="preserve">(31.2) </w:t>
        </w:r>
      </w:hyperlink>
      <w:hyperlink r:id="rId323" w:history="1">
        <w:r>
          <w:rPr>
            <w:rStyle w:val="a3"/>
            <w:rFonts w:ascii="IBM Plex Sans" w:eastAsia="Times New Roman" w:hAnsi="IBM Plex Sans"/>
            <w:color w:val="016676"/>
            <w:sz w:val="20"/>
            <w:szCs w:val="20"/>
          </w:rPr>
          <w:t>Rule 13a-14(a)/15d-14(a) Certification of Chief Financial Officer.</w:t>
        </w:r>
      </w:hyperlink>
    </w:p>
    <w:p w:rsidR="00000000" w:rsidRDefault="00F5481A">
      <w:pPr>
        <w:ind w:hanging="900"/>
        <w:divId w:val="1745028594"/>
        <w:rPr>
          <w:rFonts w:eastAsia="Times New Roman"/>
        </w:rPr>
      </w:pPr>
      <w:hyperlink r:id="rId324" w:history="1">
        <w:r>
          <w:rPr>
            <w:rStyle w:val="a3"/>
            <w:rFonts w:ascii="IBM Plex Sans" w:eastAsia="Times New Roman" w:hAnsi="IBM Plex Sans"/>
            <w:color w:val="016676"/>
            <w:sz w:val="20"/>
            <w:szCs w:val="20"/>
          </w:rPr>
          <w:t>(32.1)</w:t>
        </w:r>
      </w:hyperlink>
      <w:hyperlink r:id="rId325" w:history="1">
        <w:r>
          <w:rPr>
            <w:rStyle w:val="a3"/>
            <w:rFonts w:ascii="IBM Plex Sans" w:eastAsia="Times New Roman" w:hAnsi="IBM Plex Sans"/>
            <w:color w:val="016676"/>
            <w:sz w:val="20"/>
            <w:szCs w:val="20"/>
          </w:rPr>
          <w:t xml:space="preserve"> </w:t>
        </w:r>
      </w:hyperlink>
      <w:hyperlink r:id="rId326" w:history="1">
        <w:r>
          <w:rPr>
            <w:rStyle w:val="a3"/>
            <w:rFonts w:ascii="IBM Plex Sans" w:eastAsia="Times New Roman" w:hAnsi="IBM Plex Sans"/>
            <w:color w:val="016676"/>
            <w:sz w:val="20"/>
            <w:szCs w:val="20"/>
          </w:rPr>
          <w:t>Section 1350 Certification of Chief Executive Officer.</w:t>
        </w:r>
      </w:hyperlink>
    </w:p>
    <w:p w:rsidR="00000000" w:rsidRDefault="00F5481A">
      <w:pPr>
        <w:ind w:hanging="900"/>
        <w:divId w:val="501893861"/>
        <w:rPr>
          <w:rFonts w:eastAsia="Times New Roman"/>
        </w:rPr>
      </w:pPr>
      <w:hyperlink r:id="rId327" w:history="1">
        <w:r>
          <w:rPr>
            <w:rStyle w:val="a3"/>
            <w:rFonts w:ascii="IBM Plex Sans" w:eastAsia="Times New Roman" w:hAnsi="IBM Plex Sans"/>
            <w:color w:val="016676"/>
            <w:sz w:val="20"/>
            <w:szCs w:val="20"/>
          </w:rPr>
          <w:t xml:space="preserve">(32.2) </w:t>
        </w:r>
      </w:hyperlink>
      <w:hyperlink r:id="rId328" w:history="1">
        <w:r>
          <w:rPr>
            <w:rStyle w:val="a3"/>
            <w:rFonts w:ascii="IBM Plex Sans" w:eastAsia="Times New Roman" w:hAnsi="IBM Plex Sans"/>
            <w:color w:val="016676"/>
            <w:sz w:val="20"/>
            <w:szCs w:val="20"/>
          </w:rPr>
          <w:t>Section 1350 Certification of Chief Financial Officer.</w:t>
        </w:r>
      </w:hyperlink>
    </w:p>
    <w:p w:rsidR="00000000" w:rsidRDefault="00F5481A">
      <w:pPr>
        <w:ind w:hanging="900"/>
        <w:divId w:val="1605305172"/>
        <w:rPr>
          <w:rFonts w:eastAsia="Times New Roman"/>
        </w:rPr>
      </w:pPr>
      <w:r>
        <w:rPr>
          <w:rFonts w:ascii="IBM Plex Sans" w:eastAsia="Times New Roman" w:hAnsi="IBM Plex Sans"/>
          <w:color w:val="283030"/>
          <w:sz w:val="20"/>
          <w:szCs w:val="20"/>
        </w:rPr>
        <w:t>(101) The financial information from L3Harris Technologies, Inc.’</w:t>
      </w:r>
      <w:r>
        <w:rPr>
          <w:rFonts w:ascii="IBM Plex Sans" w:eastAsia="Times New Roman" w:hAnsi="IBM Plex Sans"/>
          <w:color w:val="283030"/>
          <w:sz w:val="20"/>
          <w:szCs w:val="20"/>
        </w:rPr>
        <w:t xml:space="preserve">s Annual Report on Form 10-K for the period from January 1, 2022 to December 30, 2022 formatted in Inline XBRL (Extensible Business Reporting Language) includes: (i) the Consolidated Balance Sheet, (ii) the Consolidated Statement of Operations, </w:t>
      </w:r>
    </w:p>
    <w:p w:rsidR="00000000" w:rsidRDefault="00F5481A">
      <w:pPr>
        <w:ind w:firstLine="360"/>
        <w:jc w:val="center"/>
        <w:divId w:val="1106461422"/>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125</w:t>
      </w:r>
    </w:p>
    <w:p w:rsidR="00000000" w:rsidRDefault="00F5481A">
      <w:pPr>
        <w:rPr>
          <w:rFonts w:eastAsia="Times New Roman"/>
        </w:rPr>
      </w:pPr>
      <w:r>
        <w:rPr>
          <w:rFonts w:eastAsia="Times New Roman"/>
        </w:rPr>
        <w:pict>
          <v:rect id="_x0000_i1156" style="width:0;height:1.5pt" o:hralign="center" o:hrstd="t" o:hr="t" fillcolor="#a0a0a0" stroked="f"/>
        </w:pict>
      </w:r>
    </w:p>
    <w:p w:rsidR="00000000" w:rsidRDefault="00F5481A">
      <w:pPr>
        <w:ind w:firstLine="360"/>
        <w:divId w:val="799156076"/>
        <w:rPr>
          <w:rFonts w:eastAsia="Times New Roman"/>
        </w:rPr>
      </w:pPr>
    </w:p>
    <w:p w:rsidR="00000000" w:rsidRDefault="00F5481A">
      <w:pPr>
        <w:divId w:val="745880190"/>
        <w:rPr>
          <w:rFonts w:eastAsia="Times New Roman"/>
        </w:rPr>
      </w:pPr>
      <w:r>
        <w:rPr>
          <w:rFonts w:ascii="IBM Plex Sans" w:eastAsia="Times New Roman" w:hAnsi="IBM Plex Sans"/>
          <w:color w:val="283030"/>
          <w:sz w:val="20"/>
          <w:szCs w:val="20"/>
        </w:rPr>
        <w:t>(iii) the Consolidated Statement of Comprehensive Income, (iv) the Consolidated Statement of Changes in Stockholders Equity, (v) the Consolidate</w:t>
      </w:r>
      <w:r>
        <w:rPr>
          <w:rFonts w:ascii="IBM Plex Sans" w:eastAsia="Times New Roman" w:hAnsi="IBM Plex Sans"/>
          <w:color w:val="283030"/>
          <w:sz w:val="20"/>
          <w:szCs w:val="20"/>
        </w:rPr>
        <w:t>d Statement of Cash Flows and (vi) the Notes to the Consolidated Financial Statements.</w:t>
      </w:r>
    </w:p>
    <w:p w:rsidR="00000000" w:rsidRDefault="00F5481A">
      <w:pPr>
        <w:ind w:hanging="900"/>
        <w:divId w:val="279531362"/>
        <w:rPr>
          <w:rFonts w:eastAsia="Times New Roman"/>
        </w:rPr>
      </w:pPr>
      <w:r>
        <w:rPr>
          <w:rFonts w:ascii="IBM Plex Sans" w:eastAsia="Times New Roman" w:hAnsi="IBM Plex Sans"/>
          <w:color w:val="283030"/>
          <w:sz w:val="20"/>
          <w:szCs w:val="20"/>
        </w:rPr>
        <w:t>(104) Cover Page Interactive Data File formatted in Inline XBRL and contained in Exhibit 101.</w:t>
      </w:r>
    </w:p>
    <w:p w:rsidR="00000000" w:rsidRDefault="00F5481A">
      <w:pPr>
        <w:divId w:val="46225382"/>
        <w:rPr>
          <w:rFonts w:eastAsia="Times New Roman"/>
        </w:rPr>
      </w:pPr>
      <w:r>
        <w:rPr>
          <w:rFonts w:ascii="IBM Plex Sans" w:eastAsia="Times New Roman" w:hAnsi="IBM Plex Sans"/>
          <w:color w:val="283030"/>
          <w:sz w:val="16"/>
          <w:szCs w:val="16"/>
        </w:rPr>
        <w:t>_______________</w:t>
      </w:r>
    </w:p>
    <w:p w:rsidR="00000000" w:rsidRDefault="00F5481A">
      <w:pPr>
        <w:divId w:val="565724901"/>
        <w:rPr>
          <w:rFonts w:eastAsia="Times New Roman"/>
        </w:rPr>
      </w:pPr>
      <w:r>
        <w:rPr>
          <w:rFonts w:ascii="IBM Plex Sans" w:eastAsia="Times New Roman" w:hAnsi="IBM Plex Sans"/>
          <w:color w:val="283030"/>
          <w:sz w:val="16"/>
          <w:szCs w:val="16"/>
        </w:rPr>
        <w:t>*    Management contract or compensatory plan or arrangemen</w:t>
      </w:r>
      <w:r>
        <w:rPr>
          <w:rFonts w:ascii="IBM Plex Sans" w:eastAsia="Times New Roman" w:hAnsi="IBM Plex Sans"/>
          <w:color w:val="283030"/>
          <w:sz w:val="16"/>
          <w:szCs w:val="16"/>
        </w:rPr>
        <w:t>t.</w:t>
      </w:r>
    </w:p>
    <w:p w:rsidR="00000000" w:rsidRDefault="00F5481A">
      <w:pPr>
        <w:divId w:val="1286623742"/>
        <w:rPr>
          <w:rFonts w:eastAsia="Times New Roman"/>
        </w:rPr>
      </w:pPr>
      <w:r>
        <w:rPr>
          <w:rFonts w:ascii="IBM Plex Sans" w:eastAsia="Times New Roman" w:hAnsi="IBM Plex Sans"/>
          <w:color w:val="283030"/>
          <w:sz w:val="16"/>
          <w:szCs w:val="16"/>
        </w:rPr>
        <w:t>**    Paper filing.</w:t>
      </w:r>
    </w:p>
    <w:p w:rsidR="00000000" w:rsidRDefault="00F5481A">
      <w:pPr>
        <w:ind w:hanging="720"/>
        <w:divId w:val="431896583"/>
        <w:rPr>
          <w:rFonts w:eastAsia="Times New Roman"/>
        </w:rPr>
      </w:pPr>
      <w:r>
        <w:rPr>
          <w:rFonts w:ascii="IBM Plex Sans" w:eastAsia="Times New Roman" w:hAnsi="IBM Plex Sans"/>
          <w:color w:val="283030"/>
          <w:sz w:val="16"/>
          <w:szCs w:val="16"/>
        </w:rPr>
        <w:t>***    Schedules have been omitted pursuant to Item 601(a)(5) of Regulation S-K. L3Harris Technologies, Inc. hereby undertakes to furnish supplementally copies of any of the omitted schedules upon request by the SEC.</w:t>
      </w:r>
    </w:p>
    <w:tbl>
      <w:tblPr>
        <w:tblW w:w="4885" w:type="pct"/>
        <w:tblCellMar>
          <w:top w:w="15" w:type="dxa"/>
          <w:left w:w="15" w:type="dxa"/>
          <w:bottom w:w="15" w:type="dxa"/>
          <w:right w:w="15" w:type="dxa"/>
        </w:tblCellMar>
        <w:tblLook w:val="04A0" w:firstRow="1" w:lastRow="0" w:firstColumn="1" w:lastColumn="0" w:noHBand="0" w:noVBand="1"/>
      </w:tblPr>
      <w:tblGrid>
        <w:gridCol w:w="71"/>
        <w:gridCol w:w="930"/>
        <w:gridCol w:w="36"/>
        <w:gridCol w:w="67"/>
        <w:gridCol w:w="6975"/>
        <w:gridCol w:w="36"/>
      </w:tblGrid>
      <w:tr w:rsidR="00000000">
        <w:trPr>
          <w:divId w:val="1397163679"/>
        </w:trPr>
        <w:tc>
          <w:tcPr>
            <w:tcW w:w="50" w:type="pct"/>
            <w:vAlign w:val="center"/>
            <w:hideMark/>
          </w:tcPr>
          <w:p w:rsidR="00000000" w:rsidRDefault="00F5481A">
            <w:pPr>
              <w:ind w:hanging="720"/>
              <w:rPr>
                <w:rFonts w:eastAsia="Times New Roman"/>
              </w:rPr>
            </w:pPr>
          </w:p>
        </w:tc>
        <w:tc>
          <w:tcPr>
            <w:tcW w:w="584"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430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1397163679"/>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016676"/>
                <w:sz w:val="20"/>
                <w:szCs w:val="20"/>
              </w:rPr>
              <w:t> ITEM 16.</w:t>
            </w: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FORM 10-K SUMMARY.</w:t>
            </w:r>
          </w:p>
        </w:tc>
      </w:tr>
    </w:tbl>
    <w:p w:rsidR="00000000" w:rsidRDefault="00F5481A">
      <w:pPr>
        <w:ind w:firstLine="360"/>
        <w:divId w:val="41831849"/>
        <w:rPr>
          <w:rFonts w:eastAsia="Times New Roman"/>
        </w:rPr>
      </w:pPr>
      <w:r>
        <w:rPr>
          <w:rFonts w:ascii="IBM Plex Sans" w:eastAsia="Times New Roman" w:hAnsi="IBM Plex Sans"/>
          <w:color w:val="283030"/>
          <w:sz w:val="20"/>
          <w:szCs w:val="20"/>
        </w:rPr>
        <w:t>None.</w:t>
      </w:r>
    </w:p>
    <w:p w:rsidR="00000000" w:rsidRDefault="00F5481A">
      <w:pPr>
        <w:ind w:firstLine="360"/>
        <w:jc w:val="center"/>
        <w:divId w:val="1794596989"/>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126</w:t>
      </w:r>
    </w:p>
    <w:p w:rsidR="00000000" w:rsidRDefault="00F5481A">
      <w:pPr>
        <w:rPr>
          <w:rFonts w:eastAsia="Times New Roman"/>
        </w:rPr>
      </w:pPr>
      <w:r>
        <w:rPr>
          <w:rFonts w:eastAsia="Times New Roman"/>
        </w:rPr>
        <w:pict>
          <v:rect id="_x0000_i1157" style="width:0;height:1.5pt" o:hralign="center" o:hrstd="t" o:hr="t" fillcolor="#a0a0a0" stroked="f"/>
        </w:pict>
      </w:r>
    </w:p>
    <w:p w:rsidR="00000000" w:rsidRDefault="00F5481A">
      <w:pPr>
        <w:ind w:firstLine="360"/>
        <w:divId w:val="1553421033"/>
        <w:rPr>
          <w:rFonts w:eastAsia="Times New Roman"/>
        </w:rPr>
      </w:pPr>
    </w:p>
    <w:p w:rsidR="00000000" w:rsidRDefault="00F5481A">
      <w:pPr>
        <w:ind w:firstLine="360"/>
        <w:jc w:val="center"/>
        <w:divId w:val="555549060"/>
        <w:rPr>
          <w:rFonts w:eastAsia="Times New Roman"/>
        </w:rPr>
      </w:pPr>
      <w:r>
        <w:rPr>
          <w:rFonts w:ascii="IBM Plex Sans" w:eastAsia="Times New Roman" w:hAnsi="IBM Plex Sans"/>
          <w:b/>
          <w:bCs/>
          <w:color w:val="283030"/>
          <w:sz w:val="20"/>
          <w:szCs w:val="20"/>
        </w:rPr>
        <w:t>SIGNATURES</w:t>
      </w:r>
    </w:p>
    <w:p w:rsidR="00000000" w:rsidRDefault="00F5481A">
      <w:pPr>
        <w:ind w:firstLine="360"/>
        <w:divId w:val="985357971"/>
        <w:rPr>
          <w:rFonts w:eastAsia="Times New Roman"/>
        </w:rPr>
      </w:pPr>
      <w:r>
        <w:rPr>
          <w:rFonts w:ascii="IBM Plex Sans" w:eastAsia="Times New Roman" w:hAnsi="IBM Plex Sans"/>
          <w:color w:val="283030"/>
          <w:sz w:val="20"/>
          <w:szCs w:val="20"/>
        </w:rPr>
        <w:t>Pursuant to the requirements of Section 13 or 15(d) of the Securities Exchange Act of 1934, the registrant has duly caused this report to be signed on its behalf by the undersigned, thereunto duly authorized</w:t>
      </w:r>
      <w:r>
        <w:rPr>
          <w:rFonts w:ascii="IBM Plex Sans" w:eastAsia="Times New Roman" w:hAnsi="IBM Plex Sans"/>
          <w:color w:val="283030"/>
          <w:sz w:val="20"/>
          <w:szCs w:val="20"/>
        </w:rPr>
        <w:t>.</w:t>
      </w:r>
    </w:p>
    <w:tbl>
      <w:tblPr>
        <w:tblW w:w="4913" w:type="pct"/>
        <w:tblCellMar>
          <w:top w:w="15" w:type="dxa"/>
          <w:left w:w="15" w:type="dxa"/>
          <w:bottom w:w="15" w:type="dxa"/>
          <w:right w:w="15" w:type="dxa"/>
        </w:tblCellMar>
        <w:tblLook w:val="04A0" w:firstRow="1" w:lastRow="0" w:firstColumn="1" w:lastColumn="0" w:noHBand="0" w:noVBand="1"/>
      </w:tblPr>
      <w:tblGrid>
        <w:gridCol w:w="63"/>
        <w:gridCol w:w="3090"/>
        <w:gridCol w:w="36"/>
        <w:gridCol w:w="36"/>
        <w:gridCol w:w="167"/>
        <w:gridCol w:w="36"/>
        <w:gridCol w:w="81"/>
        <w:gridCol w:w="240"/>
        <w:gridCol w:w="37"/>
        <w:gridCol w:w="37"/>
        <w:gridCol w:w="1160"/>
        <w:gridCol w:w="36"/>
        <w:gridCol w:w="64"/>
        <w:gridCol w:w="3042"/>
        <w:gridCol w:w="36"/>
      </w:tblGrid>
      <w:tr w:rsidR="00000000">
        <w:trPr>
          <w:divId w:val="1851984842"/>
        </w:trPr>
        <w:tc>
          <w:tcPr>
            <w:tcW w:w="50" w:type="pct"/>
            <w:vAlign w:val="center"/>
            <w:hideMark/>
          </w:tcPr>
          <w:p w:rsidR="00000000" w:rsidRDefault="00F5481A">
            <w:pPr>
              <w:ind w:firstLine="360"/>
              <w:rPr>
                <w:rFonts w:eastAsia="Times New Roman"/>
              </w:rPr>
            </w:pPr>
          </w:p>
        </w:tc>
        <w:tc>
          <w:tcPr>
            <w:tcW w:w="1904"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114"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14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27"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1874"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1851984842"/>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9"/>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b/>
                <w:bCs/>
                <w:color w:val="283030"/>
                <w:sz w:val="20"/>
                <w:szCs w:val="20"/>
              </w:rPr>
              <w:t>L3HARRIS TECHNOLOGIES, INC.</w:t>
            </w:r>
          </w:p>
        </w:tc>
      </w:tr>
      <w:tr w:rsidR="00000000">
        <w:trPr>
          <w:divId w:val="1851984842"/>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9"/>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(Registrant)</w:t>
            </w:r>
          </w:p>
        </w:tc>
      </w:tr>
      <w:tr w:rsidR="00000000">
        <w:trPr>
          <w:divId w:val="1851984842"/>
        </w:trPr>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Date: February 24, 2023</w:t>
            </w: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20"/>
                <w:szCs w:val="20"/>
              </w:rPr>
              <w:t>By:</w:t>
            </w: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/s/ Christopher E. Kubasik</w:t>
            </w:r>
          </w:p>
        </w:tc>
      </w:tr>
      <w:tr w:rsidR="00000000">
        <w:trPr>
          <w:divId w:val="1851984842"/>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3"/>
            <w:tcBorders>
              <w:top w:val="single" w:sz="8" w:space="0" w:color="000000"/>
            </w:tcBorders>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Christopher E. Kubasik</w:t>
            </w:r>
          </w:p>
        </w:tc>
      </w:tr>
      <w:tr w:rsidR="00000000">
        <w:trPr>
          <w:divId w:val="1851984842"/>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3"/>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Chair and Chief Executive Officer</w:t>
            </w:r>
          </w:p>
        </w:tc>
      </w:tr>
    </w:tbl>
    <w:p w:rsidR="00000000" w:rsidRDefault="00F5481A">
      <w:pPr>
        <w:ind w:firstLine="360"/>
        <w:divId w:val="100301716"/>
        <w:rPr>
          <w:rFonts w:eastAsia="Times New Roman"/>
        </w:rPr>
      </w:pPr>
      <w:r>
        <w:rPr>
          <w:rFonts w:ascii="IBM Plex Sans" w:eastAsia="Times New Roman" w:hAnsi="IBM Plex Sans"/>
          <w:color w:val="283030"/>
          <w:sz w:val="20"/>
          <w:szCs w:val="20"/>
        </w:rPr>
        <w:t>Pursuant to the requirements of the Securities Exchange Act of 1934, this report has been signed below by the following persons on behalf of the registrant and in the capacities and on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61"/>
        <w:gridCol w:w="315"/>
        <w:gridCol w:w="38"/>
        <w:gridCol w:w="62"/>
        <w:gridCol w:w="926"/>
        <w:gridCol w:w="37"/>
        <w:gridCol w:w="62"/>
        <w:gridCol w:w="1989"/>
        <w:gridCol w:w="36"/>
        <w:gridCol w:w="36"/>
        <w:gridCol w:w="36"/>
        <w:gridCol w:w="36"/>
        <w:gridCol w:w="47"/>
        <w:gridCol w:w="3232"/>
        <w:gridCol w:w="37"/>
        <w:gridCol w:w="36"/>
        <w:gridCol w:w="36"/>
        <w:gridCol w:w="36"/>
        <w:gridCol w:w="55"/>
        <w:gridCol w:w="1157"/>
        <w:gridCol w:w="36"/>
      </w:tblGrid>
      <w:tr w:rsidR="00000000">
        <w:trPr>
          <w:divId w:val="100301716"/>
        </w:trPr>
        <w:tc>
          <w:tcPr>
            <w:tcW w:w="50" w:type="pct"/>
            <w:vAlign w:val="center"/>
            <w:hideMark/>
          </w:tcPr>
          <w:p w:rsidR="00000000" w:rsidRDefault="00F5481A">
            <w:pPr>
              <w:ind w:firstLine="360"/>
              <w:rPr>
                <w:rFonts w:eastAsia="Times New Roman"/>
              </w:rPr>
            </w:pPr>
          </w:p>
        </w:tc>
        <w:tc>
          <w:tcPr>
            <w:tcW w:w="20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570"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1209"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2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1956"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25"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c>
          <w:tcPr>
            <w:tcW w:w="50" w:type="pct"/>
            <w:vAlign w:val="center"/>
            <w:hideMark/>
          </w:tcPr>
          <w:p w:rsidR="00000000" w:rsidRDefault="00F5481A">
            <w:pPr>
              <w:spacing w:after="100"/>
              <w:rPr>
                <w:rFonts w:eastAsia="Times New Roman"/>
                <w:sz w:val="20"/>
                <w:szCs w:val="20"/>
              </w:rPr>
            </w:pPr>
          </w:p>
        </w:tc>
        <w:tc>
          <w:tcPr>
            <w:tcW w:w="713" w:type="pct"/>
            <w:vAlign w:val="center"/>
            <w:hideMark/>
          </w:tcPr>
          <w:p w:rsidR="00000000" w:rsidRDefault="00F5481A">
            <w:pPr>
              <w:spacing w:after="100"/>
              <w:rPr>
                <w:rFonts w:eastAsia="Times New Roman"/>
                <w:sz w:val="20"/>
                <w:szCs w:val="20"/>
              </w:rPr>
            </w:pPr>
          </w:p>
        </w:tc>
        <w:tc>
          <w:tcPr>
            <w:tcW w:w="5" w:type="pct"/>
            <w:vAlign w:val="center"/>
            <w:hideMark/>
          </w:tcPr>
          <w:p w:rsidR="00000000" w:rsidRDefault="00F5481A">
            <w:pPr>
              <w:spacing w:after="100"/>
              <w:rPr>
                <w:rFonts w:eastAsia="Times New Roman"/>
                <w:sz w:val="20"/>
                <w:szCs w:val="20"/>
              </w:rPr>
            </w:pPr>
          </w:p>
        </w:tc>
      </w:tr>
      <w:tr w:rsidR="00000000">
        <w:trPr>
          <w:divId w:val="100301716"/>
        </w:trPr>
        <w:tc>
          <w:tcPr>
            <w:tcW w:w="0" w:type="auto"/>
            <w:gridSpan w:val="9"/>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u w:val="single"/>
              </w:rPr>
              <w:t>Signature</w:t>
            </w: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u w:val="single"/>
              </w:rPr>
              <w:t>Title</w:t>
            </w: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3"/>
            <w:tcMar>
              <w:top w:w="30" w:type="dxa"/>
              <w:left w:w="20" w:type="dxa"/>
              <w:bottom w:w="30" w:type="dxa"/>
              <w:right w:w="20" w:type="dxa"/>
            </w:tcMar>
            <w:vAlign w:val="bottom"/>
            <w:hideMark/>
          </w:tcPr>
          <w:p w:rsidR="00000000" w:rsidRDefault="00F5481A">
            <w:pPr>
              <w:spacing w:after="100"/>
              <w:jc w:val="center"/>
              <w:rPr>
                <w:rFonts w:eastAsia="Times New Roman"/>
              </w:rPr>
            </w:pPr>
            <w:r>
              <w:rPr>
                <w:rFonts w:ascii="IBM Plex Sans" w:eastAsia="Times New Roman" w:hAnsi="IBM Plex Sans"/>
                <w:b/>
                <w:bCs/>
                <w:color w:val="283030"/>
                <w:sz w:val="16"/>
                <w:szCs w:val="16"/>
                <w:u w:val="single"/>
              </w:rPr>
              <w:t>Date</w:t>
            </w:r>
          </w:p>
        </w:tc>
      </w:tr>
      <w:tr w:rsidR="00000000">
        <w:trPr>
          <w:divId w:val="100301716"/>
          <w:trHeight w:val="100"/>
        </w:trPr>
        <w:tc>
          <w:tcPr>
            <w:tcW w:w="0" w:type="auto"/>
            <w:gridSpan w:val="3"/>
            <w:tcMar>
              <w:top w:w="0" w:type="dxa"/>
              <w:left w:w="20" w:type="dxa"/>
              <w:bottom w:w="0" w:type="dxa"/>
              <w:right w:w="20" w:type="dxa"/>
            </w:tcMar>
            <w:vAlign w:val="center"/>
            <w:hideMark/>
          </w:tcPr>
          <w:p w:rsidR="00000000" w:rsidRDefault="00F5481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00301716"/>
          <w:trHeight w:val="280"/>
        </w:trPr>
        <w:tc>
          <w:tcPr>
            <w:tcW w:w="0" w:type="auto"/>
            <w:gridSpan w:val="9"/>
            <w:tcBorders>
              <w:bottom w:val="single" w:sz="8" w:space="0" w:color="000000"/>
            </w:tcBorders>
            <w:tcMar>
              <w:top w:w="30" w:type="dxa"/>
              <w:left w:w="20" w:type="dxa"/>
              <w:bottom w:w="30" w:type="dxa"/>
              <w:right w:w="20" w:type="dxa"/>
            </w:tcMar>
            <w:hideMark/>
          </w:tcPr>
          <w:p w:rsidR="00000000" w:rsidRDefault="00F5481A">
            <w:pPr>
              <w:spacing w:after="100"/>
              <w:divId w:val="1212229488"/>
              <w:rPr>
                <w:rFonts w:eastAsia="Times New Roman"/>
              </w:rPr>
            </w:pPr>
            <w:r>
              <w:rPr>
                <w:rFonts w:ascii="IBM Plex Sans" w:eastAsia="Times New Roman" w:hAnsi="IBM Plex Sans"/>
                <w:color w:val="283030"/>
                <w:sz w:val="20"/>
                <w:szCs w:val="20"/>
              </w:rPr>
              <w:t>/s/    C</w:t>
            </w:r>
            <w:r>
              <w:rPr>
                <w:rFonts w:ascii="IBM Plex Sans" w:eastAsia="Times New Roman" w:hAnsi="IBM Plex Sans"/>
                <w:color w:val="283030"/>
                <w:sz w:val="16"/>
                <w:szCs w:val="16"/>
              </w:rPr>
              <w:t>HRISTOPHER</w:t>
            </w:r>
            <w:r>
              <w:rPr>
                <w:rFonts w:ascii="IBM Plex Sans" w:eastAsia="Times New Roman" w:hAnsi="IBM Plex Sans"/>
                <w:color w:val="283030"/>
                <w:sz w:val="20"/>
                <w:szCs w:val="20"/>
              </w:rPr>
              <w:t xml:space="preserve"> E. K</w:t>
            </w:r>
            <w:r>
              <w:rPr>
                <w:rFonts w:ascii="IBM Plex Sans" w:eastAsia="Times New Roman" w:hAnsi="IBM Plex Sans"/>
                <w:color w:val="283030"/>
                <w:sz w:val="16"/>
                <w:szCs w:val="16"/>
              </w:rPr>
              <w:t>UBASIK</w:t>
            </w: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 xml:space="preserve">Chair and Chief Executive Officer </w:t>
            </w:r>
            <w:r>
              <w:rPr>
                <w:rFonts w:ascii="IBM Plex Sans" w:eastAsia="Times New Roman" w:hAnsi="IBM Plex Sans"/>
                <w:color w:val="283030"/>
                <w:sz w:val="20"/>
                <w:szCs w:val="20"/>
              </w:rPr>
              <w:br/>
              <w:t>(Principal Executive Officer)</w:t>
            </w: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February 24, 2023</w:t>
            </w:r>
          </w:p>
        </w:tc>
      </w:tr>
      <w:tr w:rsidR="00000000">
        <w:trPr>
          <w:divId w:val="100301716"/>
          <w:trHeight w:val="280"/>
        </w:trPr>
        <w:tc>
          <w:tcPr>
            <w:tcW w:w="0" w:type="auto"/>
            <w:gridSpan w:val="9"/>
            <w:tcBorders>
              <w:top w:val="single" w:sz="8" w:space="0" w:color="000000"/>
            </w:tcBorders>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Christopher E. Kubasik</w:t>
            </w: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vMerge/>
            <w:vAlign w:val="center"/>
            <w:hideMark/>
          </w:tcPr>
          <w:p w:rsidR="00000000" w:rsidRDefault="00F5481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vMerge/>
            <w:vAlign w:val="center"/>
            <w:hideMark/>
          </w:tcPr>
          <w:p w:rsidR="00000000" w:rsidRDefault="00F5481A">
            <w:pPr>
              <w:spacing w:after="100"/>
              <w:rPr>
                <w:rFonts w:eastAsia="Times New Roman"/>
              </w:rPr>
            </w:pPr>
          </w:p>
        </w:tc>
      </w:tr>
      <w:tr w:rsidR="00000000">
        <w:trPr>
          <w:divId w:val="100301716"/>
          <w:trHeight w:val="100"/>
        </w:trPr>
        <w:tc>
          <w:tcPr>
            <w:tcW w:w="0" w:type="auto"/>
            <w:gridSpan w:val="9"/>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00301716"/>
          <w:trHeight w:val="420"/>
        </w:trPr>
        <w:tc>
          <w:tcPr>
            <w:tcW w:w="0" w:type="auto"/>
            <w:gridSpan w:val="9"/>
            <w:tcBorders>
              <w:bottom w:val="single" w:sz="8" w:space="0" w:color="000000"/>
            </w:tcBorders>
            <w:tcMar>
              <w:top w:w="30" w:type="dxa"/>
              <w:left w:w="20" w:type="dxa"/>
              <w:bottom w:w="30" w:type="dxa"/>
              <w:right w:w="20" w:type="dxa"/>
            </w:tcMar>
            <w:vAlign w:val="bottom"/>
            <w:hideMark/>
          </w:tcPr>
          <w:p w:rsidR="00000000" w:rsidRDefault="00F5481A">
            <w:pPr>
              <w:spacing w:after="100"/>
              <w:divId w:val="198779954"/>
              <w:rPr>
                <w:rFonts w:eastAsia="Times New Roman"/>
              </w:rPr>
            </w:pPr>
            <w:r>
              <w:rPr>
                <w:rFonts w:ascii="IBM Plex Sans" w:eastAsia="Times New Roman" w:hAnsi="IBM Plex Sans"/>
                <w:color w:val="283030"/>
                <w:sz w:val="20"/>
                <w:szCs w:val="20"/>
              </w:rPr>
              <w:t>/s/    M</w:t>
            </w:r>
            <w:r>
              <w:rPr>
                <w:rFonts w:ascii="IBM Plex Sans" w:eastAsia="Times New Roman" w:hAnsi="IBM Plex Sans"/>
                <w:color w:val="283030"/>
                <w:sz w:val="16"/>
                <w:szCs w:val="16"/>
              </w:rPr>
              <w:t>ICHELLE</w:t>
            </w:r>
            <w:r>
              <w:rPr>
                <w:rFonts w:ascii="IBM Plex Sans" w:eastAsia="Times New Roman" w:hAnsi="IBM Plex Sans"/>
                <w:color w:val="283030"/>
                <w:sz w:val="20"/>
                <w:szCs w:val="20"/>
              </w:rPr>
              <w:t xml:space="preserve"> L. T</w:t>
            </w:r>
            <w:r>
              <w:rPr>
                <w:rFonts w:ascii="IBM Plex Sans" w:eastAsia="Times New Roman" w:hAnsi="IBM Plex Sans"/>
                <w:color w:val="283030"/>
                <w:sz w:val="16"/>
                <w:szCs w:val="16"/>
              </w:rPr>
              <w:t>URNER</w:t>
            </w: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3"/>
            <w:vMerge w:val="restart"/>
            <w:tcMar>
              <w:top w:w="30" w:type="dxa"/>
              <w:left w:w="2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Senior Vice President and Chief Financial Officer</w:t>
            </w:r>
            <w:r>
              <w:rPr>
                <w:rFonts w:ascii="IBM Plex Sans" w:eastAsia="Times New Roman" w:hAnsi="IBM Plex Sans"/>
                <w:color w:val="283030"/>
                <w:sz w:val="20"/>
                <w:szCs w:val="20"/>
              </w:rPr>
              <w:br/>
              <w:t>(Principal Financial Officer)</w:t>
            </w: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3"/>
            <w:vMerge w:val="restart"/>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February 24, 2023</w:t>
            </w:r>
          </w:p>
        </w:tc>
      </w:tr>
      <w:tr w:rsidR="00000000">
        <w:trPr>
          <w:divId w:val="100301716"/>
          <w:trHeight w:val="280"/>
        </w:trPr>
        <w:tc>
          <w:tcPr>
            <w:tcW w:w="0" w:type="auto"/>
            <w:gridSpan w:val="9"/>
            <w:tcBorders>
              <w:top w:val="single" w:sz="8" w:space="0" w:color="000000"/>
            </w:tcBorders>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Michelle L. Turner</w:t>
            </w: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vMerge/>
            <w:vAlign w:val="center"/>
            <w:hideMark/>
          </w:tcPr>
          <w:p w:rsidR="00000000" w:rsidRDefault="00F5481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vMerge/>
            <w:vAlign w:val="center"/>
            <w:hideMark/>
          </w:tcPr>
          <w:p w:rsidR="00000000" w:rsidRDefault="00F5481A">
            <w:pPr>
              <w:spacing w:after="100"/>
              <w:rPr>
                <w:rFonts w:eastAsia="Times New Roman"/>
              </w:rPr>
            </w:pPr>
          </w:p>
        </w:tc>
      </w:tr>
      <w:tr w:rsidR="00000000">
        <w:trPr>
          <w:divId w:val="100301716"/>
          <w:trHeight w:val="100"/>
        </w:trPr>
        <w:tc>
          <w:tcPr>
            <w:tcW w:w="0" w:type="auto"/>
            <w:gridSpan w:val="9"/>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00301716"/>
          <w:trHeight w:val="240"/>
        </w:trPr>
        <w:tc>
          <w:tcPr>
            <w:tcW w:w="0" w:type="auto"/>
            <w:gridSpan w:val="9"/>
            <w:tcBorders>
              <w:bottom w:val="single" w:sz="8" w:space="0" w:color="000000"/>
            </w:tcBorders>
            <w:tcMar>
              <w:top w:w="30" w:type="dxa"/>
              <w:left w:w="20" w:type="dxa"/>
              <w:bottom w:w="30" w:type="dxa"/>
              <w:right w:w="20" w:type="dxa"/>
            </w:tcMar>
            <w:hideMark/>
          </w:tcPr>
          <w:p w:rsidR="00000000" w:rsidRDefault="00F5481A">
            <w:pPr>
              <w:spacing w:after="100"/>
              <w:divId w:val="346951315"/>
              <w:rPr>
                <w:rFonts w:eastAsia="Times New Roman"/>
              </w:rPr>
            </w:pPr>
            <w:r>
              <w:rPr>
                <w:rFonts w:ascii="IBM Plex Sans" w:eastAsia="Times New Roman" w:hAnsi="IBM Plex Sans"/>
                <w:color w:val="283030"/>
                <w:sz w:val="20"/>
                <w:szCs w:val="20"/>
              </w:rPr>
              <w:t>/s/    C</w:t>
            </w:r>
            <w:r>
              <w:rPr>
                <w:rFonts w:ascii="IBM Plex Sans" w:eastAsia="Times New Roman" w:hAnsi="IBM Plex Sans"/>
                <w:color w:val="283030"/>
                <w:sz w:val="16"/>
                <w:szCs w:val="16"/>
              </w:rPr>
              <w:t>ORLISS</w:t>
            </w:r>
            <w:r>
              <w:rPr>
                <w:rFonts w:ascii="IBM Plex Sans" w:eastAsia="Times New Roman" w:hAnsi="IBM Plex Sans"/>
                <w:color w:val="283030"/>
                <w:sz w:val="20"/>
                <w:szCs w:val="20"/>
              </w:rPr>
              <w:t xml:space="preserve"> J. M</w:t>
            </w:r>
            <w:r>
              <w:rPr>
                <w:rFonts w:ascii="IBM Plex Sans" w:eastAsia="Times New Roman" w:hAnsi="IBM Plex Sans"/>
                <w:color w:val="283030"/>
                <w:sz w:val="16"/>
                <w:szCs w:val="16"/>
              </w:rPr>
              <w:t>ONTESI</w:t>
            </w: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3"/>
            <w:vMerge w:val="restart"/>
            <w:tcMar>
              <w:top w:w="30" w:type="dxa"/>
              <w:left w:w="20" w:type="dxa"/>
              <w:bottom w:w="30" w:type="dxa"/>
              <w:right w:w="20" w:type="dxa"/>
            </w:tcMar>
            <w:vAlign w:val="center"/>
            <w:hideMark/>
          </w:tcPr>
          <w:p w:rsidR="00000000" w:rsidRDefault="00F5481A">
            <w:pPr>
              <w:spacing w:after="100"/>
              <w:rPr>
                <w:rFonts w:eastAsia="Times New Roman"/>
              </w:rPr>
            </w:pPr>
            <w:r>
              <w:rPr>
                <w:rFonts w:ascii="IBM Plex Sans" w:eastAsia="Times New Roman" w:hAnsi="IBM Plex Sans"/>
                <w:color w:val="283030"/>
                <w:sz w:val="20"/>
                <w:szCs w:val="20"/>
              </w:rPr>
              <w:t>Vice President, Principal Accounting Officer (Principal Accounting Officer)</w:t>
            </w: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3"/>
            <w:vMerge w:val="restart"/>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February 24, 2023</w:t>
            </w:r>
          </w:p>
        </w:tc>
      </w:tr>
      <w:tr w:rsidR="00000000">
        <w:trPr>
          <w:divId w:val="100301716"/>
          <w:trHeight w:val="280"/>
        </w:trPr>
        <w:tc>
          <w:tcPr>
            <w:tcW w:w="0" w:type="auto"/>
            <w:gridSpan w:val="9"/>
            <w:tcBorders>
              <w:top w:val="single" w:sz="8" w:space="0" w:color="000000"/>
            </w:tcBorders>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Corliss J. Montesi</w:t>
            </w: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vMerge/>
            <w:vAlign w:val="center"/>
            <w:hideMark/>
          </w:tcPr>
          <w:p w:rsidR="00000000" w:rsidRDefault="00F5481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vMerge/>
            <w:vAlign w:val="center"/>
            <w:hideMark/>
          </w:tcPr>
          <w:p w:rsidR="00000000" w:rsidRDefault="00F5481A">
            <w:pPr>
              <w:spacing w:after="100"/>
              <w:rPr>
                <w:rFonts w:eastAsia="Times New Roman"/>
              </w:rPr>
            </w:pPr>
          </w:p>
        </w:tc>
      </w:tr>
      <w:tr w:rsidR="00000000">
        <w:trPr>
          <w:divId w:val="100301716"/>
          <w:trHeight w:val="100"/>
        </w:trPr>
        <w:tc>
          <w:tcPr>
            <w:tcW w:w="0" w:type="auto"/>
            <w:gridSpan w:val="9"/>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00301716"/>
          <w:trHeight w:val="240"/>
        </w:trPr>
        <w:tc>
          <w:tcPr>
            <w:tcW w:w="0" w:type="auto"/>
            <w:gridSpan w:val="9"/>
            <w:tcBorders>
              <w:bottom w:val="single" w:sz="8" w:space="0" w:color="000000"/>
            </w:tcBorders>
            <w:tcMar>
              <w:top w:w="30" w:type="dxa"/>
              <w:left w:w="20" w:type="dxa"/>
              <w:bottom w:w="30" w:type="dxa"/>
              <w:right w:w="20" w:type="dxa"/>
            </w:tcMar>
            <w:hideMark/>
          </w:tcPr>
          <w:p w:rsidR="00000000" w:rsidRDefault="00F5481A">
            <w:pPr>
              <w:spacing w:after="100"/>
              <w:divId w:val="828447043"/>
              <w:rPr>
                <w:rFonts w:eastAsia="Times New Roman"/>
              </w:rPr>
            </w:pPr>
            <w:r>
              <w:rPr>
                <w:rFonts w:ascii="IBM Plex Sans" w:eastAsia="Times New Roman" w:hAnsi="IBM Plex Sans"/>
                <w:color w:val="283030"/>
                <w:sz w:val="20"/>
                <w:szCs w:val="20"/>
              </w:rPr>
              <w:t>/s/    S</w:t>
            </w:r>
            <w:r>
              <w:rPr>
                <w:rFonts w:ascii="IBM Plex Sans" w:eastAsia="Times New Roman" w:hAnsi="IBM Plex Sans"/>
                <w:color w:val="283030"/>
                <w:sz w:val="16"/>
                <w:szCs w:val="16"/>
              </w:rPr>
              <w:t>ALLIE</w:t>
            </w:r>
            <w:r>
              <w:rPr>
                <w:rFonts w:ascii="IBM Plex Sans" w:eastAsia="Times New Roman" w:hAnsi="IBM Plex Sans"/>
                <w:color w:val="283030"/>
                <w:sz w:val="20"/>
                <w:szCs w:val="20"/>
              </w:rPr>
              <w:t xml:space="preserve"> B. B</w:t>
            </w:r>
            <w:r>
              <w:rPr>
                <w:rFonts w:ascii="IBM Plex Sans" w:eastAsia="Times New Roman" w:hAnsi="IBM Plex Sans"/>
                <w:color w:val="283030"/>
                <w:sz w:val="16"/>
                <w:szCs w:val="16"/>
              </w:rPr>
              <w:t>AILEY</w:t>
            </w: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Director</w:t>
            </w: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February 24, 2023</w:t>
            </w:r>
          </w:p>
        </w:tc>
      </w:tr>
      <w:tr w:rsidR="00000000">
        <w:trPr>
          <w:divId w:val="100301716"/>
          <w:trHeight w:val="280"/>
        </w:trPr>
        <w:tc>
          <w:tcPr>
            <w:tcW w:w="0" w:type="auto"/>
            <w:gridSpan w:val="9"/>
            <w:tcBorders>
              <w:top w:val="single" w:sz="8" w:space="0" w:color="000000"/>
            </w:tcBorders>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Sallie B. Bailey</w:t>
            </w: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vMerge/>
            <w:vAlign w:val="center"/>
            <w:hideMark/>
          </w:tcPr>
          <w:p w:rsidR="00000000" w:rsidRDefault="00F5481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vMerge/>
            <w:vAlign w:val="center"/>
            <w:hideMark/>
          </w:tcPr>
          <w:p w:rsidR="00000000" w:rsidRDefault="00F5481A">
            <w:pPr>
              <w:spacing w:after="100"/>
              <w:rPr>
                <w:rFonts w:eastAsia="Times New Roman"/>
              </w:rPr>
            </w:pPr>
          </w:p>
        </w:tc>
      </w:tr>
      <w:tr w:rsidR="00000000">
        <w:trPr>
          <w:divId w:val="100301716"/>
          <w:trHeight w:val="100"/>
        </w:trPr>
        <w:tc>
          <w:tcPr>
            <w:tcW w:w="0" w:type="auto"/>
            <w:gridSpan w:val="9"/>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00301716"/>
          <w:trHeight w:val="240"/>
        </w:trPr>
        <w:tc>
          <w:tcPr>
            <w:tcW w:w="0" w:type="auto"/>
            <w:gridSpan w:val="9"/>
            <w:tcBorders>
              <w:bottom w:val="single" w:sz="8" w:space="0" w:color="000000"/>
            </w:tcBorders>
            <w:tcMar>
              <w:top w:w="30" w:type="dxa"/>
              <w:left w:w="20" w:type="dxa"/>
              <w:bottom w:w="30" w:type="dxa"/>
              <w:right w:w="20" w:type="dxa"/>
            </w:tcMar>
            <w:hideMark/>
          </w:tcPr>
          <w:p w:rsidR="00000000" w:rsidRDefault="00F5481A">
            <w:pPr>
              <w:spacing w:after="100"/>
              <w:divId w:val="877932165"/>
              <w:rPr>
                <w:rFonts w:eastAsia="Times New Roman"/>
              </w:rPr>
            </w:pPr>
            <w:r>
              <w:rPr>
                <w:rFonts w:ascii="IBM Plex Sans" w:eastAsia="Times New Roman" w:hAnsi="IBM Plex Sans"/>
                <w:color w:val="283030"/>
                <w:sz w:val="20"/>
                <w:szCs w:val="20"/>
              </w:rPr>
              <w:t>/s/    P</w:t>
            </w:r>
            <w:r>
              <w:rPr>
                <w:rFonts w:ascii="IBM Plex Sans" w:eastAsia="Times New Roman" w:hAnsi="IBM Plex Sans"/>
                <w:color w:val="283030"/>
                <w:sz w:val="16"/>
                <w:szCs w:val="16"/>
              </w:rPr>
              <w:t>ETER</w:t>
            </w:r>
            <w:r>
              <w:rPr>
                <w:rFonts w:ascii="IBM Plex Sans" w:eastAsia="Times New Roman" w:hAnsi="IBM Plex Sans"/>
                <w:color w:val="283030"/>
                <w:sz w:val="20"/>
                <w:szCs w:val="20"/>
              </w:rPr>
              <w:t xml:space="preserve"> W. C</w:t>
            </w:r>
            <w:r>
              <w:rPr>
                <w:rFonts w:ascii="IBM Plex Sans" w:eastAsia="Times New Roman" w:hAnsi="IBM Plex Sans"/>
                <w:color w:val="283030"/>
                <w:sz w:val="16"/>
                <w:szCs w:val="16"/>
              </w:rPr>
              <w:t>HIARELLI</w:t>
            </w: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Director</w:t>
            </w: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February 24, 2023</w:t>
            </w:r>
          </w:p>
        </w:tc>
      </w:tr>
      <w:tr w:rsidR="00000000">
        <w:trPr>
          <w:divId w:val="100301716"/>
          <w:trHeight w:val="280"/>
        </w:trPr>
        <w:tc>
          <w:tcPr>
            <w:tcW w:w="0" w:type="auto"/>
            <w:gridSpan w:val="9"/>
            <w:tcBorders>
              <w:top w:val="single" w:sz="8" w:space="0" w:color="000000"/>
            </w:tcBorders>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Peter W. Chiarelli</w:t>
            </w: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vMerge/>
            <w:vAlign w:val="center"/>
            <w:hideMark/>
          </w:tcPr>
          <w:p w:rsidR="00000000" w:rsidRDefault="00F5481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vMerge/>
            <w:vAlign w:val="center"/>
            <w:hideMark/>
          </w:tcPr>
          <w:p w:rsidR="00000000" w:rsidRDefault="00F5481A">
            <w:pPr>
              <w:spacing w:after="100"/>
              <w:rPr>
                <w:rFonts w:eastAsia="Times New Roman"/>
              </w:rPr>
            </w:pPr>
          </w:p>
        </w:tc>
      </w:tr>
      <w:tr w:rsidR="00000000">
        <w:trPr>
          <w:divId w:val="100301716"/>
          <w:trHeight w:val="100"/>
        </w:trPr>
        <w:tc>
          <w:tcPr>
            <w:tcW w:w="0" w:type="auto"/>
            <w:gridSpan w:val="9"/>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00301716"/>
          <w:trHeight w:val="240"/>
        </w:trPr>
        <w:tc>
          <w:tcPr>
            <w:tcW w:w="0" w:type="auto"/>
            <w:gridSpan w:val="9"/>
            <w:tcBorders>
              <w:bottom w:val="single" w:sz="8" w:space="0" w:color="000000"/>
            </w:tcBorders>
            <w:tcMar>
              <w:top w:w="30" w:type="dxa"/>
              <w:left w:w="20" w:type="dxa"/>
              <w:bottom w:w="30" w:type="dxa"/>
              <w:right w:w="20" w:type="dxa"/>
            </w:tcMar>
            <w:hideMark/>
          </w:tcPr>
          <w:p w:rsidR="00000000" w:rsidRDefault="00F5481A">
            <w:pPr>
              <w:spacing w:after="100"/>
              <w:divId w:val="1214272250"/>
              <w:rPr>
                <w:rFonts w:eastAsia="Times New Roman"/>
              </w:rPr>
            </w:pPr>
            <w:r>
              <w:rPr>
                <w:rFonts w:ascii="IBM Plex Sans" w:eastAsia="Times New Roman" w:hAnsi="IBM Plex Sans"/>
                <w:color w:val="283030"/>
                <w:sz w:val="20"/>
                <w:szCs w:val="20"/>
              </w:rPr>
              <w:t>/s/    T</w:t>
            </w:r>
            <w:r>
              <w:rPr>
                <w:rFonts w:ascii="IBM Plex Sans" w:eastAsia="Times New Roman" w:hAnsi="IBM Plex Sans"/>
                <w:color w:val="283030"/>
                <w:sz w:val="16"/>
                <w:szCs w:val="16"/>
              </w:rPr>
              <w:t xml:space="preserve">HOMAS </w:t>
            </w:r>
            <w:r>
              <w:rPr>
                <w:rFonts w:ascii="IBM Plex Sans" w:eastAsia="Times New Roman" w:hAnsi="IBM Plex Sans"/>
                <w:color w:val="283030"/>
                <w:sz w:val="20"/>
                <w:szCs w:val="20"/>
              </w:rPr>
              <w:t>A.</w:t>
            </w:r>
            <w:r>
              <w:rPr>
                <w:rFonts w:ascii="IBM Plex Sans" w:eastAsia="Times New Roman" w:hAnsi="IBM Plex Sans"/>
                <w:color w:val="283030"/>
                <w:sz w:val="16"/>
                <w:szCs w:val="16"/>
              </w:rPr>
              <w:t xml:space="preserve"> </w:t>
            </w:r>
            <w:r>
              <w:rPr>
                <w:rFonts w:ascii="IBM Plex Sans" w:eastAsia="Times New Roman" w:hAnsi="IBM Plex Sans"/>
                <w:color w:val="283030"/>
                <w:sz w:val="20"/>
                <w:szCs w:val="20"/>
              </w:rPr>
              <w:t>C</w:t>
            </w:r>
            <w:r>
              <w:rPr>
                <w:rFonts w:ascii="IBM Plex Sans" w:eastAsia="Times New Roman" w:hAnsi="IBM Plex Sans"/>
                <w:color w:val="283030"/>
                <w:sz w:val="16"/>
                <w:szCs w:val="16"/>
              </w:rPr>
              <w:t>ORCORAN</w:t>
            </w: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Director</w:t>
            </w: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3"/>
            <w:vMerge w:val="restart"/>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February 24, 2023</w:t>
            </w:r>
          </w:p>
        </w:tc>
      </w:tr>
      <w:tr w:rsidR="00000000">
        <w:trPr>
          <w:divId w:val="100301716"/>
          <w:trHeight w:val="280"/>
        </w:trPr>
        <w:tc>
          <w:tcPr>
            <w:tcW w:w="0" w:type="auto"/>
            <w:gridSpan w:val="9"/>
            <w:tcBorders>
              <w:top w:val="single" w:sz="8" w:space="0" w:color="000000"/>
            </w:tcBorders>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Thomas A. Corcoran</w:t>
            </w: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vMerge/>
            <w:vAlign w:val="center"/>
            <w:hideMark/>
          </w:tcPr>
          <w:p w:rsidR="00000000" w:rsidRDefault="00F5481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vMerge/>
            <w:vAlign w:val="center"/>
            <w:hideMark/>
          </w:tcPr>
          <w:p w:rsidR="00000000" w:rsidRDefault="00F5481A">
            <w:pPr>
              <w:spacing w:after="100"/>
              <w:rPr>
                <w:rFonts w:eastAsia="Times New Roman"/>
              </w:rPr>
            </w:pPr>
          </w:p>
        </w:tc>
      </w:tr>
      <w:tr w:rsidR="00000000">
        <w:trPr>
          <w:divId w:val="100301716"/>
          <w:trHeight w:val="60"/>
        </w:trPr>
        <w:tc>
          <w:tcPr>
            <w:tcW w:w="0" w:type="auto"/>
            <w:gridSpan w:val="9"/>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00301716"/>
          <w:trHeight w:val="240"/>
        </w:trPr>
        <w:tc>
          <w:tcPr>
            <w:tcW w:w="0" w:type="auto"/>
            <w:gridSpan w:val="9"/>
            <w:tcBorders>
              <w:bottom w:val="single" w:sz="8" w:space="0" w:color="000000"/>
            </w:tcBorders>
            <w:tcMar>
              <w:top w:w="30" w:type="dxa"/>
              <w:left w:w="20" w:type="dxa"/>
              <w:bottom w:w="30" w:type="dxa"/>
              <w:right w:w="20" w:type="dxa"/>
            </w:tcMar>
            <w:hideMark/>
          </w:tcPr>
          <w:p w:rsidR="00000000" w:rsidRDefault="00F5481A">
            <w:pPr>
              <w:spacing w:after="100"/>
              <w:divId w:val="1664049264"/>
              <w:rPr>
                <w:rFonts w:eastAsia="Times New Roman"/>
              </w:rPr>
            </w:pPr>
            <w:r>
              <w:rPr>
                <w:rFonts w:ascii="IBM Plex Sans" w:eastAsia="Times New Roman" w:hAnsi="IBM Plex Sans"/>
                <w:color w:val="283030"/>
                <w:sz w:val="20"/>
                <w:szCs w:val="20"/>
              </w:rPr>
              <w:t>/s/    T</w:t>
            </w:r>
            <w:r>
              <w:rPr>
                <w:rFonts w:ascii="IBM Plex Sans" w:eastAsia="Times New Roman" w:hAnsi="IBM Plex Sans"/>
                <w:color w:val="283030"/>
                <w:sz w:val="16"/>
                <w:szCs w:val="16"/>
              </w:rPr>
              <w:t>HOMAS</w:t>
            </w:r>
            <w:r>
              <w:rPr>
                <w:rFonts w:ascii="IBM Plex Sans" w:eastAsia="Times New Roman" w:hAnsi="IBM Plex Sans"/>
                <w:color w:val="283030"/>
                <w:sz w:val="20"/>
                <w:szCs w:val="20"/>
              </w:rPr>
              <w:t xml:space="preserve"> A. D</w:t>
            </w:r>
            <w:r>
              <w:rPr>
                <w:rFonts w:ascii="IBM Plex Sans" w:eastAsia="Times New Roman" w:hAnsi="IBM Plex Sans"/>
                <w:color w:val="283030"/>
                <w:sz w:val="16"/>
                <w:szCs w:val="16"/>
              </w:rPr>
              <w:t>ATTILO</w:t>
            </w: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Director</w:t>
            </w: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3"/>
            <w:vMerge w:val="restart"/>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February 24, 2023</w:t>
            </w:r>
          </w:p>
        </w:tc>
      </w:tr>
      <w:tr w:rsidR="00000000">
        <w:trPr>
          <w:divId w:val="100301716"/>
          <w:trHeight w:val="280"/>
        </w:trPr>
        <w:tc>
          <w:tcPr>
            <w:tcW w:w="0" w:type="auto"/>
            <w:gridSpan w:val="9"/>
            <w:tcBorders>
              <w:top w:val="single" w:sz="8" w:space="0" w:color="000000"/>
            </w:tcBorders>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Thomas A. Dattilo</w:t>
            </w: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vMerge/>
            <w:vAlign w:val="center"/>
            <w:hideMark/>
          </w:tcPr>
          <w:p w:rsidR="00000000" w:rsidRDefault="00F5481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vMerge/>
            <w:vAlign w:val="center"/>
            <w:hideMark/>
          </w:tcPr>
          <w:p w:rsidR="00000000" w:rsidRDefault="00F5481A">
            <w:pPr>
              <w:spacing w:after="100"/>
              <w:rPr>
                <w:rFonts w:eastAsia="Times New Roman"/>
              </w:rPr>
            </w:pPr>
          </w:p>
        </w:tc>
      </w:tr>
      <w:tr w:rsidR="00000000">
        <w:trPr>
          <w:divId w:val="100301716"/>
          <w:trHeight w:val="100"/>
        </w:trPr>
        <w:tc>
          <w:tcPr>
            <w:tcW w:w="0" w:type="auto"/>
            <w:gridSpan w:val="9"/>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00301716"/>
          <w:trHeight w:val="240"/>
        </w:trPr>
        <w:tc>
          <w:tcPr>
            <w:tcW w:w="0" w:type="auto"/>
            <w:gridSpan w:val="9"/>
            <w:tcBorders>
              <w:bottom w:val="single" w:sz="8" w:space="0" w:color="000000"/>
            </w:tcBorders>
            <w:tcMar>
              <w:top w:w="30" w:type="dxa"/>
              <w:left w:w="20" w:type="dxa"/>
              <w:bottom w:w="30" w:type="dxa"/>
              <w:right w:w="20" w:type="dxa"/>
            </w:tcMar>
            <w:hideMark/>
          </w:tcPr>
          <w:p w:rsidR="00000000" w:rsidRDefault="00F5481A">
            <w:pPr>
              <w:spacing w:after="100"/>
              <w:divId w:val="1150057907"/>
              <w:rPr>
                <w:rFonts w:eastAsia="Times New Roman"/>
              </w:rPr>
            </w:pPr>
            <w:r>
              <w:rPr>
                <w:rFonts w:ascii="IBM Plex Sans" w:eastAsia="Times New Roman" w:hAnsi="IBM Plex Sans"/>
                <w:color w:val="283030"/>
                <w:sz w:val="20"/>
                <w:szCs w:val="20"/>
              </w:rPr>
              <w:t>/s/    R</w:t>
            </w:r>
            <w:r>
              <w:rPr>
                <w:rFonts w:ascii="IBM Plex Sans" w:eastAsia="Times New Roman" w:hAnsi="IBM Plex Sans"/>
                <w:color w:val="283030"/>
                <w:sz w:val="16"/>
                <w:szCs w:val="16"/>
              </w:rPr>
              <w:t>OGER</w:t>
            </w:r>
            <w:r>
              <w:rPr>
                <w:rFonts w:ascii="IBM Plex Sans" w:eastAsia="Times New Roman" w:hAnsi="IBM Plex Sans"/>
                <w:color w:val="283030"/>
                <w:sz w:val="20"/>
                <w:szCs w:val="20"/>
              </w:rPr>
              <w:t xml:space="preserve"> B. F</w:t>
            </w:r>
            <w:r>
              <w:rPr>
                <w:rFonts w:ascii="IBM Plex Sans" w:eastAsia="Times New Roman" w:hAnsi="IBM Plex Sans"/>
                <w:color w:val="283030"/>
                <w:sz w:val="16"/>
                <w:szCs w:val="16"/>
              </w:rPr>
              <w:t>RADIN</w:t>
            </w: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Director</w:t>
            </w: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3"/>
            <w:vMerge w:val="restart"/>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February 24, 2023</w:t>
            </w:r>
          </w:p>
        </w:tc>
      </w:tr>
      <w:tr w:rsidR="00000000">
        <w:trPr>
          <w:divId w:val="100301716"/>
          <w:trHeight w:val="280"/>
        </w:trPr>
        <w:tc>
          <w:tcPr>
            <w:tcW w:w="0" w:type="auto"/>
            <w:gridSpan w:val="9"/>
            <w:tcBorders>
              <w:top w:val="single" w:sz="8" w:space="0" w:color="000000"/>
            </w:tcBorders>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Roger B. Fradin</w:t>
            </w: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vMerge/>
            <w:vAlign w:val="center"/>
            <w:hideMark/>
          </w:tcPr>
          <w:p w:rsidR="00000000" w:rsidRDefault="00F5481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vMerge/>
            <w:vAlign w:val="center"/>
            <w:hideMark/>
          </w:tcPr>
          <w:p w:rsidR="00000000" w:rsidRDefault="00F5481A">
            <w:pPr>
              <w:spacing w:after="100"/>
              <w:rPr>
                <w:rFonts w:eastAsia="Times New Roman"/>
              </w:rPr>
            </w:pPr>
          </w:p>
        </w:tc>
      </w:tr>
      <w:tr w:rsidR="00000000">
        <w:trPr>
          <w:divId w:val="100301716"/>
          <w:trHeight w:val="100"/>
        </w:trPr>
        <w:tc>
          <w:tcPr>
            <w:tcW w:w="0" w:type="auto"/>
            <w:gridSpan w:val="9"/>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00301716"/>
          <w:trHeight w:val="240"/>
        </w:trPr>
        <w:tc>
          <w:tcPr>
            <w:tcW w:w="0" w:type="auto"/>
            <w:gridSpan w:val="9"/>
            <w:tcBorders>
              <w:bottom w:val="single" w:sz="8" w:space="0" w:color="000000"/>
            </w:tcBorders>
            <w:tcMar>
              <w:top w:w="30" w:type="dxa"/>
              <w:left w:w="20" w:type="dxa"/>
              <w:bottom w:w="30" w:type="dxa"/>
              <w:right w:w="20" w:type="dxa"/>
            </w:tcMar>
            <w:hideMark/>
          </w:tcPr>
          <w:p w:rsidR="00000000" w:rsidRDefault="00F5481A">
            <w:pPr>
              <w:spacing w:after="100"/>
              <w:divId w:val="1622951507"/>
              <w:rPr>
                <w:rFonts w:eastAsia="Times New Roman"/>
              </w:rPr>
            </w:pPr>
            <w:r>
              <w:rPr>
                <w:rFonts w:ascii="IBM Plex Sans" w:eastAsia="Times New Roman" w:hAnsi="IBM Plex Sans"/>
                <w:color w:val="283030"/>
                <w:sz w:val="20"/>
                <w:szCs w:val="20"/>
              </w:rPr>
              <w:t>/s/    </w:t>
            </w:r>
            <w:r>
              <w:rPr>
                <w:rFonts w:ascii="IBM Plex Sans" w:eastAsia="Times New Roman" w:hAnsi="IBM Plex Sans"/>
                <w:color w:val="283030"/>
                <w:sz w:val="18"/>
                <w:szCs w:val="18"/>
              </w:rPr>
              <w:t>JOANNA L. GERAGHTY</w:t>
            </w: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Director</w:t>
            </w: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February 24, 2023</w:t>
            </w:r>
          </w:p>
        </w:tc>
      </w:tr>
      <w:tr w:rsidR="00000000">
        <w:trPr>
          <w:divId w:val="100301716"/>
          <w:trHeight w:val="280"/>
        </w:trPr>
        <w:tc>
          <w:tcPr>
            <w:tcW w:w="0" w:type="auto"/>
            <w:gridSpan w:val="9"/>
            <w:tcBorders>
              <w:top w:val="single" w:sz="8" w:space="0" w:color="000000"/>
            </w:tcBorders>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Joanna L. Geraghty</w:t>
            </w: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vMerge/>
            <w:vAlign w:val="center"/>
            <w:hideMark/>
          </w:tcPr>
          <w:p w:rsidR="00000000" w:rsidRDefault="00F5481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vMerge/>
            <w:vAlign w:val="center"/>
            <w:hideMark/>
          </w:tcPr>
          <w:p w:rsidR="00000000" w:rsidRDefault="00F5481A">
            <w:pPr>
              <w:spacing w:after="100"/>
              <w:rPr>
                <w:rFonts w:eastAsia="Times New Roman"/>
              </w:rPr>
            </w:pPr>
          </w:p>
        </w:tc>
      </w:tr>
      <w:tr w:rsidR="00000000">
        <w:trPr>
          <w:divId w:val="100301716"/>
          <w:trHeight w:val="100"/>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00301716"/>
          <w:trHeight w:val="280"/>
        </w:trPr>
        <w:tc>
          <w:tcPr>
            <w:tcW w:w="0" w:type="auto"/>
            <w:gridSpan w:val="9"/>
            <w:tcBorders>
              <w:bottom w:val="single" w:sz="8" w:space="0" w:color="000000"/>
            </w:tcBorders>
            <w:tcMar>
              <w:top w:w="30" w:type="dxa"/>
              <w:left w:w="20" w:type="dxa"/>
              <w:bottom w:w="30" w:type="dxa"/>
              <w:right w:w="20" w:type="dxa"/>
            </w:tcMar>
            <w:hideMark/>
          </w:tcPr>
          <w:p w:rsidR="00000000" w:rsidRDefault="00F5481A">
            <w:pPr>
              <w:spacing w:after="100"/>
              <w:divId w:val="1749620217"/>
              <w:rPr>
                <w:rFonts w:eastAsia="Times New Roman"/>
              </w:rPr>
            </w:pPr>
            <w:r>
              <w:rPr>
                <w:rFonts w:ascii="IBM Plex Sans" w:eastAsia="Times New Roman" w:hAnsi="IBM Plex Sans"/>
                <w:color w:val="283030"/>
                <w:sz w:val="20"/>
                <w:szCs w:val="20"/>
              </w:rPr>
              <w:t>/s/    H</w:t>
            </w:r>
            <w:r>
              <w:rPr>
                <w:rFonts w:ascii="IBM Plex Sans" w:eastAsia="Times New Roman" w:hAnsi="IBM Plex Sans"/>
                <w:color w:val="283030"/>
                <w:sz w:val="16"/>
                <w:szCs w:val="16"/>
              </w:rPr>
              <w:t>ARRY</w:t>
            </w:r>
            <w:r>
              <w:rPr>
                <w:rFonts w:ascii="IBM Plex Sans" w:eastAsia="Times New Roman" w:hAnsi="IBM Plex Sans"/>
                <w:color w:val="283030"/>
                <w:sz w:val="20"/>
                <w:szCs w:val="20"/>
              </w:rPr>
              <w:t xml:space="preserve"> B. H</w:t>
            </w:r>
            <w:r>
              <w:rPr>
                <w:rFonts w:ascii="IBM Plex Sans" w:eastAsia="Times New Roman" w:hAnsi="IBM Plex Sans"/>
                <w:color w:val="283030"/>
                <w:sz w:val="16"/>
                <w:szCs w:val="16"/>
              </w:rPr>
              <w:t xml:space="preserve">ARRIS </w:t>
            </w:r>
            <w:r>
              <w:rPr>
                <w:rFonts w:ascii="IBM Plex Sans" w:eastAsia="Times New Roman" w:hAnsi="IBM Plex Sans"/>
                <w:color w:val="283030"/>
                <w:sz w:val="20"/>
                <w:szCs w:val="20"/>
              </w:rPr>
              <w:t>J</w:t>
            </w:r>
            <w:r>
              <w:rPr>
                <w:rFonts w:ascii="IBM Plex Sans" w:eastAsia="Times New Roman" w:hAnsi="IBM Plex Sans"/>
                <w:color w:val="283030"/>
                <w:sz w:val="16"/>
                <w:szCs w:val="16"/>
              </w:rPr>
              <w:t>R</w:t>
            </w: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Director</w:t>
            </w: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February 24, 2023</w:t>
            </w:r>
          </w:p>
        </w:tc>
      </w:tr>
      <w:tr w:rsidR="00000000">
        <w:trPr>
          <w:divId w:val="100301716"/>
          <w:trHeight w:val="280"/>
        </w:trPr>
        <w:tc>
          <w:tcPr>
            <w:tcW w:w="0" w:type="auto"/>
            <w:gridSpan w:val="9"/>
            <w:tcBorders>
              <w:top w:val="single" w:sz="8" w:space="0" w:color="000000"/>
            </w:tcBorders>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Harry B. Harris, Jr.</w:t>
            </w: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vMerge/>
            <w:vAlign w:val="center"/>
            <w:hideMark/>
          </w:tcPr>
          <w:p w:rsidR="00000000" w:rsidRDefault="00F5481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vMerge/>
            <w:vAlign w:val="center"/>
            <w:hideMark/>
          </w:tcPr>
          <w:p w:rsidR="00000000" w:rsidRDefault="00F5481A">
            <w:pPr>
              <w:spacing w:after="100"/>
              <w:rPr>
                <w:rFonts w:eastAsia="Times New Roman"/>
              </w:rPr>
            </w:pPr>
          </w:p>
        </w:tc>
      </w:tr>
      <w:tr w:rsidR="00000000">
        <w:trPr>
          <w:divId w:val="100301716"/>
          <w:trHeight w:val="100"/>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00301716"/>
          <w:trHeight w:val="240"/>
        </w:trPr>
        <w:tc>
          <w:tcPr>
            <w:tcW w:w="0" w:type="auto"/>
            <w:gridSpan w:val="9"/>
            <w:tcBorders>
              <w:bottom w:val="single" w:sz="8" w:space="0" w:color="000000"/>
            </w:tcBorders>
            <w:tcMar>
              <w:top w:w="30" w:type="dxa"/>
              <w:left w:w="20" w:type="dxa"/>
              <w:bottom w:w="30" w:type="dxa"/>
              <w:right w:w="20" w:type="dxa"/>
            </w:tcMar>
            <w:hideMark/>
          </w:tcPr>
          <w:p w:rsidR="00000000" w:rsidRDefault="00F5481A">
            <w:pPr>
              <w:spacing w:after="100"/>
              <w:divId w:val="233051683"/>
              <w:rPr>
                <w:rFonts w:eastAsia="Times New Roman"/>
              </w:rPr>
            </w:pPr>
            <w:r>
              <w:rPr>
                <w:rFonts w:ascii="IBM Plex Sans" w:eastAsia="Times New Roman" w:hAnsi="IBM Plex Sans"/>
                <w:color w:val="283030"/>
                <w:sz w:val="20"/>
                <w:szCs w:val="20"/>
              </w:rPr>
              <w:t>/s/    L</w:t>
            </w:r>
            <w:r>
              <w:rPr>
                <w:rFonts w:ascii="IBM Plex Sans" w:eastAsia="Times New Roman" w:hAnsi="IBM Plex Sans"/>
                <w:color w:val="283030"/>
                <w:sz w:val="16"/>
                <w:szCs w:val="16"/>
              </w:rPr>
              <w:t>EWIS</w:t>
            </w:r>
            <w:r>
              <w:rPr>
                <w:rFonts w:ascii="IBM Plex Sans" w:eastAsia="Times New Roman" w:hAnsi="IBM Plex Sans"/>
                <w:color w:val="283030"/>
                <w:sz w:val="20"/>
                <w:szCs w:val="20"/>
              </w:rPr>
              <w:t xml:space="preserve"> H</w:t>
            </w:r>
            <w:r>
              <w:rPr>
                <w:rFonts w:ascii="IBM Plex Sans" w:eastAsia="Times New Roman" w:hAnsi="IBM Plex Sans"/>
                <w:color w:val="283030"/>
                <w:sz w:val="16"/>
                <w:szCs w:val="16"/>
              </w:rPr>
              <w:t>AY</w:t>
            </w:r>
            <w:r>
              <w:rPr>
                <w:rFonts w:ascii="IBM Plex Sans" w:eastAsia="Times New Roman" w:hAnsi="IBM Plex Sans"/>
                <w:color w:val="283030"/>
                <w:sz w:val="20"/>
                <w:szCs w:val="20"/>
              </w:rPr>
              <w:t xml:space="preserve"> III</w:t>
            </w: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3"/>
            <w:vMerge w:val="restart"/>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Director</w:t>
            </w: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3"/>
            <w:vMerge w:val="restart"/>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February 24, 2023</w:t>
            </w:r>
          </w:p>
        </w:tc>
      </w:tr>
      <w:tr w:rsidR="00000000">
        <w:trPr>
          <w:divId w:val="100301716"/>
          <w:trHeight w:val="280"/>
        </w:trPr>
        <w:tc>
          <w:tcPr>
            <w:tcW w:w="0" w:type="auto"/>
            <w:gridSpan w:val="9"/>
            <w:tcBorders>
              <w:top w:val="single" w:sz="8" w:space="0" w:color="000000"/>
            </w:tcBorders>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Lewis Hay III</w:t>
            </w: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vMerge/>
            <w:vAlign w:val="center"/>
            <w:hideMark/>
          </w:tcPr>
          <w:p w:rsidR="00000000" w:rsidRDefault="00F5481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vMerge/>
            <w:vAlign w:val="center"/>
            <w:hideMark/>
          </w:tcPr>
          <w:p w:rsidR="00000000" w:rsidRDefault="00F5481A">
            <w:pPr>
              <w:spacing w:after="100"/>
              <w:rPr>
                <w:rFonts w:eastAsia="Times New Roman"/>
              </w:rPr>
            </w:pPr>
          </w:p>
        </w:tc>
      </w:tr>
      <w:tr w:rsidR="00000000">
        <w:trPr>
          <w:divId w:val="100301716"/>
          <w:trHeight w:val="100"/>
        </w:trPr>
        <w:tc>
          <w:tcPr>
            <w:tcW w:w="0" w:type="auto"/>
            <w:gridSpan w:val="9"/>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00301716"/>
          <w:trHeight w:val="240"/>
        </w:trPr>
        <w:tc>
          <w:tcPr>
            <w:tcW w:w="0" w:type="auto"/>
            <w:gridSpan w:val="9"/>
            <w:tcBorders>
              <w:bottom w:val="single" w:sz="8" w:space="0" w:color="000000"/>
            </w:tcBorders>
            <w:tcMar>
              <w:top w:w="30" w:type="dxa"/>
              <w:left w:w="20" w:type="dxa"/>
              <w:bottom w:w="30" w:type="dxa"/>
              <w:right w:w="20" w:type="dxa"/>
            </w:tcMar>
            <w:hideMark/>
          </w:tcPr>
          <w:p w:rsidR="00000000" w:rsidRDefault="00F5481A">
            <w:pPr>
              <w:spacing w:after="100"/>
              <w:divId w:val="1111511767"/>
              <w:rPr>
                <w:rFonts w:eastAsia="Times New Roman"/>
              </w:rPr>
            </w:pPr>
            <w:r>
              <w:rPr>
                <w:rFonts w:ascii="IBM Plex Sans" w:eastAsia="Times New Roman" w:hAnsi="IBM Plex Sans"/>
                <w:color w:val="283030"/>
                <w:sz w:val="20"/>
                <w:szCs w:val="20"/>
              </w:rPr>
              <w:t>/s/    L</w:t>
            </w:r>
            <w:r>
              <w:rPr>
                <w:rFonts w:ascii="IBM Plex Sans" w:eastAsia="Times New Roman" w:hAnsi="IBM Plex Sans"/>
                <w:color w:val="283030"/>
                <w:sz w:val="16"/>
                <w:szCs w:val="16"/>
              </w:rPr>
              <w:t>EWIS</w:t>
            </w:r>
            <w:r>
              <w:rPr>
                <w:rFonts w:ascii="IBM Plex Sans" w:eastAsia="Times New Roman" w:hAnsi="IBM Plex Sans"/>
                <w:color w:val="283030"/>
                <w:sz w:val="20"/>
                <w:szCs w:val="20"/>
              </w:rPr>
              <w:t xml:space="preserve"> K</w:t>
            </w:r>
            <w:r>
              <w:rPr>
                <w:rFonts w:ascii="IBM Plex Sans" w:eastAsia="Times New Roman" w:hAnsi="IBM Plex Sans"/>
                <w:color w:val="283030"/>
                <w:sz w:val="16"/>
                <w:szCs w:val="16"/>
              </w:rPr>
              <w:t>RAMER</w:t>
            </w: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3"/>
            <w:vMerge w:val="restart"/>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Director</w:t>
            </w: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3"/>
            <w:vMerge w:val="restart"/>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February 24, 2023</w:t>
            </w:r>
          </w:p>
        </w:tc>
      </w:tr>
      <w:tr w:rsidR="00000000">
        <w:trPr>
          <w:divId w:val="100301716"/>
          <w:trHeight w:val="280"/>
        </w:trPr>
        <w:tc>
          <w:tcPr>
            <w:tcW w:w="0" w:type="auto"/>
            <w:gridSpan w:val="9"/>
            <w:tcBorders>
              <w:top w:val="single" w:sz="8" w:space="0" w:color="000000"/>
            </w:tcBorders>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Lewis Kramer</w:t>
            </w: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vMerge/>
            <w:vAlign w:val="center"/>
            <w:hideMark/>
          </w:tcPr>
          <w:p w:rsidR="00000000" w:rsidRDefault="00F5481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vMerge/>
            <w:vAlign w:val="center"/>
            <w:hideMark/>
          </w:tcPr>
          <w:p w:rsidR="00000000" w:rsidRDefault="00F5481A">
            <w:pPr>
              <w:spacing w:after="100"/>
              <w:rPr>
                <w:rFonts w:eastAsia="Times New Roman"/>
              </w:rPr>
            </w:pPr>
          </w:p>
        </w:tc>
      </w:tr>
      <w:tr w:rsidR="00000000">
        <w:trPr>
          <w:divId w:val="100301716"/>
          <w:trHeight w:val="100"/>
        </w:trPr>
        <w:tc>
          <w:tcPr>
            <w:tcW w:w="0" w:type="auto"/>
            <w:gridSpan w:val="9"/>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00301716"/>
          <w:trHeight w:val="240"/>
        </w:trPr>
        <w:tc>
          <w:tcPr>
            <w:tcW w:w="0" w:type="auto"/>
            <w:gridSpan w:val="9"/>
            <w:tcBorders>
              <w:bottom w:val="single" w:sz="8" w:space="0" w:color="000000"/>
            </w:tcBorders>
            <w:tcMar>
              <w:top w:w="30" w:type="dxa"/>
              <w:left w:w="20" w:type="dxa"/>
              <w:bottom w:w="30" w:type="dxa"/>
              <w:right w:w="20" w:type="dxa"/>
            </w:tcMar>
            <w:hideMark/>
          </w:tcPr>
          <w:p w:rsidR="00000000" w:rsidRDefault="00F5481A">
            <w:pPr>
              <w:spacing w:after="100"/>
              <w:divId w:val="673268492"/>
              <w:rPr>
                <w:rFonts w:eastAsia="Times New Roman"/>
              </w:rPr>
            </w:pPr>
            <w:r>
              <w:rPr>
                <w:rFonts w:ascii="IBM Plex Sans" w:eastAsia="Times New Roman" w:hAnsi="IBM Plex Sans"/>
                <w:color w:val="283030"/>
                <w:sz w:val="20"/>
                <w:szCs w:val="20"/>
              </w:rPr>
              <w:t>/s/    R</w:t>
            </w:r>
            <w:r>
              <w:rPr>
                <w:rFonts w:ascii="IBM Plex Sans" w:eastAsia="Times New Roman" w:hAnsi="IBM Plex Sans"/>
                <w:color w:val="283030"/>
                <w:sz w:val="16"/>
                <w:szCs w:val="16"/>
              </w:rPr>
              <w:t>ITA</w:t>
            </w:r>
            <w:r>
              <w:rPr>
                <w:rFonts w:ascii="IBM Plex Sans" w:eastAsia="Times New Roman" w:hAnsi="IBM Plex Sans"/>
                <w:color w:val="283030"/>
                <w:sz w:val="20"/>
                <w:szCs w:val="20"/>
              </w:rPr>
              <w:t xml:space="preserve"> S. L</w:t>
            </w:r>
            <w:r>
              <w:rPr>
                <w:rFonts w:ascii="IBM Plex Sans" w:eastAsia="Times New Roman" w:hAnsi="IBM Plex Sans"/>
                <w:color w:val="283030"/>
                <w:sz w:val="16"/>
                <w:szCs w:val="16"/>
              </w:rPr>
              <w:t>ANE</w:t>
            </w: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3"/>
            <w:vMerge w:val="restart"/>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Director</w:t>
            </w: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3"/>
            <w:vMerge w:val="restart"/>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February 24, 2023</w:t>
            </w:r>
          </w:p>
        </w:tc>
      </w:tr>
      <w:tr w:rsidR="00000000">
        <w:trPr>
          <w:divId w:val="100301716"/>
          <w:trHeight w:val="280"/>
        </w:trPr>
        <w:tc>
          <w:tcPr>
            <w:tcW w:w="0" w:type="auto"/>
            <w:gridSpan w:val="9"/>
            <w:tcBorders>
              <w:top w:val="single" w:sz="8" w:space="0" w:color="000000"/>
            </w:tcBorders>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Rita S. Lane</w:t>
            </w: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vMerge/>
            <w:vAlign w:val="center"/>
            <w:hideMark/>
          </w:tcPr>
          <w:p w:rsidR="00000000" w:rsidRDefault="00F5481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vMerge/>
            <w:vAlign w:val="center"/>
            <w:hideMark/>
          </w:tcPr>
          <w:p w:rsidR="00000000" w:rsidRDefault="00F5481A">
            <w:pPr>
              <w:spacing w:after="100"/>
              <w:rPr>
                <w:rFonts w:eastAsia="Times New Roman"/>
              </w:rPr>
            </w:pPr>
          </w:p>
        </w:tc>
      </w:tr>
      <w:tr w:rsidR="00000000">
        <w:trPr>
          <w:divId w:val="100301716"/>
          <w:trHeight w:val="100"/>
        </w:trPr>
        <w:tc>
          <w:tcPr>
            <w:tcW w:w="0" w:type="auto"/>
            <w:gridSpan w:val="9"/>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00301716"/>
          <w:trHeight w:val="240"/>
        </w:trPr>
        <w:tc>
          <w:tcPr>
            <w:tcW w:w="0" w:type="auto"/>
            <w:gridSpan w:val="9"/>
            <w:tcBorders>
              <w:bottom w:val="single" w:sz="8" w:space="0" w:color="000000"/>
            </w:tcBorders>
            <w:tcMar>
              <w:top w:w="30" w:type="dxa"/>
              <w:left w:w="20" w:type="dxa"/>
              <w:bottom w:w="30" w:type="dxa"/>
              <w:right w:w="20" w:type="dxa"/>
            </w:tcMar>
            <w:hideMark/>
          </w:tcPr>
          <w:p w:rsidR="00000000" w:rsidRDefault="00F5481A">
            <w:pPr>
              <w:spacing w:after="100"/>
              <w:divId w:val="787745129"/>
              <w:rPr>
                <w:rFonts w:eastAsia="Times New Roman"/>
              </w:rPr>
            </w:pPr>
            <w:r>
              <w:rPr>
                <w:rFonts w:ascii="IBM Plex Sans" w:eastAsia="Times New Roman" w:hAnsi="IBM Plex Sans"/>
                <w:color w:val="283030"/>
                <w:sz w:val="20"/>
                <w:szCs w:val="20"/>
              </w:rPr>
              <w:t>/s/    R</w:t>
            </w:r>
            <w:r>
              <w:rPr>
                <w:rFonts w:ascii="IBM Plex Sans" w:eastAsia="Times New Roman" w:hAnsi="IBM Plex Sans"/>
                <w:color w:val="283030"/>
                <w:sz w:val="16"/>
                <w:szCs w:val="16"/>
              </w:rPr>
              <w:t>OBERT</w:t>
            </w:r>
            <w:r>
              <w:rPr>
                <w:rFonts w:ascii="IBM Plex Sans" w:eastAsia="Times New Roman" w:hAnsi="IBM Plex Sans"/>
                <w:color w:val="283030"/>
                <w:sz w:val="20"/>
                <w:szCs w:val="20"/>
              </w:rPr>
              <w:t xml:space="preserve"> B. M</w:t>
            </w:r>
            <w:r>
              <w:rPr>
                <w:rFonts w:ascii="IBM Plex Sans" w:eastAsia="Times New Roman" w:hAnsi="IBM Plex Sans"/>
                <w:color w:val="283030"/>
                <w:sz w:val="16"/>
                <w:szCs w:val="16"/>
              </w:rPr>
              <w:t>ILLARD</w:t>
            </w: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3"/>
            <w:vMerge w:val="restart"/>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Director</w:t>
            </w: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3"/>
            <w:vMerge w:val="restart"/>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February 24, 2023</w:t>
            </w:r>
          </w:p>
        </w:tc>
      </w:tr>
      <w:tr w:rsidR="00000000">
        <w:trPr>
          <w:divId w:val="100301716"/>
          <w:trHeight w:val="280"/>
        </w:trPr>
        <w:tc>
          <w:tcPr>
            <w:tcW w:w="0" w:type="auto"/>
            <w:gridSpan w:val="9"/>
            <w:tcBorders>
              <w:top w:val="single" w:sz="8" w:space="0" w:color="000000"/>
            </w:tcBorders>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Robert B. Millard</w:t>
            </w: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vMerge/>
            <w:vAlign w:val="center"/>
            <w:hideMark/>
          </w:tcPr>
          <w:p w:rsidR="00000000" w:rsidRDefault="00F5481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vMerge/>
            <w:vAlign w:val="center"/>
            <w:hideMark/>
          </w:tcPr>
          <w:p w:rsidR="00000000" w:rsidRDefault="00F5481A">
            <w:pPr>
              <w:spacing w:after="100"/>
              <w:rPr>
                <w:rFonts w:eastAsia="Times New Roman"/>
              </w:rPr>
            </w:pPr>
          </w:p>
        </w:tc>
      </w:tr>
      <w:tr w:rsidR="00000000">
        <w:trPr>
          <w:divId w:val="100301716"/>
          <w:trHeight w:val="100"/>
        </w:trPr>
        <w:tc>
          <w:tcPr>
            <w:tcW w:w="0" w:type="auto"/>
            <w:gridSpan w:val="9"/>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00301716"/>
          <w:trHeight w:val="240"/>
        </w:trPr>
        <w:tc>
          <w:tcPr>
            <w:tcW w:w="0" w:type="auto"/>
            <w:gridSpan w:val="9"/>
            <w:tcBorders>
              <w:bottom w:val="single" w:sz="8" w:space="0" w:color="000000"/>
            </w:tcBorders>
            <w:tcMar>
              <w:top w:w="30" w:type="dxa"/>
              <w:left w:w="20" w:type="dxa"/>
              <w:bottom w:w="30" w:type="dxa"/>
              <w:right w:w="20" w:type="dxa"/>
            </w:tcMar>
            <w:hideMark/>
          </w:tcPr>
          <w:p w:rsidR="00000000" w:rsidRDefault="00F5481A">
            <w:pPr>
              <w:spacing w:after="100"/>
              <w:divId w:val="289242346"/>
              <w:rPr>
                <w:rFonts w:eastAsia="Times New Roman"/>
              </w:rPr>
            </w:pPr>
            <w:r>
              <w:rPr>
                <w:rFonts w:ascii="IBM Plex Sans" w:eastAsia="Times New Roman" w:hAnsi="IBM Plex Sans"/>
                <w:color w:val="283030"/>
                <w:sz w:val="20"/>
                <w:szCs w:val="20"/>
              </w:rPr>
              <w:t>/s/    L</w:t>
            </w:r>
            <w:r>
              <w:rPr>
                <w:rFonts w:ascii="IBM Plex Sans" w:eastAsia="Times New Roman" w:hAnsi="IBM Plex Sans"/>
                <w:color w:val="283030"/>
                <w:sz w:val="16"/>
                <w:szCs w:val="16"/>
              </w:rPr>
              <w:t>LOYD</w:t>
            </w:r>
            <w:r>
              <w:rPr>
                <w:rFonts w:ascii="IBM Plex Sans" w:eastAsia="Times New Roman" w:hAnsi="IBM Plex Sans"/>
                <w:color w:val="283030"/>
                <w:sz w:val="20"/>
                <w:szCs w:val="20"/>
              </w:rPr>
              <w:t xml:space="preserve"> W. N</w:t>
            </w:r>
            <w:r>
              <w:rPr>
                <w:rFonts w:ascii="IBM Plex Sans" w:eastAsia="Times New Roman" w:hAnsi="IBM Plex Sans"/>
                <w:color w:val="283030"/>
                <w:sz w:val="16"/>
                <w:szCs w:val="16"/>
              </w:rPr>
              <w:t>EWTON</w:t>
            </w: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3"/>
            <w:vMerge w:val="restart"/>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Director</w:t>
            </w:r>
          </w:p>
        </w:tc>
        <w:tc>
          <w:tcPr>
            <w:tcW w:w="0" w:type="auto"/>
            <w:gridSpan w:val="3"/>
            <w:tcMar>
              <w:top w:w="30" w:type="dxa"/>
              <w:left w:w="20" w:type="dxa"/>
              <w:bottom w:w="30" w:type="dxa"/>
              <w:right w:w="20" w:type="dxa"/>
            </w:tcMar>
            <w:vAlign w:val="bottom"/>
            <w:hideMark/>
          </w:tcPr>
          <w:p w:rsidR="00000000" w:rsidRDefault="00F5481A">
            <w:pPr>
              <w:spacing w:after="100"/>
              <w:rPr>
                <w:rFonts w:eastAsia="Times New Roman"/>
              </w:rPr>
            </w:pPr>
            <w:r>
              <w:rPr>
                <w:rFonts w:ascii="IBM Plex Sans" w:eastAsia="Times New Roman" w:hAnsi="IBM Plex Sans"/>
                <w:color w:val="283030"/>
                <w:sz w:val="16"/>
                <w:szCs w:val="16"/>
              </w:rPr>
              <w:t> </w:t>
            </w:r>
          </w:p>
        </w:tc>
        <w:tc>
          <w:tcPr>
            <w:tcW w:w="0" w:type="auto"/>
            <w:gridSpan w:val="3"/>
            <w:vMerge w:val="restart"/>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February 24, 2023</w:t>
            </w:r>
          </w:p>
        </w:tc>
      </w:tr>
      <w:tr w:rsidR="00000000">
        <w:trPr>
          <w:divId w:val="100301716"/>
          <w:trHeight w:val="280"/>
        </w:trPr>
        <w:tc>
          <w:tcPr>
            <w:tcW w:w="0" w:type="auto"/>
            <w:gridSpan w:val="9"/>
            <w:tcBorders>
              <w:top w:val="single" w:sz="8" w:space="0" w:color="000000"/>
            </w:tcBorders>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Lloyd W. Newton</w:t>
            </w: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vMerge/>
            <w:vAlign w:val="center"/>
            <w:hideMark/>
          </w:tcPr>
          <w:p w:rsidR="00000000" w:rsidRDefault="00F5481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vMerge/>
            <w:vAlign w:val="center"/>
            <w:hideMark/>
          </w:tcPr>
          <w:p w:rsidR="00000000" w:rsidRDefault="00F5481A">
            <w:pPr>
              <w:spacing w:after="100"/>
              <w:rPr>
                <w:rFonts w:eastAsia="Times New Roman"/>
              </w:rPr>
            </w:pPr>
          </w:p>
        </w:tc>
      </w:tr>
      <w:tr w:rsidR="00000000">
        <w:trPr>
          <w:divId w:val="100301716"/>
          <w:trHeight w:val="100"/>
        </w:trPr>
        <w:tc>
          <w:tcPr>
            <w:tcW w:w="0" w:type="auto"/>
            <w:gridSpan w:val="9"/>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00301716"/>
          <w:trHeight w:val="280"/>
        </w:trPr>
        <w:tc>
          <w:tcPr>
            <w:tcW w:w="0" w:type="auto"/>
            <w:gridSpan w:val="9"/>
            <w:tcBorders>
              <w:bottom w:val="single" w:sz="8" w:space="0" w:color="000000"/>
            </w:tcBorders>
            <w:tcMar>
              <w:top w:w="30" w:type="dxa"/>
              <w:left w:w="20" w:type="dxa"/>
              <w:bottom w:w="30" w:type="dxa"/>
              <w:right w:w="20" w:type="dxa"/>
            </w:tcMar>
            <w:hideMark/>
          </w:tcPr>
          <w:p w:rsidR="00000000" w:rsidRDefault="00F5481A">
            <w:pPr>
              <w:spacing w:after="100"/>
              <w:divId w:val="1039088371"/>
              <w:rPr>
                <w:rFonts w:eastAsia="Times New Roman"/>
              </w:rPr>
            </w:pPr>
            <w:r>
              <w:rPr>
                <w:rFonts w:ascii="IBM Plex Sans" w:eastAsia="Times New Roman" w:hAnsi="IBM Plex Sans"/>
                <w:color w:val="283030"/>
                <w:sz w:val="20"/>
                <w:szCs w:val="20"/>
              </w:rPr>
              <w:t>/s/    </w:t>
            </w:r>
            <w:r>
              <w:rPr>
                <w:rFonts w:ascii="IBM Plex Sans" w:eastAsia="Times New Roman" w:hAnsi="IBM Plex Sans"/>
                <w:color w:val="283030"/>
                <w:sz w:val="18"/>
                <w:szCs w:val="18"/>
              </w:rPr>
              <w:t>CHRISTINA L. ZAMARRO</w:t>
            </w: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Director</w:t>
            </w: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February 24, 2023</w:t>
            </w:r>
          </w:p>
        </w:tc>
      </w:tr>
      <w:tr w:rsidR="00000000">
        <w:trPr>
          <w:divId w:val="100301716"/>
          <w:trHeight w:val="280"/>
        </w:trPr>
        <w:tc>
          <w:tcPr>
            <w:tcW w:w="0" w:type="auto"/>
            <w:gridSpan w:val="9"/>
            <w:tcBorders>
              <w:top w:val="single" w:sz="8" w:space="0" w:color="000000"/>
            </w:tcBorders>
            <w:tcMar>
              <w:top w:w="30" w:type="dxa"/>
              <w:left w:w="20" w:type="dxa"/>
              <w:bottom w:w="30" w:type="dxa"/>
              <w:right w:w="20" w:type="dxa"/>
            </w:tcMar>
            <w:hideMark/>
          </w:tcPr>
          <w:p w:rsidR="00000000" w:rsidRDefault="00F5481A">
            <w:pPr>
              <w:spacing w:after="100"/>
              <w:rPr>
                <w:rFonts w:eastAsia="Times New Roman"/>
              </w:rPr>
            </w:pPr>
            <w:r>
              <w:rPr>
                <w:rFonts w:ascii="IBM Plex Sans" w:eastAsia="Times New Roman" w:hAnsi="IBM Plex Sans"/>
                <w:color w:val="283030"/>
                <w:sz w:val="20"/>
                <w:szCs w:val="20"/>
              </w:rPr>
              <w:t>Christina L. Zamarro</w:t>
            </w: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rPr>
            </w:pPr>
          </w:p>
        </w:tc>
        <w:tc>
          <w:tcPr>
            <w:tcW w:w="0" w:type="auto"/>
            <w:gridSpan w:val="3"/>
            <w:vMerge/>
            <w:vAlign w:val="center"/>
            <w:hideMark/>
          </w:tcPr>
          <w:p w:rsidR="00000000" w:rsidRDefault="00F5481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vMerge/>
            <w:vAlign w:val="center"/>
            <w:hideMark/>
          </w:tcPr>
          <w:p w:rsidR="00000000" w:rsidRDefault="00F5481A">
            <w:pPr>
              <w:spacing w:after="100"/>
              <w:rPr>
                <w:rFonts w:eastAsia="Times New Roman"/>
              </w:rPr>
            </w:pPr>
          </w:p>
        </w:tc>
      </w:tr>
      <w:tr w:rsidR="00000000">
        <w:trPr>
          <w:divId w:val="100301716"/>
          <w:trHeight w:val="100"/>
        </w:trPr>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5481A">
            <w:pPr>
              <w:spacing w:after="100"/>
              <w:rPr>
                <w:rFonts w:eastAsia="Times New Roman"/>
                <w:sz w:val="20"/>
                <w:szCs w:val="20"/>
              </w:rPr>
            </w:pPr>
          </w:p>
        </w:tc>
      </w:tr>
      <w:tr w:rsidR="00000000">
        <w:trPr>
          <w:divId w:val="100301716"/>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00301716"/>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00301716"/>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r w:rsidR="00000000">
        <w:trPr>
          <w:divId w:val="100301716"/>
        </w:trPr>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c>
          <w:tcPr>
            <w:tcW w:w="0" w:type="auto"/>
            <w:gridSpan w:val="3"/>
            <w:vAlign w:val="center"/>
            <w:hideMark/>
          </w:tcPr>
          <w:p w:rsidR="00000000" w:rsidRDefault="00F5481A">
            <w:pPr>
              <w:spacing w:after="100"/>
              <w:rPr>
                <w:rFonts w:eastAsia="Times New Roman"/>
                <w:sz w:val="20"/>
                <w:szCs w:val="20"/>
              </w:rPr>
            </w:pPr>
          </w:p>
        </w:tc>
      </w:tr>
    </w:tbl>
    <w:p w:rsidR="00F5481A" w:rsidRDefault="00F5481A">
      <w:pPr>
        <w:ind w:firstLine="360"/>
        <w:jc w:val="center"/>
        <w:divId w:val="2004385788"/>
        <w:rPr>
          <w:rFonts w:eastAsia="Times New Roman"/>
        </w:rPr>
      </w:pPr>
      <w:r>
        <w:rPr>
          <w:rFonts w:ascii="Arial" w:eastAsia="Times New Roman" w:hAnsi="Arial" w:cs="Arial"/>
          <w:b/>
          <w:bCs/>
          <w:color w:val="016676"/>
        </w:rPr>
        <w:t>_____________________________________________________________________</w:t>
      </w:r>
      <w:r>
        <w:rPr>
          <w:rFonts w:ascii="Arial" w:eastAsia="Times New Roman" w:hAnsi="Arial" w:cs="Arial"/>
          <w:b/>
          <w:bCs/>
          <w:color w:val="233D6F"/>
        </w:rPr>
        <w:br/>
      </w:r>
      <w:r>
        <w:rPr>
          <w:rFonts w:ascii="IBM Plex Sans" w:eastAsia="Times New Roman" w:hAnsi="IBM Plex Sans"/>
          <w:color w:val="283030"/>
          <w:sz w:val="20"/>
          <w:szCs w:val="20"/>
        </w:rPr>
        <w:t>127</w:t>
      </w:r>
    </w:p>
    <w:sectPr w:rsidR="00F5481A">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IBM Plex Sans">
    <w:charset w:val="00"/>
    <w:family w:val="swiss"/>
    <w:pitch w:val="variable"/>
    <w:sig w:usb0="A00002EF" w:usb1="5000207B" w:usb2="00000000" w:usb3="00000000" w:csb0="0000019F" w:csb1="00000000"/>
  </w:font>
  <w:font w:name="IBM Plex Sans SemiBold">
    <w:charset w:val="00"/>
    <w:family w:val="swiss"/>
    <w:pitch w:val="variable"/>
    <w:sig w:usb0="A00002EF" w:usb1="5000207B" w:usb2="00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5481A"/>
    <w:rsid w:val="00F5481A"/>
  </w:rsids>
  <m:mathPr>
    <m:mathFont m:val="Cambria Math"/>
    <m:brkBin m:val="before"/>
    <m:brkBinSub m:val="--"/>
    <m:smallFrac m:val="0"/>
    <m:dispDef/>
    <m:lMargin m:val="0"/>
    <m:rMargin m:val="0"/>
    <m:defJc m:val="centerGroup"/>
    <m:wrapIndent m:val="1440"/>
    <m:intLim m:val="subSup"/>
    <m:naryLim m:val="undOvr"/>
  </m:mathPr>
  <w:attachedSchema w:val="http://www.xbrl.org/inlineXBRL/transformation/2020-02-12"/>
  <w:attachedSchema w:val="http://xbrl.sec.gov/stpr/2022"/>
  <w:attachedSchema w:val="http://www.xbrl.org/2013/inlineXBRL"/>
  <w:attachedSchema w:val="http://www.xbrl.org/2003/iso4217"/>
  <w:attachedSchema w:val="http://www.xbrl.org/2003/instance"/>
  <w:attachedSchema w:val="http://www.w3.org/1999/xlink"/>
  <w:attachedSchema w:val="http://fasb.org/srt/2022"/>
  <w:attachedSchema w:val="http://xbrl.org/2006/xbrldi"/>
  <w:attachedSchema w:val="http://xbrl.sec.gov/dei/2022"/>
  <w:attachedSchema w:val="http://xbrl.sec.gov/country/2022"/>
  <w:attachedSchema w:val="http://fasb.org/us-gaap/2022"/>
  <w:attachedSchema w:val="http://www.sec.gov/inlineXBRL/transformation/2015-08-31"/>
  <w:attachedSchema w:val="http://harris.com/20221230"/>
  <w:attachedSchema w:val="http://www.xbrl.org/2003/linkbase"/>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171">
      <w:marLeft w:val="0"/>
      <w:marRight w:val="0"/>
      <w:marTop w:val="0"/>
      <w:marBottom w:val="0"/>
      <w:divBdr>
        <w:top w:val="none" w:sz="0" w:space="0" w:color="auto"/>
        <w:left w:val="none" w:sz="0" w:space="0" w:color="auto"/>
        <w:bottom w:val="none" w:sz="0" w:space="0" w:color="auto"/>
        <w:right w:val="none" w:sz="0" w:space="0" w:color="auto"/>
      </w:divBdr>
    </w:div>
    <w:div w:id="2823662">
      <w:marLeft w:val="0"/>
      <w:marRight w:val="0"/>
      <w:marTop w:val="0"/>
      <w:marBottom w:val="100"/>
      <w:divBdr>
        <w:top w:val="none" w:sz="0" w:space="0" w:color="auto"/>
        <w:left w:val="none" w:sz="0" w:space="0" w:color="auto"/>
        <w:bottom w:val="none" w:sz="0" w:space="0" w:color="auto"/>
        <w:right w:val="none" w:sz="0" w:space="0" w:color="auto"/>
      </w:divBdr>
    </w:div>
    <w:div w:id="3439640">
      <w:marLeft w:val="0"/>
      <w:marRight w:val="0"/>
      <w:marTop w:val="0"/>
      <w:marBottom w:val="0"/>
      <w:divBdr>
        <w:top w:val="none" w:sz="0" w:space="0" w:color="auto"/>
        <w:left w:val="none" w:sz="0" w:space="0" w:color="auto"/>
        <w:bottom w:val="none" w:sz="0" w:space="0" w:color="auto"/>
        <w:right w:val="none" w:sz="0" w:space="0" w:color="auto"/>
      </w:divBdr>
    </w:div>
    <w:div w:id="4092452">
      <w:marLeft w:val="0"/>
      <w:marRight w:val="0"/>
      <w:marTop w:val="0"/>
      <w:marBottom w:val="0"/>
      <w:divBdr>
        <w:top w:val="none" w:sz="0" w:space="0" w:color="auto"/>
        <w:left w:val="none" w:sz="0" w:space="0" w:color="auto"/>
        <w:bottom w:val="none" w:sz="0" w:space="0" w:color="auto"/>
        <w:right w:val="none" w:sz="0" w:space="0" w:color="auto"/>
      </w:divBdr>
      <w:divsChild>
        <w:div w:id="999961487">
          <w:marLeft w:val="0"/>
          <w:marRight w:val="0"/>
          <w:marTop w:val="0"/>
          <w:marBottom w:val="100"/>
          <w:divBdr>
            <w:top w:val="none" w:sz="0" w:space="0" w:color="auto"/>
            <w:left w:val="none" w:sz="0" w:space="0" w:color="auto"/>
            <w:bottom w:val="none" w:sz="0" w:space="0" w:color="auto"/>
            <w:right w:val="none" w:sz="0" w:space="0" w:color="auto"/>
          </w:divBdr>
        </w:div>
      </w:divsChild>
    </w:div>
    <w:div w:id="5905578">
      <w:marLeft w:val="0"/>
      <w:marRight w:val="0"/>
      <w:marTop w:val="0"/>
      <w:marBottom w:val="100"/>
      <w:divBdr>
        <w:top w:val="none" w:sz="0" w:space="0" w:color="auto"/>
        <w:left w:val="none" w:sz="0" w:space="0" w:color="auto"/>
        <w:bottom w:val="none" w:sz="0" w:space="0" w:color="auto"/>
        <w:right w:val="none" w:sz="0" w:space="0" w:color="auto"/>
      </w:divBdr>
    </w:div>
    <w:div w:id="6057713">
      <w:marLeft w:val="0"/>
      <w:marRight w:val="0"/>
      <w:marTop w:val="0"/>
      <w:marBottom w:val="0"/>
      <w:divBdr>
        <w:top w:val="none" w:sz="0" w:space="0" w:color="auto"/>
        <w:left w:val="none" w:sz="0" w:space="0" w:color="auto"/>
        <w:bottom w:val="none" w:sz="0" w:space="0" w:color="auto"/>
        <w:right w:val="none" w:sz="0" w:space="0" w:color="auto"/>
      </w:divBdr>
    </w:div>
    <w:div w:id="6905287">
      <w:marLeft w:val="0"/>
      <w:marRight w:val="0"/>
      <w:marTop w:val="180"/>
      <w:marBottom w:val="0"/>
      <w:divBdr>
        <w:top w:val="none" w:sz="0" w:space="0" w:color="auto"/>
        <w:left w:val="none" w:sz="0" w:space="0" w:color="auto"/>
        <w:bottom w:val="none" w:sz="0" w:space="0" w:color="auto"/>
        <w:right w:val="none" w:sz="0" w:space="0" w:color="auto"/>
      </w:divBdr>
    </w:div>
    <w:div w:id="7295160">
      <w:marLeft w:val="0"/>
      <w:marRight w:val="0"/>
      <w:marTop w:val="0"/>
      <w:marBottom w:val="100"/>
      <w:divBdr>
        <w:top w:val="none" w:sz="0" w:space="0" w:color="auto"/>
        <w:left w:val="none" w:sz="0" w:space="0" w:color="auto"/>
        <w:bottom w:val="none" w:sz="0" w:space="0" w:color="auto"/>
        <w:right w:val="none" w:sz="0" w:space="0" w:color="auto"/>
      </w:divBdr>
    </w:div>
    <w:div w:id="9140374">
      <w:marLeft w:val="0"/>
      <w:marRight w:val="0"/>
      <w:marTop w:val="0"/>
      <w:marBottom w:val="100"/>
      <w:divBdr>
        <w:top w:val="none" w:sz="0" w:space="0" w:color="auto"/>
        <w:left w:val="none" w:sz="0" w:space="0" w:color="auto"/>
        <w:bottom w:val="none" w:sz="0" w:space="0" w:color="auto"/>
        <w:right w:val="none" w:sz="0" w:space="0" w:color="auto"/>
      </w:divBdr>
    </w:div>
    <w:div w:id="9333149">
      <w:marLeft w:val="0"/>
      <w:marRight w:val="0"/>
      <w:marTop w:val="0"/>
      <w:marBottom w:val="100"/>
      <w:divBdr>
        <w:top w:val="none" w:sz="0" w:space="0" w:color="auto"/>
        <w:left w:val="none" w:sz="0" w:space="0" w:color="auto"/>
        <w:bottom w:val="none" w:sz="0" w:space="0" w:color="auto"/>
        <w:right w:val="none" w:sz="0" w:space="0" w:color="auto"/>
      </w:divBdr>
    </w:div>
    <w:div w:id="9767939">
      <w:marLeft w:val="0"/>
      <w:marRight w:val="0"/>
      <w:marTop w:val="0"/>
      <w:marBottom w:val="100"/>
      <w:divBdr>
        <w:top w:val="none" w:sz="0" w:space="0" w:color="auto"/>
        <w:left w:val="none" w:sz="0" w:space="0" w:color="auto"/>
        <w:bottom w:val="none" w:sz="0" w:space="0" w:color="auto"/>
        <w:right w:val="none" w:sz="0" w:space="0" w:color="auto"/>
      </w:divBdr>
    </w:div>
    <w:div w:id="11226663">
      <w:marLeft w:val="0"/>
      <w:marRight w:val="0"/>
      <w:marTop w:val="0"/>
      <w:marBottom w:val="100"/>
      <w:divBdr>
        <w:top w:val="none" w:sz="0" w:space="0" w:color="auto"/>
        <w:left w:val="none" w:sz="0" w:space="0" w:color="auto"/>
        <w:bottom w:val="none" w:sz="0" w:space="0" w:color="auto"/>
        <w:right w:val="none" w:sz="0" w:space="0" w:color="auto"/>
      </w:divBdr>
    </w:div>
    <w:div w:id="12071159">
      <w:marLeft w:val="0"/>
      <w:marRight w:val="0"/>
      <w:marTop w:val="0"/>
      <w:marBottom w:val="100"/>
      <w:divBdr>
        <w:top w:val="none" w:sz="0" w:space="0" w:color="auto"/>
        <w:left w:val="none" w:sz="0" w:space="0" w:color="auto"/>
        <w:bottom w:val="none" w:sz="0" w:space="0" w:color="auto"/>
        <w:right w:val="none" w:sz="0" w:space="0" w:color="auto"/>
      </w:divBdr>
    </w:div>
    <w:div w:id="14575014">
      <w:marLeft w:val="0"/>
      <w:marRight w:val="0"/>
      <w:marTop w:val="0"/>
      <w:marBottom w:val="0"/>
      <w:divBdr>
        <w:top w:val="none" w:sz="0" w:space="0" w:color="auto"/>
        <w:left w:val="none" w:sz="0" w:space="0" w:color="auto"/>
        <w:bottom w:val="none" w:sz="0" w:space="0" w:color="auto"/>
        <w:right w:val="none" w:sz="0" w:space="0" w:color="auto"/>
      </w:divBdr>
    </w:div>
    <w:div w:id="15351966">
      <w:marLeft w:val="0"/>
      <w:marRight w:val="0"/>
      <w:marTop w:val="0"/>
      <w:marBottom w:val="0"/>
      <w:divBdr>
        <w:top w:val="none" w:sz="0" w:space="0" w:color="auto"/>
        <w:left w:val="none" w:sz="0" w:space="0" w:color="auto"/>
        <w:bottom w:val="none" w:sz="0" w:space="0" w:color="auto"/>
        <w:right w:val="none" w:sz="0" w:space="0" w:color="auto"/>
      </w:divBdr>
      <w:divsChild>
        <w:div w:id="514536758">
          <w:marLeft w:val="0"/>
          <w:marRight w:val="0"/>
          <w:marTop w:val="0"/>
          <w:marBottom w:val="0"/>
          <w:divBdr>
            <w:top w:val="none" w:sz="0" w:space="0" w:color="auto"/>
            <w:left w:val="none" w:sz="0" w:space="0" w:color="auto"/>
            <w:bottom w:val="none" w:sz="0" w:space="0" w:color="auto"/>
            <w:right w:val="none" w:sz="0" w:space="0" w:color="auto"/>
          </w:divBdr>
          <w:divsChild>
            <w:div w:id="121215876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6659143">
      <w:marLeft w:val="0"/>
      <w:marRight w:val="0"/>
      <w:marTop w:val="0"/>
      <w:marBottom w:val="100"/>
      <w:divBdr>
        <w:top w:val="none" w:sz="0" w:space="0" w:color="auto"/>
        <w:left w:val="none" w:sz="0" w:space="0" w:color="auto"/>
        <w:bottom w:val="none" w:sz="0" w:space="0" w:color="auto"/>
        <w:right w:val="none" w:sz="0" w:space="0" w:color="auto"/>
      </w:divBdr>
    </w:div>
    <w:div w:id="17388777">
      <w:marLeft w:val="0"/>
      <w:marRight w:val="0"/>
      <w:marTop w:val="0"/>
      <w:marBottom w:val="0"/>
      <w:divBdr>
        <w:top w:val="none" w:sz="0" w:space="0" w:color="auto"/>
        <w:left w:val="none" w:sz="0" w:space="0" w:color="auto"/>
        <w:bottom w:val="none" w:sz="0" w:space="0" w:color="auto"/>
        <w:right w:val="none" w:sz="0" w:space="0" w:color="auto"/>
      </w:divBdr>
      <w:divsChild>
        <w:div w:id="1719744783">
          <w:marLeft w:val="0"/>
          <w:marRight w:val="0"/>
          <w:marTop w:val="0"/>
          <w:marBottom w:val="0"/>
          <w:divBdr>
            <w:top w:val="none" w:sz="0" w:space="0" w:color="auto"/>
            <w:left w:val="none" w:sz="0" w:space="0" w:color="auto"/>
            <w:bottom w:val="none" w:sz="0" w:space="0" w:color="auto"/>
            <w:right w:val="none" w:sz="0" w:space="0" w:color="auto"/>
          </w:divBdr>
          <w:divsChild>
            <w:div w:id="44245943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8748421">
      <w:marLeft w:val="0"/>
      <w:marRight w:val="0"/>
      <w:marTop w:val="0"/>
      <w:marBottom w:val="100"/>
      <w:divBdr>
        <w:top w:val="none" w:sz="0" w:space="0" w:color="auto"/>
        <w:left w:val="none" w:sz="0" w:space="0" w:color="auto"/>
        <w:bottom w:val="none" w:sz="0" w:space="0" w:color="auto"/>
        <w:right w:val="none" w:sz="0" w:space="0" w:color="auto"/>
      </w:divBdr>
    </w:div>
    <w:div w:id="18898617">
      <w:marLeft w:val="0"/>
      <w:marRight w:val="0"/>
      <w:marTop w:val="180"/>
      <w:marBottom w:val="0"/>
      <w:divBdr>
        <w:top w:val="none" w:sz="0" w:space="0" w:color="auto"/>
        <w:left w:val="none" w:sz="0" w:space="0" w:color="auto"/>
        <w:bottom w:val="none" w:sz="0" w:space="0" w:color="auto"/>
        <w:right w:val="none" w:sz="0" w:space="0" w:color="auto"/>
      </w:divBdr>
    </w:div>
    <w:div w:id="19939302">
      <w:marLeft w:val="0"/>
      <w:marRight w:val="0"/>
      <w:marTop w:val="0"/>
      <w:marBottom w:val="0"/>
      <w:divBdr>
        <w:top w:val="none" w:sz="0" w:space="0" w:color="auto"/>
        <w:left w:val="none" w:sz="0" w:space="0" w:color="auto"/>
        <w:bottom w:val="none" w:sz="0" w:space="0" w:color="auto"/>
        <w:right w:val="none" w:sz="0" w:space="0" w:color="auto"/>
      </w:divBdr>
      <w:divsChild>
        <w:div w:id="2076010200">
          <w:marLeft w:val="0"/>
          <w:marRight w:val="0"/>
          <w:marTop w:val="0"/>
          <w:marBottom w:val="100"/>
          <w:divBdr>
            <w:top w:val="none" w:sz="0" w:space="0" w:color="auto"/>
            <w:left w:val="none" w:sz="0" w:space="0" w:color="auto"/>
            <w:bottom w:val="none" w:sz="0" w:space="0" w:color="auto"/>
            <w:right w:val="none" w:sz="0" w:space="0" w:color="auto"/>
          </w:divBdr>
        </w:div>
      </w:divsChild>
    </w:div>
    <w:div w:id="20133293">
      <w:marLeft w:val="0"/>
      <w:marRight w:val="0"/>
      <w:marTop w:val="0"/>
      <w:marBottom w:val="100"/>
      <w:divBdr>
        <w:top w:val="none" w:sz="0" w:space="0" w:color="auto"/>
        <w:left w:val="none" w:sz="0" w:space="0" w:color="auto"/>
        <w:bottom w:val="none" w:sz="0" w:space="0" w:color="auto"/>
        <w:right w:val="none" w:sz="0" w:space="0" w:color="auto"/>
      </w:divBdr>
    </w:div>
    <w:div w:id="20907624">
      <w:marLeft w:val="0"/>
      <w:marRight w:val="0"/>
      <w:marTop w:val="0"/>
      <w:marBottom w:val="0"/>
      <w:divBdr>
        <w:top w:val="none" w:sz="0" w:space="0" w:color="auto"/>
        <w:left w:val="none" w:sz="0" w:space="0" w:color="auto"/>
        <w:bottom w:val="none" w:sz="0" w:space="0" w:color="auto"/>
        <w:right w:val="none" w:sz="0" w:space="0" w:color="auto"/>
      </w:divBdr>
      <w:divsChild>
        <w:div w:id="1944484969">
          <w:marLeft w:val="0"/>
          <w:marRight w:val="0"/>
          <w:marTop w:val="0"/>
          <w:marBottom w:val="100"/>
          <w:divBdr>
            <w:top w:val="none" w:sz="0" w:space="0" w:color="auto"/>
            <w:left w:val="none" w:sz="0" w:space="0" w:color="auto"/>
            <w:bottom w:val="none" w:sz="0" w:space="0" w:color="auto"/>
            <w:right w:val="none" w:sz="0" w:space="0" w:color="auto"/>
          </w:divBdr>
        </w:div>
      </w:divsChild>
    </w:div>
    <w:div w:id="20984655">
      <w:marLeft w:val="0"/>
      <w:marRight w:val="0"/>
      <w:marTop w:val="180"/>
      <w:marBottom w:val="0"/>
      <w:divBdr>
        <w:top w:val="none" w:sz="0" w:space="0" w:color="auto"/>
        <w:left w:val="none" w:sz="0" w:space="0" w:color="auto"/>
        <w:bottom w:val="none" w:sz="0" w:space="0" w:color="auto"/>
        <w:right w:val="none" w:sz="0" w:space="0" w:color="auto"/>
      </w:divBdr>
    </w:div>
    <w:div w:id="21786736">
      <w:marLeft w:val="0"/>
      <w:marRight w:val="0"/>
      <w:marTop w:val="180"/>
      <w:marBottom w:val="180"/>
      <w:divBdr>
        <w:top w:val="none" w:sz="0" w:space="0" w:color="auto"/>
        <w:left w:val="none" w:sz="0" w:space="0" w:color="auto"/>
        <w:bottom w:val="none" w:sz="0" w:space="0" w:color="auto"/>
        <w:right w:val="none" w:sz="0" w:space="0" w:color="auto"/>
      </w:divBdr>
    </w:div>
    <w:div w:id="22438733">
      <w:marLeft w:val="0"/>
      <w:marRight w:val="0"/>
      <w:marTop w:val="0"/>
      <w:marBottom w:val="0"/>
      <w:divBdr>
        <w:top w:val="none" w:sz="0" w:space="0" w:color="auto"/>
        <w:left w:val="none" w:sz="0" w:space="0" w:color="auto"/>
        <w:bottom w:val="none" w:sz="0" w:space="0" w:color="auto"/>
        <w:right w:val="none" w:sz="0" w:space="0" w:color="auto"/>
      </w:divBdr>
      <w:divsChild>
        <w:div w:id="739180624">
          <w:marLeft w:val="0"/>
          <w:marRight w:val="0"/>
          <w:marTop w:val="0"/>
          <w:marBottom w:val="0"/>
          <w:divBdr>
            <w:top w:val="none" w:sz="0" w:space="0" w:color="auto"/>
            <w:left w:val="none" w:sz="0" w:space="0" w:color="auto"/>
            <w:bottom w:val="none" w:sz="0" w:space="0" w:color="auto"/>
            <w:right w:val="none" w:sz="0" w:space="0" w:color="auto"/>
          </w:divBdr>
          <w:divsChild>
            <w:div w:id="165428676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2950981">
      <w:marLeft w:val="0"/>
      <w:marRight w:val="0"/>
      <w:marTop w:val="0"/>
      <w:marBottom w:val="100"/>
      <w:divBdr>
        <w:top w:val="none" w:sz="0" w:space="0" w:color="auto"/>
        <w:left w:val="none" w:sz="0" w:space="0" w:color="auto"/>
        <w:bottom w:val="none" w:sz="0" w:space="0" w:color="auto"/>
        <w:right w:val="none" w:sz="0" w:space="0" w:color="auto"/>
      </w:divBdr>
    </w:div>
    <w:div w:id="23140959">
      <w:marLeft w:val="0"/>
      <w:marRight w:val="0"/>
      <w:marTop w:val="180"/>
      <w:marBottom w:val="0"/>
      <w:divBdr>
        <w:top w:val="none" w:sz="0" w:space="0" w:color="auto"/>
        <w:left w:val="none" w:sz="0" w:space="0" w:color="auto"/>
        <w:bottom w:val="none" w:sz="0" w:space="0" w:color="auto"/>
        <w:right w:val="none" w:sz="0" w:space="0" w:color="auto"/>
      </w:divBdr>
    </w:div>
    <w:div w:id="23990586">
      <w:marLeft w:val="0"/>
      <w:marRight w:val="0"/>
      <w:marTop w:val="0"/>
      <w:marBottom w:val="100"/>
      <w:divBdr>
        <w:top w:val="none" w:sz="0" w:space="0" w:color="auto"/>
        <w:left w:val="none" w:sz="0" w:space="0" w:color="auto"/>
        <w:bottom w:val="none" w:sz="0" w:space="0" w:color="auto"/>
        <w:right w:val="none" w:sz="0" w:space="0" w:color="auto"/>
      </w:divBdr>
    </w:div>
    <w:div w:id="24215385">
      <w:marLeft w:val="0"/>
      <w:marRight w:val="0"/>
      <w:marTop w:val="0"/>
      <w:marBottom w:val="100"/>
      <w:divBdr>
        <w:top w:val="none" w:sz="0" w:space="0" w:color="auto"/>
        <w:left w:val="none" w:sz="0" w:space="0" w:color="auto"/>
        <w:bottom w:val="none" w:sz="0" w:space="0" w:color="auto"/>
        <w:right w:val="none" w:sz="0" w:space="0" w:color="auto"/>
      </w:divBdr>
    </w:div>
    <w:div w:id="25452092">
      <w:marLeft w:val="0"/>
      <w:marRight w:val="0"/>
      <w:marTop w:val="0"/>
      <w:marBottom w:val="100"/>
      <w:divBdr>
        <w:top w:val="none" w:sz="0" w:space="0" w:color="auto"/>
        <w:left w:val="none" w:sz="0" w:space="0" w:color="auto"/>
        <w:bottom w:val="none" w:sz="0" w:space="0" w:color="auto"/>
        <w:right w:val="none" w:sz="0" w:space="0" w:color="auto"/>
      </w:divBdr>
    </w:div>
    <w:div w:id="26109229">
      <w:marLeft w:val="0"/>
      <w:marRight w:val="0"/>
      <w:marTop w:val="0"/>
      <w:marBottom w:val="0"/>
      <w:divBdr>
        <w:top w:val="none" w:sz="0" w:space="0" w:color="auto"/>
        <w:left w:val="none" w:sz="0" w:space="0" w:color="auto"/>
        <w:bottom w:val="none" w:sz="0" w:space="0" w:color="auto"/>
        <w:right w:val="none" w:sz="0" w:space="0" w:color="auto"/>
      </w:divBdr>
      <w:divsChild>
        <w:div w:id="1874881330">
          <w:marLeft w:val="0"/>
          <w:marRight w:val="0"/>
          <w:marTop w:val="0"/>
          <w:marBottom w:val="0"/>
          <w:divBdr>
            <w:top w:val="none" w:sz="0" w:space="0" w:color="auto"/>
            <w:left w:val="none" w:sz="0" w:space="0" w:color="auto"/>
            <w:bottom w:val="none" w:sz="0" w:space="0" w:color="auto"/>
            <w:right w:val="none" w:sz="0" w:space="0" w:color="auto"/>
          </w:divBdr>
          <w:divsChild>
            <w:div w:id="552928342">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6220343">
      <w:marLeft w:val="0"/>
      <w:marRight w:val="0"/>
      <w:marTop w:val="0"/>
      <w:marBottom w:val="100"/>
      <w:divBdr>
        <w:top w:val="none" w:sz="0" w:space="0" w:color="auto"/>
        <w:left w:val="none" w:sz="0" w:space="0" w:color="auto"/>
        <w:bottom w:val="none" w:sz="0" w:space="0" w:color="auto"/>
        <w:right w:val="none" w:sz="0" w:space="0" w:color="auto"/>
      </w:divBdr>
    </w:div>
    <w:div w:id="29694872">
      <w:marLeft w:val="0"/>
      <w:marRight w:val="0"/>
      <w:marTop w:val="0"/>
      <w:marBottom w:val="100"/>
      <w:divBdr>
        <w:top w:val="none" w:sz="0" w:space="0" w:color="auto"/>
        <w:left w:val="none" w:sz="0" w:space="0" w:color="auto"/>
        <w:bottom w:val="none" w:sz="0" w:space="0" w:color="auto"/>
        <w:right w:val="none" w:sz="0" w:space="0" w:color="auto"/>
      </w:divBdr>
    </w:div>
    <w:div w:id="30737563">
      <w:marLeft w:val="0"/>
      <w:marRight w:val="0"/>
      <w:marTop w:val="0"/>
      <w:marBottom w:val="0"/>
      <w:divBdr>
        <w:top w:val="none" w:sz="0" w:space="0" w:color="auto"/>
        <w:left w:val="none" w:sz="0" w:space="0" w:color="auto"/>
        <w:bottom w:val="none" w:sz="0" w:space="0" w:color="auto"/>
        <w:right w:val="none" w:sz="0" w:space="0" w:color="auto"/>
      </w:divBdr>
    </w:div>
    <w:div w:id="31073537">
      <w:marLeft w:val="0"/>
      <w:marRight w:val="0"/>
      <w:marTop w:val="0"/>
      <w:marBottom w:val="100"/>
      <w:divBdr>
        <w:top w:val="none" w:sz="0" w:space="0" w:color="auto"/>
        <w:left w:val="none" w:sz="0" w:space="0" w:color="auto"/>
        <w:bottom w:val="none" w:sz="0" w:space="0" w:color="auto"/>
        <w:right w:val="none" w:sz="0" w:space="0" w:color="auto"/>
      </w:divBdr>
    </w:div>
    <w:div w:id="31155123">
      <w:marLeft w:val="0"/>
      <w:marRight w:val="0"/>
      <w:marTop w:val="0"/>
      <w:marBottom w:val="0"/>
      <w:divBdr>
        <w:top w:val="none" w:sz="0" w:space="0" w:color="auto"/>
        <w:left w:val="none" w:sz="0" w:space="0" w:color="auto"/>
        <w:bottom w:val="none" w:sz="0" w:space="0" w:color="auto"/>
        <w:right w:val="none" w:sz="0" w:space="0" w:color="auto"/>
      </w:divBdr>
    </w:div>
    <w:div w:id="33968444">
      <w:marLeft w:val="0"/>
      <w:marRight w:val="0"/>
      <w:marTop w:val="0"/>
      <w:marBottom w:val="0"/>
      <w:divBdr>
        <w:top w:val="none" w:sz="0" w:space="0" w:color="auto"/>
        <w:left w:val="none" w:sz="0" w:space="0" w:color="auto"/>
        <w:bottom w:val="none" w:sz="0" w:space="0" w:color="auto"/>
        <w:right w:val="none" w:sz="0" w:space="0" w:color="auto"/>
      </w:divBdr>
      <w:divsChild>
        <w:div w:id="1214385743">
          <w:marLeft w:val="0"/>
          <w:marRight w:val="0"/>
          <w:marTop w:val="0"/>
          <w:marBottom w:val="0"/>
          <w:divBdr>
            <w:top w:val="none" w:sz="0" w:space="0" w:color="auto"/>
            <w:left w:val="none" w:sz="0" w:space="0" w:color="auto"/>
            <w:bottom w:val="none" w:sz="0" w:space="0" w:color="auto"/>
            <w:right w:val="none" w:sz="0" w:space="0" w:color="auto"/>
          </w:divBdr>
          <w:divsChild>
            <w:div w:id="159242415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34234029">
      <w:marLeft w:val="0"/>
      <w:marRight w:val="0"/>
      <w:marTop w:val="0"/>
      <w:marBottom w:val="100"/>
      <w:divBdr>
        <w:top w:val="none" w:sz="0" w:space="0" w:color="auto"/>
        <w:left w:val="none" w:sz="0" w:space="0" w:color="auto"/>
        <w:bottom w:val="none" w:sz="0" w:space="0" w:color="auto"/>
        <w:right w:val="none" w:sz="0" w:space="0" w:color="auto"/>
      </w:divBdr>
    </w:div>
    <w:div w:id="34238714">
      <w:marLeft w:val="0"/>
      <w:marRight w:val="0"/>
      <w:marTop w:val="0"/>
      <w:marBottom w:val="0"/>
      <w:divBdr>
        <w:top w:val="none" w:sz="0" w:space="0" w:color="auto"/>
        <w:left w:val="none" w:sz="0" w:space="0" w:color="auto"/>
        <w:bottom w:val="none" w:sz="0" w:space="0" w:color="auto"/>
        <w:right w:val="none" w:sz="0" w:space="0" w:color="auto"/>
      </w:divBdr>
      <w:divsChild>
        <w:div w:id="1444154789">
          <w:marLeft w:val="0"/>
          <w:marRight w:val="0"/>
          <w:marTop w:val="0"/>
          <w:marBottom w:val="100"/>
          <w:divBdr>
            <w:top w:val="none" w:sz="0" w:space="0" w:color="auto"/>
            <w:left w:val="none" w:sz="0" w:space="0" w:color="auto"/>
            <w:bottom w:val="none" w:sz="0" w:space="0" w:color="auto"/>
            <w:right w:val="none" w:sz="0" w:space="0" w:color="auto"/>
          </w:divBdr>
        </w:div>
      </w:divsChild>
    </w:div>
    <w:div w:id="40252595">
      <w:marLeft w:val="0"/>
      <w:marRight w:val="0"/>
      <w:marTop w:val="0"/>
      <w:marBottom w:val="100"/>
      <w:divBdr>
        <w:top w:val="none" w:sz="0" w:space="0" w:color="auto"/>
        <w:left w:val="none" w:sz="0" w:space="0" w:color="auto"/>
        <w:bottom w:val="none" w:sz="0" w:space="0" w:color="auto"/>
        <w:right w:val="none" w:sz="0" w:space="0" w:color="auto"/>
      </w:divBdr>
    </w:div>
    <w:div w:id="40253582">
      <w:marLeft w:val="0"/>
      <w:marRight w:val="0"/>
      <w:marTop w:val="0"/>
      <w:marBottom w:val="0"/>
      <w:divBdr>
        <w:top w:val="none" w:sz="0" w:space="0" w:color="auto"/>
        <w:left w:val="none" w:sz="0" w:space="0" w:color="auto"/>
        <w:bottom w:val="none" w:sz="0" w:space="0" w:color="auto"/>
        <w:right w:val="none" w:sz="0" w:space="0" w:color="auto"/>
      </w:divBdr>
    </w:div>
    <w:div w:id="41831849">
      <w:marLeft w:val="0"/>
      <w:marRight w:val="0"/>
      <w:marTop w:val="0"/>
      <w:marBottom w:val="100"/>
      <w:divBdr>
        <w:top w:val="none" w:sz="0" w:space="0" w:color="auto"/>
        <w:left w:val="none" w:sz="0" w:space="0" w:color="auto"/>
        <w:bottom w:val="none" w:sz="0" w:space="0" w:color="auto"/>
        <w:right w:val="none" w:sz="0" w:space="0" w:color="auto"/>
      </w:divBdr>
    </w:div>
    <w:div w:id="41945244">
      <w:marLeft w:val="0"/>
      <w:marRight w:val="0"/>
      <w:marTop w:val="180"/>
      <w:marBottom w:val="0"/>
      <w:divBdr>
        <w:top w:val="none" w:sz="0" w:space="0" w:color="auto"/>
        <w:left w:val="none" w:sz="0" w:space="0" w:color="auto"/>
        <w:bottom w:val="none" w:sz="0" w:space="0" w:color="auto"/>
        <w:right w:val="none" w:sz="0" w:space="0" w:color="auto"/>
      </w:divBdr>
    </w:div>
    <w:div w:id="45182522">
      <w:marLeft w:val="0"/>
      <w:marRight w:val="0"/>
      <w:marTop w:val="0"/>
      <w:marBottom w:val="100"/>
      <w:divBdr>
        <w:top w:val="none" w:sz="0" w:space="0" w:color="auto"/>
        <w:left w:val="none" w:sz="0" w:space="0" w:color="auto"/>
        <w:bottom w:val="none" w:sz="0" w:space="0" w:color="auto"/>
        <w:right w:val="none" w:sz="0" w:space="0" w:color="auto"/>
      </w:divBdr>
    </w:div>
    <w:div w:id="46225382">
      <w:marLeft w:val="0"/>
      <w:marRight w:val="0"/>
      <w:marTop w:val="0"/>
      <w:marBottom w:val="0"/>
      <w:divBdr>
        <w:top w:val="none" w:sz="0" w:space="0" w:color="auto"/>
        <w:left w:val="none" w:sz="0" w:space="0" w:color="auto"/>
        <w:bottom w:val="none" w:sz="0" w:space="0" w:color="auto"/>
        <w:right w:val="none" w:sz="0" w:space="0" w:color="auto"/>
      </w:divBdr>
    </w:div>
    <w:div w:id="47730985">
      <w:marLeft w:val="0"/>
      <w:marRight w:val="0"/>
      <w:marTop w:val="0"/>
      <w:marBottom w:val="100"/>
      <w:divBdr>
        <w:top w:val="none" w:sz="0" w:space="0" w:color="auto"/>
        <w:left w:val="none" w:sz="0" w:space="0" w:color="auto"/>
        <w:bottom w:val="none" w:sz="0" w:space="0" w:color="auto"/>
        <w:right w:val="none" w:sz="0" w:space="0" w:color="auto"/>
      </w:divBdr>
    </w:div>
    <w:div w:id="49234044">
      <w:marLeft w:val="0"/>
      <w:marRight w:val="0"/>
      <w:marTop w:val="100"/>
      <w:marBottom w:val="0"/>
      <w:divBdr>
        <w:top w:val="none" w:sz="0" w:space="0" w:color="auto"/>
        <w:left w:val="none" w:sz="0" w:space="0" w:color="auto"/>
        <w:bottom w:val="none" w:sz="0" w:space="0" w:color="auto"/>
        <w:right w:val="none" w:sz="0" w:space="0" w:color="auto"/>
      </w:divBdr>
    </w:div>
    <w:div w:id="49307677">
      <w:marLeft w:val="0"/>
      <w:marRight w:val="0"/>
      <w:marTop w:val="0"/>
      <w:marBottom w:val="100"/>
      <w:divBdr>
        <w:top w:val="none" w:sz="0" w:space="0" w:color="auto"/>
        <w:left w:val="none" w:sz="0" w:space="0" w:color="auto"/>
        <w:bottom w:val="none" w:sz="0" w:space="0" w:color="auto"/>
        <w:right w:val="none" w:sz="0" w:space="0" w:color="auto"/>
      </w:divBdr>
    </w:div>
    <w:div w:id="49501308">
      <w:marLeft w:val="0"/>
      <w:marRight w:val="0"/>
      <w:marTop w:val="0"/>
      <w:marBottom w:val="100"/>
      <w:divBdr>
        <w:top w:val="none" w:sz="0" w:space="0" w:color="auto"/>
        <w:left w:val="none" w:sz="0" w:space="0" w:color="auto"/>
        <w:bottom w:val="none" w:sz="0" w:space="0" w:color="auto"/>
        <w:right w:val="none" w:sz="0" w:space="0" w:color="auto"/>
      </w:divBdr>
    </w:div>
    <w:div w:id="49618004">
      <w:marLeft w:val="0"/>
      <w:marRight w:val="0"/>
      <w:marTop w:val="0"/>
      <w:marBottom w:val="100"/>
      <w:divBdr>
        <w:top w:val="none" w:sz="0" w:space="0" w:color="auto"/>
        <w:left w:val="none" w:sz="0" w:space="0" w:color="auto"/>
        <w:bottom w:val="none" w:sz="0" w:space="0" w:color="auto"/>
        <w:right w:val="none" w:sz="0" w:space="0" w:color="auto"/>
      </w:divBdr>
    </w:div>
    <w:div w:id="50933094">
      <w:marLeft w:val="0"/>
      <w:marRight w:val="0"/>
      <w:marTop w:val="0"/>
      <w:marBottom w:val="100"/>
      <w:divBdr>
        <w:top w:val="none" w:sz="0" w:space="0" w:color="auto"/>
        <w:left w:val="none" w:sz="0" w:space="0" w:color="auto"/>
        <w:bottom w:val="none" w:sz="0" w:space="0" w:color="auto"/>
        <w:right w:val="none" w:sz="0" w:space="0" w:color="auto"/>
      </w:divBdr>
    </w:div>
    <w:div w:id="52969091">
      <w:marLeft w:val="0"/>
      <w:marRight w:val="0"/>
      <w:marTop w:val="0"/>
      <w:marBottom w:val="100"/>
      <w:divBdr>
        <w:top w:val="none" w:sz="0" w:space="0" w:color="auto"/>
        <w:left w:val="none" w:sz="0" w:space="0" w:color="auto"/>
        <w:bottom w:val="none" w:sz="0" w:space="0" w:color="auto"/>
        <w:right w:val="none" w:sz="0" w:space="0" w:color="auto"/>
      </w:divBdr>
    </w:div>
    <w:div w:id="53282835">
      <w:marLeft w:val="0"/>
      <w:marRight w:val="0"/>
      <w:marTop w:val="180"/>
      <w:marBottom w:val="0"/>
      <w:divBdr>
        <w:top w:val="none" w:sz="0" w:space="0" w:color="auto"/>
        <w:left w:val="none" w:sz="0" w:space="0" w:color="auto"/>
        <w:bottom w:val="none" w:sz="0" w:space="0" w:color="auto"/>
        <w:right w:val="none" w:sz="0" w:space="0" w:color="auto"/>
      </w:divBdr>
    </w:div>
    <w:div w:id="53434416">
      <w:marLeft w:val="0"/>
      <w:marRight w:val="0"/>
      <w:marTop w:val="0"/>
      <w:marBottom w:val="100"/>
      <w:divBdr>
        <w:top w:val="none" w:sz="0" w:space="0" w:color="auto"/>
        <w:left w:val="none" w:sz="0" w:space="0" w:color="auto"/>
        <w:bottom w:val="none" w:sz="0" w:space="0" w:color="auto"/>
        <w:right w:val="none" w:sz="0" w:space="0" w:color="auto"/>
      </w:divBdr>
    </w:div>
    <w:div w:id="53741534">
      <w:marLeft w:val="0"/>
      <w:marRight w:val="0"/>
      <w:marTop w:val="0"/>
      <w:marBottom w:val="100"/>
      <w:divBdr>
        <w:top w:val="none" w:sz="0" w:space="0" w:color="auto"/>
        <w:left w:val="none" w:sz="0" w:space="0" w:color="auto"/>
        <w:bottom w:val="none" w:sz="0" w:space="0" w:color="auto"/>
        <w:right w:val="none" w:sz="0" w:space="0" w:color="auto"/>
      </w:divBdr>
    </w:div>
    <w:div w:id="56973200">
      <w:marLeft w:val="0"/>
      <w:marRight w:val="0"/>
      <w:marTop w:val="0"/>
      <w:marBottom w:val="100"/>
      <w:divBdr>
        <w:top w:val="none" w:sz="0" w:space="0" w:color="auto"/>
        <w:left w:val="none" w:sz="0" w:space="0" w:color="auto"/>
        <w:bottom w:val="none" w:sz="0" w:space="0" w:color="auto"/>
        <w:right w:val="none" w:sz="0" w:space="0" w:color="auto"/>
      </w:divBdr>
    </w:div>
    <w:div w:id="59988399">
      <w:marLeft w:val="0"/>
      <w:marRight w:val="0"/>
      <w:marTop w:val="0"/>
      <w:marBottom w:val="0"/>
      <w:divBdr>
        <w:top w:val="none" w:sz="0" w:space="0" w:color="auto"/>
        <w:left w:val="none" w:sz="0" w:space="0" w:color="auto"/>
        <w:bottom w:val="none" w:sz="0" w:space="0" w:color="auto"/>
        <w:right w:val="none" w:sz="0" w:space="0" w:color="auto"/>
      </w:divBdr>
    </w:div>
    <w:div w:id="60062168">
      <w:marLeft w:val="0"/>
      <w:marRight w:val="0"/>
      <w:marTop w:val="180"/>
      <w:marBottom w:val="0"/>
      <w:divBdr>
        <w:top w:val="none" w:sz="0" w:space="0" w:color="auto"/>
        <w:left w:val="none" w:sz="0" w:space="0" w:color="auto"/>
        <w:bottom w:val="none" w:sz="0" w:space="0" w:color="auto"/>
        <w:right w:val="none" w:sz="0" w:space="0" w:color="auto"/>
      </w:divBdr>
    </w:div>
    <w:div w:id="60756387">
      <w:marLeft w:val="0"/>
      <w:marRight w:val="0"/>
      <w:marTop w:val="0"/>
      <w:marBottom w:val="100"/>
      <w:divBdr>
        <w:top w:val="none" w:sz="0" w:space="0" w:color="auto"/>
        <w:left w:val="none" w:sz="0" w:space="0" w:color="auto"/>
        <w:bottom w:val="none" w:sz="0" w:space="0" w:color="auto"/>
        <w:right w:val="none" w:sz="0" w:space="0" w:color="auto"/>
      </w:divBdr>
    </w:div>
    <w:div w:id="65883038">
      <w:marLeft w:val="0"/>
      <w:marRight w:val="0"/>
      <w:marTop w:val="0"/>
      <w:marBottom w:val="0"/>
      <w:divBdr>
        <w:top w:val="none" w:sz="0" w:space="0" w:color="auto"/>
        <w:left w:val="none" w:sz="0" w:space="0" w:color="auto"/>
        <w:bottom w:val="none" w:sz="0" w:space="0" w:color="auto"/>
        <w:right w:val="none" w:sz="0" w:space="0" w:color="auto"/>
      </w:divBdr>
      <w:divsChild>
        <w:div w:id="55206182">
          <w:marLeft w:val="0"/>
          <w:marRight w:val="0"/>
          <w:marTop w:val="0"/>
          <w:marBottom w:val="100"/>
          <w:divBdr>
            <w:top w:val="none" w:sz="0" w:space="0" w:color="auto"/>
            <w:left w:val="none" w:sz="0" w:space="0" w:color="auto"/>
            <w:bottom w:val="none" w:sz="0" w:space="0" w:color="auto"/>
            <w:right w:val="none" w:sz="0" w:space="0" w:color="auto"/>
          </w:divBdr>
        </w:div>
      </w:divsChild>
    </w:div>
    <w:div w:id="66195947">
      <w:marLeft w:val="0"/>
      <w:marRight w:val="0"/>
      <w:marTop w:val="0"/>
      <w:marBottom w:val="100"/>
      <w:divBdr>
        <w:top w:val="none" w:sz="0" w:space="0" w:color="auto"/>
        <w:left w:val="none" w:sz="0" w:space="0" w:color="auto"/>
        <w:bottom w:val="none" w:sz="0" w:space="0" w:color="auto"/>
        <w:right w:val="none" w:sz="0" w:space="0" w:color="auto"/>
      </w:divBdr>
    </w:div>
    <w:div w:id="66809325">
      <w:marLeft w:val="0"/>
      <w:marRight w:val="0"/>
      <w:marTop w:val="0"/>
      <w:marBottom w:val="100"/>
      <w:divBdr>
        <w:top w:val="none" w:sz="0" w:space="0" w:color="auto"/>
        <w:left w:val="none" w:sz="0" w:space="0" w:color="auto"/>
        <w:bottom w:val="none" w:sz="0" w:space="0" w:color="auto"/>
        <w:right w:val="none" w:sz="0" w:space="0" w:color="auto"/>
      </w:divBdr>
    </w:div>
    <w:div w:id="67193820">
      <w:marLeft w:val="0"/>
      <w:marRight w:val="0"/>
      <w:marTop w:val="0"/>
      <w:marBottom w:val="100"/>
      <w:divBdr>
        <w:top w:val="none" w:sz="0" w:space="0" w:color="auto"/>
        <w:left w:val="none" w:sz="0" w:space="0" w:color="auto"/>
        <w:bottom w:val="none" w:sz="0" w:space="0" w:color="auto"/>
        <w:right w:val="none" w:sz="0" w:space="0" w:color="auto"/>
      </w:divBdr>
    </w:div>
    <w:div w:id="71856620">
      <w:marLeft w:val="0"/>
      <w:marRight w:val="0"/>
      <w:marTop w:val="0"/>
      <w:marBottom w:val="100"/>
      <w:divBdr>
        <w:top w:val="none" w:sz="0" w:space="0" w:color="auto"/>
        <w:left w:val="none" w:sz="0" w:space="0" w:color="auto"/>
        <w:bottom w:val="none" w:sz="0" w:space="0" w:color="auto"/>
        <w:right w:val="none" w:sz="0" w:space="0" w:color="auto"/>
      </w:divBdr>
    </w:div>
    <w:div w:id="72515427">
      <w:marLeft w:val="0"/>
      <w:marRight w:val="0"/>
      <w:marTop w:val="0"/>
      <w:marBottom w:val="100"/>
      <w:divBdr>
        <w:top w:val="none" w:sz="0" w:space="0" w:color="auto"/>
        <w:left w:val="none" w:sz="0" w:space="0" w:color="auto"/>
        <w:bottom w:val="none" w:sz="0" w:space="0" w:color="auto"/>
        <w:right w:val="none" w:sz="0" w:space="0" w:color="auto"/>
      </w:divBdr>
    </w:div>
    <w:div w:id="72628490">
      <w:marLeft w:val="0"/>
      <w:marRight w:val="0"/>
      <w:marTop w:val="180"/>
      <w:marBottom w:val="0"/>
      <w:divBdr>
        <w:top w:val="none" w:sz="0" w:space="0" w:color="auto"/>
        <w:left w:val="none" w:sz="0" w:space="0" w:color="auto"/>
        <w:bottom w:val="none" w:sz="0" w:space="0" w:color="auto"/>
        <w:right w:val="none" w:sz="0" w:space="0" w:color="auto"/>
      </w:divBdr>
    </w:div>
    <w:div w:id="73087601">
      <w:marLeft w:val="0"/>
      <w:marRight w:val="0"/>
      <w:marTop w:val="0"/>
      <w:marBottom w:val="100"/>
      <w:divBdr>
        <w:top w:val="none" w:sz="0" w:space="0" w:color="auto"/>
        <w:left w:val="none" w:sz="0" w:space="0" w:color="auto"/>
        <w:bottom w:val="none" w:sz="0" w:space="0" w:color="auto"/>
        <w:right w:val="none" w:sz="0" w:space="0" w:color="auto"/>
      </w:divBdr>
    </w:div>
    <w:div w:id="74784498">
      <w:marLeft w:val="0"/>
      <w:marRight w:val="0"/>
      <w:marTop w:val="0"/>
      <w:marBottom w:val="100"/>
      <w:divBdr>
        <w:top w:val="none" w:sz="0" w:space="0" w:color="auto"/>
        <w:left w:val="none" w:sz="0" w:space="0" w:color="auto"/>
        <w:bottom w:val="none" w:sz="0" w:space="0" w:color="auto"/>
        <w:right w:val="none" w:sz="0" w:space="0" w:color="auto"/>
      </w:divBdr>
      <w:divsChild>
        <w:div w:id="2073963460">
          <w:marLeft w:val="0"/>
          <w:marRight w:val="0"/>
          <w:marTop w:val="0"/>
          <w:marBottom w:val="0"/>
          <w:divBdr>
            <w:top w:val="none" w:sz="0" w:space="0" w:color="auto"/>
            <w:left w:val="none" w:sz="0" w:space="0" w:color="auto"/>
            <w:bottom w:val="none" w:sz="0" w:space="0" w:color="auto"/>
            <w:right w:val="none" w:sz="0" w:space="0" w:color="auto"/>
          </w:divBdr>
        </w:div>
        <w:div w:id="372464171">
          <w:marLeft w:val="0"/>
          <w:marRight w:val="0"/>
          <w:marTop w:val="0"/>
          <w:marBottom w:val="0"/>
          <w:divBdr>
            <w:top w:val="none" w:sz="0" w:space="0" w:color="auto"/>
            <w:left w:val="none" w:sz="0" w:space="0" w:color="auto"/>
            <w:bottom w:val="none" w:sz="0" w:space="0" w:color="auto"/>
            <w:right w:val="none" w:sz="0" w:space="0" w:color="auto"/>
          </w:divBdr>
        </w:div>
        <w:div w:id="925918420">
          <w:marLeft w:val="0"/>
          <w:marRight w:val="0"/>
          <w:marTop w:val="0"/>
          <w:marBottom w:val="0"/>
          <w:divBdr>
            <w:top w:val="none" w:sz="0" w:space="0" w:color="auto"/>
            <w:left w:val="none" w:sz="0" w:space="0" w:color="auto"/>
            <w:bottom w:val="none" w:sz="0" w:space="0" w:color="auto"/>
            <w:right w:val="none" w:sz="0" w:space="0" w:color="auto"/>
          </w:divBdr>
        </w:div>
        <w:div w:id="744691830">
          <w:marLeft w:val="0"/>
          <w:marRight w:val="0"/>
          <w:marTop w:val="0"/>
          <w:marBottom w:val="0"/>
          <w:divBdr>
            <w:top w:val="none" w:sz="0" w:space="0" w:color="auto"/>
            <w:left w:val="none" w:sz="0" w:space="0" w:color="auto"/>
            <w:bottom w:val="none" w:sz="0" w:space="0" w:color="auto"/>
            <w:right w:val="none" w:sz="0" w:space="0" w:color="auto"/>
          </w:divBdr>
        </w:div>
        <w:div w:id="1674453920">
          <w:marLeft w:val="0"/>
          <w:marRight w:val="0"/>
          <w:marTop w:val="0"/>
          <w:marBottom w:val="0"/>
          <w:divBdr>
            <w:top w:val="none" w:sz="0" w:space="0" w:color="auto"/>
            <w:left w:val="none" w:sz="0" w:space="0" w:color="auto"/>
            <w:bottom w:val="none" w:sz="0" w:space="0" w:color="auto"/>
            <w:right w:val="none" w:sz="0" w:space="0" w:color="auto"/>
          </w:divBdr>
        </w:div>
        <w:div w:id="1295987806">
          <w:marLeft w:val="0"/>
          <w:marRight w:val="0"/>
          <w:marTop w:val="0"/>
          <w:marBottom w:val="0"/>
          <w:divBdr>
            <w:top w:val="none" w:sz="0" w:space="0" w:color="auto"/>
            <w:left w:val="none" w:sz="0" w:space="0" w:color="auto"/>
            <w:bottom w:val="none" w:sz="0" w:space="0" w:color="auto"/>
            <w:right w:val="none" w:sz="0" w:space="0" w:color="auto"/>
          </w:divBdr>
        </w:div>
        <w:div w:id="552734526">
          <w:marLeft w:val="0"/>
          <w:marRight w:val="0"/>
          <w:marTop w:val="0"/>
          <w:marBottom w:val="0"/>
          <w:divBdr>
            <w:top w:val="none" w:sz="0" w:space="0" w:color="auto"/>
            <w:left w:val="none" w:sz="0" w:space="0" w:color="auto"/>
            <w:bottom w:val="none" w:sz="0" w:space="0" w:color="auto"/>
            <w:right w:val="none" w:sz="0" w:space="0" w:color="auto"/>
          </w:divBdr>
        </w:div>
        <w:div w:id="1043672376">
          <w:marLeft w:val="0"/>
          <w:marRight w:val="0"/>
          <w:marTop w:val="0"/>
          <w:marBottom w:val="0"/>
          <w:divBdr>
            <w:top w:val="none" w:sz="0" w:space="0" w:color="auto"/>
            <w:left w:val="none" w:sz="0" w:space="0" w:color="auto"/>
            <w:bottom w:val="none" w:sz="0" w:space="0" w:color="auto"/>
            <w:right w:val="none" w:sz="0" w:space="0" w:color="auto"/>
          </w:divBdr>
        </w:div>
        <w:div w:id="1560436161">
          <w:marLeft w:val="0"/>
          <w:marRight w:val="0"/>
          <w:marTop w:val="0"/>
          <w:marBottom w:val="0"/>
          <w:divBdr>
            <w:top w:val="none" w:sz="0" w:space="0" w:color="auto"/>
            <w:left w:val="none" w:sz="0" w:space="0" w:color="auto"/>
            <w:bottom w:val="none" w:sz="0" w:space="0" w:color="auto"/>
            <w:right w:val="none" w:sz="0" w:space="0" w:color="auto"/>
          </w:divBdr>
        </w:div>
        <w:div w:id="1466460824">
          <w:marLeft w:val="0"/>
          <w:marRight w:val="0"/>
          <w:marTop w:val="0"/>
          <w:marBottom w:val="0"/>
          <w:divBdr>
            <w:top w:val="none" w:sz="0" w:space="0" w:color="auto"/>
            <w:left w:val="none" w:sz="0" w:space="0" w:color="auto"/>
            <w:bottom w:val="none" w:sz="0" w:space="0" w:color="auto"/>
            <w:right w:val="none" w:sz="0" w:space="0" w:color="auto"/>
          </w:divBdr>
        </w:div>
        <w:div w:id="1671634452">
          <w:marLeft w:val="0"/>
          <w:marRight w:val="0"/>
          <w:marTop w:val="0"/>
          <w:marBottom w:val="0"/>
          <w:divBdr>
            <w:top w:val="none" w:sz="0" w:space="0" w:color="auto"/>
            <w:left w:val="none" w:sz="0" w:space="0" w:color="auto"/>
            <w:bottom w:val="none" w:sz="0" w:space="0" w:color="auto"/>
            <w:right w:val="none" w:sz="0" w:space="0" w:color="auto"/>
          </w:divBdr>
        </w:div>
        <w:div w:id="1726638394">
          <w:marLeft w:val="0"/>
          <w:marRight w:val="0"/>
          <w:marTop w:val="0"/>
          <w:marBottom w:val="0"/>
          <w:divBdr>
            <w:top w:val="none" w:sz="0" w:space="0" w:color="auto"/>
            <w:left w:val="none" w:sz="0" w:space="0" w:color="auto"/>
            <w:bottom w:val="none" w:sz="0" w:space="0" w:color="auto"/>
            <w:right w:val="none" w:sz="0" w:space="0" w:color="auto"/>
          </w:divBdr>
        </w:div>
        <w:div w:id="1825928143">
          <w:marLeft w:val="0"/>
          <w:marRight w:val="0"/>
          <w:marTop w:val="0"/>
          <w:marBottom w:val="0"/>
          <w:divBdr>
            <w:top w:val="none" w:sz="0" w:space="0" w:color="auto"/>
            <w:left w:val="none" w:sz="0" w:space="0" w:color="auto"/>
            <w:bottom w:val="none" w:sz="0" w:space="0" w:color="auto"/>
            <w:right w:val="none" w:sz="0" w:space="0" w:color="auto"/>
          </w:divBdr>
        </w:div>
        <w:div w:id="2075925784">
          <w:marLeft w:val="0"/>
          <w:marRight w:val="0"/>
          <w:marTop w:val="0"/>
          <w:marBottom w:val="0"/>
          <w:divBdr>
            <w:top w:val="none" w:sz="0" w:space="0" w:color="auto"/>
            <w:left w:val="none" w:sz="0" w:space="0" w:color="auto"/>
            <w:bottom w:val="none" w:sz="0" w:space="0" w:color="auto"/>
            <w:right w:val="none" w:sz="0" w:space="0" w:color="auto"/>
          </w:divBdr>
        </w:div>
        <w:div w:id="537204732">
          <w:marLeft w:val="0"/>
          <w:marRight w:val="0"/>
          <w:marTop w:val="0"/>
          <w:marBottom w:val="0"/>
          <w:divBdr>
            <w:top w:val="none" w:sz="0" w:space="0" w:color="auto"/>
            <w:left w:val="none" w:sz="0" w:space="0" w:color="auto"/>
            <w:bottom w:val="none" w:sz="0" w:space="0" w:color="auto"/>
            <w:right w:val="none" w:sz="0" w:space="0" w:color="auto"/>
          </w:divBdr>
        </w:div>
        <w:div w:id="1048916917">
          <w:marLeft w:val="0"/>
          <w:marRight w:val="0"/>
          <w:marTop w:val="0"/>
          <w:marBottom w:val="0"/>
          <w:divBdr>
            <w:top w:val="none" w:sz="0" w:space="0" w:color="auto"/>
            <w:left w:val="none" w:sz="0" w:space="0" w:color="auto"/>
            <w:bottom w:val="none" w:sz="0" w:space="0" w:color="auto"/>
            <w:right w:val="none" w:sz="0" w:space="0" w:color="auto"/>
          </w:divBdr>
        </w:div>
        <w:div w:id="765417860">
          <w:marLeft w:val="0"/>
          <w:marRight w:val="0"/>
          <w:marTop w:val="0"/>
          <w:marBottom w:val="0"/>
          <w:divBdr>
            <w:top w:val="none" w:sz="0" w:space="0" w:color="auto"/>
            <w:left w:val="none" w:sz="0" w:space="0" w:color="auto"/>
            <w:bottom w:val="none" w:sz="0" w:space="0" w:color="auto"/>
            <w:right w:val="none" w:sz="0" w:space="0" w:color="auto"/>
          </w:divBdr>
        </w:div>
        <w:div w:id="961573440">
          <w:marLeft w:val="0"/>
          <w:marRight w:val="0"/>
          <w:marTop w:val="0"/>
          <w:marBottom w:val="0"/>
          <w:divBdr>
            <w:top w:val="none" w:sz="0" w:space="0" w:color="auto"/>
            <w:left w:val="none" w:sz="0" w:space="0" w:color="auto"/>
            <w:bottom w:val="none" w:sz="0" w:space="0" w:color="auto"/>
            <w:right w:val="none" w:sz="0" w:space="0" w:color="auto"/>
          </w:divBdr>
        </w:div>
        <w:div w:id="785973425">
          <w:marLeft w:val="0"/>
          <w:marRight w:val="0"/>
          <w:marTop w:val="0"/>
          <w:marBottom w:val="0"/>
          <w:divBdr>
            <w:top w:val="none" w:sz="0" w:space="0" w:color="auto"/>
            <w:left w:val="none" w:sz="0" w:space="0" w:color="auto"/>
            <w:bottom w:val="none" w:sz="0" w:space="0" w:color="auto"/>
            <w:right w:val="none" w:sz="0" w:space="0" w:color="auto"/>
          </w:divBdr>
        </w:div>
        <w:div w:id="19866825">
          <w:marLeft w:val="0"/>
          <w:marRight w:val="0"/>
          <w:marTop w:val="0"/>
          <w:marBottom w:val="0"/>
          <w:divBdr>
            <w:top w:val="none" w:sz="0" w:space="0" w:color="auto"/>
            <w:left w:val="none" w:sz="0" w:space="0" w:color="auto"/>
            <w:bottom w:val="none" w:sz="0" w:space="0" w:color="auto"/>
            <w:right w:val="none" w:sz="0" w:space="0" w:color="auto"/>
          </w:divBdr>
        </w:div>
        <w:div w:id="856040439">
          <w:marLeft w:val="0"/>
          <w:marRight w:val="0"/>
          <w:marTop w:val="0"/>
          <w:marBottom w:val="0"/>
          <w:divBdr>
            <w:top w:val="none" w:sz="0" w:space="0" w:color="auto"/>
            <w:left w:val="none" w:sz="0" w:space="0" w:color="auto"/>
            <w:bottom w:val="none" w:sz="0" w:space="0" w:color="auto"/>
            <w:right w:val="none" w:sz="0" w:space="0" w:color="auto"/>
          </w:divBdr>
        </w:div>
        <w:div w:id="1280993727">
          <w:marLeft w:val="0"/>
          <w:marRight w:val="0"/>
          <w:marTop w:val="0"/>
          <w:marBottom w:val="0"/>
          <w:divBdr>
            <w:top w:val="none" w:sz="0" w:space="0" w:color="auto"/>
            <w:left w:val="none" w:sz="0" w:space="0" w:color="auto"/>
            <w:bottom w:val="none" w:sz="0" w:space="0" w:color="auto"/>
            <w:right w:val="none" w:sz="0" w:space="0" w:color="auto"/>
          </w:divBdr>
        </w:div>
        <w:div w:id="1954095618">
          <w:marLeft w:val="0"/>
          <w:marRight w:val="0"/>
          <w:marTop w:val="0"/>
          <w:marBottom w:val="0"/>
          <w:divBdr>
            <w:top w:val="none" w:sz="0" w:space="0" w:color="auto"/>
            <w:left w:val="none" w:sz="0" w:space="0" w:color="auto"/>
            <w:bottom w:val="none" w:sz="0" w:space="0" w:color="auto"/>
            <w:right w:val="none" w:sz="0" w:space="0" w:color="auto"/>
          </w:divBdr>
        </w:div>
      </w:divsChild>
    </w:div>
    <w:div w:id="75327490">
      <w:marLeft w:val="0"/>
      <w:marRight w:val="0"/>
      <w:marTop w:val="0"/>
      <w:marBottom w:val="100"/>
      <w:divBdr>
        <w:top w:val="none" w:sz="0" w:space="0" w:color="auto"/>
        <w:left w:val="none" w:sz="0" w:space="0" w:color="auto"/>
        <w:bottom w:val="none" w:sz="0" w:space="0" w:color="auto"/>
        <w:right w:val="none" w:sz="0" w:space="0" w:color="auto"/>
      </w:divBdr>
    </w:div>
    <w:div w:id="78989035">
      <w:marLeft w:val="0"/>
      <w:marRight w:val="0"/>
      <w:marTop w:val="0"/>
      <w:marBottom w:val="100"/>
      <w:divBdr>
        <w:top w:val="none" w:sz="0" w:space="0" w:color="auto"/>
        <w:left w:val="none" w:sz="0" w:space="0" w:color="auto"/>
        <w:bottom w:val="none" w:sz="0" w:space="0" w:color="auto"/>
        <w:right w:val="none" w:sz="0" w:space="0" w:color="auto"/>
      </w:divBdr>
    </w:div>
    <w:div w:id="79255619">
      <w:marLeft w:val="0"/>
      <w:marRight w:val="0"/>
      <w:marTop w:val="0"/>
      <w:marBottom w:val="0"/>
      <w:divBdr>
        <w:top w:val="none" w:sz="0" w:space="0" w:color="auto"/>
        <w:left w:val="none" w:sz="0" w:space="0" w:color="auto"/>
        <w:bottom w:val="none" w:sz="0" w:space="0" w:color="auto"/>
        <w:right w:val="none" w:sz="0" w:space="0" w:color="auto"/>
      </w:divBdr>
      <w:divsChild>
        <w:div w:id="2083137962">
          <w:marLeft w:val="0"/>
          <w:marRight w:val="0"/>
          <w:marTop w:val="0"/>
          <w:marBottom w:val="100"/>
          <w:divBdr>
            <w:top w:val="none" w:sz="0" w:space="0" w:color="auto"/>
            <w:left w:val="none" w:sz="0" w:space="0" w:color="auto"/>
            <w:bottom w:val="none" w:sz="0" w:space="0" w:color="auto"/>
            <w:right w:val="none" w:sz="0" w:space="0" w:color="auto"/>
          </w:divBdr>
        </w:div>
      </w:divsChild>
    </w:div>
    <w:div w:id="79985779">
      <w:marLeft w:val="0"/>
      <w:marRight w:val="0"/>
      <w:marTop w:val="0"/>
      <w:marBottom w:val="100"/>
      <w:divBdr>
        <w:top w:val="none" w:sz="0" w:space="0" w:color="auto"/>
        <w:left w:val="none" w:sz="0" w:space="0" w:color="auto"/>
        <w:bottom w:val="none" w:sz="0" w:space="0" w:color="auto"/>
        <w:right w:val="none" w:sz="0" w:space="0" w:color="auto"/>
      </w:divBdr>
    </w:div>
    <w:div w:id="80565311">
      <w:marLeft w:val="0"/>
      <w:marRight w:val="0"/>
      <w:marTop w:val="0"/>
      <w:marBottom w:val="100"/>
      <w:divBdr>
        <w:top w:val="none" w:sz="0" w:space="0" w:color="auto"/>
        <w:left w:val="none" w:sz="0" w:space="0" w:color="auto"/>
        <w:bottom w:val="none" w:sz="0" w:space="0" w:color="auto"/>
        <w:right w:val="none" w:sz="0" w:space="0" w:color="auto"/>
      </w:divBdr>
    </w:div>
    <w:div w:id="83695547">
      <w:marLeft w:val="0"/>
      <w:marRight w:val="0"/>
      <w:marTop w:val="0"/>
      <w:marBottom w:val="0"/>
      <w:divBdr>
        <w:top w:val="none" w:sz="0" w:space="0" w:color="auto"/>
        <w:left w:val="none" w:sz="0" w:space="0" w:color="auto"/>
        <w:bottom w:val="none" w:sz="0" w:space="0" w:color="auto"/>
        <w:right w:val="none" w:sz="0" w:space="0" w:color="auto"/>
      </w:divBdr>
    </w:div>
    <w:div w:id="84157178">
      <w:marLeft w:val="0"/>
      <w:marRight w:val="0"/>
      <w:marTop w:val="0"/>
      <w:marBottom w:val="100"/>
      <w:divBdr>
        <w:top w:val="none" w:sz="0" w:space="0" w:color="auto"/>
        <w:left w:val="none" w:sz="0" w:space="0" w:color="auto"/>
        <w:bottom w:val="none" w:sz="0" w:space="0" w:color="auto"/>
        <w:right w:val="none" w:sz="0" w:space="0" w:color="auto"/>
      </w:divBdr>
    </w:div>
    <w:div w:id="84541736">
      <w:marLeft w:val="0"/>
      <w:marRight w:val="0"/>
      <w:marTop w:val="0"/>
      <w:marBottom w:val="0"/>
      <w:divBdr>
        <w:top w:val="none" w:sz="0" w:space="0" w:color="auto"/>
        <w:left w:val="none" w:sz="0" w:space="0" w:color="auto"/>
        <w:bottom w:val="none" w:sz="0" w:space="0" w:color="auto"/>
        <w:right w:val="none" w:sz="0" w:space="0" w:color="auto"/>
      </w:divBdr>
      <w:divsChild>
        <w:div w:id="2005669149">
          <w:marLeft w:val="0"/>
          <w:marRight w:val="0"/>
          <w:marTop w:val="0"/>
          <w:marBottom w:val="100"/>
          <w:divBdr>
            <w:top w:val="none" w:sz="0" w:space="0" w:color="auto"/>
            <w:left w:val="none" w:sz="0" w:space="0" w:color="auto"/>
            <w:bottom w:val="none" w:sz="0" w:space="0" w:color="auto"/>
            <w:right w:val="none" w:sz="0" w:space="0" w:color="auto"/>
          </w:divBdr>
        </w:div>
      </w:divsChild>
    </w:div>
    <w:div w:id="85884746">
      <w:marLeft w:val="0"/>
      <w:marRight w:val="0"/>
      <w:marTop w:val="180"/>
      <w:marBottom w:val="0"/>
      <w:divBdr>
        <w:top w:val="none" w:sz="0" w:space="0" w:color="auto"/>
        <w:left w:val="none" w:sz="0" w:space="0" w:color="auto"/>
        <w:bottom w:val="none" w:sz="0" w:space="0" w:color="auto"/>
        <w:right w:val="none" w:sz="0" w:space="0" w:color="auto"/>
      </w:divBdr>
    </w:div>
    <w:div w:id="86853603">
      <w:marLeft w:val="0"/>
      <w:marRight w:val="0"/>
      <w:marTop w:val="180"/>
      <w:marBottom w:val="0"/>
      <w:divBdr>
        <w:top w:val="none" w:sz="0" w:space="0" w:color="auto"/>
        <w:left w:val="none" w:sz="0" w:space="0" w:color="auto"/>
        <w:bottom w:val="none" w:sz="0" w:space="0" w:color="auto"/>
        <w:right w:val="none" w:sz="0" w:space="0" w:color="auto"/>
      </w:divBdr>
      <w:divsChild>
        <w:div w:id="807284823">
          <w:marLeft w:val="0"/>
          <w:marRight w:val="0"/>
          <w:marTop w:val="0"/>
          <w:marBottom w:val="0"/>
          <w:divBdr>
            <w:top w:val="none" w:sz="0" w:space="0" w:color="auto"/>
            <w:left w:val="none" w:sz="0" w:space="0" w:color="auto"/>
            <w:bottom w:val="none" w:sz="0" w:space="0" w:color="auto"/>
            <w:right w:val="none" w:sz="0" w:space="0" w:color="auto"/>
          </w:divBdr>
        </w:div>
      </w:divsChild>
    </w:div>
    <w:div w:id="87039895">
      <w:marLeft w:val="0"/>
      <w:marRight w:val="0"/>
      <w:marTop w:val="0"/>
      <w:marBottom w:val="100"/>
      <w:divBdr>
        <w:top w:val="none" w:sz="0" w:space="0" w:color="auto"/>
        <w:left w:val="none" w:sz="0" w:space="0" w:color="auto"/>
        <w:bottom w:val="none" w:sz="0" w:space="0" w:color="auto"/>
        <w:right w:val="none" w:sz="0" w:space="0" w:color="auto"/>
      </w:divBdr>
    </w:div>
    <w:div w:id="87507943">
      <w:marLeft w:val="0"/>
      <w:marRight w:val="0"/>
      <w:marTop w:val="0"/>
      <w:marBottom w:val="0"/>
      <w:divBdr>
        <w:top w:val="none" w:sz="0" w:space="0" w:color="auto"/>
        <w:left w:val="none" w:sz="0" w:space="0" w:color="auto"/>
        <w:bottom w:val="none" w:sz="0" w:space="0" w:color="auto"/>
        <w:right w:val="none" w:sz="0" w:space="0" w:color="auto"/>
      </w:divBdr>
    </w:div>
    <w:div w:id="89859283">
      <w:marLeft w:val="0"/>
      <w:marRight w:val="0"/>
      <w:marTop w:val="180"/>
      <w:marBottom w:val="100"/>
      <w:divBdr>
        <w:top w:val="none" w:sz="0" w:space="0" w:color="auto"/>
        <w:left w:val="none" w:sz="0" w:space="0" w:color="auto"/>
        <w:bottom w:val="none" w:sz="0" w:space="0" w:color="auto"/>
        <w:right w:val="none" w:sz="0" w:space="0" w:color="auto"/>
      </w:divBdr>
    </w:div>
    <w:div w:id="91319098">
      <w:marLeft w:val="0"/>
      <w:marRight w:val="0"/>
      <w:marTop w:val="0"/>
      <w:marBottom w:val="100"/>
      <w:divBdr>
        <w:top w:val="none" w:sz="0" w:space="0" w:color="auto"/>
        <w:left w:val="none" w:sz="0" w:space="0" w:color="auto"/>
        <w:bottom w:val="none" w:sz="0" w:space="0" w:color="auto"/>
        <w:right w:val="none" w:sz="0" w:space="0" w:color="auto"/>
      </w:divBdr>
    </w:div>
    <w:div w:id="92361573">
      <w:marLeft w:val="0"/>
      <w:marRight w:val="0"/>
      <w:marTop w:val="0"/>
      <w:marBottom w:val="100"/>
      <w:divBdr>
        <w:top w:val="none" w:sz="0" w:space="0" w:color="auto"/>
        <w:left w:val="none" w:sz="0" w:space="0" w:color="auto"/>
        <w:bottom w:val="none" w:sz="0" w:space="0" w:color="auto"/>
        <w:right w:val="none" w:sz="0" w:space="0" w:color="auto"/>
      </w:divBdr>
    </w:div>
    <w:div w:id="93988858">
      <w:marLeft w:val="0"/>
      <w:marRight w:val="0"/>
      <w:marTop w:val="0"/>
      <w:marBottom w:val="0"/>
      <w:divBdr>
        <w:top w:val="none" w:sz="0" w:space="0" w:color="auto"/>
        <w:left w:val="none" w:sz="0" w:space="0" w:color="auto"/>
        <w:bottom w:val="none" w:sz="0" w:space="0" w:color="auto"/>
        <w:right w:val="none" w:sz="0" w:space="0" w:color="auto"/>
      </w:divBdr>
      <w:divsChild>
        <w:div w:id="1122185069">
          <w:marLeft w:val="0"/>
          <w:marRight w:val="0"/>
          <w:marTop w:val="0"/>
          <w:marBottom w:val="100"/>
          <w:divBdr>
            <w:top w:val="none" w:sz="0" w:space="0" w:color="auto"/>
            <w:left w:val="none" w:sz="0" w:space="0" w:color="auto"/>
            <w:bottom w:val="none" w:sz="0" w:space="0" w:color="auto"/>
            <w:right w:val="none" w:sz="0" w:space="0" w:color="auto"/>
          </w:divBdr>
        </w:div>
      </w:divsChild>
    </w:div>
    <w:div w:id="94985509">
      <w:marLeft w:val="0"/>
      <w:marRight w:val="0"/>
      <w:marTop w:val="100"/>
      <w:marBottom w:val="0"/>
      <w:divBdr>
        <w:top w:val="none" w:sz="0" w:space="0" w:color="auto"/>
        <w:left w:val="none" w:sz="0" w:space="0" w:color="auto"/>
        <w:bottom w:val="none" w:sz="0" w:space="0" w:color="auto"/>
        <w:right w:val="none" w:sz="0" w:space="0" w:color="auto"/>
      </w:divBdr>
    </w:div>
    <w:div w:id="96869833">
      <w:marLeft w:val="0"/>
      <w:marRight w:val="0"/>
      <w:marTop w:val="180"/>
      <w:marBottom w:val="180"/>
      <w:divBdr>
        <w:top w:val="none" w:sz="0" w:space="0" w:color="auto"/>
        <w:left w:val="none" w:sz="0" w:space="0" w:color="auto"/>
        <w:bottom w:val="none" w:sz="0" w:space="0" w:color="auto"/>
        <w:right w:val="none" w:sz="0" w:space="0" w:color="auto"/>
      </w:divBdr>
    </w:div>
    <w:div w:id="98186338">
      <w:marLeft w:val="0"/>
      <w:marRight w:val="0"/>
      <w:marTop w:val="0"/>
      <w:marBottom w:val="100"/>
      <w:divBdr>
        <w:top w:val="none" w:sz="0" w:space="0" w:color="auto"/>
        <w:left w:val="none" w:sz="0" w:space="0" w:color="auto"/>
        <w:bottom w:val="none" w:sz="0" w:space="0" w:color="auto"/>
        <w:right w:val="none" w:sz="0" w:space="0" w:color="auto"/>
      </w:divBdr>
    </w:div>
    <w:div w:id="99884236">
      <w:marLeft w:val="0"/>
      <w:marRight w:val="0"/>
      <w:marTop w:val="0"/>
      <w:marBottom w:val="100"/>
      <w:divBdr>
        <w:top w:val="none" w:sz="0" w:space="0" w:color="auto"/>
        <w:left w:val="none" w:sz="0" w:space="0" w:color="auto"/>
        <w:bottom w:val="none" w:sz="0" w:space="0" w:color="auto"/>
        <w:right w:val="none" w:sz="0" w:space="0" w:color="auto"/>
      </w:divBdr>
    </w:div>
    <w:div w:id="100301716">
      <w:marLeft w:val="0"/>
      <w:marRight w:val="0"/>
      <w:marTop w:val="0"/>
      <w:marBottom w:val="100"/>
      <w:divBdr>
        <w:top w:val="none" w:sz="0" w:space="0" w:color="auto"/>
        <w:left w:val="none" w:sz="0" w:space="0" w:color="auto"/>
        <w:bottom w:val="none" w:sz="0" w:space="0" w:color="auto"/>
        <w:right w:val="none" w:sz="0" w:space="0" w:color="auto"/>
      </w:divBdr>
      <w:divsChild>
        <w:div w:id="1212229488">
          <w:marLeft w:val="0"/>
          <w:marRight w:val="0"/>
          <w:marTop w:val="0"/>
          <w:marBottom w:val="0"/>
          <w:divBdr>
            <w:top w:val="none" w:sz="0" w:space="0" w:color="auto"/>
            <w:left w:val="none" w:sz="0" w:space="0" w:color="auto"/>
            <w:bottom w:val="none" w:sz="0" w:space="0" w:color="auto"/>
            <w:right w:val="none" w:sz="0" w:space="0" w:color="auto"/>
          </w:divBdr>
        </w:div>
        <w:div w:id="198779954">
          <w:marLeft w:val="0"/>
          <w:marRight w:val="0"/>
          <w:marTop w:val="0"/>
          <w:marBottom w:val="0"/>
          <w:divBdr>
            <w:top w:val="none" w:sz="0" w:space="0" w:color="auto"/>
            <w:left w:val="none" w:sz="0" w:space="0" w:color="auto"/>
            <w:bottom w:val="none" w:sz="0" w:space="0" w:color="auto"/>
            <w:right w:val="none" w:sz="0" w:space="0" w:color="auto"/>
          </w:divBdr>
        </w:div>
        <w:div w:id="346951315">
          <w:marLeft w:val="0"/>
          <w:marRight w:val="0"/>
          <w:marTop w:val="0"/>
          <w:marBottom w:val="0"/>
          <w:divBdr>
            <w:top w:val="none" w:sz="0" w:space="0" w:color="auto"/>
            <w:left w:val="none" w:sz="0" w:space="0" w:color="auto"/>
            <w:bottom w:val="none" w:sz="0" w:space="0" w:color="auto"/>
            <w:right w:val="none" w:sz="0" w:space="0" w:color="auto"/>
          </w:divBdr>
        </w:div>
        <w:div w:id="828447043">
          <w:marLeft w:val="0"/>
          <w:marRight w:val="0"/>
          <w:marTop w:val="0"/>
          <w:marBottom w:val="0"/>
          <w:divBdr>
            <w:top w:val="none" w:sz="0" w:space="0" w:color="auto"/>
            <w:left w:val="none" w:sz="0" w:space="0" w:color="auto"/>
            <w:bottom w:val="none" w:sz="0" w:space="0" w:color="auto"/>
            <w:right w:val="none" w:sz="0" w:space="0" w:color="auto"/>
          </w:divBdr>
        </w:div>
        <w:div w:id="877932165">
          <w:marLeft w:val="0"/>
          <w:marRight w:val="0"/>
          <w:marTop w:val="0"/>
          <w:marBottom w:val="0"/>
          <w:divBdr>
            <w:top w:val="none" w:sz="0" w:space="0" w:color="auto"/>
            <w:left w:val="none" w:sz="0" w:space="0" w:color="auto"/>
            <w:bottom w:val="none" w:sz="0" w:space="0" w:color="auto"/>
            <w:right w:val="none" w:sz="0" w:space="0" w:color="auto"/>
          </w:divBdr>
        </w:div>
        <w:div w:id="1214272250">
          <w:marLeft w:val="0"/>
          <w:marRight w:val="0"/>
          <w:marTop w:val="0"/>
          <w:marBottom w:val="0"/>
          <w:divBdr>
            <w:top w:val="none" w:sz="0" w:space="0" w:color="auto"/>
            <w:left w:val="none" w:sz="0" w:space="0" w:color="auto"/>
            <w:bottom w:val="none" w:sz="0" w:space="0" w:color="auto"/>
            <w:right w:val="none" w:sz="0" w:space="0" w:color="auto"/>
          </w:divBdr>
        </w:div>
        <w:div w:id="1664049264">
          <w:marLeft w:val="0"/>
          <w:marRight w:val="0"/>
          <w:marTop w:val="0"/>
          <w:marBottom w:val="0"/>
          <w:divBdr>
            <w:top w:val="none" w:sz="0" w:space="0" w:color="auto"/>
            <w:left w:val="none" w:sz="0" w:space="0" w:color="auto"/>
            <w:bottom w:val="none" w:sz="0" w:space="0" w:color="auto"/>
            <w:right w:val="none" w:sz="0" w:space="0" w:color="auto"/>
          </w:divBdr>
        </w:div>
        <w:div w:id="1150057907">
          <w:marLeft w:val="0"/>
          <w:marRight w:val="0"/>
          <w:marTop w:val="0"/>
          <w:marBottom w:val="0"/>
          <w:divBdr>
            <w:top w:val="none" w:sz="0" w:space="0" w:color="auto"/>
            <w:left w:val="none" w:sz="0" w:space="0" w:color="auto"/>
            <w:bottom w:val="none" w:sz="0" w:space="0" w:color="auto"/>
            <w:right w:val="none" w:sz="0" w:space="0" w:color="auto"/>
          </w:divBdr>
        </w:div>
        <w:div w:id="1622951507">
          <w:marLeft w:val="0"/>
          <w:marRight w:val="0"/>
          <w:marTop w:val="0"/>
          <w:marBottom w:val="0"/>
          <w:divBdr>
            <w:top w:val="none" w:sz="0" w:space="0" w:color="auto"/>
            <w:left w:val="none" w:sz="0" w:space="0" w:color="auto"/>
            <w:bottom w:val="none" w:sz="0" w:space="0" w:color="auto"/>
            <w:right w:val="none" w:sz="0" w:space="0" w:color="auto"/>
          </w:divBdr>
        </w:div>
        <w:div w:id="1749620217">
          <w:marLeft w:val="0"/>
          <w:marRight w:val="0"/>
          <w:marTop w:val="0"/>
          <w:marBottom w:val="0"/>
          <w:divBdr>
            <w:top w:val="none" w:sz="0" w:space="0" w:color="auto"/>
            <w:left w:val="none" w:sz="0" w:space="0" w:color="auto"/>
            <w:bottom w:val="none" w:sz="0" w:space="0" w:color="auto"/>
            <w:right w:val="none" w:sz="0" w:space="0" w:color="auto"/>
          </w:divBdr>
        </w:div>
        <w:div w:id="233051683">
          <w:marLeft w:val="0"/>
          <w:marRight w:val="0"/>
          <w:marTop w:val="0"/>
          <w:marBottom w:val="0"/>
          <w:divBdr>
            <w:top w:val="none" w:sz="0" w:space="0" w:color="auto"/>
            <w:left w:val="none" w:sz="0" w:space="0" w:color="auto"/>
            <w:bottom w:val="none" w:sz="0" w:space="0" w:color="auto"/>
            <w:right w:val="none" w:sz="0" w:space="0" w:color="auto"/>
          </w:divBdr>
        </w:div>
        <w:div w:id="1111511767">
          <w:marLeft w:val="0"/>
          <w:marRight w:val="0"/>
          <w:marTop w:val="0"/>
          <w:marBottom w:val="0"/>
          <w:divBdr>
            <w:top w:val="none" w:sz="0" w:space="0" w:color="auto"/>
            <w:left w:val="none" w:sz="0" w:space="0" w:color="auto"/>
            <w:bottom w:val="none" w:sz="0" w:space="0" w:color="auto"/>
            <w:right w:val="none" w:sz="0" w:space="0" w:color="auto"/>
          </w:divBdr>
        </w:div>
        <w:div w:id="673268492">
          <w:marLeft w:val="0"/>
          <w:marRight w:val="0"/>
          <w:marTop w:val="0"/>
          <w:marBottom w:val="0"/>
          <w:divBdr>
            <w:top w:val="none" w:sz="0" w:space="0" w:color="auto"/>
            <w:left w:val="none" w:sz="0" w:space="0" w:color="auto"/>
            <w:bottom w:val="none" w:sz="0" w:space="0" w:color="auto"/>
            <w:right w:val="none" w:sz="0" w:space="0" w:color="auto"/>
          </w:divBdr>
        </w:div>
        <w:div w:id="787745129">
          <w:marLeft w:val="0"/>
          <w:marRight w:val="0"/>
          <w:marTop w:val="0"/>
          <w:marBottom w:val="0"/>
          <w:divBdr>
            <w:top w:val="none" w:sz="0" w:space="0" w:color="auto"/>
            <w:left w:val="none" w:sz="0" w:space="0" w:color="auto"/>
            <w:bottom w:val="none" w:sz="0" w:space="0" w:color="auto"/>
            <w:right w:val="none" w:sz="0" w:space="0" w:color="auto"/>
          </w:divBdr>
        </w:div>
        <w:div w:id="289242346">
          <w:marLeft w:val="0"/>
          <w:marRight w:val="0"/>
          <w:marTop w:val="0"/>
          <w:marBottom w:val="0"/>
          <w:divBdr>
            <w:top w:val="none" w:sz="0" w:space="0" w:color="auto"/>
            <w:left w:val="none" w:sz="0" w:space="0" w:color="auto"/>
            <w:bottom w:val="none" w:sz="0" w:space="0" w:color="auto"/>
            <w:right w:val="none" w:sz="0" w:space="0" w:color="auto"/>
          </w:divBdr>
        </w:div>
        <w:div w:id="1039088371">
          <w:marLeft w:val="0"/>
          <w:marRight w:val="0"/>
          <w:marTop w:val="0"/>
          <w:marBottom w:val="0"/>
          <w:divBdr>
            <w:top w:val="none" w:sz="0" w:space="0" w:color="auto"/>
            <w:left w:val="none" w:sz="0" w:space="0" w:color="auto"/>
            <w:bottom w:val="none" w:sz="0" w:space="0" w:color="auto"/>
            <w:right w:val="none" w:sz="0" w:space="0" w:color="auto"/>
          </w:divBdr>
        </w:div>
      </w:divsChild>
    </w:div>
    <w:div w:id="107699978">
      <w:marLeft w:val="0"/>
      <w:marRight w:val="0"/>
      <w:marTop w:val="0"/>
      <w:marBottom w:val="0"/>
      <w:divBdr>
        <w:top w:val="none" w:sz="0" w:space="0" w:color="auto"/>
        <w:left w:val="none" w:sz="0" w:space="0" w:color="auto"/>
        <w:bottom w:val="none" w:sz="0" w:space="0" w:color="auto"/>
        <w:right w:val="none" w:sz="0" w:space="0" w:color="auto"/>
      </w:divBdr>
    </w:div>
    <w:div w:id="107940733">
      <w:marLeft w:val="0"/>
      <w:marRight w:val="0"/>
      <w:marTop w:val="0"/>
      <w:marBottom w:val="100"/>
      <w:divBdr>
        <w:top w:val="none" w:sz="0" w:space="0" w:color="auto"/>
        <w:left w:val="none" w:sz="0" w:space="0" w:color="auto"/>
        <w:bottom w:val="none" w:sz="0" w:space="0" w:color="auto"/>
        <w:right w:val="none" w:sz="0" w:space="0" w:color="auto"/>
      </w:divBdr>
    </w:div>
    <w:div w:id="111411721">
      <w:marLeft w:val="0"/>
      <w:marRight w:val="0"/>
      <w:marTop w:val="180"/>
      <w:marBottom w:val="0"/>
      <w:divBdr>
        <w:top w:val="none" w:sz="0" w:space="0" w:color="auto"/>
        <w:left w:val="none" w:sz="0" w:space="0" w:color="auto"/>
        <w:bottom w:val="none" w:sz="0" w:space="0" w:color="auto"/>
        <w:right w:val="none" w:sz="0" w:space="0" w:color="auto"/>
      </w:divBdr>
    </w:div>
    <w:div w:id="112140186">
      <w:marLeft w:val="0"/>
      <w:marRight w:val="0"/>
      <w:marTop w:val="0"/>
      <w:marBottom w:val="0"/>
      <w:divBdr>
        <w:top w:val="none" w:sz="0" w:space="0" w:color="auto"/>
        <w:left w:val="none" w:sz="0" w:space="0" w:color="auto"/>
        <w:bottom w:val="none" w:sz="0" w:space="0" w:color="auto"/>
        <w:right w:val="none" w:sz="0" w:space="0" w:color="auto"/>
      </w:divBdr>
      <w:divsChild>
        <w:div w:id="1614900909">
          <w:marLeft w:val="0"/>
          <w:marRight w:val="0"/>
          <w:marTop w:val="0"/>
          <w:marBottom w:val="0"/>
          <w:divBdr>
            <w:top w:val="none" w:sz="0" w:space="0" w:color="auto"/>
            <w:left w:val="none" w:sz="0" w:space="0" w:color="auto"/>
            <w:bottom w:val="none" w:sz="0" w:space="0" w:color="auto"/>
            <w:right w:val="none" w:sz="0" w:space="0" w:color="auto"/>
          </w:divBdr>
          <w:divsChild>
            <w:div w:id="142167936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13599440">
      <w:marLeft w:val="0"/>
      <w:marRight w:val="0"/>
      <w:marTop w:val="0"/>
      <w:marBottom w:val="0"/>
      <w:divBdr>
        <w:top w:val="none" w:sz="0" w:space="0" w:color="auto"/>
        <w:left w:val="none" w:sz="0" w:space="0" w:color="auto"/>
        <w:bottom w:val="none" w:sz="0" w:space="0" w:color="auto"/>
        <w:right w:val="none" w:sz="0" w:space="0" w:color="auto"/>
      </w:divBdr>
    </w:div>
    <w:div w:id="114445774">
      <w:marLeft w:val="0"/>
      <w:marRight w:val="0"/>
      <w:marTop w:val="0"/>
      <w:marBottom w:val="0"/>
      <w:divBdr>
        <w:top w:val="none" w:sz="0" w:space="0" w:color="auto"/>
        <w:left w:val="none" w:sz="0" w:space="0" w:color="auto"/>
        <w:bottom w:val="none" w:sz="0" w:space="0" w:color="auto"/>
        <w:right w:val="none" w:sz="0" w:space="0" w:color="auto"/>
      </w:divBdr>
      <w:divsChild>
        <w:div w:id="276110938">
          <w:marLeft w:val="0"/>
          <w:marRight w:val="0"/>
          <w:marTop w:val="0"/>
          <w:marBottom w:val="0"/>
          <w:divBdr>
            <w:top w:val="none" w:sz="0" w:space="0" w:color="auto"/>
            <w:left w:val="none" w:sz="0" w:space="0" w:color="auto"/>
            <w:bottom w:val="none" w:sz="0" w:space="0" w:color="auto"/>
            <w:right w:val="none" w:sz="0" w:space="0" w:color="auto"/>
          </w:divBdr>
          <w:divsChild>
            <w:div w:id="78500740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14954480">
      <w:marLeft w:val="0"/>
      <w:marRight w:val="0"/>
      <w:marTop w:val="0"/>
      <w:marBottom w:val="100"/>
      <w:divBdr>
        <w:top w:val="none" w:sz="0" w:space="0" w:color="auto"/>
        <w:left w:val="none" w:sz="0" w:space="0" w:color="auto"/>
        <w:bottom w:val="none" w:sz="0" w:space="0" w:color="auto"/>
        <w:right w:val="none" w:sz="0" w:space="0" w:color="auto"/>
      </w:divBdr>
    </w:div>
    <w:div w:id="117067714">
      <w:marLeft w:val="0"/>
      <w:marRight w:val="0"/>
      <w:marTop w:val="0"/>
      <w:marBottom w:val="100"/>
      <w:divBdr>
        <w:top w:val="none" w:sz="0" w:space="0" w:color="auto"/>
        <w:left w:val="none" w:sz="0" w:space="0" w:color="auto"/>
        <w:bottom w:val="none" w:sz="0" w:space="0" w:color="auto"/>
        <w:right w:val="none" w:sz="0" w:space="0" w:color="auto"/>
      </w:divBdr>
    </w:div>
    <w:div w:id="117453729">
      <w:marLeft w:val="0"/>
      <w:marRight w:val="0"/>
      <w:marTop w:val="0"/>
      <w:marBottom w:val="0"/>
      <w:divBdr>
        <w:top w:val="none" w:sz="0" w:space="0" w:color="auto"/>
        <w:left w:val="none" w:sz="0" w:space="0" w:color="auto"/>
        <w:bottom w:val="none" w:sz="0" w:space="0" w:color="auto"/>
        <w:right w:val="none" w:sz="0" w:space="0" w:color="auto"/>
      </w:divBdr>
      <w:divsChild>
        <w:div w:id="1730375821">
          <w:marLeft w:val="0"/>
          <w:marRight w:val="0"/>
          <w:marTop w:val="0"/>
          <w:marBottom w:val="100"/>
          <w:divBdr>
            <w:top w:val="none" w:sz="0" w:space="0" w:color="auto"/>
            <w:left w:val="none" w:sz="0" w:space="0" w:color="auto"/>
            <w:bottom w:val="none" w:sz="0" w:space="0" w:color="auto"/>
            <w:right w:val="none" w:sz="0" w:space="0" w:color="auto"/>
          </w:divBdr>
        </w:div>
      </w:divsChild>
    </w:div>
    <w:div w:id="117842646">
      <w:marLeft w:val="0"/>
      <w:marRight w:val="0"/>
      <w:marTop w:val="180"/>
      <w:marBottom w:val="100"/>
      <w:divBdr>
        <w:top w:val="none" w:sz="0" w:space="0" w:color="auto"/>
        <w:left w:val="none" w:sz="0" w:space="0" w:color="auto"/>
        <w:bottom w:val="none" w:sz="0" w:space="0" w:color="auto"/>
        <w:right w:val="none" w:sz="0" w:space="0" w:color="auto"/>
      </w:divBdr>
    </w:div>
    <w:div w:id="120848759">
      <w:marLeft w:val="0"/>
      <w:marRight w:val="0"/>
      <w:marTop w:val="180"/>
      <w:marBottom w:val="100"/>
      <w:divBdr>
        <w:top w:val="none" w:sz="0" w:space="0" w:color="auto"/>
        <w:left w:val="none" w:sz="0" w:space="0" w:color="auto"/>
        <w:bottom w:val="none" w:sz="0" w:space="0" w:color="auto"/>
        <w:right w:val="none" w:sz="0" w:space="0" w:color="auto"/>
      </w:divBdr>
    </w:div>
    <w:div w:id="121004126">
      <w:marLeft w:val="0"/>
      <w:marRight w:val="0"/>
      <w:marTop w:val="0"/>
      <w:marBottom w:val="0"/>
      <w:divBdr>
        <w:top w:val="none" w:sz="0" w:space="0" w:color="auto"/>
        <w:left w:val="none" w:sz="0" w:space="0" w:color="auto"/>
        <w:bottom w:val="none" w:sz="0" w:space="0" w:color="auto"/>
        <w:right w:val="none" w:sz="0" w:space="0" w:color="auto"/>
      </w:divBdr>
      <w:divsChild>
        <w:div w:id="147597495">
          <w:marLeft w:val="0"/>
          <w:marRight w:val="0"/>
          <w:marTop w:val="0"/>
          <w:marBottom w:val="100"/>
          <w:divBdr>
            <w:top w:val="none" w:sz="0" w:space="0" w:color="auto"/>
            <w:left w:val="none" w:sz="0" w:space="0" w:color="auto"/>
            <w:bottom w:val="none" w:sz="0" w:space="0" w:color="auto"/>
            <w:right w:val="none" w:sz="0" w:space="0" w:color="auto"/>
          </w:divBdr>
        </w:div>
      </w:divsChild>
    </w:div>
    <w:div w:id="121774762">
      <w:marLeft w:val="0"/>
      <w:marRight w:val="0"/>
      <w:marTop w:val="0"/>
      <w:marBottom w:val="100"/>
      <w:divBdr>
        <w:top w:val="none" w:sz="0" w:space="0" w:color="auto"/>
        <w:left w:val="none" w:sz="0" w:space="0" w:color="auto"/>
        <w:bottom w:val="none" w:sz="0" w:space="0" w:color="auto"/>
        <w:right w:val="none" w:sz="0" w:space="0" w:color="auto"/>
      </w:divBdr>
    </w:div>
    <w:div w:id="125465146">
      <w:marLeft w:val="0"/>
      <w:marRight w:val="0"/>
      <w:marTop w:val="180"/>
      <w:marBottom w:val="0"/>
      <w:divBdr>
        <w:top w:val="none" w:sz="0" w:space="0" w:color="auto"/>
        <w:left w:val="none" w:sz="0" w:space="0" w:color="auto"/>
        <w:bottom w:val="none" w:sz="0" w:space="0" w:color="auto"/>
        <w:right w:val="none" w:sz="0" w:space="0" w:color="auto"/>
      </w:divBdr>
    </w:div>
    <w:div w:id="125465201">
      <w:marLeft w:val="0"/>
      <w:marRight w:val="0"/>
      <w:marTop w:val="100"/>
      <w:marBottom w:val="100"/>
      <w:divBdr>
        <w:top w:val="none" w:sz="0" w:space="0" w:color="auto"/>
        <w:left w:val="none" w:sz="0" w:space="0" w:color="auto"/>
        <w:bottom w:val="none" w:sz="0" w:space="0" w:color="auto"/>
        <w:right w:val="none" w:sz="0" w:space="0" w:color="auto"/>
      </w:divBdr>
    </w:div>
    <w:div w:id="125783545">
      <w:marLeft w:val="0"/>
      <w:marRight w:val="0"/>
      <w:marTop w:val="0"/>
      <w:marBottom w:val="0"/>
      <w:divBdr>
        <w:top w:val="none" w:sz="0" w:space="0" w:color="auto"/>
        <w:left w:val="none" w:sz="0" w:space="0" w:color="auto"/>
        <w:bottom w:val="none" w:sz="0" w:space="0" w:color="auto"/>
        <w:right w:val="none" w:sz="0" w:space="0" w:color="auto"/>
      </w:divBdr>
      <w:divsChild>
        <w:div w:id="1949922442">
          <w:marLeft w:val="0"/>
          <w:marRight w:val="0"/>
          <w:marTop w:val="0"/>
          <w:marBottom w:val="0"/>
          <w:divBdr>
            <w:top w:val="none" w:sz="0" w:space="0" w:color="auto"/>
            <w:left w:val="none" w:sz="0" w:space="0" w:color="auto"/>
            <w:bottom w:val="none" w:sz="0" w:space="0" w:color="auto"/>
            <w:right w:val="none" w:sz="0" w:space="0" w:color="auto"/>
          </w:divBdr>
          <w:divsChild>
            <w:div w:id="135830868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27821695">
      <w:marLeft w:val="0"/>
      <w:marRight w:val="0"/>
      <w:marTop w:val="0"/>
      <w:marBottom w:val="100"/>
      <w:divBdr>
        <w:top w:val="none" w:sz="0" w:space="0" w:color="auto"/>
        <w:left w:val="none" w:sz="0" w:space="0" w:color="auto"/>
        <w:bottom w:val="none" w:sz="0" w:space="0" w:color="auto"/>
        <w:right w:val="none" w:sz="0" w:space="0" w:color="auto"/>
      </w:divBdr>
    </w:div>
    <w:div w:id="128911175">
      <w:marLeft w:val="0"/>
      <w:marRight w:val="0"/>
      <w:marTop w:val="0"/>
      <w:marBottom w:val="0"/>
      <w:divBdr>
        <w:top w:val="none" w:sz="0" w:space="0" w:color="auto"/>
        <w:left w:val="none" w:sz="0" w:space="0" w:color="auto"/>
        <w:bottom w:val="none" w:sz="0" w:space="0" w:color="auto"/>
        <w:right w:val="none" w:sz="0" w:space="0" w:color="auto"/>
      </w:divBdr>
      <w:divsChild>
        <w:div w:id="1183058992">
          <w:marLeft w:val="0"/>
          <w:marRight w:val="0"/>
          <w:marTop w:val="0"/>
          <w:marBottom w:val="0"/>
          <w:divBdr>
            <w:top w:val="none" w:sz="0" w:space="0" w:color="auto"/>
            <w:left w:val="none" w:sz="0" w:space="0" w:color="auto"/>
            <w:bottom w:val="none" w:sz="0" w:space="0" w:color="auto"/>
            <w:right w:val="none" w:sz="0" w:space="0" w:color="auto"/>
          </w:divBdr>
          <w:divsChild>
            <w:div w:id="58943488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31950759">
      <w:marLeft w:val="0"/>
      <w:marRight w:val="0"/>
      <w:marTop w:val="0"/>
      <w:marBottom w:val="100"/>
      <w:divBdr>
        <w:top w:val="none" w:sz="0" w:space="0" w:color="auto"/>
        <w:left w:val="none" w:sz="0" w:space="0" w:color="auto"/>
        <w:bottom w:val="none" w:sz="0" w:space="0" w:color="auto"/>
        <w:right w:val="none" w:sz="0" w:space="0" w:color="auto"/>
      </w:divBdr>
    </w:div>
    <w:div w:id="135029252">
      <w:marLeft w:val="0"/>
      <w:marRight w:val="0"/>
      <w:marTop w:val="0"/>
      <w:marBottom w:val="0"/>
      <w:divBdr>
        <w:top w:val="none" w:sz="0" w:space="0" w:color="auto"/>
        <w:left w:val="none" w:sz="0" w:space="0" w:color="auto"/>
        <w:bottom w:val="none" w:sz="0" w:space="0" w:color="auto"/>
        <w:right w:val="none" w:sz="0" w:space="0" w:color="auto"/>
      </w:divBdr>
    </w:div>
    <w:div w:id="136074543">
      <w:marLeft w:val="0"/>
      <w:marRight w:val="0"/>
      <w:marTop w:val="0"/>
      <w:marBottom w:val="0"/>
      <w:divBdr>
        <w:top w:val="none" w:sz="0" w:space="0" w:color="auto"/>
        <w:left w:val="none" w:sz="0" w:space="0" w:color="auto"/>
        <w:bottom w:val="none" w:sz="0" w:space="0" w:color="auto"/>
        <w:right w:val="none" w:sz="0" w:space="0" w:color="auto"/>
      </w:divBdr>
      <w:divsChild>
        <w:div w:id="554123849">
          <w:marLeft w:val="0"/>
          <w:marRight w:val="0"/>
          <w:marTop w:val="0"/>
          <w:marBottom w:val="100"/>
          <w:divBdr>
            <w:top w:val="none" w:sz="0" w:space="0" w:color="auto"/>
            <w:left w:val="none" w:sz="0" w:space="0" w:color="auto"/>
            <w:bottom w:val="none" w:sz="0" w:space="0" w:color="auto"/>
            <w:right w:val="none" w:sz="0" w:space="0" w:color="auto"/>
          </w:divBdr>
        </w:div>
      </w:divsChild>
    </w:div>
    <w:div w:id="136848984">
      <w:marLeft w:val="0"/>
      <w:marRight w:val="0"/>
      <w:marTop w:val="0"/>
      <w:marBottom w:val="100"/>
      <w:divBdr>
        <w:top w:val="none" w:sz="0" w:space="0" w:color="auto"/>
        <w:left w:val="none" w:sz="0" w:space="0" w:color="auto"/>
        <w:bottom w:val="none" w:sz="0" w:space="0" w:color="auto"/>
        <w:right w:val="none" w:sz="0" w:space="0" w:color="auto"/>
      </w:divBdr>
    </w:div>
    <w:div w:id="137503147">
      <w:marLeft w:val="0"/>
      <w:marRight w:val="0"/>
      <w:marTop w:val="180"/>
      <w:marBottom w:val="0"/>
      <w:divBdr>
        <w:top w:val="none" w:sz="0" w:space="0" w:color="auto"/>
        <w:left w:val="none" w:sz="0" w:space="0" w:color="auto"/>
        <w:bottom w:val="none" w:sz="0" w:space="0" w:color="auto"/>
        <w:right w:val="none" w:sz="0" w:space="0" w:color="auto"/>
      </w:divBdr>
    </w:div>
    <w:div w:id="137963785">
      <w:marLeft w:val="0"/>
      <w:marRight w:val="0"/>
      <w:marTop w:val="180"/>
      <w:marBottom w:val="0"/>
      <w:divBdr>
        <w:top w:val="none" w:sz="0" w:space="0" w:color="auto"/>
        <w:left w:val="none" w:sz="0" w:space="0" w:color="auto"/>
        <w:bottom w:val="none" w:sz="0" w:space="0" w:color="auto"/>
        <w:right w:val="none" w:sz="0" w:space="0" w:color="auto"/>
      </w:divBdr>
    </w:div>
    <w:div w:id="138771297">
      <w:marLeft w:val="0"/>
      <w:marRight w:val="0"/>
      <w:marTop w:val="0"/>
      <w:marBottom w:val="0"/>
      <w:divBdr>
        <w:top w:val="none" w:sz="0" w:space="0" w:color="auto"/>
        <w:left w:val="none" w:sz="0" w:space="0" w:color="auto"/>
        <w:bottom w:val="none" w:sz="0" w:space="0" w:color="auto"/>
        <w:right w:val="none" w:sz="0" w:space="0" w:color="auto"/>
      </w:divBdr>
      <w:divsChild>
        <w:div w:id="1593974913">
          <w:marLeft w:val="0"/>
          <w:marRight w:val="0"/>
          <w:marTop w:val="0"/>
          <w:marBottom w:val="0"/>
          <w:divBdr>
            <w:top w:val="none" w:sz="0" w:space="0" w:color="auto"/>
            <w:left w:val="none" w:sz="0" w:space="0" w:color="auto"/>
            <w:bottom w:val="none" w:sz="0" w:space="0" w:color="auto"/>
            <w:right w:val="none" w:sz="0" w:space="0" w:color="auto"/>
          </w:divBdr>
          <w:divsChild>
            <w:div w:id="27082430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38815257">
      <w:marLeft w:val="0"/>
      <w:marRight w:val="0"/>
      <w:marTop w:val="0"/>
      <w:marBottom w:val="100"/>
      <w:divBdr>
        <w:top w:val="none" w:sz="0" w:space="0" w:color="auto"/>
        <w:left w:val="none" w:sz="0" w:space="0" w:color="auto"/>
        <w:bottom w:val="none" w:sz="0" w:space="0" w:color="auto"/>
        <w:right w:val="none" w:sz="0" w:space="0" w:color="auto"/>
      </w:divBdr>
    </w:div>
    <w:div w:id="139268549">
      <w:marLeft w:val="0"/>
      <w:marRight w:val="0"/>
      <w:marTop w:val="0"/>
      <w:marBottom w:val="0"/>
      <w:divBdr>
        <w:top w:val="none" w:sz="0" w:space="0" w:color="auto"/>
        <w:left w:val="none" w:sz="0" w:space="0" w:color="auto"/>
        <w:bottom w:val="none" w:sz="0" w:space="0" w:color="auto"/>
        <w:right w:val="none" w:sz="0" w:space="0" w:color="auto"/>
      </w:divBdr>
    </w:div>
    <w:div w:id="141042963">
      <w:marLeft w:val="0"/>
      <w:marRight w:val="0"/>
      <w:marTop w:val="0"/>
      <w:marBottom w:val="0"/>
      <w:divBdr>
        <w:top w:val="none" w:sz="0" w:space="0" w:color="auto"/>
        <w:left w:val="none" w:sz="0" w:space="0" w:color="auto"/>
        <w:bottom w:val="none" w:sz="0" w:space="0" w:color="auto"/>
        <w:right w:val="none" w:sz="0" w:space="0" w:color="auto"/>
      </w:divBdr>
    </w:div>
    <w:div w:id="143666091">
      <w:marLeft w:val="0"/>
      <w:marRight w:val="0"/>
      <w:marTop w:val="0"/>
      <w:marBottom w:val="100"/>
      <w:divBdr>
        <w:top w:val="none" w:sz="0" w:space="0" w:color="auto"/>
        <w:left w:val="none" w:sz="0" w:space="0" w:color="auto"/>
        <w:bottom w:val="none" w:sz="0" w:space="0" w:color="auto"/>
        <w:right w:val="none" w:sz="0" w:space="0" w:color="auto"/>
      </w:divBdr>
    </w:div>
    <w:div w:id="145317717">
      <w:marLeft w:val="0"/>
      <w:marRight w:val="0"/>
      <w:marTop w:val="0"/>
      <w:marBottom w:val="0"/>
      <w:divBdr>
        <w:top w:val="none" w:sz="0" w:space="0" w:color="auto"/>
        <w:left w:val="none" w:sz="0" w:space="0" w:color="auto"/>
        <w:bottom w:val="none" w:sz="0" w:space="0" w:color="auto"/>
        <w:right w:val="none" w:sz="0" w:space="0" w:color="auto"/>
      </w:divBdr>
    </w:div>
    <w:div w:id="145512831">
      <w:marLeft w:val="0"/>
      <w:marRight w:val="0"/>
      <w:marTop w:val="0"/>
      <w:marBottom w:val="100"/>
      <w:divBdr>
        <w:top w:val="none" w:sz="0" w:space="0" w:color="auto"/>
        <w:left w:val="none" w:sz="0" w:space="0" w:color="auto"/>
        <w:bottom w:val="none" w:sz="0" w:space="0" w:color="auto"/>
        <w:right w:val="none" w:sz="0" w:space="0" w:color="auto"/>
      </w:divBdr>
    </w:div>
    <w:div w:id="145558569">
      <w:marLeft w:val="0"/>
      <w:marRight w:val="0"/>
      <w:marTop w:val="0"/>
      <w:marBottom w:val="100"/>
      <w:divBdr>
        <w:top w:val="none" w:sz="0" w:space="0" w:color="auto"/>
        <w:left w:val="none" w:sz="0" w:space="0" w:color="auto"/>
        <w:bottom w:val="none" w:sz="0" w:space="0" w:color="auto"/>
        <w:right w:val="none" w:sz="0" w:space="0" w:color="auto"/>
      </w:divBdr>
    </w:div>
    <w:div w:id="145754962">
      <w:marLeft w:val="0"/>
      <w:marRight w:val="0"/>
      <w:marTop w:val="0"/>
      <w:marBottom w:val="100"/>
      <w:divBdr>
        <w:top w:val="none" w:sz="0" w:space="0" w:color="auto"/>
        <w:left w:val="none" w:sz="0" w:space="0" w:color="auto"/>
        <w:bottom w:val="none" w:sz="0" w:space="0" w:color="auto"/>
        <w:right w:val="none" w:sz="0" w:space="0" w:color="auto"/>
      </w:divBdr>
    </w:div>
    <w:div w:id="148404716">
      <w:marLeft w:val="0"/>
      <w:marRight w:val="0"/>
      <w:marTop w:val="0"/>
      <w:marBottom w:val="0"/>
      <w:divBdr>
        <w:top w:val="none" w:sz="0" w:space="0" w:color="auto"/>
        <w:left w:val="none" w:sz="0" w:space="0" w:color="auto"/>
        <w:bottom w:val="none" w:sz="0" w:space="0" w:color="auto"/>
        <w:right w:val="none" w:sz="0" w:space="0" w:color="auto"/>
      </w:divBdr>
    </w:div>
    <w:div w:id="148712297">
      <w:marLeft w:val="0"/>
      <w:marRight w:val="0"/>
      <w:marTop w:val="0"/>
      <w:marBottom w:val="0"/>
      <w:divBdr>
        <w:top w:val="none" w:sz="0" w:space="0" w:color="auto"/>
        <w:left w:val="none" w:sz="0" w:space="0" w:color="auto"/>
        <w:bottom w:val="none" w:sz="0" w:space="0" w:color="auto"/>
        <w:right w:val="none" w:sz="0" w:space="0" w:color="auto"/>
      </w:divBdr>
      <w:divsChild>
        <w:div w:id="1848716148">
          <w:marLeft w:val="0"/>
          <w:marRight w:val="0"/>
          <w:marTop w:val="0"/>
          <w:marBottom w:val="0"/>
          <w:divBdr>
            <w:top w:val="none" w:sz="0" w:space="0" w:color="auto"/>
            <w:left w:val="none" w:sz="0" w:space="0" w:color="auto"/>
            <w:bottom w:val="none" w:sz="0" w:space="0" w:color="auto"/>
            <w:right w:val="none" w:sz="0" w:space="0" w:color="auto"/>
          </w:divBdr>
          <w:divsChild>
            <w:div w:id="10449645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49909105">
      <w:marLeft w:val="0"/>
      <w:marRight w:val="0"/>
      <w:marTop w:val="0"/>
      <w:marBottom w:val="100"/>
      <w:divBdr>
        <w:top w:val="none" w:sz="0" w:space="0" w:color="auto"/>
        <w:left w:val="none" w:sz="0" w:space="0" w:color="auto"/>
        <w:bottom w:val="none" w:sz="0" w:space="0" w:color="auto"/>
        <w:right w:val="none" w:sz="0" w:space="0" w:color="auto"/>
      </w:divBdr>
    </w:div>
    <w:div w:id="150872259">
      <w:marLeft w:val="0"/>
      <w:marRight w:val="0"/>
      <w:marTop w:val="0"/>
      <w:marBottom w:val="100"/>
      <w:divBdr>
        <w:top w:val="none" w:sz="0" w:space="0" w:color="auto"/>
        <w:left w:val="none" w:sz="0" w:space="0" w:color="auto"/>
        <w:bottom w:val="none" w:sz="0" w:space="0" w:color="auto"/>
        <w:right w:val="none" w:sz="0" w:space="0" w:color="auto"/>
      </w:divBdr>
    </w:div>
    <w:div w:id="152721587">
      <w:marLeft w:val="0"/>
      <w:marRight w:val="0"/>
      <w:marTop w:val="0"/>
      <w:marBottom w:val="0"/>
      <w:divBdr>
        <w:top w:val="none" w:sz="0" w:space="0" w:color="auto"/>
        <w:left w:val="none" w:sz="0" w:space="0" w:color="auto"/>
        <w:bottom w:val="none" w:sz="0" w:space="0" w:color="auto"/>
        <w:right w:val="none" w:sz="0" w:space="0" w:color="auto"/>
      </w:divBdr>
    </w:div>
    <w:div w:id="155272385">
      <w:marLeft w:val="0"/>
      <w:marRight w:val="0"/>
      <w:marTop w:val="0"/>
      <w:marBottom w:val="100"/>
      <w:divBdr>
        <w:top w:val="none" w:sz="0" w:space="0" w:color="auto"/>
        <w:left w:val="none" w:sz="0" w:space="0" w:color="auto"/>
        <w:bottom w:val="none" w:sz="0" w:space="0" w:color="auto"/>
        <w:right w:val="none" w:sz="0" w:space="0" w:color="auto"/>
      </w:divBdr>
    </w:div>
    <w:div w:id="155658414">
      <w:marLeft w:val="0"/>
      <w:marRight w:val="0"/>
      <w:marTop w:val="0"/>
      <w:marBottom w:val="100"/>
      <w:divBdr>
        <w:top w:val="none" w:sz="0" w:space="0" w:color="auto"/>
        <w:left w:val="none" w:sz="0" w:space="0" w:color="auto"/>
        <w:bottom w:val="none" w:sz="0" w:space="0" w:color="auto"/>
        <w:right w:val="none" w:sz="0" w:space="0" w:color="auto"/>
      </w:divBdr>
    </w:div>
    <w:div w:id="155924616">
      <w:marLeft w:val="0"/>
      <w:marRight w:val="0"/>
      <w:marTop w:val="0"/>
      <w:marBottom w:val="100"/>
      <w:divBdr>
        <w:top w:val="none" w:sz="0" w:space="0" w:color="auto"/>
        <w:left w:val="none" w:sz="0" w:space="0" w:color="auto"/>
        <w:bottom w:val="none" w:sz="0" w:space="0" w:color="auto"/>
        <w:right w:val="none" w:sz="0" w:space="0" w:color="auto"/>
      </w:divBdr>
    </w:div>
    <w:div w:id="156696825">
      <w:marLeft w:val="0"/>
      <w:marRight w:val="0"/>
      <w:marTop w:val="0"/>
      <w:marBottom w:val="0"/>
      <w:divBdr>
        <w:top w:val="none" w:sz="0" w:space="0" w:color="auto"/>
        <w:left w:val="none" w:sz="0" w:space="0" w:color="auto"/>
        <w:bottom w:val="none" w:sz="0" w:space="0" w:color="auto"/>
        <w:right w:val="none" w:sz="0" w:space="0" w:color="auto"/>
      </w:divBdr>
      <w:divsChild>
        <w:div w:id="1810200594">
          <w:marLeft w:val="0"/>
          <w:marRight w:val="0"/>
          <w:marTop w:val="0"/>
          <w:marBottom w:val="100"/>
          <w:divBdr>
            <w:top w:val="none" w:sz="0" w:space="0" w:color="auto"/>
            <w:left w:val="none" w:sz="0" w:space="0" w:color="auto"/>
            <w:bottom w:val="none" w:sz="0" w:space="0" w:color="auto"/>
            <w:right w:val="none" w:sz="0" w:space="0" w:color="auto"/>
          </w:divBdr>
        </w:div>
      </w:divsChild>
    </w:div>
    <w:div w:id="157163237">
      <w:marLeft w:val="0"/>
      <w:marRight w:val="0"/>
      <w:marTop w:val="0"/>
      <w:marBottom w:val="100"/>
      <w:divBdr>
        <w:top w:val="none" w:sz="0" w:space="0" w:color="auto"/>
        <w:left w:val="none" w:sz="0" w:space="0" w:color="auto"/>
        <w:bottom w:val="none" w:sz="0" w:space="0" w:color="auto"/>
        <w:right w:val="none" w:sz="0" w:space="0" w:color="auto"/>
      </w:divBdr>
    </w:div>
    <w:div w:id="162862764">
      <w:marLeft w:val="0"/>
      <w:marRight w:val="0"/>
      <w:marTop w:val="0"/>
      <w:marBottom w:val="0"/>
      <w:divBdr>
        <w:top w:val="none" w:sz="0" w:space="0" w:color="auto"/>
        <w:left w:val="none" w:sz="0" w:space="0" w:color="auto"/>
        <w:bottom w:val="none" w:sz="0" w:space="0" w:color="auto"/>
        <w:right w:val="none" w:sz="0" w:space="0" w:color="auto"/>
      </w:divBdr>
      <w:divsChild>
        <w:div w:id="1799492806">
          <w:marLeft w:val="0"/>
          <w:marRight w:val="0"/>
          <w:marTop w:val="0"/>
          <w:marBottom w:val="0"/>
          <w:divBdr>
            <w:top w:val="none" w:sz="0" w:space="0" w:color="auto"/>
            <w:left w:val="none" w:sz="0" w:space="0" w:color="auto"/>
            <w:bottom w:val="none" w:sz="0" w:space="0" w:color="auto"/>
            <w:right w:val="none" w:sz="0" w:space="0" w:color="auto"/>
          </w:divBdr>
          <w:divsChild>
            <w:div w:id="174190215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63395776">
      <w:marLeft w:val="0"/>
      <w:marRight w:val="0"/>
      <w:marTop w:val="180"/>
      <w:marBottom w:val="100"/>
      <w:divBdr>
        <w:top w:val="none" w:sz="0" w:space="0" w:color="auto"/>
        <w:left w:val="none" w:sz="0" w:space="0" w:color="auto"/>
        <w:bottom w:val="none" w:sz="0" w:space="0" w:color="auto"/>
        <w:right w:val="none" w:sz="0" w:space="0" w:color="auto"/>
      </w:divBdr>
    </w:div>
    <w:div w:id="164634803">
      <w:marLeft w:val="0"/>
      <w:marRight w:val="0"/>
      <w:marTop w:val="0"/>
      <w:marBottom w:val="100"/>
      <w:divBdr>
        <w:top w:val="none" w:sz="0" w:space="0" w:color="auto"/>
        <w:left w:val="none" w:sz="0" w:space="0" w:color="auto"/>
        <w:bottom w:val="none" w:sz="0" w:space="0" w:color="auto"/>
        <w:right w:val="none" w:sz="0" w:space="0" w:color="auto"/>
      </w:divBdr>
    </w:div>
    <w:div w:id="166869677">
      <w:marLeft w:val="0"/>
      <w:marRight w:val="0"/>
      <w:marTop w:val="0"/>
      <w:marBottom w:val="100"/>
      <w:divBdr>
        <w:top w:val="none" w:sz="0" w:space="0" w:color="auto"/>
        <w:left w:val="none" w:sz="0" w:space="0" w:color="auto"/>
        <w:bottom w:val="none" w:sz="0" w:space="0" w:color="auto"/>
        <w:right w:val="none" w:sz="0" w:space="0" w:color="auto"/>
      </w:divBdr>
    </w:div>
    <w:div w:id="172039380">
      <w:marLeft w:val="0"/>
      <w:marRight w:val="0"/>
      <w:marTop w:val="0"/>
      <w:marBottom w:val="100"/>
      <w:divBdr>
        <w:top w:val="none" w:sz="0" w:space="0" w:color="auto"/>
        <w:left w:val="none" w:sz="0" w:space="0" w:color="auto"/>
        <w:bottom w:val="none" w:sz="0" w:space="0" w:color="auto"/>
        <w:right w:val="none" w:sz="0" w:space="0" w:color="auto"/>
      </w:divBdr>
    </w:div>
    <w:div w:id="172039825">
      <w:marLeft w:val="0"/>
      <w:marRight w:val="0"/>
      <w:marTop w:val="0"/>
      <w:marBottom w:val="0"/>
      <w:divBdr>
        <w:top w:val="none" w:sz="0" w:space="0" w:color="auto"/>
        <w:left w:val="none" w:sz="0" w:space="0" w:color="auto"/>
        <w:bottom w:val="none" w:sz="0" w:space="0" w:color="auto"/>
        <w:right w:val="none" w:sz="0" w:space="0" w:color="auto"/>
      </w:divBdr>
      <w:divsChild>
        <w:div w:id="758140273">
          <w:marLeft w:val="0"/>
          <w:marRight w:val="0"/>
          <w:marTop w:val="0"/>
          <w:marBottom w:val="0"/>
          <w:divBdr>
            <w:top w:val="none" w:sz="0" w:space="0" w:color="auto"/>
            <w:left w:val="none" w:sz="0" w:space="0" w:color="auto"/>
            <w:bottom w:val="none" w:sz="0" w:space="0" w:color="auto"/>
            <w:right w:val="none" w:sz="0" w:space="0" w:color="auto"/>
          </w:divBdr>
          <w:divsChild>
            <w:div w:id="907025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76047414">
      <w:marLeft w:val="0"/>
      <w:marRight w:val="0"/>
      <w:marTop w:val="0"/>
      <w:marBottom w:val="0"/>
      <w:divBdr>
        <w:top w:val="none" w:sz="0" w:space="0" w:color="auto"/>
        <w:left w:val="none" w:sz="0" w:space="0" w:color="auto"/>
        <w:bottom w:val="none" w:sz="0" w:space="0" w:color="auto"/>
        <w:right w:val="none" w:sz="0" w:space="0" w:color="auto"/>
      </w:divBdr>
      <w:divsChild>
        <w:div w:id="102964433">
          <w:marLeft w:val="0"/>
          <w:marRight w:val="0"/>
          <w:marTop w:val="0"/>
          <w:marBottom w:val="0"/>
          <w:divBdr>
            <w:top w:val="none" w:sz="0" w:space="0" w:color="auto"/>
            <w:left w:val="none" w:sz="0" w:space="0" w:color="auto"/>
            <w:bottom w:val="none" w:sz="0" w:space="0" w:color="auto"/>
            <w:right w:val="none" w:sz="0" w:space="0" w:color="auto"/>
          </w:divBdr>
          <w:divsChild>
            <w:div w:id="190907335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78279170">
      <w:marLeft w:val="0"/>
      <w:marRight w:val="0"/>
      <w:marTop w:val="0"/>
      <w:marBottom w:val="100"/>
      <w:divBdr>
        <w:top w:val="none" w:sz="0" w:space="0" w:color="auto"/>
        <w:left w:val="none" w:sz="0" w:space="0" w:color="auto"/>
        <w:bottom w:val="none" w:sz="0" w:space="0" w:color="auto"/>
        <w:right w:val="none" w:sz="0" w:space="0" w:color="auto"/>
      </w:divBdr>
    </w:div>
    <w:div w:id="179587837">
      <w:marLeft w:val="0"/>
      <w:marRight w:val="0"/>
      <w:marTop w:val="0"/>
      <w:marBottom w:val="100"/>
      <w:divBdr>
        <w:top w:val="none" w:sz="0" w:space="0" w:color="auto"/>
        <w:left w:val="none" w:sz="0" w:space="0" w:color="auto"/>
        <w:bottom w:val="none" w:sz="0" w:space="0" w:color="auto"/>
        <w:right w:val="none" w:sz="0" w:space="0" w:color="auto"/>
      </w:divBdr>
    </w:div>
    <w:div w:id="184754497">
      <w:marLeft w:val="0"/>
      <w:marRight w:val="0"/>
      <w:marTop w:val="0"/>
      <w:marBottom w:val="100"/>
      <w:divBdr>
        <w:top w:val="none" w:sz="0" w:space="0" w:color="auto"/>
        <w:left w:val="none" w:sz="0" w:space="0" w:color="auto"/>
        <w:bottom w:val="none" w:sz="0" w:space="0" w:color="auto"/>
        <w:right w:val="none" w:sz="0" w:space="0" w:color="auto"/>
      </w:divBdr>
    </w:div>
    <w:div w:id="184904126">
      <w:marLeft w:val="0"/>
      <w:marRight w:val="0"/>
      <w:marTop w:val="0"/>
      <w:marBottom w:val="100"/>
      <w:divBdr>
        <w:top w:val="none" w:sz="0" w:space="0" w:color="auto"/>
        <w:left w:val="none" w:sz="0" w:space="0" w:color="auto"/>
        <w:bottom w:val="none" w:sz="0" w:space="0" w:color="auto"/>
        <w:right w:val="none" w:sz="0" w:space="0" w:color="auto"/>
      </w:divBdr>
    </w:div>
    <w:div w:id="187185025">
      <w:marLeft w:val="0"/>
      <w:marRight w:val="0"/>
      <w:marTop w:val="0"/>
      <w:marBottom w:val="100"/>
      <w:divBdr>
        <w:top w:val="none" w:sz="0" w:space="0" w:color="auto"/>
        <w:left w:val="none" w:sz="0" w:space="0" w:color="auto"/>
        <w:bottom w:val="none" w:sz="0" w:space="0" w:color="auto"/>
        <w:right w:val="none" w:sz="0" w:space="0" w:color="auto"/>
      </w:divBdr>
    </w:div>
    <w:div w:id="189150371">
      <w:marLeft w:val="0"/>
      <w:marRight w:val="0"/>
      <w:marTop w:val="0"/>
      <w:marBottom w:val="100"/>
      <w:divBdr>
        <w:top w:val="none" w:sz="0" w:space="0" w:color="auto"/>
        <w:left w:val="none" w:sz="0" w:space="0" w:color="auto"/>
        <w:bottom w:val="none" w:sz="0" w:space="0" w:color="auto"/>
        <w:right w:val="none" w:sz="0" w:space="0" w:color="auto"/>
      </w:divBdr>
    </w:div>
    <w:div w:id="189995135">
      <w:marLeft w:val="0"/>
      <w:marRight w:val="0"/>
      <w:marTop w:val="0"/>
      <w:marBottom w:val="100"/>
      <w:divBdr>
        <w:top w:val="none" w:sz="0" w:space="0" w:color="auto"/>
        <w:left w:val="none" w:sz="0" w:space="0" w:color="auto"/>
        <w:bottom w:val="none" w:sz="0" w:space="0" w:color="auto"/>
        <w:right w:val="none" w:sz="0" w:space="0" w:color="auto"/>
      </w:divBdr>
    </w:div>
    <w:div w:id="190538955">
      <w:marLeft w:val="0"/>
      <w:marRight w:val="0"/>
      <w:marTop w:val="0"/>
      <w:marBottom w:val="0"/>
      <w:divBdr>
        <w:top w:val="none" w:sz="0" w:space="0" w:color="auto"/>
        <w:left w:val="none" w:sz="0" w:space="0" w:color="auto"/>
        <w:bottom w:val="none" w:sz="0" w:space="0" w:color="auto"/>
        <w:right w:val="none" w:sz="0" w:space="0" w:color="auto"/>
      </w:divBdr>
    </w:div>
    <w:div w:id="192808627">
      <w:marLeft w:val="0"/>
      <w:marRight w:val="0"/>
      <w:marTop w:val="0"/>
      <w:marBottom w:val="100"/>
      <w:divBdr>
        <w:top w:val="none" w:sz="0" w:space="0" w:color="auto"/>
        <w:left w:val="none" w:sz="0" w:space="0" w:color="auto"/>
        <w:bottom w:val="none" w:sz="0" w:space="0" w:color="auto"/>
        <w:right w:val="none" w:sz="0" w:space="0" w:color="auto"/>
      </w:divBdr>
    </w:div>
    <w:div w:id="194081929">
      <w:marLeft w:val="0"/>
      <w:marRight w:val="0"/>
      <w:marTop w:val="100"/>
      <w:marBottom w:val="0"/>
      <w:divBdr>
        <w:top w:val="none" w:sz="0" w:space="0" w:color="auto"/>
        <w:left w:val="none" w:sz="0" w:space="0" w:color="auto"/>
        <w:bottom w:val="none" w:sz="0" w:space="0" w:color="auto"/>
        <w:right w:val="none" w:sz="0" w:space="0" w:color="auto"/>
      </w:divBdr>
    </w:div>
    <w:div w:id="195119885">
      <w:marLeft w:val="0"/>
      <w:marRight w:val="0"/>
      <w:marTop w:val="0"/>
      <w:marBottom w:val="100"/>
      <w:divBdr>
        <w:top w:val="none" w:sz="0" w:space="0" w:color="auto"/>
        <w:left w:val="none" w:sz="0" w:space="0" w:color="auto"/>
        <w:bottom w:val="none" w:sz="0" w:space="0" w:color="auto"/>
        <w:right w:val="none" w:sz="0" w:space="0" w:color="auto"/>
      </w:divBdr>
    </w:div>
    <w:div w:id="195390104">
      <w:marLeft w:val="0"/>
      <w:marRight w:val="0"/>
      <w:marTop w:val="0"/>
      <w:marBottom w:val="0"/>
      <w:divBdr>
        <w:top w:val="none" w:sz="0" w:space="0" w:color="auto"/>
        <w:left w:val="none" w:sz="0" w:space="0" w:color="auto"/>
        <w:bottom w:val="none" w:sz="0" w:space="0" w:color="auto"/>
        <w:right w:val="none" w:sz="0" w:space="0" w:color="auto"/>
      </w:divBdr>
    </w:div>
    <w:div w:id="195391051">
      <w:marLeft w:val="0"/>
      <w:marRight w:val="0"/>
      <w:marTop w:val="0"/>
      <w:marBottom w:val="100"/>
      <w:divBdr>
        <w:top w:val="none" w:sz="0" w:space="0" w:color="auto"/>
        <w:left w:val="none" w:sz="0" w:space="0" w:color="auto"/>
        <w:bottom w:val="none" w:sz="0" w:space="0" w:color="auto"/>
        <w:right w:val="none" w:sz="0" w:space="0" w:color="auto"/>
      </w:divBdr>
    </w:div>
    <w:div w:id="196092675">
      <w:marLeft w:val="0"/>
      <w:marRight w:val="0"/>
      <w:marTop w:val="100"/>
      <w:marBottom w:val="0"/>
      <w:divBdr>
        <w:top w:val="none" w:sz="0" w:space="0" w:color="auto"/>
        <w:left w:val="none" w:sz="0" w:space="0" w:color="auto"/>
        <w:bottom w:val="none" w:sz="0" w:space="0" w:color="auto"/>
        <w:right w:val="none" w:sz="0" w:space="0" w:color="auto"/>
      </w:divBdr>
    </w:div>
    <w:div w:id="198277164">
      <w:marLeft w:val="0"/>
      <w:marRight w:val="0"/>
      <w:marTop w:val="0"/>
      <w:marBottom w:val="0"/>
      <w:divBdr>
        <w:top w:val="none" w:sz="0" w:space="0" w:color="auto"/>
        <w:left w:val="none" w:sz="0" w:space="0" w:color="auto"/>
        <w:bottom w:val="none" w:sz="0" w:space="0" w:color="auto"/>
        <w:right w:val="none" w:sz="0" w:space="0" w:color="auto"/>
      </w:divBdr>
    </w:div>
    <w:div w:id="200752239">
      <w:marLeft w:val="0"/>
      <w:marRight w:val="0"/>
      <w:marTop w:val="0"/>
      <w:marBottom w:val="0"/>
      <w:divBdr>
        <w:top w:val="none" w:sz="0" w:space="0" w:color="auto"/>
        <w:left w:val="none" w:sz="0" w:space="0" w:color="auto"/>
        <w:bottom w:val="none" w:sz="0" w:space="0" w:color="auto"/>
        <w:right w:val="none" w:sz="0" w:space="0" w:color="auto"/>
      </w:divBdr>
      <w:divsChild>
        <w:div w:id="296497973">
          <w:marLeft w:val="0"/>
          <w:marRight w:val="0"/>
          <w:marTop w:val="0"/>
          <w:marBottom w:val="0"/>
          <w:divBdr>
            <w:top w:val="none" w:sz="0" w:space="0" w:color="auto"/>
            <w:left w:val="none" w:sz="0" w:space="0" w:color="auto"/>
            <w:bottom w:val="none" w:sz="0" w:space="0" w:color="auto"/>
            <w:right w:val="none" w:sz="0" w:space="0" w:color="auto"/>
          </w:divBdr>
          <w:divsChild>
            <w:div w:id="21092519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01140741">
      <w:marLeft w:val="0"/>
      <w:marRight w:val="0"/>
      <w:marTop w:val="0"/>
      <w:marBottom w:val="0"/>
      <w:divBdr>
        <w:top w:val="none" w:sz="0" w:space="0" w:color="auto"/>
        <w:left w:val="none" w:sz="0" w:space="0" w:color="auto"/>
        <w:bottom w:val="none" w:sz="0" w:space="0" w:color="auto"/>
        <w:right w:val="none" w:sz="0" w:space="0" w:color="auto"/>
      </w:divBdr>
      <w:divsChild>
        <w:div w:id="76365849">
          <w:marLeft w:val="0"/>
          <w:marRight w:val="0"/>
          <w:marTop w:val="0"/>
          <w:marBottom w:val="100"/>
          <w:divBdr>
            <w:top w:val="none" w:sz="0" w:space="0" w:color="auto"/>
            <w:left w:val="none" w:sz="0" w:space="0" w:color="auto"/>
            <w:bottom w:val="none" w:sz="0" w:space="0" w:color="auto"/>
            <w:right w:val="none" w:sz="0" w:space="0" w:color="auto"/>
          </w:divBdr>
        </w:div>
      </w:divsChild>
    </w:div>
    <w:div w:id="202133516">
      <w:marLeft w:val="0"/>
      <w:marRight w:val="0"/>
      <w:marTop w:val="0"/>
      <w:marBottom w:val="100"/>
      <w:divBdr>
        <w:top w:val="none" w:sz="0" w:space="0" w:color="auto"/>
        <w:left w:val="none" w:sz="0" w:space="0" w:color="auto"/>
        <w:bottom w:val="none" w:sz="0" w:space="0" w:color="auto"/>
        <w:right w:val="none" w:sz="0" w:space="0" w:color="auto"/>
      </w:divBdr>
    </w:div>
    <w:div w:id="202138425">
      <w:marLeft w:val="0"/>
      <w:marRight w:val="0"/>
      <w:marTop w:val="0"/>
      <w:marBottom w:val="100"/>
      <w:divBdr>
        <w:top w:val="none" w:sz="0" w:space="0" w:color="auto"/>
        <w:left w:val="none" w:sz="0" w:space="0" w:color="auto"/>
        <w:bottom w:val="none" w:sz="0" w:space="0" w:color="auto"/>
        <w:right w:val="none" w:sz="0" w:space="0" w:color="auto"/>
      </w:divBdr>
    </w:div>
    <w:div w:id="203104026">
      <w:marLeft w:val="0"/>
      <w:marRight w:val="0"/>
      <w:marTop w:val="0"/>
      <w:marBottom w:val="100"/>
      <w:divBdr>
        <w:top w:val="none" w:sz="0" w:space="0" w:color="auto"/>
        <w:left w:val="none" w:sz="0" w:space="0" w:color="auto"/>
        <w:bottom w:val="none" w:sz="0" w:space="0" w:color="auto"/>
        <w:right w:val="none" w:sz="0" w:space="0" w:color="auto"/>
      </w:divBdr>
    </w:div>
    <w:div w:id="203905941">
      <w:marLeft w:val="0"/>
      <w:marRight w:val="0"/>
      <w:marTop w:val="0"/>
      <w:marBottom w:val="0"/>
      <w:divBdr>
        <w:top w:val="none" w:sz="0" w:space="0" w:color="auto"/>
        <w:left w:val="none" w:sz="0" w:space="0" w:color="auto"/>
        <w:bottom w:val="none" w:sz="0" w:space="0" w:color="auto"/>
        <w:right w:val="none" w:sz="0" w:space="0" w:color="auto"/>
      </w:divBdr>
      <w:divsChild>
        <w:div w:id="1156460481">
          <w:marLeft w:val="0"/>
          <w:marRight w:val="0"/>
          <w:marTop w:val="0"/>
          <w:marBottom w:val="100"/>
          <w:divBdr>
            <w:top w:val="none" w:sz="0" w:space="0" w:color="auto"/>
            <w:left w:val="none" w:sz="0" w:space="0" w:color="auto"/>
            <w:bottom w:val="none" w:sz="0" w:space="0" w:color="auto"/>
            <w:right w:val="none" w:sz="0" w:space="0" w:color="auto"/>
          </w:divBdr>
        </w:div>
      </w:divsChild>
    </w:div>
    <w:div w:id="205800036">
      <w:marLeft w:val="0"/>
      <w:marRight w:val="0"/>
      <w:marTop w:val="0"/>
      <w:marBottom w:val="0"/>
      <w:divBdr>
        <w:top w:val="none" w:sz="0" w:space="0" w:color="auto"/>
        <w:left w:val="none" w:sz="0" w:space="0" w:color="auto"/>
        <w:bottom w:val="none" w:sz="0" w:space="0" w:color="auto"/>
        <w:right w:val="none" w:sz="0" w:space="0" w:color="auto"/>
      </w:divBdr>
    </w:div>
    <w:div w:id="206380310">
      <w:marLeft w:val="0"/>
      <w:marRight w:val="0"/>
      <w:marTop w:val="0"/>
      <w:marBottom w:val="0"/>
      <w:divBdr>
        <w:top w:val="none" w:sz="0" w:space="0" w:color="auto"/>
        <w:left w:val="none" w:sz="0" w:space="0" w:color="auto"/>
        <w:bottom w:val="none" w:sz="0" w:space="0" w:color="auto"/>
        <w:right w:val="none" w:sz="0" w:space="0" w:color="auto"/>
      </w:divBdr>
      <w:divsChild>
        <w:div w:id="2037196336">
          <w:marLeft w:val="0"/>
          <w:marRight w:val="0"/>
          <w:marTop w:val="0"/>
          <w:marBottom w:val="100"/>
          <w:divBdr>
            <w:top w:val="none" w:sz="0" w:space="0" w:color="auto"/>
            <w:left w:val="none" w:sz="0" w:space="0" w:color="auto"/>
            <w:bottom w:val="none" w:sz="0" w:space="0" w:color="auto"/>
            <w:right w:val="none" w:sz="0" w:space="0" w:color="auto"/>
          </w:divBdr>
        </w:div>
      </w:divsChild>
    </w:div>
    <w:div w:id="210577068">
      <w:marLeft w:val="0"/>
      <w:marRight w:val="0"/>
      <w:marTop w:val="0"/>
      <w:marBottom w:val="100"/>
      <w:divBdr>
        <w:top w:val="none" w:sz="0" w:space="0" w:color="auto"/>
        <w:left w:val="none" w:sz="0" w:space="0" w:color="auto"/>
        <w:bottom w:val="none" w:sz="0" w:space="0" w:color="auto"/>
        <w:right w:val="none" w:sz="0" w:space="0" w:color="auto"/>
      </w:divBdr>
    </w:div>
    <w:div w:id="212623335">
      <w:marLeft w:val="0"/>
      <w:marRight w:val="0"/>
      <w:marTop w:val="0"/>
      <w:marBottom w:val="0"/>
      <w:divBdr>
        <w:top w:val="none" w:sz="0" w:space="0" w:color="auto"/>
        <w:left w:val="none" w:sz="0" w:space="0" w:color="auto"/>
        <w:bottom w:val="none" w:sz="0" w:space="0" w:color="auto"/>
        <w:right w:val="none" w:sz="0" w:space="0" w:color="auto"/>
      </w:divBdr>
    </w:div>
    <w:div w:id="215090996">
      <w:marLeft w:val="0"/>
      <w:marRight w:val="0"/>
      <w:marTop w:val="0"/>
      <w:marBottom w:val="100"/>
      <w:divBdr>
        <w:top w:val="none" w:sz="0" w:space="0" w:color="auto"/>
        <w:left w:val="none" w:sz="0" w:space="0" w:color="auto"/>
        <w:bottom w:val="none" w:sz="0" w:space="0" w:color="auto"/>
        <w:right w:val="none" w:sz="0" w:space="0" w:color="auto"/>
      </w:divBdr>
    </w:div>
    <w:div w:id="215511313">
      <w:marLeft w:val="0"/>
      <w:marRight w:val="0"/>
      <w:marTop w:val="0"/>
      <w:marBottom w:val="0"/>
      <w:divBdr>
        <w:top w:val="none" w:sz="0" w:space="0" w:color="auto"/>
        <w:left w:val="none" w:sz="0" w:space="0" w:color="auto"/>
        <w:bottom w:val="none" w:sz="0" w:space="0" w:color="auto"/>
        <w:right w:val="none" w:sz="0" w:space="0" w:color="auto"/>
      </w:divBdr>
      <w:divsChild>
        <w:div w:id="1593007381">
          <w:marLeft w:val="0"/>
          <w:marRight w:val="0"/>
          <w:marTop w:val="0"/>
          <w:marBottom w:val="0"/>
          <w:divBdr>
            <w:top w:val="none" w:sz="0" w:space="0" w:color="auto"/>
            <w:left w:val="none" w:sz="0" w:space="0" w:color="auto"/>
            <w:bottom w:val="none" w:sz="0" w:space="0" w:color="auto"/>
            <w:right w:val="none" w:sz="0" w:space="0" w:color="auto"/>
          </w:divBdr>
          <w:divsChild>
            <w:div w:id="74615456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21673824">
      <w:marLeft w:val="0"/>
      <w:marRight w:val="0"/>
      <w:marTop w:val="0"/>
      <w:marBottom w:val="100"/>
      <w:divBdr>
        <w:top w:val="none" w:sz="0" w:space="0" w:color="auto"/>
        <w:left w:val="none" w:sz="0" w:space="0" w:color="auto"/>
        <w:bottom w:val="none" w:sz="0" w:space="0" w:color="auto"/>
        <w:right w:val="none" w:sz="0" w:space="0" w:color="auto"/>
      </w:divBdr>
    </w:div>
    <w:div w:id="223566173">
      <w:marLeft w:val="0"/>
      <w:marRight w:val="0"/>
      <w:marTop w:val="0"/>
      <w:marBottom w:val="0"/>
      <w:divBdr>
        <w:top w:val="none" w:sz="0" w:space="0" w:color="auto"/>
        <w:left w:val="none" w:sz="0" w:space="0" w:color="auto"/>
        <w:bottom w:val="none" w:sz="0" w:space="0" w:color="auto"/>
        <w:right w:val="none" w:sz="0" w:space="0" w:color="auto"/>
      </w:divBdr>
    </w:div>
    <w:div w:id="223610440">
      <w:marLeft w:val="0"/>
      <w:marRight w:val="0"/>
      <w:marTop w:val="0"/>
      <w:marBottom w:val="100"/>
      <w:divBdr>
        <w:top w:val="none" w:sz="0" w:space="0" w:color="auto"/>
        <w:left w:val="none" w:sz="0" w:space="0" w:color="auto"/>
        <w:bottom w:val="none" w:sz="0" w:space="0" w:color="auto"/>
        <w:right w:val="none" w:sz="0" w:space="0" w:color="auto"/>
      </w:divBdr>
    </w:div>
    <w:div w:id="225845150">
      <w:marLeft w:val="0"/>
      <w:marRight w:val="0"/>
      <w:marTop w:val="0"/>
      <w:marBottom w:val="100"/>
      <w:divBdr>
        <w:top w:val="none" w:sz="0" w:space="0" w:color="auto"/>
        <w:left w:val="none" w:sz="0" w:space="0" w:color="auto"/>
        <w:bottom w:val="none" w:sz="0" w:space="0" w:color="auto"/>
        <w:right w:val="none" w:sz="0" w:space="0" w:color="auto"/>
      </w:divBdr>
    </w:div>
    <w:div w:id="226766392">
      <w:marLeft w:val="0"/>
      <w:marRight w:val="0"/>
      <w:marTop w:val="0"/>
      <w:marBottom w:val="0"/>
      <w:divBdr>
        <w:top w:val="none" w:sz="0" w:space="0" w:color="auto"/>
        <w:left w:val="none" w:sz="0" w:space="0" w:color="auto"/>
        <w:bottom w:val="none" w:sz="0" w:space="0" w:color="auto"/>
        <w:right w:val="none" w:sz="0" w:space="0" w:color="auto"/>
      </w:divBdr>
      <w:divsChild>
        <w:div w:id="1851291767">
          <w:marLeft w:val="0"/>
          <w:marRight w:val="0"/>
          <w:marTop w:val="0"/>
          <w:marBottom w:val="100"/>
          <w:divBdr>
            <w:top w:val="none" w:sz="0" w:space="0" w:color="auto"/>
            <w:left w:val="none" w:sz="0" w:space="0" w:color="auto"/>
            <w:bottom w:val="none" w:sz="0" w:space="0" w:color="auto"/>
            <w:right w:val="none" w:sz="0" w:space="0" w:color="auto"/>
          </w:divBdr>
        </w:div>
      </w:divsChild>
    </w:div>
    <w:div w:id="228811522">
      <w:marLeft w:val="0"/>
      <w:marRight w:val="0"/>
      <w:marTop w:val="0"/>
      <w:marBottom w:val="100"/>
      <w:divBdr>
        <w:top w:val="none" w:sz="0" w:space="0" w:color="auto"/>
        <w:left w:val="none" w:sz="0" w:space="0" w:color="auto"/>
        <w:bottom w:val="none" w:sz="0" w:space="0" w:color="auto"/>
        <w:right w:val="none" w:sz="0" w:space="0" w:color="auto"/>
      </w:divBdr>
    </w:div>
    <w:div w:id="232934794">
      <w:marLeft w:val="0"/>
      <w:marRight w:val="0"/>
      <w:marTop w:val="0"/>
      <w:marBottom w:val="0"/>
      <w:divBdr>
        <w:top w:val="none" w:sz="0" w:space="0" w:color="auto"/>
        <w:left w:val="none" w:sz="0" w:space="0" w:color="auto"/>
        <w:bottom w:val="none" w:sz="0" w:space="0" w:color="auto"/>
        <w:right w:val="none" w:sz="0" w:space="0" w:color="auto"/>
      </w:divBdr>
      <w:divsChild>
        <w:div w:id="1507941069">
          <w:marLeft w:val="0"/>
          <w:marRight w:val="0"/>
          <w:marTop w:val="0"/>
          <w:marBottom w:val="0"/>
          <w:divBdr>
            <w:top w:val="none" w:sz="0" w:space="0" w:color="auto"/>
            <w:left w:val="none" w:sz="0" w:space="0" w:color="auto"/>
            <w:bottom w:val="none" w:sz="0" w:space="0" w:color="auto"/>
            <w:right w:val="none" w:sz="0" w:space="0" w:color="auto"/>
          </w:divBdr>
          <w:divsChild>
            <w:div w:id="27552192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33856608">
      <w:marLeft w:val="0"/>
      <w:marRight w:val="0"/>
      <w:marTop w:val="0"/>
      <w:marBottom w:val="100"/>
      <w:divBdr>
        <w:top w:val="none" w:sz="0" w:space="0" w:color="auto"/>
        <w:left w:val="none" w:sz="0" w:space="0" w:color="auto"/>
        <w:bottom w:val="none" w:sz="0" w:space="0" w:color="auto"/>
        <w:right w:val="none" w:sz="0" w:space="0" w:color="auto"/>
      </w:divBdr>
    </w:div>
    <w:div w:id="234970235">
      <w:marLeft w:val="0"/>
      <w:marRight w:val="0"/>
      <w:marTop w:val="0"/>
      <w:marBottom w:val="0"/>
      <w:divBdr>
        <w:top w:val="none" w:sz="0" w:space="0" w:color="auto"/>
        <w:left w:val="none" w:sz="0" w:space="0" w:color="auto"/>
        <w:bottom w:val="none" w:sz="0" w:space="0" w:color="auto"/>
        <w:right w:val="none" w:sz="0" w:space="0" w:color="auto"/>
      </w:divBdr>
    </w:div>
    <w:div w:id="235629954">
      <w:marLeft w:val="0"/>
      <w:marRight w:val="0"/>
      <w:marTop w:val="0"/>
      <w:marBottom w:val="0"/>
      <w:divBdr>
        <w:top w:val="none" w:sz="0" w:space="0" w:color="auto"/>
        <w:left w:val="none" w:sz="0" w:space="0" w:color="auto"/>
        <w:bottom w:val="none" w:sz="0" w:space="0" w:color="auto"/>
        <w:right w:val="none" w:sz="0" w:space="0" w:color="auto"/>
      </w:divBdr>
      <w:divsChild>
        <w:div w:id="1292594234">
          <w:marLeft w:val="0"/>
          <w:marRight w:val="0"/>
          <w:marTop w:val="0"/>
          <w:marBottom w:val="0"/>
          <w:divBdr>
            <w:top w:val="none" w:sz="0" w:space="0" w:color="auto"/>
            <w:left w:val="none" w:sz="0" w:space="0" w:color="auto"/>
            <w:bottom w:val="none" w:sz="0" w:space="0" w:color="auto"/>
            <w:right w:val="none" w:sz="0" w:space="0" w:color="auto"/>
          </w:divBdr>
          <w:divsChild>
            <w:div w:id="139056979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35633325">
      <w:marLeft w:val="0"/>
      <w:marRight w:val="0"/>
      <w:marTop w:val="0"/>
      <w:marBottom w:val="100"/>
      <w:divBdr>
        <w:top w:val="none" w:sz="0" w:space="0" w:color="auto"/>
        <w:left w:val="none" w:sz="0" w:space="0" w:color="auto"/>
        <w:bottom w:val="none" w:sz="0" w:space="0" w:color="auto"/>
        <w:right w:val="none" w:sz="0" w:space="0" w:color="auto"/>
      </w:divBdr>
    </w:div>
    <w:div w:id="239406638">
      <w:marLeft w:val="0"/>
      <w:marRight w:val="0"/>
      <w:marTop w:val="0"/>
      <w:marBottom w:val="0"/>
      <w:divBdr>
        <w:top w:val="none" w:sz="0" w:space="0" w:color="auto"/>
        <w:left w:val="none" w:sz="0" w:space="0" w:color="auto"/>
        <w:bottom w:val="none" w:sz="0" w:space="0" w:color="auto"/>
        <w:right w:val="none" w:sz="0" w:space="0" w:color="auto"/>
      </w:divBdr>
    </w:div>
    <w:div w:id="240264152">
      <w:marLeft w:val="0"/>
      <w:marRight w:val="0"/>
      <w:marTop w:val="0"/>
      <w:marBottom w:val="100"/>
      <w:divBdr>
        <w:top w:val="none" w:sz="0" w:space="0" w:color="auto"/>
        <w:left w:val="none" w:sz="0" w:space="0" w:color="auto"/>
        <w:bottom w:val="none" w:sz="0" w:space="0" w:color="auto"/>
        <w:right w:val="none" w:sz="0" w:space="0" w:color="auto"/>
      </w:divBdr>
    </w:div>
    <w:div w:id="241259964">
      <w:marLeft w:val="0"/>
      <w:marRight w:val="0"/>
      <w:marTop w:val="180"/>
      <w:marBottom w:val="0"/>
      <w:divBdr>
        <w:top w:val="none" w:sz="0" w:space="0" w:color="auto"/>
        <w:left w:val="none" w:sz="0" w:space="0" w:color="auto"/>
        <w:bottom w:val="none" w:sz="0" w:space="0" w:color="auto"/>
        <w:right w:val="none" w:sz="0" w:space="0" w:color="auto"/>
      </w:divBdr>
    </w:div>
    <w:div w:id="242498341">
      <w:marLeft w:val="0"/>
      <w:marRight w:val="0"/>
      <w:marTop w:val="0"/>
      <w:marBottom w:val="0"/>
      <w:divBdr>
        <w:top w:val="none" w:sz="0" w:space="0" w:color="auto"/>
        <w:left w:val="none" w:sz="0" w:space="0" w:color="auto"/>
        <w:bottom w:val="none" w:sz="0" w:space="0" w:color="auto"/>
        <w:right w:val="none" w:sz="0" w:space="0" w:color="auto"/>
      </w:divBdr>
      <w:divsChild>
        <w:div w:id="1437747365">
          <w:marLeft w:val="0"/>
          <w:marRight w:val="0"/>
          <w:marTop w:val="0"/>
          <w:marBottom w:val="100"/>
          <w:divBdr>
            <w:top w:val="none" w:sz="0" w:space="0" w:color="auto"/>
            <w:left w:val="none" w:sz="0" w:space="0" w:color="auto"/>
            <w:bottom w:val="none" w:sz="0" w:space="0" w:color="auto"/>
            <w:right w:val="none" w:sz="0" w:space="0" w:color="auto"/>
          </w:divBdr>
        </w:div>
      </w:divsChild>
    </w:div>
    <w:div w:id="242568514">
      <w:marLeft w:val="0"/>
      <w:marRight w:val="0"/>
      <w:marTop w:val="0"/>
      <w:marBottom w:val="0"/>
      <w:divBdr>
        <w:top w:val="none" w:sz="0" w:space="0" w:color="auto"/>
        <w:left w:val="none" w:sz="0" w:space="0" w:color="auto"/>
        <w:bottom w:val="none" w:sz="0" w:space="0" w:color="auto"/>
        <w:right w:val="none" w:sz="0" w:space="0" w:color="auto"/>
      </w:divBdr>
      <w:divsChild>
        <w:div w:id="716203289">
          <w:marLeft w:val="0"/>
          <w:marRight w:val="0"/>
          <w:marTop w:val="0"/>
          <w:marBottom w:val="0"/>
          <w:divBdr>
            <w:top w:val="none" w:sz="0" w:space="0" w:color="auto"/>
            <w:left w:val="none" w:sz="0" w:space="0" w:color="auto"/>
            <w:bottom w:val="none" w:sz="0" w:space="0" w:color="auto"/>
            <w:right w:val="none" w:sz="0" w:space="0" w:color="auto"/>
          </w:divBdr>
          <w:divsChild>
            <w:div w:id="5151183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42686570">
      <w:marLeft w:val="0"/>
      <w:marRight w:val="0"/>
      <w:marTop w:val="180"/>
      <w:marBottom w:val="0"/>
      <w:divBdr>
        <w:top w:val="none" w:sz="0" w:space="0" w:color="auto"/>
        <w:left w:val="none" w:sz="0" w:space="0" w:color="auto"/>
        <w:bottom w:val="none" w:sz="0" w:space="0" w:color="auto"/>
        <w:right w:val="none" w:sz="0" w:space="0" w:color="auto"/>
      </w:divBdr>
    </w:div>
    <w:div w:id="243490718">
      <w:marLeft w:val="0"/>
      <w:marRight w:val="0"/>
      <w:marTop w:val="0"/>
      <w:marBottom w:val="100"/>
      <w:divBdr>
        <w:top w:val="none" w:sz="0" w:space="0" w:color="auto"/>
        <w:left w:val="none" w:sz="0" w:space="0" w:color="auto"/>
        <w:bottom w:val="none" w:sz="0" w:space="0" w:color="auto"/>
        <w:right w:val="none" w:sz="0" w:space="0" w:color="auto"/>
      </w:divBdr>
    </w:div>
    <w:div w:id="247081572">
      <w:marLeft w:val="0"/>
      <w:marRight w:val="0"/>
      <w:marTop w:val="0"/>
      <w:marBottom w:val="100"/>
      <w:divBdr>
        <w:top w:val="none" w:sz="0" w:space="0" w:color="auto"/>
        <w:left w:val="none" w:sz="0" w:space="0" w:color="auto"/>
        <w:bottom w:val="none" w:sz="0" w:space="0" w:color="auto"/>
        <w:right w:val="none" w:sz="0" w:space="0" w:color="auto"/>
      </w:divBdr>
    </w:div>
    <w:div w:id="248195751">
      <w:marLeft w:val="0"/>
      <w:marRight w:val="0"/>
      <w:marTop w:val="0"/>
      <w:marBottom w:val="100"/>
      <w:divBdr>
        <w:top w:val="none" w:sz="0" w:space="0" w:color="auto"/>
        <w:left w:val="none" w:sz="0" w:space="0" w:color="auto"/>
        <w:bottom w:val="none" w:sz="0" w:space="0" w:color="auto"/>
        <w:right w:val="none" w:sz="0" w:space="0" w:color="auto"/>
      </w:divBdr>
    </w:div>
    <w:div w:id="255795905">
      <w:marLeft w:val="0"/>
      <w:marRight w:val="0"/>
      <w:marTop w:val="0"/>
      <w:marBottom w:val="100"/>
      <w:divBdr>
        <w:top w:val="none" w:sz="0" w:space="0" w:color="auto"/>
        <w:left w:val="none" w:sz="0" w:space="0" w:color="auto"/>
        <w:bottom w:val="none" w:sz="0" w:space="0" w:color="auto"/>
        <w:right w:val="none" w:sz="0" w:space="0" w:color="auto"/>
      </w:divBdr>
    </w:div>
    <w:div w:id="256720751">
      <w:marLeft w:val="0"/>
      <w:marRight w:val="0"/>
      <w:marTop w:val="180"/>
      <w:marBottom w:val="0"/>
      <w:divBdr>
        <w:top w:val="none" w:sz="0" w:space="0" w:color="auto"/>
        <w:left w:val="none" w:sz="0" w:space="0" w:color="auto"/>
        <w:bottom w:val="none" w:sz="0" w:space="0" w:color="auto"/>
        <w:right w:val="none" w:sz="0" w:space="0" w:color="auto"/>
      </w:divBdr>
      <w:divsChild>
        <w:div w:id="16469925">
          <w:marLeft w:val="0"/>
          <w:marRight w:val="0"/>
          <w:marTop w:val="0"/>
          <w:marBottom w:val="0"/>
          <w:divBdr>
            <w:top w:val="none" w:sz="0" w:space="0" w:color="auto"/>
            <w:left w:val="none" w:sz="0" w:space="0" w:color="auto"/>
            <w:bottom w:val="none" w:sz="0" w:space="0" w:color="auto"/>
            <w:right w:val="none" w:sz="0" w:space="0" w:color="auto"/>
          </w:divBdr>
        </w:div>
        <w:div w:id="180969421">
          <w:marLeft w:val="0"/>
          <w:marRight w:val="0"/>
          <w:marTop w:val="0"/>
          <w:marBottom w:val="0"/>
          <w:divBdr>
            <w:top w:val="none" w:sz="0" w:space="0" w:color="auto"/>
            <w:left w:val="none" w:sz="0" w:space="0" w:color="auto"/>
            <w:bottom w:val="none" w:sz="0" w:space="0" w:color="auto"/>
            <w:right w:val="none" w:sz="0" w:space="0" w:color="auto"/>
          </w:divBdr>
        </w:div>
        <w:div w:id="1791437036">
          <w:marLeft w:val="0"/>
          <w:marRight w:val="0"/>
          <w:marTop w:val="0"/>
          <w:marBottom w:val="0"/>
          <w:divBdr>
            <w:top w:val="none" w:sz="0" w:space="0" w:color="auto"/>
            <w:left w:val="none" w:sz="0" w:space="0" w:color="auto"/>
            <w:bottom w:val="none" w:sz="0" w:space="0" w:color="auto"/>
            <w:right w:val="none" w:sz="0" w:space="0" w:color="auto"/>
          </w:divBdr>
        </w:div>
        <w:div w:id="4597125">
          <w:marLeft w:val="0"/>
          <w:marRight w:val="0"/>
          <w:marTop w:val="0"/>
          <w:marBottom w:val="0"/>
          <w:divBdr>
            <w:top w:val="none" w:sz="0" w:space="0" w:color="auto"/>
            <w:left w:val="none" w:sz="0" w:space="0" w:color="auto"/>
            <w:bottom w:val="none" w:sz="0" w:space="0" w:color="auto"/>
            <w:right w:val="none" w:sz="0" w:space="0" w:color="auto"/>
          </w:divBdr>
        </w:div>
        <w:div w:id="2137602316">
          <w:marLeft w:val="0"/>
          <w:marRight w:val="0"/>
          <w:marTop w:val="0"/>
          <w:marBottom w:val="0"/>
          <w:divBdr>
            <w:top w:val="none" w:sz="0" w:space="0" w:color="auto"/>
            <w:left w:val="none" w:sz="0" w:space="0" w:color="auto"/>
            <w:bottom w:val="none" w:sz="0" w:space="0" w:color="auto"/>
            <w:right w:val="none" w:sz="0" w:space="0" w:color="auto"/>
          </w:divBdr>
        </w:div>
        <w:div w:id="689842975">
          <w:marLeft w:val="0"/>
          <w:marRight w:val="0"/>
          <w:marTop w:val="0"/>
          <w:marBottom w:val="0"/>
          <w:divBdr>
            <w:top w:val="none" w:sz="0" w:space="0" w:color="auto"/>
            <w:left w:val="none" w:sz="0" w:space="0" w:color="auto"/>
            <w:bottom w:val="none" w:sz="0" w:space="0" w:color="auto"/>
            <w:right w:val="none" w:sz="0" w:space="0" w:color="auto"/>
          </w:divBdr>
        </w:div>
        <w:div w:id="1253318918">
          <w:marLeft w:val="0"/>
          <w:marRight w:val="0"/>
          <w:marTop w:val="0"/>
          <w:marBottom w:val="0"/>
          <w:divBdr>
            <w:top w:val="none" w:sz="0" w:space="0" w:color="auto"/>
            <w:left w:val="none" w:sz="0" w:space="0" w:color="auto"/>
            <w:bottom w:val="none" w:sz="0" w:space="0" w:color="auto"/>
            <w:right w:val="none" w:sz="0" w:space="0" w:color="auto"/>
          </w:divBdr>
        </w:div>
        <w:div w:id="1666207080">
          <w:marLeft w:val="0"/>
          <w:marRight w:val="0"/>
          <w:marTop w:val="0"/>
          <w:marBottom w:val="0"/>
          <w:divBdr>
            <w:top w:val="none" w:sz="0" w:space="0" w:color="auto"/>
            <w:left w:val="none" w:sz="0" w:space="0" w:color="auto"/>
            <w:bottom w:val="none" w:sz="0" w:space="0" w:color="auto"/>
            <w:right w:val="none" w:sz="0" w:space="0" w:color="auto"/>
          </w:divBdr>
        </w:div>
        <w:div w:id="472716527">
          <w:marLeft w:val="0"/>
          <w:marRight w:val="0"/>
          <w:marTop w:val="0"/>
          <w:marBottom w:val="0"/>
          <w:divBdr>
            <w:top w:val="none" w:sz="0" w:space="0" w:color="auto"/>
            <w:left w:val="none" w:sz="0" w:space="0" w:color="auto"/>
            <w:bottom w:val="none" w:sz="0" w:space="0" w:color="auto"/>
            <w:right w:val="none" w:sz="0" w:space="0" w:color="auto"/>
          </w:divBdr>
        </w:div>
      </w:divsChild>
    </w:div>
    <w:div w:id="262341774">
      <w:marLeft w:val="0"/>
      <w:marRight w:val="0"/>
      <w:marTop w:val="180"/>
      <w:marBottom w:val="0"/>
      <w:divBdr>
        <w:top w:val="none" w:sz="0" w:space="0" w:color="auto"/>
        <w:left w:val="none" w:sz="0" w:space="0" w:color="auto"/>
        <w:bottom w:val="none" w:sz="0" w:space="0" w:color="auto"/>
        <w:right w:val="none" w:sz="0" w:space="0" w:color="auto"/>
      </w:divBdr>
      <w:divsChild>
        <w:div w:id="1709914732">
          <w:marLeft w:val="0"/>
          <w:marRight w:val="0"/>
          <w:marTop w:val="0"/>
          <w:marBottom w:val="0"/>
          <w:divBdr>
            <w:top w:val="none" w:sz="0" w:space="0" w:color="auto"/>
            <w:left w:val="none" w:sz="0" w:space="0" w:color="auto"/>
            <w:bottom w:val="none" w:sz="0" w:space="0" w:color="auto"/>
            <w:right w:val="none" w:sz="0" w:space="0" w:color="auto"/>
          </w:divBdr>
        </w:div>
        <w:div w:id="1622415095">
          <w:marLeft w:val="0"/>
          <w:marRight w:val="0"/>
          <w:marTop w:val="0"/>
          <w:marBottom w:val="0"/>
          <w:divBdr>
            <w:top w:val="none" w:sz="0" w:space="0" w:color="auto"/>
            <w:left w:val="none" w:sz="0" w:space="0" w:color="auto"/>
            <w:bottom w:val="none" w:sz="0" w:space="0" w:color="auto"/>
            <w:right w:val="none" w:sz="0" w:space="0" w:color="auto"/>
          </w:divBdr>
        </w:div>
        <w:div w:id="536889677">
          <w:marLeft w:val="0"/>
          <w:marRight w:val="0"/>
          <w:marTop w:val="0"/>
          <w:marBottom w:val="0"/>
          <w:divBdr>
            <w:top w:val="none" w:sz="0" w:space="0" w:color="auto"/>
            <w:left w:val="none" w:sz="0" w:space="0" w:color="auto"/>
            <w:bottom w:val="none" w:sz="0" w:space="0" w:color="auto"/>
            <w:right w:val="none" w:sz="0" w:space="0" w:color="auto"/>
          </w:divBdr>
        </w:div>
        <w:div w:id="464739527">
          <w:marLeft w:val="0"/>
          <w:marRight w:val="0"/>
          <w:marTop w:val="0"/>
          <w:marBottom w:val="0"/>
          <w:divBdr>
            <w:top w:val="none" w:sz="0" w:space="0" w:color="auto"/>
            <w:left w:val="none" w:sz="0" w:space="0" w:color="auto"/>
            <w:bottom w:val="none" w:sz="0" w:space="0" w:color="auto"/>
            <w:right w:val="none" w:sz="0" w:space="0" w:color="auto"/>
          </w:divBdr>
        </w:div>
      </w:divsChild>
    </w:div>
    <w:div w:id="262568705">
      <w:marLeft w:val="0"/>
      <w:marRight w:val="0"/>
      <w:marTop w:val="0"/>
      <w:marBottom w:val="0"/>
      <w:divBdr>
        <w:top w:val="none" w:sz="0" w:space="0" w:color="auto"/>
        <w:left w:val="none" w:sz="0" w:space="0" w:color="auto"/>
        <w:bottom w:val="none" w:sz="0" w:space="0" w:color="auto"/>
        <w:right w:val="none" w:sz="0" w:space="0" w:color="auto"/>
      </w:divBdr>
      <w:divsChild>
        <w:div w:id="1528519927">
          <w:marLeft w:val="0"/>
          <w:marRight w:val="0"/>
          <w:marTop w:val="0"/>
          <w:marBottom w:val="0"/>
          <w:divBdr>
            <w:top w:val="none" w:sz="0" w:space="0" w:color="auto"/>
            <w:left w:val="none" w:sz="0" w:space="0" w:color="auto"/>
            <w:bottom w:val="none" w:sz="0" w:space="0" w:color="auto"/>
            <w:right w:val="none" w:sz="0" w:space="0" w:color="auto"/>
          </w:divBdr>
          <w:divsChild>
            <w:div w:id="138216612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63735548">
      <w:marLeft w:val="0"/>
      <w:marRight w:val="0"/>
      <w:marTop w:val="180"/>
      <w:marBottom w:val="100"/>
      <w:divBdr>
        <w:top w:val="none" w:sz="0" w:space="0" w:color="auto"/>
        <w:left w:val="none" w:sz="0" w:space="0" w:color="auto"/>
        <w:bottom w:val="none" w:sz="0" w:space="0" w:color="auto"/>
        <w:right w:val="none" w:sz="0" w:space="0" w:color="auto"/>
      </w:divBdr>
    </w:div>
    <w:div w:id="264191719">
      <w:marLeft w:val="0"/>
      <w:marRight w:val="0"/>
      <w:marTop w:val="0"/>
      <w:marBottom w:val="100"/>
      <w:divBdr>
        <w:top w:val="none" w:sz="0" w:space="0" w:color="auto"/>
        <w:left w:val="none" w:sz="0" w:space="0" w:color="auto"/>
        <w:bottom w:val="none" w:sz="0" w:space="0" w:color="auto"/>
        <w:right w:val="none" w:sz="0" w:space="0" w:color="auto"/>
      </w:divBdr>
    </w:div>
    <w:div w:id="265500816">
      <w:marLeft w:val="0"/>
      <w:marRight w:val="0"/>
      <w:marTop w:val="0"/>
      <w:marBottom w:val="0"/>
      <w:divBdr>
        <w:top w:val="none" w:sz="0" w:space="0" w:color="auto"/>
        <w:left w:val="none" w:sz="0" w:space="0" w:color="auto"/>
        <w:bottom w:val="none" w:sz="0" w:space="0" w:color="auto"/>
        <w:right w:val="none" w:sz="0" w:space="0" w:color="auto"/>
      </w:divBdr>
    </w:div>
    <w:div w:id="265891042">
      <w:marLeft w:val="0"/>
      <w:marRight w:val="0"/>
      <w:marTop w:val="0"/>
      <w:marBottom w:val="0"/>
      <w:divBdr>
        <w:top w:val="none" w:sz="0" w:space="0" w:color="auto"/>
        <w:left w:val="none" w:sz="0" w:space="0" w:color="auto"/>
        <w:bottom w:val="none" w:sz="0" w:space="0" w:color="auto"/>
        <w:right w:val="none" w:sz="0" w:space="0" w:color="auto"/>
      </w:divBdr>
      <w:divsChild>
        <w:div w:id="2066826996">
          <w:marLeft w:val="0"/>
          <w:marRight w:val="0"/>
          <w:marTop w:val="0"/>
          <w:marBottom w:val="100"/>
          <w:divBdr>
            <w:top w:val="none" w:sz="0" w:space="0" w:color="auto"/>
            <w:left w:val="none" w:sz="0" w:space="0" w:color="auto"/>
            <w:bottom w:val="none" w:sz="0" w:space="0" w:color="auto"/>
            <w:right w:val="none" w:sz="0" w:space="0" w:color="auto"/>
          </w:divBdr>
        </w:div>
      </w:divsChild>
    </w:div>
    <w:div w:id="266426152">
      <w:marLeft w:val="0"/>
      <w:marRight w:val="0"/>
      <w:marTop w:val="0"/>
      <w:marBottom w:val="0"/>
      <w:divBdr>
        <w:top w:val="none" w:sz="0" w:space="0" w:color="auto"/>
        <w:left w:val="none" w:sz="0" w:space="0" w:color="auto"/>
        <w:bottom w:val="none" w:sz="0" w:space="0" w:color="auto"/>
        <w:right w:val="none" w:sz="0" w:space="0" w:color="auto"/>
      </w:divBdr>
    </w:div>
    <w:div w:id="267196453">
      <w:marLeft w:val="0"/>
      <w:marRight w:val="0"/>
      <w:marTop w:val="0"/>
      <w:marBottom w:val="100"/>
      <w:divBdr>
        <w:top w:val="none" w:sz="0" w:space="0" w:color="auto"/>
        <w:left w:val="none" w:sz="0" w:space="0" w:color="auto"/>
        <w:bottom w:val="none" w:sz="0" w:space="0" w:color="auto"/>
        <w:right w:val="none" w:sz="0" w:space="0" w:color="auto"/>
      </w:divBdr>
    </w:div>
    <w:div w:id="267780106">
      <w:marLeft w:val="0"/>
      <w:marRight w:val="0"/>
      <w:marTop w:val="0"/>
      <w:marBottom w:val="100"/>
      <w:divBdr>
        <w:top w:val="none" w:sz="0" w:space="0" w:color="auto"/>
        <w:left w:val="none" w:sz="0" w:space="0" w:color="auto"/>
        <w:bottom w:val="none" w:sz="0" w:space="0" w:color="auto"/>
        <w:right w:val="none" w:sz="0" w:space="0" w:color="auto"/>
      </w:divBdr>
      <w:divsChild>
        <w:div w:id="326590450">
          <w:marLeft w:val="0"/>
          <w:marRight w:val="0"/>
          <w:marTop w:val="0"/>
          <w:marBottom w:val="0"/>
          <w:divBdr>
            <w:top w:val="none" w:sz="0" w:space="0" w:color="auto"/>
            <w:left w:val="none" w:sz="0" w:space="0" w:color="auto"/>
            <w:bottom w:val="none" w:sz="0" w:space="0" w:color="auto"/>
            <w:right w:val="none" w:sz="0" w:space="0" w:color="auto"/>
          </w:divBdr>
        </w:div>
        <w:div w:id="2020689733">
          <w:marLeft w:val="0"/>
          <w:marRight w:val="0"/>
          <w:marTop w:val="0"/>
          <w:marBottom w:val="0"/>
          <w:divBdr>
            <w:top w:val="none" w:sz="0" w:space="0" w:color="auto"/>
            <w:left w:val="none" w:sz="0" w:space="0" w:color="auto"/>
            <w:bottom w:val="none" w:sz="0" w:space="0" w:color="auto"/>
            <w:right w:val="none" w:sz="0" w:space="0" w:color="auto"/>
          </w:divBdr>
        </w:div>
      </w:divsChild>
    </w:div>
    <w:div w:id="268246841">
      <w:marLeft w:val="0"/>
      <w:marRight w:val="0"/>
      <w:marTop w:val="0"/>
      <w:marBottom w:val="100"/>
      <w:divBdr>
        <w:top w:val="none" w:sz="0" w:space="0" w:color="auto"/>
        <w:left w:val="none" w:sz="0" w:space="0" w:color="auto"/>
        <w:bottom w:val="none" w:sz="0" w:space="0" w:color="auto"/>
        <w:right w:val="none" w:sz="0" w:space="0" w:color="auto"/>
      </w:divBdr>
    </w:div>
    <w:div w:id="276451513">
      <w:marLeft w:val="0"/>
      <w:marRight w:val="0"/>
      <w:marTop w:val="0"/>
      <w:marBottom w:val="100"/>
      <w:divBdr>
        <w:top w:val="none" w:sz="0" w:space="0" w:color="auto"/>
        <w:left w:val="none" w:sz="0" w:space="0" w:color="auto"/>
        <w:bottom w:val="none" w:sz="0" w:space="0" w:color="auto"/>
        <w:right w:val="none" w:sz="0" w:space="0" w:color="auto"/>
      </w:divBdr>
    </w:div>
    <w:div w:id="278144680">
      <w:marLeft w:val="0"/>
      <w:marRight w:val="0"/>
      <w:marTop w:val="0"/>
      <w:marBottom w:val="100"/>
      <w:divBdr>
        <w:top w:val="none" w:sz="0" w:space="0" w:color="auto"/>
        <w:left w:val="none" w:sz="0" w:space="0" w:color="auto"/>
        <w:bottom w:val="none" w:sz="0" w:space="0" w:color="auto"/>
        <w:right w:val="none" w:sz="0" w:space="0" w:color="auto"/>
      </w:divBdr>
    </w:div>
    <w:div w:id="278682028">
      <w:marLeft w:val="0"/>
      <w:marRight w:val="0"/>
      <w:marTop w:val="180"/>
      <w:marBottom w:val="0"/>
      <w:divBdr>
        <w:top w:val="none" w:sz="0" w:space="0" w:color="auto"/>
        <w:left w:val="none" w:sz="0" w:space="0" w:color="auto"/>
        <w:bottom w:val="none" w:sz="0" w:space="0" w:color="auto"/>
        <w:right w:val="none" w:sz="0" w:space="0" w:color="auto"/>
      </w:divBdr>
    </w:div>
    <w:div w:id="279145658">
      <w:marLeft w:val="0"/>
      <w:marRight w:val="0"/>
      <w:marTop w:val="0"/>
      <w:marBottom w:val="0"/>
      <w:divBdr>
        <w:top w:val="none" w:sz="0" w:space="0" w:color="auto"/>
        <w:left w:val="none" w:sz="0" w:space="0" w:color="auto"/>
        <w:bottom w:val="none" w:sz="0" w:space="0" w:color="auto"/>
        <w:right w:val="none" w:sz="0" w:space="0" w:color="auto"/>
      </w:divBdr>
      <w:divsChild>
        <w:div w:id="1492872150">
          <w:marLeft w:val="0"/>
          <w:marRight w:val="0"/>
          <w:marTop w:val="0"/>
          <w:marBottom w:val="100"/>
          <w:divBdr>
            <w:top w:val="none" w:sz="0" w:space="0" w:color="auto"/>
            <w:left w:val="none" w:sz="0" w:space="0" w:color="auto"/>
            <w:bottom w:val="none" w:sz="0" w:space="0" w:color="auto"/>
            <w:right w:val="none" w:sz="0" w:space="0" w:color="auto"/>
          </w:divBdr>
        </w:div>
      </w:divsChild>
    </w:div>
    <w:div w:id="279531362">
      <w:marLeft w:val="0"/>
      <w:marRight w:val="0"/>
      <w:marTop w:val="0"/>
      <w:marBottom w:val="100"/>
      <w:divBdr>
        <w:top w:val="none" w:sz="0" w:space="0" w:color="auto"/>
        <w:left w:val="none" w:sz="0" w:space="0" w:color="auto"/>
        <w:bottom w:val="none" w:sz="0" w:space="0" w:color="auto"/>
        <w:right w:val="none" w:sz="0" w:space="0" w:color="auto"/>
      </w:divBdr>
    </w:div>
    <w:div w:id="280960145">
      <w:marLeft w:val="0"/>
      <w:marRight w:val="0"/>
      <w:marTop w:val="0"/>
      <w:marBottom w:val="0"/>
      <w:divBdr>
        <w:top w:val="none" w:sz="0" w:space="0" w:color="auto"/>
        <w:left w:val="none" w:sz="0" w:space="0" w:color="auto"/>
        <w:bottom w:val="none" w:sz="0" w:space="0" w:color="auto"/>
        <w:right w:val="none" w:sz="0" w:space="0" w:color="auto"/>
      </w:divBdr>
    </w:div>
    <w:div w:id="281957312">
      <w:marLeft w:val="0"/>
      <w:marRight w:val="0"/>
      <w:marTop w:val="0"/>
      <w:marBottom w:val="100"/>
      <w:divBdr>
        <w:top w:val="none" w:sz="0" w:space="0" w:color="auto"/>
        <w:left w:val="none" w:sz="0" w:space="0" w:color="auto"/>
        <w:bottom w:val="none" w:sz="0" w:space="0" w:color="auto"/>
        <w:right w:val="none" w:sz="0" w:space="0" w:color="auto"/>
      </w:divBdr>
    </w:div>
    <w:div w:id="283195177">
      <w:marLeft w:val="0"/>
      <w:marRight w:val="0"/>
      <w:marTop w:val="180"/>
      <w:marBottom w:val="0"/>
      <w:divBdr>
        <w:top w:val="none" w:sz="0" w:space="0" w:color="auto"/>
        <w:left w:val="none" w:sz="0" w:space="0" w:color="auto"/>
        <w:bottom w:val="none" w:sz="0" w:space="0" w:color="auto"/>
        <w:right w:val="none" w:sz="0" w:space="0" w:color="auto"/>
      </w:divBdr>
    </w:div>
    <w:div w:id="285939724">
      <w:marLeft w:val="0"/>
      <w:marRight w:val="0"/>
      <w:marTop w:val="0"/>
      <w:marBottom w:val="0"/>
      <w:divBdr>
        <w:top w:val="none" w:sz="0" w:space="0" w:color="auto"/>
        <w:left w:val="none" w:sz="0" w:space="0" w:color="auto"/>
        <w:bottom w:val="none" w:sz="0" w:space="0" w:color="auto"/>
        <w:right w:val="none" w:sz="0" w:space="0" w:color="auto"/>
      </w:divBdr>
      <w:divsChild>
        <w:div w:id="516621082">
          <w:marLeft w:val="0"/>
          <w:marRight w:val="0"/>
          <w:marTop w:val="0"/>
          <w:marBottom w:val="100"/>
          <w:divBdr>
            <w:top w:val="none" w:sz="0" w:space="0" w:color="auto"/>
            <w:left w:val="none" w:sz="0" w:space="0" w:color="auto"/>
            <w:bottom w:val="none" w:sz="0" w:space="0" w:color="auto"/>
            <w:right w:val="none" w:sz="0" w:space="0" w:color="auto"/>
          </w:divBdr>
        </w:div>
      </w:divsChild>
    </w:div>
    <w:div w:id="286931823">
      <w:marLeft w:val="0"/>
      <w:marRight w:val="0"/>
      <w:marTop w:val="0"/>
      <w:marBottom w:val="100"/>
      <w:divBdr>
        <w:top w:val="none" w:sz="0" w:space="0" w:color="auto"/>
        <w:left w:val="none" w:sz="0" w:space="0" w:color="auto"/>
        <w:bottom w:val="none" w:sz="0" w:space="0" w:color="auto"/>
        <w:right w:val="none" w:sz="0" w:space="0" w:color="auto"/>
      </w:divBdr>
    </w:div>
    <w:div w:id="287205502">
      <w:marLeft w:val="0"/>
      <w:marRight w:val="0"/>
      <w:marTop w:val="0"/>
      <w:marBottom w:val="100"/>
      <w:divBdr>
        <w:top w:val="none" w:sz="0" w:space="0" w:color="auto"/>
        <w:left w:val="none" w:sz="0" w:space="0" w:color="auto"/>
        <w:bottom w:val="none" w:sz="0" w:space="0" w:color="auto"/>
        <w:right w:val="none" w:sz="0" w:space="0" w:color="auto"/>
      </w:divBdr>
    </w:div>
    <w:div w:id="288436185">
      <w:marLeft w:val="0"/>
      <w:marRight w:val="0"/>
      <w:marTop w:val="0"/>
      <w:marBottom w:val="100"/>
      <w:divBdr>
        <w:top w:val="none" w:sz="0" w:space="0" w:color="auto"/>
        <w:left w:val="none" w:sz="0" w:space="0" w:color="auto"/>
        <w:bottom w:val="none" w:sz="0" w:space="0" w:color="auto"/>
        <w:right w:val="none" w:sz="0" w:space="0" w:color="auto"/>
      </w:divBdr>
    </w:div>
    <w:div w:id="288783048">
      <w:marLeft w:val="0"/>
      <w:marRight w:val="0"/>
      <w:marTop w:val="0"/>
      <w:marBottom w:val="100"/>
      <w:divBdr>
        <w:top w:val="none" w:sz="0" w:space="0" w:color="auto"/>
        <w:left w:val="none" w:sz="0" w:space="0" w:color="auto"/>
        <w:bottom w:val="none" w:sz="0" w:space="0" w:color="auto"/>
        <w:right w:val="none" w:sz="0" w:space="0" w:color="auto"/>
      </w:divBdr>
    </w:div>
    <w:div w:id="290478965">
      <w:marLeft w:val="0"/>
      <w:marRight w:val="0"/>
      <w:marTop w:val="0"/>
      <w:marBottom w:val="0"/>
      <w:divBdr>
        <w:top w:val="none" w:sz="0" w:space="0" w:color="auto"/>
        <w:left w:val="none" w:sz="0" w:space="0" w:color="auto"/>
        <w:bottom w:val="none" w:sz="0" w:space="0" w:color="auto"/>
        <w:right w:val="none" w:sz="0" w:space="0" w:color="auto"/>
      </w:divBdr>
    </w:div>
    <w:div w:id="291794227">
      <w:marLeft w:val="0"/>
      <w:marRight w:val="0"/>
      <w:marTop w:val="0"/>
      <w:marBottom w:val="100"/>
      <w:divBdr>
        <w:top w:val="none" w:sz="0" w:space="0" w:color="auto"/>
        <w:left w:val="none" w:sz="0" w:space="0" w:color="auto"/>
        <w:bottom w:val="none" w:sz="0" w:space="0" w:color="auto"/>
        <w:right w:val="none" w:sz="0" w:space="0" w:color="auto"/>
      </w:divBdr>
    </w:div>
    <w:div w:id="292374199">
      <w:marLeft w:val="0"/>
      <w:marRight w:val="0"/>
      <w:marTop w:val="0"/>
      <w:marBottom w:val="100"/>
      <w:divBdr>
        <w:top w:val="none" w:sz="0" w:space="0" w:color="auto"/>
        <w:left w:val="none" w:sz="0" w:space="0" w:color="auto"/>
        <w:bottom w:val="none" w:sz="0" w:space="0" w:color="auto"/>
        <w:right w:val="none" w:sz="0" w:space="0" w:color="auto"/>
      </w:divBdr>
    </w:div>
    <w:div w:id="293174195">
      <w:marLeft w:val="0"/>
      <w:marRight w:val="0"/>
      <w:marTop w:val="0"/>
      <w:marBottom w:val="100"/>
      <w:divBdr>
        <w:top w:val="none" w:sz="0" w:space="0" w:color="auto"/>
        <w:left w:val="none" w:sz="0" w:space="0" w:color="auto"/>
        <w:bottom w:val="none" w:sz="0" w:space="0" w:color="auto"/>
        <w:right w:val="none" w:sz="0" w:space="0" w:color="auto"/>
      </w:divBdr>
    </w:div>
    <w:div w:id="294912358">
      <w:marLeft w:val="0"/>
      <w:marRight w:val="0"/>
      <w:marTop w:val="0"/>
      <w:marBottom w:val="100"/>
      <w:divBdr>
        <w:top w:val="none" w:sz="0" w:space="0" w:color="auto"/>
        <w:left w:val="none" w:sz="0" w:space="0" w:color="auto"/>
        <w:bottom w:val="none" w:sz="0" w:space="0" w:color="auto"/>
        <w:right w:val="none" w:sz="0" w:space="0" w:color="auto"/>
      </w:divBdr>
    </w:div>
    <w:div w:id="296377945">
      <w:marLeft w:val="0"/>
      <w:marRight w:val="0"/>
      <w:marTop w:val="0"/>
      <w:marBottom w:val="100"/>
      <w:divBdr>
        <w:top w:val="none" w:sz="0" w:space="0" w:color="auto"/>
        <w:left w:val="none" w:sz="0" w:space="0" w:color="auto"/>
        <w:bottom w:val="none" w:sz="0" w:space="0" w:color="auto"/>
        <w:right w:val="none" w:sz="0" w:space="0" w:color="auto"/>
      </w:divBdr>
    </w:div>
    <w:div w:id="296880044">
      <w:marLeft w:val="0"/>
      <w:marRight w:val="0"/>
      <w:marTop w:val="180"/>
      <w:marBottom w:val="0"/>
      <w:divBdr>
        <w:top w:val="none" w:sz="0" w:space="0" w:color="auto"/>
        <w:left w:val="none" w:sz="0" w:space="0" w:color="auto"/>
        <w:bottom w:val="none" w:sz="0" w:space="0" w:color="auto"/>
        <w:right w:val="none" w:sz="0" w:space="0" w:color="auto"/>
      </w:divBdr>
    </w:div>
    <w:div w:id="298535731">
      <w:marLeft w:val="0"/>
      <w:marRight w:val="0"/>
      <w:marTop w:val="0"/>
      <w:marBottom w:val="100"/>
      <w:divBdr>
        <w:top w:val="none" w:sz="0" w:space="0" w:color="auto"/>
        <w:left w:val="none" w:sz="0" w:space="0" w:color="auto"/>
        <w:bottom w:val="none" w:sz="0" w:space="0" w:color="auto"/>
        <w:right w:val="none" w:sz="0" w:space="0" w:color="auto"/>
      </w:divBdr>
    </w:div>
    <w:div w:id="301082953">
      <w:marLeft w:val="0"/>
      <w:marRight w:val="0"/>
      <w:marTop w:val="0"/>
      <w:marBottom w:val="100"/>
      <w:divBdr>
        <w:top w:val="none" w:sz="0" w:space="0" w:color="auto"/>
        <w:left w:val="none" w:sz="0" w:space="0" w:color="auto"/>
        <w:bottom w:val="none" w:sz="0" w:space="0" w:color="auto"/>
        <w:right w:val="none" w:sz="0" w:space="0" w:color="auto"/>
      </w:divBdr>
    </w:div>
    <w:div w:id="303003570">
      <w:marLeft w:val="0"/>
      <w:marRight w:val="0"/>
      <w:marTop w:val="0"/>
      <w:marBottom w:val="100"/>
      <w:divBdr>
        <w:top w:val="none" w:sz="0" w:space="0" w:color="auto"/>
        <w:left w:val="none" w:sz="0" w:space="0" w:color="auto"/>
        <w:bottom w:val="none" w:sz="0" w:space="0" w:color="auto"/>
        <w:right w:val="none" w:sz="0" w:space="0" w:color="auto"/>
      </w:divBdr>
    </w:div>
    <w:div w:id="305358412">
      <w:marLeft w:val="0"/>
      <w:marRight w:val="0"/>
      <w:marTop w:val="0"/>
      <w:marBottom w:val="100"/>
      <w:divBdr>
        <w:top w:val="none" w:sz="0" w:space="0" w:color="auto"/>
        <w:left w:val="none" w:sz="0" w:space="0" w:color="auto"/>
        <w:bottom w:val="none" w:sz="0" w:space="0" w:color="auto"/>
        <w:right w:val="none" w:sz="0" w:space="0" w:color="auto"/>
      </w:divBdr>
    </w:div>
    <w:div w:id="305400750">
      <w:marLeft w:val="0"/>
      <w:marRight w:val="0"/>
      <w:marTop w:val="0"/>
      <w:marBottom w:val="0"/>
      <w:divBdr>
        <w:top w:val="none" w:sz="0" w:space="0" w:color="auto"/>
        <w:left w:val="none" w:sz="0" w:space="0" w:color="auto"/>
        <w:bottom w:val="none" w:sz="0" w:space="0" w:color="auto"/>
        <w:right w:val="none" w:sz="0" w:space="0" w:color="auto"/>
      </w:divBdr>
    </w:div>
    <w:div w:id="306671670">
      <w:marLeft w:val="0"/>
      <w:marRight w:val="0"/>
      <w:marTop w:val="180"/>
      <w:marBottom w:val="0"/>
      <w:divBdr>
        <w:top w:val="none" w:sz="0" w:space="0" w:color="auto"/>
        <w:left w:val="none" w:sz="0" w:space="0" w:color="auto"/>
        <w:bottom w:val="none" w:sz="0" w:space="0" w:color="auto"/>
        <w:right w:val="none" w:sz="0" w:space="0" w:color="auto"/>
      </w:divBdr>
      <w:divsChild>
        <w:div w:id="2054694848">
          <w:marLeft w:val="0"/>
          <w:marRight w:val="0"/>
          <w:marTop w:val="0"/>
          <w:marBottom w:val="0"/>
          <w:divBdr>
            <w:top w:val="none" w:sz="0" w:space="0" w:color="auto"/>
            <w:left w:val="none" w:sz="0" w:space="0" w:color="auto"/>
            <w:bottom w:val="none" w:sz="0" w:space="0" w:color="auto"/>
            <w:right w:val="none" w:sz="0" w:space="0" w:color="auto"/>
          </w:divBdr>
        </w:div>
      </w:divsChild>
    </w:div>
    <w:div w:id="311640748">
      <w:marLeft w:val="0"/>
      <w:marRight w:val="0"/>
      <w:marTop w:val="0"/>
      <w:marBottom w:val="100"/>
      <w:divBdr>
        <w:top w:val="none" w:sz="0" w:space="0" w:color="auto"/>
        <w:left w:val="none" w:sz="0" w:space="0" w:color="auto"/>
        <w:bottom w:val="none" w:sz="0" w:space="0" w:color="auto"/>
        <w:right w:val="none" w:sz="0" w:space="0" w:color="auto"/>
      </w:divBdr>
    </w:div>
    <w:div w:id="313530547">
      <w:marLeft w:val="0"/>
      <w:marRight w:val="0"/>
      <w:marTop w:val="180"/>
      <w:marBottom w:val="100"/>
      <w:divBdr>
        <w:top w:val="none" w:sz="0" w:space="0" w:color="auto"/>
        <w:left w:val="none" w:sz="0" w:space="0" w:color="auto"/>
        <w:bottom w:val="none" w:sz="0" w:space="0" w:color="auto"/>
        <w:right w:val="none" w:sz="0" w:space="0" w:color="auto"/>
      </w:divBdr>
    </w:div>
    <w:div w:id="313877084">
      <w:marLeft w:val="0"/>
      <w:marRight w:val="0"/>
      <w:marTop w:val="180"/>
      <w:marBottom w:val="0"/>
      <w:divBdr>
        <w:top w:val="none" w:sz="0" w:space="0" w:color="auto"/>
        <w:left w:val="none" w:sz="0" w:space="0" w:color="auto"/>
        <w:bottom w:val="none" w:sz="0" w:space="0" w:color="auto"/>
        <w:right w:val="none" w:sz="0" w:space="0" w:color="auto"/>
      </w:divBdr>
    </w:div>
    <w:div w:id="314382015">
      <w:marLeft w:val="0"/>
      <w:marRight w:val="0"/>
      <w:marTop w:val="0"/>
      <w:marBottom w:val="0"/>
      <w:divBdr>
        <w:top w:val="none" w:sz="0" w:space="0" w:color="auto"/>
        <w:left w:val="none" w:sz="0" w:space="0" w:color="auto"/>
        <w:bottom w:val="none" w:sz="0" w:space="0" w:color="auto"/>
        <w:right w:val="none" w:sz="0" w:space="0" w:color="auto"/>
      </w:divBdr>
      <w:divsChild>
        <w:div w:id="1701708480">
          <w:marLeft w:val="0"/>
          <w:marRight w:val="0"/>
          <w:marTop w:val="0"/>
          <w:marBottom w:val="0"/>
          <w:divBdr>
            <w:top w:val="none" w:sz="0" w:space="0" w:color="auto"/>
            <w:left w:val="none" w:sz="0" w:space="0" w:color="auto"/>
            <w:bottom w:val="none" w:sz="0" w:space="0" w:color="auto"/>
            <w:right w:val="none" w:sz="0" w:space="0" w:color="auto"/>
          </w:divBdr>
          <w:divsChild>
            <w:div w:id="133949910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315838850">
      <w:marLeft w:val="0"/>
      <w:marRight w:val="0"/>
      <w:marTop w:val="0"/>
      <w:marBottom w:val="100"/>
      <w:divBdr>
        <w:top w:val="none" w:sz="0" w:space="0" w:color="auto"/>
        <w:left w:val="none" w:sz="0" w:space="0" w:color="auto"/>
        <w:bottom w:val="none" w:sz="0" w:space="0" w:color="auto"/>
        <w:right w:val="none" w:sz="0" w:space="0" w:color="auto"/>
      </w:divBdr>
    </w:div>
    <w:div w:id="318963720">
      <w:marLeft w:val="0"/>
      <w:marRight w:val="0"/>
      <w:marTop w:val="0"/>
      <w:marBottom w:val="100"/>
      <w:divBdr>
        <w:top w:val="none" w:sz="0" w:space="0" w:color="auto"/>
        <w:left w:val="none" w:sz="0" w:space="0" w:color="auto"/>
        <w:bottom w:val="none" w:sz="0" w:space="0" w:color="auto"/>
        <w:right w:val="none" w:sz="0" w:space="0" w:color="auto"/>
      </w:divBdr>
    </w:div>
    <w:div w:id="323556404">
      <w:marLeft w:val="0"/>
      <w:marRight w:val="0"/>
      <w:marTop w:val="0"/>
      <w:marBottom w:val="100"/>
      <w:divBdr>
        <w:top w:val="none" w:sz="0" w:space="0" w:color="auto"/>
        <w:left w:val="none" w:sz="0" w:space="0" w:color="auto"/>
        <w:bottom w:val="none" w:sz="0" w:space="0" w:color="auto"/>
        <w:right w:val="none" w:sz="0" w:space="0" w:color="auto"/>
      </w:divBdr>
    </w:div>
    <w:div w:id="327707239">
      <w:marLeft w:val="0"/>
      <w:marRight w:val="0"/>
      <w:marTop w:val="0"/>
      <w:marBottom w:val="100"/>
      <w:divBdr>
        <w:top w:val="none" w:sz="0" w:space="0" w:color="auto"/>
        <w:left w:val="none" w:sz="0" w:space="0" w:color="auto"/>
        <w:bottom w:val="none" w:sz="0" w:space="0" w:color="auto"/>
        <w:right w:val="none" w:sz="0" w:space="0" w:color="auto"/>
      </w:divBdr>
    </w:div>
    <w:div w:id="329453261">
      <w:marLeft w:val="0"/>
      <w:marRight w:val="0"/>
      <w:marTop w:val="0"/>
      <w:marBottom w:val="100"/>
      <w:divBdr>
        <w:top w:val="none" w:sz="0" w:space="0" w:color="auto"/>
        <w:left w:val="none" w:sz="0" w:space="0" w:color="auto"/>
        <w:bottom w:val="none" w:sz="0" w:space="0" w:color="auto"/>
        <w:right w:val="none" w:sz="0" w:space="0" w:color="auto"/>
      </w:divBdr>
    </w:div>
    <w:div w:id="330376273">
      <w:marLeft w:val="0"/>
      <w:marRight w:val="0"/>
      <w:marTop w:val="0"/>
      <w:marBottom w:val="100"/>
      <w:divBdr>
        <w:top w:val="none" w:sz="0" w:space="0" w:color="auto"/>
        <w:left w:val="none" w:sz="0" w:space="0" w:color="auto"/>
        <w:bottom w:val="none" w:sz="0" w:space="0" w:color="auto"/>
        <w:right w:val="none" w:sz="0" w:space="0" w:color="auto"/>
      </w:divBdr>
    </w:div>
    <w:div w:id="330642594">
      <w:marLeft w:val="0"/>
      <w:marRight w:val="0"/>
      <w:marTop w:val="0"/>
      <w:marBottom w:val="100"/>
      <w:divBdr>
        <w:top w:val="none" w:sz="0" w:space="0" w:color="auto"/>
        <w:left w:val="none" w:sz="0" w:space="0" w:color="auto"/>
        <w:bottom w:val="none" w:sz="0" w:space="0" w:color="auto"/>
        <w:right w:val="none" w:sz="0" w:space="0" w:color="auto"/>
      </w:divBdr>
    </w:div>
    <w:div w:id="331760478">
      <w:marLeft w:val="0"/>
      <w:marRight w:val="0"/>
      <w:marTop w:val="0"/>
      <w:marBottom w:val="100"/>
      <w:divBdr>
        <w:top w:val="none" w:sz="0" w:space="0" w:color="auto"/>
        <w:left w:val="none" w:sz="0" w:space="0" w:color="auto"/>
        <w:bottom w:val="none" w:sz="0" w:space="0" w:color="auto"/>
        <w:right w:val="none" w:sz="0" w:space="0" w:color="auto"/>
      </w:divBdr>
    </w:div>
    <w:div w:id="333530180">
      <w:marLeft w:val="0"/>
      <w:marRight w:val="0"/>
      <w:marTop w:val="0"/>
      <w:marBottom w:val="100"/>
      <w:divBdr>
        <w:top w:val="none" w:sz="0" w:space="0" w:color="auto"/>
        <w:left w:val="none" w:sz="0" w:space="0" w:color="auto"/>
        <w:bottom w:val="none" w:sz="0" w:space="0" w:color="auto"/>
        <w:right w:val="none" w:sz="0" w:space="0" w:color="auto"/>
      </w:divBdr>
    </w:div>
    <w:div w:id="334572052">
      <w:marLeft w:val="0"/>
      <w:marRight w:val="0"/>
      <w:marTop w:val="180"/>
      <w:marBottom w:val="0"/>
      <w:divBdr>
        <w:top w:val="none" w:sz="0" w:space="0" w:color="auto"/>
        <w:left w:val="none" w:sz="0" w:space="0" w:color="auto"/>
        <w:bottom w:val="none" w:sz="0" w:space="0" w:color="auto"/>
        <w:right w:val="none" w:sz="0" w:space="0" w:color="auto"/>
      </w:divBdr>
    </w:div>
    <w:div w:id="336731159">
      <w:marLeft w:val="0"/>
      <w:marRight w:val="0"/>
      <w:marTop w:val="0"/>
      <w:marBottom w:val="0"/>
      <w:divBdr>
        <w:top w:val="none" w:sz="0" w:space="0" w:color="auto"/>
        <w:left w:val="none" w:sz="0" w:space="0" w:color="auto"/>
        <w:bottom w:val="none" w:sz="0" w:space="0" w:color="auto"/>
        <w:right w:val="none" w:sz="0" w:space="0" w:color="auto"/>
      </w:divBdr>
      <w:divsChild>
        <w:div w:id="1484394274">
          <w:marLeft w:val="0"/>
          <w:marRight w:val="0"/>
          <w:marTop w:val="0"/>
          <w:marBottom w:val="100"/>
          <w:divBdr>
            <w:top w:val="none" w:sz="0" w:space="0" w:color="auto"/>
            <w:left w:val="none" w:sz="0" w:space="0" w:color="auto"/>
            <w:bottom w:val="none" w:sz="0" w:space="0" w:color="auto"/>
            <w:right w:val="none" w:sz="0" w:space="0" w:color="auto"/>
          </w:divBdr>
        </w:div>
      </w:divsChild>
    </w:div>
    <w:div w:id="336883049">
      <w:marLeft w:val="0"/>
      <w:marRight w:val="0"/>
      <w:marTop w:val="0"/>
      <w:marBottom w:val="0"/>
      <w:divBdr>
        <w:top w:val="none" w:sz="0" w:space="0" w:color="auto"/>
        <w:left w:val="none" w:sz="0" w:space="0" w:color="auto"/>
        <w:bottom w:val="none" w:sz="0" w:space="0" w:color="auto"/>
        <w:right w:val="none" w:sz="0" w:space="0" w:color="auto"/>
      </w:divBdr>
      <w:divsChild>
        <w:div w:id="1885560178">
          <w:marLeft w:val="0"/>
          <w:marRight w:val="0"/>
          <w:marTop w:val="0"/>
          <w:marBottom w:val="100"/>
          <w:divBdr>
            <w:top w:val="none" w:sz="0" w:space="0" w:color="auto"/>
            <w:left w:val="none" w:sz="0" w:space="0" w:color="auto"/>
            <w:bottom w:val="none" w:sz="0" w:space="0" w:color="auto"/>
            <w:right w:val="none" w:sz="0" w:space="0" w:color="auto"/>
          </w:divBdr>
        </w:div>
      </w:divsChild>
    </w:div>
    <w:div w:id="338846974">
      <w:marLeft w:val="0"/>
      <w:marRight w:val="0"/>
      <w:marTop w:val="0"/>
      <w:marBottom w:val="100"/>
      <w:divBdr>
        <w:top w:val="none" w:sz="0" w:space="0" w:color="auto"/>
        <w:left w:val="none" w:sz="0" w:space="0" w:color="auto"/>
        <w:bottom w:val="none" w:sz="0" w:space="0" w:color="auto"/>
        <w:right w:val="none" w:sz="0" w:space="0" w:color="auto"/>
      </w:divBdr>
    </w:div>
    <w:div w:id="340091319">
      <w:marLeft w:val="0"/>
      <w:marRight w:val="0"/>
      <w:marTop w:val="180"/>
      <w:marBottom w:val="0"/>
      <w:divBdr>
        <w:top w:val="none" w:sz="0" w:space="0" w:color="auto"/>
        <w:left w:val="none" w:sz="0" w:space="0" w:color="auto"/>
        <w:bottom w:val="none" w:sz="0" w:space="0" w:color="auto"/>
        <w:right w:val="none" w:sz="0" w:space="0" w:color="auto"/>
      </w:divBdr>
    </w:div>
    <w:div w:id="340738706">
      <w:marLeft w:val="0"/>
      <w:marRight w:val="0"/>
      <w:marTop w:val="0"/>
      <w:marBottom w:val="100"/>
      <w:divBdr>
        <w:top w:val="none" w:sz="0" w:space="0" w:color="auto"/>
        <w:left w:val="none" w:sz="0" w:space="0" w:color="auto"/>
        <w:bottom w:val="none" w:sz="0" w:space="0" w:color="auto"/>
        <w:right w:val="none" w:sz="0" w:space="0" w:color="auto"/>
      </w:divBdr>
    </w:div>
    <w:div w:id="341667240">
      <w:marLeft w:val="0"/>
      <w:marRight w:val="0"/>
      <w:marTop w:val="0"/>
      <w:marBottom w:val="100"/>
      <w:divBdr>
        <w:top w:val="none" w:sz="0" w:space="0" w:color="auto"/>
        <w:left w:val="none" w:sz="0" w:space="0" w:color="auto"/>
        <w:bottom w:val="none" w:sz="0" w:space="0" w:color="auto"/>
        <w:right w:val="none" w:sz="0" w:space="0" w:color="auto"/>
      </w:divBdr>
    </w:div>
    <w:div w:id="341709873">
      <w:marLeft w:val="0"/>
      <w:marRight w:val="0"/>
      <w:marTop w:val="0"/>
      <w:marBottom w:val="100"/>
      <w:divBdr>
        <w:top w:val="none" w:sz="0" w:space="0" w:color="auto"/>
        <w:left w:val="none" w:sz="0" w:space="0" w:color="auto"/>
        <w:bottom w:val="none" w:sz="0" w:space="0" w:color="auto"/>
        <w:right w:val="none" w:sz="0" w:space="0" w:color="auto"/>
      </w:divBdr>
    </w:div>
    <w:div w:id="342099499">
      <w:marLeft w:val="0"/>
      <w:marRight w:val="0"/>
      <w:marTop w:val="0"/>
      <w:marBottom w:val="0"/>
      <w:divBdr>
        <w:top w:val="none" w:sz="0" w:space="0" w:color="auto"/>
        <w:left w:val="none" w:sz="0" w:space="0" w:color="auto"/>
        <w:bottom w:val="none" w:sz="0" w:space="0" w:color="auto"/>
        <w:right w:val="none" w:sz="0" w:space="0" w:color="auto"/>
      </w:divBdr>
    </w:div>
    <w:div w:id="342902483">
      <w:marLeft w:val="0"/>
      <w:marRight w:val="0"/>
      <w:marTop w:val="0"/>
      <w:marBottom w:val="100"/>
      <w:divBdr>
        <w:top w:val="none" w:sz="0" w:space="0" w:color="auto"/>
        <w:left w:val="none" w:sz="0" w:space="0" w:color="auto"/>
        <w:bottom w:val="none" w:sz="0" w:space="0" w:color="auto"/>
        <w:right w:val="none" w:sz="0" w:space="0" w:color="auto"/>
      </w:divBdr>
    </w:div>
    <w:div w:id="344526265">
      <w:marLeft w:val="0"/>
      <w:marRight w:val="0"/>
      <w:marTop w:val="0"/>
      <w:marBottom w:val="0"/>
      <w:divBdr>
        <w:top w:val="none" w:sz="0" w:space="0" w:color="auto"/>
        <w:left w:val="none" w:sz="0" w:space="0" w:color="auto"/>
        <w:bottom w:val="none" w:sz="0" w:space="0" w:color="auto"/>
        <w:right w:val="none" w:sz="0" w:space="0" w:color="auto"/>
      </w:divBdr>
      <w:divsChild>
        <w:div w:id="452872027">
          <w:marLeft w:val="0"/>
          <w:marRight w:val="0"/>
          <w:marTop w:val="0"/>
          <w:marBottom w:val="100"/>
          <w:divBdr>
            <w:top w:val="none" w:sz="0" w:space="0" w:color="auto"/>
            <w:left w:val="none" w:sz="0" w:space="0" w:color="auto"/>
            <w:bottom w:val="none" w:sz="0" w:space="0" w:color="auto"/>
            <w:right w:val="none" w:sz="0" w:space="0" w:color="auto"/>
          </w:divBdr>
        </w:div>
      </w:divsChild>
    </w:div>
    <w:div w:id="344942144">
      <w:marLeft w:val="0"/>
      <w:marRight w:val="0"/>
      <w:marTop w:val="0"/>
      <w:marBottom w:val="0"/>
      <w:divBdr>
        <w:top w:val="none" w:sz="0" w:space="0" w:color="auto"/>
        <w:left w:val="none" w:sz="0" w:space="0" w:color="auto"/>
        <w:bottom w:val="none" w:sz="0" w:space="0" w:color="auto"/>
        <w:right w:val="none" w:sz="0" w:space="0" w:color="auto"/>
      </w:divBdr>
    </w:div>
    <w:div w:id="345060744">
      <w:marLeft w:val="0"/>
      <w:marRight w:val="0"/>
      <w:marTop w:val="0"/>
      <w:marBottom w:val="100"/>
      <w:divBdr>
        <w:top w:val="none" w:sz="0" w:space="0" w:color="auto"/>
        <w:left w:val="none" w:sz="0" w:space="0" w:color="auto"/>
        <w:bottom w:val="none" w:sz="0" w:space="0" w:color="auto"/>
        <w:right w:val="none" w:sz="0" w:space="0" w:color="auto"/>
      </w:divBdr>
    </w:div>
    <w:div w:id="347290747">
      <w:marLeft w:val="0"/>
      <w:marRight w:val="0"/>
      <w:marTop w:val="180"/>
      <w:marBottom w:val="0"/>
      <w:divBdr>
        <w:top w:val="none" w:sz="0" w:space="0" w:color="auto"/>
        <w:left w:val="none" w:sz="0" w:space="0" w:color="auto"/>
        <w:bottom w:val="none" w:sz="0" w:space="0" w:color="auto"/>
        <w:right w:val="none" w:sz="0" w:space="0" w:color="auto"/>
      </w:divBdr>
    </w:div>
    <w:div w:id="351761079">
      <w:marLeft w:val="0"/>
      <w:marRight w:val="0"/>
      <w:marTop w:val="0"/>
      <w:marBottom w:val="0"/>
      <w:divBdr>
        <w:top w:val="none" w:sz="0" w:space="0" w:color="auto"/>
        <w:left w:val="none" w:sz="0" w:space="0" w:color="auto"/>
        <w:bottom w:val="none" w:sz="0" w:space="0" w:color="auto"/>
        <w:right w:val="none" w:sz="0" w:space="0" w:color="auto"/>
      </w:divBdr>
      <w:divsChild>
        <w:div w:id="2072999781">
          <w:marLeft w:val="0"/>
          <w:marRight w:val="0"/>
          <w:marTop w:val="0"/>
          <w:marBottom w:val="0"/>
          <w:divBdr>
            <w:top w:val="none" w:sz="0" w:space="0" w:color="auto"/>
            <w:left w:val="none" w:sz="0" w:space="0" w:color="auto"/>
            <w:bottom w:val="none" w:sz="0" w:space="0" w:color="auto"/>
            <w:right w:val="none" w:sz="0" w:space="0" w:color="auto"/>
          </w:divBdr>
          <w:divsChild>
            <w:div w:id="45082777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352535734">
      <w:marLeft w:val="0"/>
      <w:marRight w:val="0"/>
      <w:marTop w:val="0"/>
      <w:marBottom w:val="0"/>
      <w:divBdr>
        <w:top w:val="none" w:sz="0" w:space="0" w:color="auto"/>
        <w:left w:val="none" w:sz="0" w:space="0" w:color="auto"/>
        <w:bottom w:val="none" w:sz="0" w:space="0" w:color="auto"/>
        <w:right w:val="none" w:sz="0" w:space="0" w:color="auto"/>
      </w:divBdr>
      <w:divsChild>
        <w:div w:id="922449739">
          <w:marLeft w:val="0"/>
          <w:marRight w:val="0"/>
          <w:marTop w:val="0"/>
          <w:marBottom w:val="100"/>
          <w:divBdr>
            <w:top w:val="none" w:sz="0" w:space="0" w:color="auto"/>
            <w:left w:val="none" w:sz="0" w:space="0" w:color="auto"/>
            <w:bottom w:val="none" w:sz="0" w:space="0" w:color="auto"/>
            <w:right w:val="none" w:sz="0" w:space="0" w:color="auto"/>
          </w:divBdr>
        </w:div>
      </w:divsChild>
    </w:div>
    <w:div w:id="353505349">
      <w:marLeft w:val="0"/>
      <w:marRight w:val="0"/>
      <w:marTop w:val="0"/>
      <w:marBottom w:val="0"/>
      <w:divBdr>
        <w:top w:val="none" w:sz="0" w:space="0" w:color="auto"/>
        <w:left w:val="none" w:sz="0" w:space="0" w:color="auto"/>
        <w:bottom w:val="none" w:sz="0" w:space="0" w:color="auto"/>
        <w:right w:val="none" w:sz="0" w:space="0" w:color="auto"/>
      </w:divBdr>
      <w:divsChild>
        <w:div w:id="27144900">
          <w:marLeft w:val="0"/>
          <w:marRight w:val="0"/>
          <w:marTop w:val="0"/>
          <w:marBottom w:val="100"/>
          <w:divBdr>
            <w:top w:val="none" w:sz="0" w:space="0" w:color="auto"/>
            <w:left w:val="none" w:sz="0" w:space="0" w:color="auto"/>
            <w:bottom w:val="none" w:sz="0" w:space="0" w:color="auto"/>
            <w:right w:val="none" w:sz="0" w:space="0" w:color="auto"/>
          </w:divBdr>
        </w:div>
      </w:divsChild>
    </w:div>
    <w:div w:id="354044029">
      <w:marLeft w:val="0"/>
      <w:marRight w:val="0"/>
      <w:marTop w:val="180"/>
      <w:marBottom w:val="0"/>
      <w:divBdr>
        <w:top w:val="none" w:sz="0" w:space="0" w:color="auto"/>
        <w:left w:val="none" w:sz="0" w:space="0" w:color="auto"/>
        <w:bottom w:val="none" w:sz="0" w:space="0" w:color="auto"/>
        <w:right w:val="none" w:sz="0" w:space="0" w:color="auto"/>
      </w:divBdr>
    </w:div>
    <w:div w:id="355545811">
      <w:marLeft w:val="0"/>
      <w:marRight w:val="0"/>
      <w:marTop w:val="0"/>
      <w:marBottom w:val="0"/>
      <w:divBdr>
        <w:top w:val="none" w:sz="0" w:space="0" w:color="auto"/>
        <w:left w:val="none" w:sz="0" w:space="0" w:color="auto"/>
        <w:bottom w:val="none" w:sz="0" w:space="0" w:color="auto"/>
        <w:right w:val="none" w:sz="0" w:space="0" w:color="auto"/>
      </w:divBdr>
      <w:divsChild>
        <w:div w:id="915671668">
          <w:marLeft w:val="0"/>
          <w:marRight w:val="0"/>
          <w:marTop w:val="0"/>
          <w:marBottom w:val="0"/>
          <w:divBdr>
            <w:top w:val="none" w:sz="0" w:space="0" w:color="auto"/>
            <w:left w:val="none" w:sz="0" w:space="0" w:color="auto"/>
            <w:bottom w:val="none" w:sz="0" w:space="0" w:color="auto"/>
            <w:right w:val="none" w:sz="0" w:space="0" w:color="auto"/>
          </w:divBdr>
          <w:divsChild>
            <w:div w:id="122395439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357463535">
      <w:marLeft w:val="0"/>
      <w:marRight w:val="0"/>
      <w:marTop w:val="0"/>
      <w:marBottom w:val="0"/>
      <w:divBdr>
        <w:top w:val="none" w:sz="0" w:space="0" w:color="auto"/>
        <w:left w:val="none" w:sz="0" w:space="0" w:color="auto"/>
        <w:bottom w:val="none" w:sz="0" w:space="0" w:color="auto"/>
        <w:right w:val="none" w:sz="0" w:space="0" w:color="auto"/>
      </w:divBdr>
      <w:divsChild>
        <w:div w:id="538474862">
          <w:marLeft w:val="0"/>
          <w:marRight w:val="0"/>
          <w:marTop w:val="0"/>
          <w:marBottom w:val="0"/>
          <w:divBdr>
            <w:top w:val="none" w:sz="0" w:space="0" w:color="auto"/>
            <w:left w:val="none" w:sz="0" w:space="0" w:color="auto"/>
            <w:bottom w:val="none" w:sz="0" w:space="0" w:color="auto"/>
            <w:right w:val="none" w:sz="0" w:space="0" w:color="auto"/>
          </w:divBdr>
          <w:divsChild>
            <w:div w:id="114519614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358162167">
      <w:marLeft w:val="0"/>
      <w:marRight w:val="0"/>
      <w:marTop w:val="0"/>
      <w:marBottom w:val="100"/>
      <w:divBdr>
        <w:top w:val="none" w:sz="0" w:space="0" w:color="auto"/>
        <w:left w:val="none" w:sz="0" w:space="0" w:color="auto"/>
        <w:bottom w:val="none" w:sz="0" w:space="0" w:color="auto"/>
        <w:right w:val="none" w:sz="0" w:space="0" w:color="auto"/>
      </w:divBdr>
    </w:div>
    <w:div w:id="360518783">
      <w:marLeft w:val="0"/>
      <w:marRight w:val="0"/>
      <w:marTop w:val="0"/>
      <w:marBottom w:val="0"/>
      <w:divBdr>
        <w:top w:val="none" w:sz="0" w:space="0" w:color="auto"/>
        <w:left w:val="none" w:sz="0" w:space="0" w:color="auto"/>
        <w:bottom w:val="none" w:sz="0" w:space="0" w:color="auto"/>
        <w:right w:val="none" w:sz="0" w:space="0" w:color="auto"/>
      </w:divBdr>
      <w:divsChild>
        <w:div w:id="1839422234">
          <w:marLeft w:val="0"/>
          <w:marRight w:val="0"/>
          <w:marTop w:val="0"/>
          <w:marBottom w:val="0"/>
          <w:divBdr>
            <w:top w:val="none" w:sz="0" w:space="0" w:color="auto"/>
            <w:left w:val="none" w:sz="0" w:space="0" w:color="auto"/>
            <w:bottom w:val="none" w:sz="0" w:space="0" w:color="auto"/>
            <w:right w:val="none" w:sz="0" w:space="0" w:color="auto"/>
          </w:divBdr>
          <w:divsChild>
            <w:div w:id="67445755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362943693">
      <w:marLeft w:val="0"/>
      <w:marRight w:val="0"/>
      <w:marTop w:val="0"/>
      <w:marBottom w:val="100"/>
      <w:divBdr>
        <w:top w:val="none" w:sz="0" w:space="0" w:color="auto"/>
        <w:left w:val="none" w:sz="0" w:space="0" w:color="auto"/>
        <w:bottom w:val="none" w:sz="0" w:space="0" w:color="auto"/>
        <w:right w:val="none" w:sz="0" w:space="0" w:color="auto"/>
      </w:divBdr>
    </w:div>
    <w:div w:id="363218007">
      <w:marLeft w:val="0"/>
      <w:marRight w:val="0"/>
      <w:marTop w:val="0"/>
      <w:marBottom w:val="100"/>
      <w:divBdr>
        <w:top w:val="none" w:sz="0" w:space="0" w:color="auto"/>
        <w:left w:val="none" w:sz="0" w:space="0" w:color="auto"/>
        <w:bottom w:val="none" w:sz="0" w:space="0" w:color="auto"/>
        <w:right w:val="none" w:sz="0" w:space="0" w:color="auto"/>
      </w:divBdr>
    </w:div>
    <w:div w:id="363482682">
      <w:marLeft w:val="0"/>
      <w:marRight w:val="0"/>
      <w:marTop w:val="0"/>
      <w:marBottom w:val="100"/>
      <w:divBdr>
        <w:top w:val="none" w:sz="0" w:space="0" w:color="auto"/>
        <w:left w:val="none" w:sz="0" w:space="0" w:color="auto"/>
        <w:bottom w:val="none" w:sz="0" w:space="0" w:color="auto"/>
        <w:right w:val="none" w:sz="0" w:space="0" w:color="auto"/>
      </w:divBdr>
    </w:div>
    <w:div w:id="363943439">
      <w:marLeft w:val="0"/>
      <w:marRight w:val="0"/>
      <w:marTop w:val="180"/>
      <w:marBottom w:val="0"/>
      <w:divBdr>
        <w:top w:val="none" w:sz="0" w:space="0" w:color="auto"/>
        <w:left w:val="none" w:sz="0" w:space="0" w:color="auto"/>
        <w:bottom w:val="none" w:sz="0" w:space="0" w:color="auto"/>
        <w:right w:val="none" w:sz="0" w:space="0" w:color="auto"/>
      </w:divBdr>
    </w:div>
    <w:div w:id="365521930">
      <w:marLeft w:val="0"/>
      <w:marRight w:val="0"/>
      <w:marTop w:val="0"/>
      <w:marBottom w:val="100"/>
      <w:divBdr>
        <w:top w:val="none" w:sz="0" w:space="0" w:color="auto"/>
        <w:left w:val="none" w:sz="0" w:space="0" w:color="auto"/>
        <w:bottom w:val="none" w:sz="0" w:space="0" w:color="auto"/>
        <w:right w:val="none" w:sz="0" w:space="0" w:color="auto"/>
      </w:divBdr>
    </w:div>
    <w:div w:id="366104819">
      <w:marLeft w:val="0"/>
      <w:marRight w:val="0"/>
      <w:marTop w:val="180"/>
      <w:marBottom w:val="0"/>
      <w:divBdr>
        <w:top w:val="none" w:sz="0" w:space="0" w:color="auto"/>
        <w:left w:val="none" w:sz="0" w:space="0" w:color="auto"/>
        <w:bottom w:val="none" w:sz="0" w:space="0" w:color="auto"/>
        <w:right w:val="none" w:sz="0" w:space="0" w:color="auto"/>
      </w:divBdr>
    </w:div>
    <w:div w:id="373969592">
      <w:marLeft w:val="0"/>
      <w:marRight w:val="0"/>
      <w:marTop w:val="0"/>
      <w:marBottom w:val="0"/>
      <w:divBdr>
        <w:top w:val="none" w:sz="0" w:space="0" w:color="auto"/>
        <w:left w:val="none" w:sz="0" w:space="0" w:color="auto"/>
        <w:bottom w:val="none" w:sz="0" w:space="0" w:color="auto"/>
        <w:right w:val="none" w:sz="0" w:space="0" w:color="auto"/>
      </w:divBdr>
    </w:div>
    <w:div w:id="375471150">
      <w:marLeft w:val="0"/>
      <w:marRight w:val="0"/>
      <w:marTop w:val="0"/>
      <w:marBottom w:val="100"/>
      <w:divBdr>
        <w:top w:val="none" w:sz="0" w:space="0" w:color="auto"/>
        <w:left w:val="none" w:sz="0" w:space="0" w:color="auto"/>
        <w:bottom w:val="none" w:sz="0" w:space="0" w:color="auto"/>
        <w:right w:val="none" w:sz="0" w:space="0" w:color="auto"/>
      </w:divBdr>
    </w:div>
    <w:div w:id="376709279">
      <w:marLeft w:val="0"/>
      <w:marRight w:val="0"/>
      <w:marTop w:val="0"/>
      <w:marBottom w:val="0"/>
      <w:divBdr>
        <w:top w:val="none" w:sz="0" w:space="0" w:color="auto"/>
        <w:left w:val="none" w:sz="0" w:space="0" w:color="auto"/>
        <w:bottom w:val="none" w:sz="0" w:space="0" w:color="auto"/>
        <w:right w:val="none" w:sz="0" w:space="0" w:color="auto"/>
      </w:divBdr>
    </w:div>
    <w:div w:id="379551710">
      <w:marLeft w:val="0"/>
      <w:marRight w:val="0"/>
      <w:marTop w:val="0"/>
      <w:marBottom w:val="100"/>
      <w:divBdr>
        <w:top w:val="none" w:sz="0" w:space="0" w:color="auto"/>
        <w:left w:val="none" w:sz="0" w:space="0" w:color="auto"/>
        <w:bottom w:val="none" w:sz="0" w:space="0" w:color="auto"/>
        <w:right w:val="none" w:sz="0" w:space="0" w:color="auto"/>
      </w:divBdr>
    </w:div>
    <w:div w:id="379980810">
      <w:marLeft w:val="0"/>
      <w:marRight w:val="0"/>
      <w:marTop w:val="0"/>
      <w:marBottom w:val="0"/>
      <w:divBdr>
        <w:top w:val="none" w:sz="0" w:space="0" w:color="auto"/>
        <w:left w:val="none" w:sz="0" w:space="0" w:color="auto"/>
        <w:bottom w:val="none" w:sz="0" w:space="0" w:color="auto"/>
        <w:right w:val="none" w:sz="0" w:space="0" w:color="auto"/>
      </w:divBdr>
      <w:divsChild>
        <w:div w:id="372773196">
          <w:marLeft w:val="0"/>
          <w:marRight w:val="0"/>
          <w:marTop w:val="0"/>
          <w:marBottom w:val="100"/>
          <w:divBdr>
            <w:top w:val="none" w:sz="0" w:space="0" w:color="auto"/>
            <w:left w:val="none" w:sz="0" w:space="0" w:color="auto"/>
            <w:bottom w:val="none" w:sz="0" w:space="0" w:color="auto"/>
            <w:right w:val="none" w:sz="0" w:space="0" w:color="auto"/>
          </w:divBdr>
        </w:div>
      </w:divsChild>
    </w:div>
    <w:div w:id="382288015">
      <w:marLeft w:val="0"/>
      <w:marRight w:val="0"/>
      <w:marTop w:val="0"/>
      <w:marBottom w:val="100"/>
      <w:divBdr>
        <w:top w:val="none" w:sz="0" w:space="0" w:color="auto"/>
        <w:left w:val="none" w:sz="0" w:space="0" w:color="auto"/>
        <w:bottom w:val="none" w:sz="0" w:space="0" w:color="auto"/>
        <w:right w:val="none" w:sz="0" w:space="0" w:color="auto"/>
      </w:divBdr>
    </w:div>
    <w:div w:id="383405096">
      <w:marLeft w:val="0"/>
      <w:marRight w:val="0"/>
      <w:marTop w:val="0"/>
      <w:marBottom w:val="100"/>
      <w:divBdr>
        <w:top w:val="none" w:sz="0" w:space="0" w:color="auto"/>
        <w:left w:val="none" w:sz="0" w:space="0" w:color="auto"/>
        <w:bottom w:val="none" w:sz="0" w:space="0" w:color="auto"/>
        <w:right w:val="none" w:sz="0" w:space="0" w:color="auto"/>
      </w:divBdr>
    </w:div>
    <w:div w:id="383407011">
      <w:marLeft w:val="0"/>
      <w:marRight w:val="0"/>
      <w:marTop w:val="0"/>
      <w:marBottom w:val="100"/>
      <w:divBdr>
        <w:top w:val="none" w:sz="0" w:space="0" w:color="auto"/>
        <w:left w:val="none" w:sz="0" w:space="0" w:color="auto"/>
        <w:bottom w:val="none" w:sz="0" w:space="0" w:color="auto"/>
        <w:right w:val="none" w:sz="0" w:space="0" w:color="auto"/>
      </w:divBdr>
    </w:div>
    <w:div w:id="383529464">
      <w:marLeft w:val="0"/>
      <w:marRight w:val="0"/>
      <w:marTop w:val="180"/>
      <w:marBottom w:val="0"/>
      <w:divBdr>
        <w:top w:val="none" w:sz="0" w:space="0" w:color="auto"/>
        <w:left w:val="none" w:sz="0" w:space="0" w:color="auto"/>
        <w:bottom w:val="none" w:sz="0" w:space="0" w:color="auto"/>
        <w:right w:val="none" w:sz="0" w:space="0" w:color="auto"/>
      </w:divBdr>
    </w:div>
    <w:div w:id="383797095">
      <w:marLeft w:val="0"/>
      <w:marRight w:val="0"/>
      <w:marTop w:val="0"/>
      <w:marBottom w:val="100"/>
      <w:divBdr>
        <w:top w:val="none" w:sz="0" w:space="0" w:color="auto"/>
        <w:left w:val="none" w:sz="0" w:space="0" w:color="auto"/>
        <w:bottom w:val="none" w:sz="0" w:space="0" w:color="auto"/>
        <w:right w:val="none" w:sz="0" w:space="0" w:color="auto"/>
      </w:divBdr>
    </w:div>
    <w:div w:id="385027571">
      <w:marLeft w:val="0"/>
      <w:marRight w:val="0"/>
      <w:marTop w:val="0"/>
      <w:marBottom w:val="100"/>
      <w:divBdr>
        <w:top w:val="none" w:sz="0" w:space="0" w:color="auto"/>
        <w:left w:val="none" w:sz="0" w:space="0" w:color="auto"/>
        <w:bottom w:val="none" w:sz="0" w:space="0" w:color="auto"/>
        <w:right w:val="none" w:sz="0" w:space="0" w:color="auto"/>
      </w:divBdr>
    </w:div>
    <w:div w:id="387916599">
      <w:marLeft w:val="0"/>
      <w:marRight w:val="0"/>
      <w:marTop w:val="0"/>
      <w:marBottom w:val="0"/>
      <w:divBdr>
        <w:top w:val="none" w:sz="0" w:space="0" w:color="auto"/>
        <w:left w:val="none" w:sz="0" w:space="0" w:color="auto"/>
        <w:bottom w:val="none" w:sz="0" w:space="0" w:color="auto"/>
        <w:right w:val="none" w:sz="0" w:space="0" w:color="auto"/>
      </w:divBdr>
      <w:divsChild>
        <w:div w:id="1296519214">
          <w:marLeft w:val="0"/>
          <w:marRight w:val="0"/>
          <w:marTop w:val="0"/>
          <w:marBottom w:val="0"/>
          <w:divBdr>
            <w:top w:val="none" w:sz="0" w:space="0" w:color="auto"/>
            <w:left w:val="none" w:sz="0" w:space="0" w:color="auto"/>
            <w:bottom w:val="none" w:sz="0" w:space="0" w:color="auto"/>
            <w:right w:val="none" w:sz="0" w:space="0" w:color="auto"/>
          </w:divBdr>
          <w:divsChild>
            <w:div w:id="30481872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389229096">
      <w:marLeft w:val="0"/>
      <w:marRight w:val="0"/>
      <w:marTop w:val="0"/>
      <w:marBottom w:val="100"/>
      <w:divBdr>
        <w:top w:val="none" w:sz="0" w:space="0" w:color="auto"/>
        <w:left w:val="none" w:sz="0" w:space="0" w:color="auto"/>
        <w:bottom w:val="none" w:sz="0" w:space="0" w:color="auto"/>
        <w:right w:val="none" w:sz="0" w:space="0" w:color="auto"/>
      </w:divBdr>
    </w:div>
    <w:div w:id="389690355">
      <w:marLeft w:val="0"/>
      <w:marRight w:val="0"/>
      <w:marTop w:val="180"/>
      <w:marBottom w:val="0"/>
      <w:divBdr>
        <w:top w:val="none" w:sz="0" w:space="0" w:color="auto"/>
        <w:left w:val="none" w:sz="0" w:space="0" w:color="auto"/>
        <w:bottom w:val="none" w:sz="0" w:space="0" w:color="auto"/>
        <w:right w:val="none" w:sz="0" w:space="0" w:color="auto"/>
      </w:divBdr>
    </w:div>
    <w:div w:id="391656709">
      <w:marLeft w:val="0"/>
      <w:marRight w:val="0"/>
      <w:marTop w:val="0"/>
      <w:marBottom w:val="100"/>
      <w:divBdr>
        <w:top w:val="none" w:sz="0" w:space="0" w:color="auto"/>
        <w:left w:val="none" w:sz="0" w:space="0" w:color="auto"/>
        <w:bottom w:val="none" w:sz="0" w:space="0" w:color="auto"/>
        <w:right w:val="none" w:sz="0" w:space="0" w:color="auto"/>
      </w:divBdr>
    </w:div>
    <w:div w:id="392168572">
      <w:marLeft w:val="0"/>
      <w:marRight w:val="0"/>
      <w:marTop w:val="0"/>
      <w:marBottom w:val="100"/>
      <w:divBdr>
        <w:top w:val="none" w:sz="0" w:space="0" w:color="auto"/>
        <w:left w:val="none" w:sz="0" w:space="0" w:color="auto"/>
        <w:bottom w:val="none" w:sz="0" w:space="0" w:color="auto"/>
        <w:right w:val="none" w:sz="0" w:space="0" w:color="auto"/>
      </w:divBdr>
    </w:div>
    <w:div w:id="392506607">
      <w:marLeft w:val="0"/>
      <w:marRight w:val="0"/>
      <w:marTop w:val="0"/>
      <w:marBottom w:val="0"/>
      <w:divBdr>
        <w:top w:val="none" w:sz="0" w:space="0" w:color="auto"/>
        <w:left w:val="none" w:sz="0" w:space="0" w:color="auto"/>
        <w:bottom w:val="none" w:sz="0" w:space="0" w:color="auto"/>
        <w:right w:val="none" w:sz="0" w:space="0" w:color="auto"/>
      </w:divBdr>
    </w:div>
    <w:div w:id="392704882">
      <w:marLeft w:val="0"/>
      <w:marRight w:val="0"/>
      <w:marTop w:val="180"/>
      <w:marBottom w:val="0"/>
      <w:divBdr>
        <w:top w:val="none" w:sz="0" w:space="0" w:color="auto"/>
        <w:left w:val="none" w:sz="0" w:space="0" w:color="auto"/>
        <w:bottom w:val="none" w:sz="0" w:space="0" w:color="auto"/>
        <w:right w:val="none" w:sz="0" w:space="0" w:color="auto"/>
      </w:divBdr>
    </w:div>
    <w:div w:id="392778605">
      <w:marLeft w:val="0"/>
      <w:marRight w:val="0"/>
      <w:marTop w:val="0"/>
      <w:marBottom w:val="0"/>
      <w:divBdr>
        <w:top w:val="none" w:sz="0" w:space="0" w:color="auto"/>
        <w:left w:val="none" w:sz="0" w:space="0" w:color="auto"/>
        <w:bottom w:val="none" w:sz="0" w:space="0" w:color="auto"/>
        <w:right w:val="none" w:sz="0" w:space="0" w:color="auto"/>
      </w:divBdr>
      <w:divsChild>
        <w:div w:id="480463140">
          <w:marLeft w:val="0"/>
          <w:marRight w:val="0"/>
          <w:marTop w:val="0"/>
          <w:marBottom w:val="0"/>
          <w:divBdr>
            <w:top w:val="none" w:sz="0" w:space="0" w:color="auto"/>
            <w:left w:val="none" w:sz="0" w:space="0" w:color="auto"/>
            <w:bottom w:val="none" w:sz="0" w:space="0" w:color="auto"/>
            <w:right w:val="none" w:sz="0" w:space="0" w:color="auto"/>
          </w:divBdr>
          <w:divsChild>
            <w:div w:id="163545103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395511511">
      <w:marLeft w:val="0"/>
      <w:marRight w:val="0"/>
      <w:marTop w:val="0"/>
      <w:marBottom w:val="100"/>
      <w:divBdr>
        <w:top w:val="none" w:sz="0" w:space="0" w:color="auto"/>
        <w:left w:val="none" w:sz="0" w:space="0" w:color="auto"/>
        <w:bottom w:val="none" w:sz="0" w:space="0" w:color="auto"/>
        <w:right w:val="none" w:sz="0" w:space="0" w:color="auto"/>
      </w:divBdr>
    </w:div>
    <w:div w:id="396824128">
      <w:marLeft w:val="0"/>
      <w:marRight w:val="0"/>
      <w:marTop w:val="0"/>
      <w:marBottom w:val="100"/>
      <w:divBdr>
        <w:top w:val="none" w:sz="0" w:space="0" w:color="auto"/>
        <w:left w:val="none" w:sz="0" w:space="0" w:color="auto"/>
        <w:bottom w:val="none" w:sz="0" w:space="0" w:color="auto"/>
        <w:right w:val="none" w:sz="0" w:space="0" w:color="auto"/>
      </w:divBdr>
    </w:div>
    <w:div w:id="397869229">
      <w:marLeft w:val="0"/>
      <w:marRight w:val="0"/>
      <w:marTop w:val="180"/>
      <w:marBottom w:val="0"/>
      <w:divBdr>
        <w:top w:val="none" w:sz="0" w:space="0" w:color="auto"/>
        <w:left w:val="none" w:sz="0" w:space="0" w:color="auto"/>
        <w:bottom w:val="none" w:sz="0" w:space="0" w:color="auto"/>
        <w:right w:val="none" w:sz="0" w:space="0" w:color="auto"/>
      </w:divBdr>
    </w:div>
    <w:div w:id="401374173">
      <w:marLeft w:val="0"/>
      <w:marRight w:val="0"/>
      <w:marTop w:val="180"/>
      <w:marBottom w:val="0"/>
      <w:divBdr>
        <w:top w:val="none" w:sz="0" w:space="0" w:color="auto"/>
        <w:left w:val="none" w:sz="0" w:space="0" w:color="auto"/>
        <w:bottom w:val="none" w:sz="0" w:space="0" w:color="auto"/>
        <w:right w:val="none" w:sz="0" w:space="0" w:color="auto"/>
      </w:divBdr>
    </w:div>
    <w:div w:id="404108442">
      <w:marLeft w:val="0"/>
      <w:marRight w:val="0"/>
      <w:marTop w:val="0"/>
      <w:marBottom w:val="100"/>
      <w:divBdr>
        <w:top w:val="none" w:sz="0" w:space="0" w:color="auto"/>
        <w:left w:val="none" w:sz="0" w:space="0" w:color="auto"/>
        <w:bottom w:val="none" w:sz="0" w:space="0" w:color="auto"/>
        <w:right w:val="none" w:sz="0" w:space="0" w:color="auto"/>
      </w:divBdr>
    </w:div>
    <w:div w:id="406197787">
      <w:marLeft w:val="0"/>
      <w:marRight w:val="0"/>
      <w:marTop w:val="0"/>
      <w:marBottom w:val="100"/>
      <w:divBdr>
        <w:top w:val="none" w:sz="0" w:space="0" w:color="auto"/>
        <w:left w:val="none" w:sz="0" w:space="0" w:color="auto"/>
        <w:bottom w:val="none" w:sz="0" w:space="0" w:color="auto"/>
        <w:right w:val="none" w:sz="0" w:space="0" w:color="auto"/>
      </w:divBdr>
    </w:div>
    <w:div w:id="407770532">
      <w:marLeft w:val="0"/>
      <w:marRight w:val="0"/>
      <w:marTop w:val="180"/>
      <w:marBottom w:val="0"/>
      <w:divBdr>
        <w:top w:val="none" w:sz="0" w:space="0" w:color="auto"/>
        <w:left w:val="none" w:sz="0" w:space="0" w:color="auto"/>
        <w:bottom w:val="none" w:sz="0" w:space="0" w:color="auto"/>
        <w:right w:val="none" w:sz="0" w:space="0" w:color="auto"/>
      </w:divBdr>
    </w:div>
    <w:div w:id="409543176">
      <w:marLeft w:val="0"/>
      <w:marRight w:val="0"/>
      <w:marTop w:val="0"/>
      <w:marBottom w:val="100"/>
      <w:divBdr>
        <w:top w:val="none" w:sz="0" w:space="0" w:color="auto"/>
        <w:left w:val="none" w:sz="0" w:space="0" w:color="auto"/>
        <w:bottom w:val="none" w:sz="0" w:space="0" w:color="auto"/>
        <w:right w:val="none" w:sz="0" w:space="0" w:color="auto"/>
      </w:divBdr>
    </w:div>
    <w:div w:id="409623457">
      <w:marLeft w:val="0"/>
      <w:marRight w:val="0"/>
      <w:marTop w:val="0"/>
      <w:marBottom w:val="0"/>
      <w:divBdr>
        <w:top w:val="none" w:sz="0" w:space="0" w:color="auto"/>
        <w:left w:val="none" w:sz="0" w:space="0" w:color="auto"/>
        <w:bottom w:val="none" w:sz="0" w:space="0" w:color="auto"/>
        <w:right w:val="none" w:sz="0" w:space="0" w:color="auto"/>
      </w:divBdr>
    </w:div>
    <w:div w:id="412817682">
      <w:marLeft w:val="0"/>
      <w:marRight w:val="0"/>
      <w:marTop w:val="180"/>
      <w:marBottom w:val="100"/>
      <w:divBdr>
        <w:top w:val="none" w:sz="0" w:space="0" w:color="auto"/>
        <w:left w:val="none" w:sz="0" w:space="0" w:color="auto"/>
        <w:bottom w:val="none" w:sz="0" w:space="0" w:color="auto"/>
        <w:right w:val="none" w:sz="0" w:space="0" w:color="auto"/>
      </w:divBdr>
    </w:div>
    <w:div w:id="413163543">
      <w:marLeft w:val="0"/>
      <w:marRight w:val="0"/>
      <w:marTop w:val="0"/>
      <w:marBottom w:val="100"/>
      <w:divBdr>
        <w:top w:val="none" w:sz="0" w:space="0" w:color="auto"/>
        <w:left w:val="none" w:sz="0" w:space="0" w:color="auto"/>
        <w:bottom w:val="none" w:sz="0" w:space="0" w:color="auto"/>
        <w:right w:val="none" w:sz="0" w:space="0" w:color="auto"/>
      </w:divBdr>
    </w:div>
    <w:div w:id="414935890">
      <w:marLeft w:val="0"/>
      <w:marRight w:val="0"/>
      <w:marTop w:val="180"/>
      <w:marBottom w:val="100"/>
      <w:divBdr>
        <w:top w:val="none" w:sz="0" w:space="0" w:color="auto"/>
        <w:left w:val="none" w:sz="0" w:space="0" w:color="auto"/>
        <w:bottom w:val="none" w:sz="0" w:space="0" w:color="auto"/>
        <w:right w:val="none" w:sz="0" w:space="0" w:color="auto"/>
      </w:divBdr>
    </w:div>
    <w:div w:id="415980837">
      <w:marLeft w:val="0"/>
      <w:marRight w:val="0"/>
      <w:marTop w:val="0"/>
      <w:marBottom w:val="100"/>
      <w:divBdr>
        <w:top w:val="none" w:sz="0" w:space="0" w:color="auto"/>
        <w:left w:val="none" w:sz="0" w:space="0" w:color="auto"/>
        <w:bottom w:val="none" w:sz="0" w:space="0" w:color="auto"/>
        <w:right w:val="none" w:sz="0" w:space="0" w:color="auto"/>
      </w:divBdr>
    </w:div>
    <w:div w:id="417097477">
      <w:marLeft w:val="0"/>
      <w:marRight w:val="0"/>
      <w:marTop w:val="0"/>
      <w:marBottom w:val="100"/>
      <w:divBdr>
        <w:top w:val="none" w:sz="0" w:space="0" w:color="auto"/>
        <w:left w:val="none" w:sz="0" w:space="0" w:color="auto"/>
        <w:bottom w:val="none" w:sz="0" w:space="0" w:color="auto"/>
        <w:right w:val="none" w:sz="0" w:space="0" w:color="auto"/>
      </w:divBdr>
    </w:div>
    <w:div w:id="417749212">
      <w:marLeft w:val="0"/>
      <w:marRight w:val="0"/>
      <w:marTop w:val="0"/>
      <w:marBottom w:val="100"/>
      <w:divBdr>
        <w:top w:val="none" w:sz="0" w:space="0" w:color="auto"/>
        <w:left w:val="none" w:sz="0" w:space="0" w:color="auto"/>
        <w:bottom w:val="none" w:sz="0" w:space="0" w:color="auto"/>
        <w:right w:val="none" w:sz="0" w:space="0" w:color="auto"/>
      </w:divBdr>
      <w:divsChild>
        <w:div w:id="1512336274">
          <w:marLeft w:val="0"/>
          <w:marRight w:val="0"/>
          <w:marTop w:val="0"/>
          <w:marBottom w:val="120"/>
          <w:divBdr>
            <w:top w:val="none" w:sz="0" w:space="0" w:color="auto"/>
            <w:left w:val="none" w:sz="0" w:space="0" w:color="auto"/>
            <w:bottom w:val="none" w:sz="0" w:space="0" w:color="auto"/>
            <w:right w:val="none" w:sz="0" w:space="0" w:color="auto"/>
          </w:divBdr>
        </w:div>
        <w:div w:id="1597051966">
          <w:marLeft w:val="0"/>
          <w:marRight w:val="0"/>
          <w:marTop w:val="0"/>
          <w:marBottom w:val="0"/>
          <w:divBdr>
            <w:top w:val="none" w:sz="0" w:space="0" w:color="auto"/>
            <w:left w:val="none" w:sz="0" w:space="0" w:color="auto"/>
            <w:bottom w:val="none" w:sz="0" w:space="0" w:color="auto"/>
            <w:right w:val="none" w:sz="0" w:space="0" w:color="auto"/>
          </w:divBdr>
        </w:div>
      </w:divsChild>
    </w:div>
    <w:div w:id="417943598">
      <w:marLeft w:val="0"/>
      <w:marRight w:val="0"/>
      <w:marTop w:val="0"/>
      <w:marBottom w:val="0"/>
      <w:divBdr>
        <w:top w:val="none" w:sz="0" w:space="0" w:color="auto"/>
        <w:left w:val="none" w:sz="0" w:space="0" w:color="auto"/>
        <w:bottom w:val="none" w:sz="0" w:space="0" w:color="auto"/>
        <w:right w:val="none" w:sz="0" w:space="0" w:color="auto"/>
      </w:divBdr>
      <w:divsChild>
        <w:div w:id="1346175797">
          <w:marLeft w:val="0"/>
          <w:marRight w:val="0"/>
          <w:marTop w:val="0"/>
          <w:marBottom w:val="0"/>
          <w:divBdr>
            <w:top w:val="none" w:sz="0" w:space="0" w:color="auto"/>
            <w:left w:val="none" w:sz="0" w:space="0" w:color="auto"/>
            <w:bottom w:val="none" w:sz="0" w:space="0" w:color="auto"/>
            <w:right w:val="none" w:sz="0" w:space="0" w:color="auto"/>
          </w:divBdr>
          <w:divsChild>
            <w:div w:id="3068998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418798511">
      <w:marLeft w:val="0"/>
      <w:marRight w:val="0"/>
      <w:marTop w:val="0"/>
      <w:marBottom w:val="100"/>
      <w:divBdr>
        <w:top w:val="none" w:sz="0" w:space="0" w:color="auto"/>
        <w:left w:val="none" w:sz="0" w:space="0" w:color="auto"/>
        <w:bottom w:val="none" w:sz="0" w:space="0" w:color="auto"/>
        <w:right w:val="none" w:sz="0" w:space="0" w:color="auto"/>
      </w:divBdr>
    </w:div>
    <w:div w:id="420109629">
      <w:marLeft w:val="0"/>
      <w:marRight w:val="0"/>
      <w:marTop w:val="0"/>
      <w:marBottom w:val="100"/>
      <w:divBdr>
        <w:top w:val="none" w:sz="0" w:space="0" w:color="auto"/>
        <w:left w:val="none" w:sz="0" w:space="0" w:color="auto"/>
        <w:bottom w:val="none" w:sz="0" w:space="0" w:color="auto"/>
        <w:right w:val="none" w:sz="0" w:space="0" w:color="auto"/>
      </w:divBdr>
    </w:div>
    <w:div w:id="420680688">
      <w:marLeft w:val="0"/>
      <w:marRight w:val="0"/>
      <w:marTop w:val="0"/>
      <w:marBottom w:val="100"/>
      <w:divBdr>
        <w:top w:val="none" w:sz="0" w:space="0" w:color="auto"/>
        <w:left w:val="none" w:sz="0" w:space="0" w:color="auto"/>
        <w:bottom w:val="none" w:sz="0" w:space="0" w:color="auto"/>
        <w:right w:val="none" w:sz="0" w:space="0" w:color="auto"/>
      </w:divBdr>
    </w:div>
    <w:div w:id="420686335">
      <w:marLeft w:val="0"/>
      <w:marRight w:val="0"/>
      <w:marTop w:val="0"/>
      <w:marBottom w:val="100"/>
      <w:divBdr>
        <w:top w:val="none" w:sz="0" w:space="0" w:color="auto"/>
        <w:left w:val="none" w:sz="0" w:space="0" w:color="auto"/>
        <w:bottom w:val="none" w:sz="0" w:space="0" w:color="auto"/>
        <w:right w:val="none" w:sz="0" w:space="0" w:color="auto"/>
      </w:divBdr>
    </w:div>
    <w:div w:id="421219140">
      <w:marLeft w:val="0"/>
      <w:marRight w:val="0"/>
      <w:marTop w:val="0"/>
      <w:marBottom w:val="100"/>
      <w:divBdr>
        <w:top w:val="none" w:sz="0" w:space="0" w:color="auto"/>
        <w:left w:val="none" w:sz="0" w:space="0" w:color="auto"/>
        <w:bottom w:val="none" w:sz="0" w:space="0" w:color="auto"/>
        <w:right w:val="none" w:sz="0" w:space="0" w:color="auto"/>
      </w:divBdr>
    </w:div>
    <w:div w:id="421873649">
      <w:marLeft w:val="0"/>
      <w:marRight w:val="0"/>
      <w:marTop w:val="0"/>
      <w:marBottom w:val="100"/>
      <w:divBdr>
        <w:top w:val="none" w:sz="0" w:space="0" w:color="auto"/>
        <w:left w:val="none" w:sz="0" w:space="0" w:color="auto"/>
        <w:bottom w:val="none" w:sz="0" w:space="0" w:color="auto"/>
        <w:right w:val="none" w:sz="0" w:space="0" w:color="auto"/>
      </w:divBdr>
    </w:div>
    <w:div w:id="422260471">
      <w:marLeft w:val="0"/>
      <w:marRight w:val="0"/>
      <w:marTop w:val="0"/>
      <w:marBottom w:val="100"/>
      <w:divBdr>
        <w:top w:val="none" w:sz="0" w:space="0" w:color="auto"/>
        <w:left w:val="none" w:sz="0" w:space="0" w:color="auto"/>
        <w:bottom w:val="none" w:sz="0" w:space="0" w:color="auto"/>
        <w:right w:val="none" w:sz="0" w:space="0" w:color="auto"/>
      </w:divBdr>
    </w:div>
    <w:div w:id="422646859">
      <w:marLeft w:val="0"/>
      <w:marRight w:val="0"/>
      <w:marTop w:val="0"/>
      <w:marBottom w:val="100"/>
      <w:divBdr>
        <w:top w:val="none" w:sz="0" w:space="0" w:color="auto"/>
        <w:left w:val="none" w:sz="0" w:space="0" w:color="auto"/>
        <w:bottom w:val="none" w:sz="0" w:space="0" w:color="auto"/>
        <w:right w:val="none" w:sz="0" w:space="0" w:color="auto"/>
      </w:divBdr>
    </w:div>
    <w:div w:id="422842833">
      <w:marLeft w:val="0"/>
      <w:marRight w:val="0"/>
      <w:marTop w:val="180"/>
      <w:marBottom w:val="0"/>
      <w:divBdr>
        <w:top w:val="none" w:sz="0" w:space="0" w:color="auto"/>
        <w:left w:val="none" w:sz="0" w:space="0" w:color="auto"/>
        <w:bottom w:val="none" w:sz="0" w:space="0" w:color="auto"/>
        <w:right w:val="none" w:sz="0" w:space="0" w:color="auto"/>
      </w:divBdr>
    </w:div>
    <w:div w:id="425540277">
      <w:marLeft w:val="0"/>
      <w:marRight w:val="0"/>
      <w:marTop w:val="0"/>
      <w:marBottom w:val="100"/>
      <w:divBdr>
        <w:top w:val="none" w:sz="0" w:space="0" w:color="auto"/>
        <w:left w:val="none" w:sz="0" w:space="0" w:color="auto"/>
        <w:bottom w:val="none" w:sz="0" w:space="0" w:color="auto"/>
        <w:right w:val="none" w:sz="0" w:space="0" w:color="auto"/>
      </w:divBdr>
    </w:div>
    <w:div w:id="427192142">
      <w:marLeft w:val="0"/>
      <w:marRight w:val="0"/>
      <w:marTop w:val="0"/>
      <w:marBottom w:val="100"/>
      <w:divBdr>
        <w:top w:val="none" w:sz="0" w:space="0" w:color="auto"/>
        <w:left w:val="none" w:sz="0" w:space="0" w:color="auto"/>
        <w:bottom w:val="none" w:sz="0" w:space="0" w:color="auto"/>
        <w:right w:val="none" w:sz="0" w:space="0" w:color="auto"/>
      </w:divBdr>
    </w:div>
    <w:div w:id="429787611">
      <w:marLeft w:val="0"/>
      <w:marRight w:val="0"/>
      <w:marTop w:val="180"/>
      <w:marBottom w:val="0"/>
      <w:divBdr>
        <w:top w:val="none" w:sz="0" w:space="0" w:color="auto"/>
        <w:left w:val="none" w:sz="0" w:space="0" w:color="auto"/>
        <w:bottom w:val="none" w:sz="0" w:space="0" w:color="auto"/>
        <w:right w:val="none" w:sz="0" w:space="0" w:color="auto"/>
      </w:divBdr>
    </w:div>
    <w:div w:id="430049367">
      <w:marLeft w:val="0"/>
      <w:marRight w:val="0"/>
      <w:marTop w:val="0"/>
      <w:marBottom w:val="0"/>
      <w:divBdr>
        <w:top w:val="none" w:sz="0" w:space="0" w:color="auto"/>
        <w:left w:val="none" w:sz="0" w:space="0" w:color="auto"/>
        <w:bottom w:val="none" w:sz="0" w:space="0" w:color="auto"/>
        <w:right w:val="none" w:sz="0" w:space="0" w:color="auto"/>
      </w:divBdr>
    </w:div>
    <w:div w:id="430054673">
      <w:marLeft w:val="0"/>
      <w:marRight w:val="0"/>
      <w:marTop w:val="0"/>
      <w:marBottom w:val="100"/>
      <w:divBdr>
        <w:top w:val="none" w:sz="0" w:space="0" w:color="auto"/>
        <w:left w:val="none" w:sz="0" w:space="0" w:color="auto"/>
        <w:bottom w:val="none" w:sz="0" w:space="0" w:color="auto"/>
        <w:right w:val="none" w:sz="0" w:space="0" w:color="auto"/>
      </w:divBdr>
    </w:div>
    <w:div w:id="431896583">
      <w:marLeft w:val="0"/>
      <w:marRight w:val="0"/>
      <w:marTop w:val="0"/>
      <w:marBottom w:val="100"/>
      <w:divBdr>
        <w:top w:val="none" w:sz="0" w:space="0" w:color="auto"/>
        <w:left w:val="none" w:sz="0" w:space="0" w:color="auto"/>
        <w:bottom w:val="none" w:sz="0" w:space="0" w:color="auto"/>
        <w:right w:val="none" w:sz="0" w:space="0" w:color="auto"/>
      </w:divBdr>
    </w:div>
    <w:div w:id="432215452">
      <w:marLeft w:val="0"/>
      <w:marRight w:val="0"/>
      <w:marTop w:val="0"/>
      <w:marBottom w:val="0"/>
      <w:divBdr>
        <w:top w:val="none" w:sz="0" w:space="0" w:color="auto"/>
        <w:left w:val="none" w:sz="0" w:space="0" w:color="auto"/>
        <w:bottom w:val="none" w:sz="0" w:space="0" w:color="auto"/>
        <w:right w:val="none" w:sz="0" w:space="0" w:color="auto"/>
      </w:divBdr>
    </w:div>
    <w:div w:id="432407419">
      <w:marLeft w:val="0"/>
      <w:marRight w:val="0"/>
      <w:marTop w:val="0"/>
      <w:marBottom w:val="0"/>
      <w:divBdr>
        <w:top w:val="none" w:sz="0" w:space="0" w:color="auto"/>
        <w:left w:val="none" w:sz="0" w:space="0" w:color="auto"/>
        <w:bottom w:val="none" w:sz="0" w:space="0" w:color="auto"/>
        <w:right w:val="none" w:sz="0" w:space="0" w:color="auto"/>
      </w:divBdr>
    </w:div>
    <w:div w:id="437336186">
      <w:marLeft w:val="0"/>
      <w:marRight w:val="0"/>
      <w:marTop w:val="0"/>
      <w:marBottom w:val="0"/>
      <w:divBdr>
        <w:top w:val="none" w:sz="0" w:space="0" w:color="auto"/>
        <w:left w:val="none" w:sz="0" w:space="0" w:color="auto"/>
        <w:bottom w:val="none" w:sz="0" w:space="0" w:color="auto"/>
        <w:right w:val="none" w:sz="0" w:space="0" w:color="auto"/>
      </w:divBdr>
      <w:divsChild>
        <w:div w:id="38826233">
          <w:marLeft w:val="0"/>
          <w:marRight w:val="0"/>
          <w:marTop w:val="0"/>
          <w:marBottom w:val="0"/>
          <w:divBdr>
            <w:top w:val="none" w:sz="0" w:space="0" w:color="auto"/>
            <w:left w:val="none" w:sz="0" w:space="0" w:color="auto"/>
            <w:bottom w:val="none" w:sz="0" w:space="0" w:color="auto"/>
            <w:right w:val="none" w:sz="0" w:space="0" w:color="auto"/>
          </w:divBdr>
          <w:divsChild>
            <w:div w:id="278876352">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437524379">
      <w:marLeft w:val="0"/>
      <w:marRight w:val="0"/>
      <w:marTop w:val="0"/>
      <w:marBottom w:val="0"/>
      <w:divBdr>
        <w:top w:val="none" w:sz="0" w:space="0" w:color="auto"/>
        <w:left w:val="none" w:sz="0" w:space="0" w:color="auto"/>
        <w:bottom w:val="none" w:sz="0" w:space="0" w:color="auto"/>
        <w:right w:val="none" w:sz="0" w:space="0" w:color="auto"/>
      </w:divBdr>
    </w:div>
    <w:div w:id="444616415">
      <w:marLeft w:val="0"/>
      <w:marRight w:val="0"/>
      <w:marTop w:val="0"/>
      <w:marBottom w:val="0"/>
      <w:divBdr>
        <w:top w:val="none" w:sz="0" w:space="0" w:color="auto"/>
        <w:left w:val="none" w:sz="0" w:space="0" w:color="auto"/>
        <w:bottom w:val="none" w:sz="0" w:space="0" w:color="auto"/>
        <w:right w:val="none" w:sz="0" w:space="0" w:color="auto"/>
      </w:divBdr>
    </w:div>
    <w:div w:id="446317250">
      <w:marLeft w:val="0"/>
      <w:marRight w:val="0"/>
      <w:marTop w:val="0"/>
      <w:marBottom w:val="100"/>
      <w:divBdr>
        <w:top w:val="none" w:sz="0" w:space="0" w:color="auto"/>
        <w:left w:val="none" w:sz="0" w:space="0" w:color="auto"/>
        <w:bottom w:val="none" w:sz="0" w:space="0" w:color="auto"/>
        <w:right w:val="none" w:sz="0" w:space="0" w:color="auto"/>
      </w:divBdr>
    </w:div>
    <w:div w:id="450320024">
      <w:marLeft w:val="0"/>
      <w:marRight w:val="0"/>
      <w:marTop w:val="0"/>
      <w:marBottom w:val="0"/>
      <w:divBdr>
        <w:top w:val="none" w:sz="0" w:space="0" w:color="auto"/>
        <w:left w:val="none" w:sz="0" w:space="0" w:color="auto"/>
        <w:bottom w:val="none" w:sz="0" w:space="0" w:color="auto"/>
        <w:right w:val="none" w:sz="0" w:space="0" w:color="auto"/>
      </w:divBdr>
    </w:div>
    <w:div w:id="450636499">
      <w:marLeft w:val="0"/>
      <w:marRight w:val="0"/>
      <w:marTop w:val="0"/>
      <w:marBottom w:val="0"/>
      <w:divBdr>
        <w:top w:val="none" w:sz="0" w:space="0" w:color="auto"/>
        <w:left w:val="none" w:sz="0" w:space="0" w:color="auto"/>
        <w:bottom w:val="none" w:sz="0" w:space="0" w:color="auto"/>
        <w:right w:val="none" w:sz="0" w:space="0" w:color="auto"/>
      </w:divBdr>
    </w:div>
    <w:div w:id="451100441">
      <w:marLeft w:val="0"/>
      <w:marRight w:val="0"/>
      <w:marTop w:val="0"/>
      <w:marBottom w:val="100"/>
      <w:divBdr>
        <w:top w:val="none" w:sz="0" w:space="0" w:color="auto"/>
        <w:left w:val="none" w:sz="0" w:space="0" w:color="auto"/>
        <w:bottom w:val="none" w:sz="0" w:space="0" w:color="auto"/>
        <w:right w:val="none" w:sz="0" w:space="0" w:color="auto"/>
      </w:divBdr>
    </w:div>
    <w:div w:id="455105375">
      <w:marLeft w:val="0"/>
      <w:marRight w:val="0"/>
      <w:marTop w:val="0"/>
      <w:marBottom w:val="100"/>
      <w:divBdr>
        <w:top w:val="none" w:sz="0" w:space="0" w:color="auto"/>
        <w:left w:val="none" w:sz="0" w:space="0" w:color="auto"/>
        <w:bottom w:val="none" w:sz="0" w:space="0" w:color="auto"/>
        <w:right w:val="none" w:sz="0" w:space="0" w:color="auto"/>
      </w:divBdr>
    </w:div>
    <w:div w:id="456921744">
      <w:marLeft w:val="0"/>
      <w:marRight w:val="0"/>
      <w:marTop w:val="0"/>
      <w:marBottom w:val="0"/>
      <w:divBdr>
        <w:top w:val="none" w:sz="0" w:space="0" w:color="auto"/>
        <w:left w:val="none" w:sz="0" w:space="0" w:color="auto"/>
        <w:bottom w:val="none" w:sz="0" w:space="0" w:color="auto"/>
        <w:right w:val="none" w:sz="0" w:space="0" w:color="auto"/>
      </w:divBdr>
    </w:div>
    <w:div w:id="457727717">
      <w:marLeft w:val="0"/>
      <w:marRight w:val="0"/>
      <w:marTop w:val="0"/>
      <w:marBottom w:val="0"/>
      <w:divBdr>
        <w:top w:val="none" w:sz="0" w:space="0" w:color="auto"/>
        <w:left w:val="none" w:sz="0" w:space="0" w:color="auto"/>
        <w:bottom w:val="none" w:sz="0" w:space="0" w:color="auto"/>
        <w:right w:val="none" w:sz="0" w:space="0" w:color="auto"/>
      </w:divBdr>
      <w:divsChild>
        <w:div w:id="427042766">
          <w:marLeft w:val="0"/>
          <w:marRight w:val="0"/>
          <w:marTop w:val="0"/>
          <w:marBottom w:val="100"/>
          <w:divBdr>
            <w:top w:val="none" w:sz="0" w:space="0" w:color="auto"/>
            <w:left w:val="none" w:sz="0" w:space="0" w:color="auto"/>
            <w:bottom w:val="none" w:sz="0" w:space="0" w:color="auto"/>
            <w:right w:val="none" w:sz="0" w:space="0" w:color="auto"/>
          </w:divBdr>
        </w:div>
      </w:divsChild>
    </w:div>
    <w:div w:id="458452123">
      <w:marLeft w:val="0"/>
      <w:marRight w:val="0"/>
      <w:marTop w:val="0"/>
      <w:marBottom w:val="100"/>
      <w:divBdr>
        <w:top w:val="none" w:sz="0" w:space="0" w:color="auto"/>
        <w:left w:val="none" w:sz="0" w:space="0" w:color="auto"/>
        <w:bottom w:val="none" w:sz="0" w:space="0" w:color="auto"/>
        <w:right w:val="none" w:sz="0" w:space="0" w:color="auto"/>
      </w:divBdr>
    </w:div>
    <w:div w:id="462383683">
      <w:marLeft w:val="0"/>
      <w:marRight w:val="0"/>
      <w:marTop w:val="180"/>
      <w:marBottom w:val="0"/>
      <w:divBdr>
        <w:top w:val="none" w:sz="0" w:space="0" w:color="auto"/>
        <w:left w:val="none" w:sz="0" w:space="0" w:color="auto"/>
        <w:bottom w:val="none" w:sz="0" w:space="0" w:color="auto"/>
        <w:right w:val="none" w:sz="0" w:space="0" w:color="auto"/>
      </w:divBdr>
    </w:div>
    <w:div w:id="470051852">
      <w:marLeft w:val="0"/>
      <w:marRight w:val="0"/>
      <w:marTop w:val="0"/>
      <w:marBottom w:val="0"/>
      <w:divBdr>
        <w:top w:val="none" w:sz="0" w:space="0" w:color="auto"/>
        <w:left w:val="none" w:sz="0" w:space="0" w:color="auto"/>
        <w:bottom w:val="none" w:sz="0" w:space="0" w:color="auto"/>
        <w:right w:val="none" w:sz="0" w:space="0" w:color="auto"/>
      </w:divBdr>
      <w:divsChild>
        <w:div w:id="431900477">
          <w:marLeft w:val="0"/>
          <w:marRight w:val="0"/>
          <w:marTop w:val="0"/>
          <w:marBottom w:val="100"/>
          <w:divBdr>
            <w:top w:val="none" w:sz="0" w:space="0" w:color="auto"/>
            <w:left w:val="none" w:sz="0" w:space="0" w:color="auto"/>
            <w:bottom w:val="none" w:sz="0" w:space="0" w:color="auto"/>
            <w:right w:val="none" w:sz="0" w:space="0" w:color="auto"/>
          </w:divBdr>
        </w:div>
      </w:divsChild>
    </w:div>
    <w:div w:id="470756281">
      <w:marLeft w:val="0"/>
      <w:marRight w:val="0"/>
      <w:marTop w:val="0"/>
      <w:marBottom w:val="100"/>
      <w:divBdr>
        <w:top w:val="none" w:sz="0" w:space="0" w:color="auto"/>
        <w:left w:val="none" w:sz="0" w:space="0" w:color="auto"/>
        <w:bottom w:val="none" w:sz="0" w:space="0" w:color="auto"/>
        <w:right w:val="none" w:sz="0" w:space="0" w:color="auto"/>
      </w:divBdr>
    </w:div>
    <w:div w:id="471412868">
      <w:marLeft w:val="0"/>
      <w:marRight w:val="0"/>
      <w:marTop w:val="180"/>
      <w:marBottom w:val="0"/>
      <w:divBdr>
        <w:top w:val="none" w:sz="0" w:space="0" w:color="auto"/>
        <w:left w:val="none" w:sz="0" w:space="0" w:color="auto"/>
        <w:bottom w:val="none" w:sz="0" w:space="0" w:color="auto"/>
        <w:right w:val="none" w:sz="0" w:space="0" w:color="auto"/>
      </w:divBdr>
    </w:div>
    <w:div w:id="478040151">
      <w:marLeft w:val="0"/>
      <w:marRight w:val="0"/>
      <w:marTop w:val="0"/>
      <w:marBottom w:val="0"/>
      <w:divBdr>
        <w:top w:val="none" w:sz="0" w:space="0" w:color="auto"/>
        <w:left w:val="none" w:sz="0" w:space="0" w:color="auto"/>
        <w:bottom w:val="none" w:sz="0" w:space="0" w:color="auto"/>
        <w:right w:val="none" w:sz="0" w:space="0" w:color="auto"/>
      </w:divBdr>
      <w:divsChild>
        <w:div w:id="1925217146">
          <w:marLeft w:val="0"/>
          <w:marRight w:val="0"/>
          <w:marTop w:val="0"/>
          <w:marBottom w:val="100"/>
          <w:divBdr>
            <w:top w:val="none" w:sz="0" w:space="0" w:color="auto"/>
            <w:left w:val="none" w:sz="0" w:space="0" w:color="auto"/>
            <w:bottom w:val="none" w:sz="0" w:space="0" w:color="auto"/>
            <w:right w:val="none" w:sz="0" w:space="0" w:color="auto"/>
          </w:divBdr>
        </w:div>
      </w:divsChild>
    </w:div>
    <w:div w:id="479076868">
      <w:marLeft w:val="0"/>
      <w:marRight w:val="0"/>
      <w:marTop w:val="0"/>
      <w:marBottom w:val="100"/>
      <w:divBdr>
        <w:top w:val="none" w:sz="0" w:space="0" w:color="auto"/>
        <w:left w:val="none" w:sz="0" w:space="0" w:color="auto"/>
        <w:bottom w:val="none" w:sz="0" w:space="0" w:color="auto"/>
        <w:right w:val="none" w:sz="0" w:space="0" w:color="auto"/>
      </w:divBdr>
    </w:div>
    <w:div w:id="479273948">
      <w:marLeft w:val="0"/>
      <w:marRight w:val="0"/>
      <w:marTop w:val="0"/>
      <w:marBottom w:val="100"/>
      <w:divBdr>
        <w:top w:val="none" w:sz="0" w:space="0" w:color="auto"/>
        <w:left w:val="none" w:sz="0" w:space="0" w:color="auto"/>
        <w:bottom w:val="none" w:sz="0" w:space="0" w:color="auto"/>
        <w:right w:val="none" w:sz="0" w:space="0" w:color="auto"/>
      </w:divBdr>
    </w:div>
    <w:div w:id="479469163">
      <w:marLeft w:val="0"/>
      <w:marRight w:val="0"/>
      <w:marTop w:val="0"/>
      <w:marBottom w:val="100"/>
      <w:divBdr>
        <w:top w:val="none" w:sz="0" w:space="0" w:color="auto"/>
        <w:left w:val="none" w:sz="0" w:space="0" w:color="auto"/>
        <w:bottom w:val="none" w:sz="0" w:space="0" w:color="auto"/>
        <w:right w:val="none" w:sz="0" w:space="0" w:color="auto"/>
      </w:divBdr>
    </w:div>
    <w:div w:id="480343695">
      <w:marLeft w:val="0"/>
      <w:marRight w:val="0"/>
      <w:marTop w:val="0"/>
      <w:marBottom w:val="100"/>
      <w:divBdr>
        <w:top w:val="none" w:sz="0" w:space="0" w:color="auto"/>
        <w:left w:val="none" w:sz="0" w:space="0" w:color="auto"/>
        <w:bottom w:val="none" w:sz="0" w:space="0" w:color="auto"/>
        <w:right w:val="none" w:sz="0" w:space="0" w:color="auto"/>
      </w:divBdr>
    </w:div>
    <w:div w:id="483661768">
      <w:marLeft w:val="0"/>
      <w:marRight w:val="0"/>
      <w:marTop w:val="0"/>
      <w:marBottom w:val="100"/>
      <w:divBdr>
        <w:top w:val="none" w:sz="0" w:space="0" w:color="auto"/>
        <w:left w:val="none" w:sz="0" w:space="0" w:color="auto"/>
        <w:bottom w:val="none" w:sz="0" w:space="0" w:color="auto"/>
        <w:right w:val="none" w:sz="0" w:space="0" w:color="auto"/>
      </w:divBdr>
    </w:div>
    <w:div w:id="488400994">
      <w:marLeft w:val="0"/>
      <w:marRight w:val="0"/>
      <w:marTop w:val="0"/>
      <w:marBottom w:val="100"/>
      <w:divBdr>
        <w:top w:val="none" w:sz="0" w:space="0" w:color="auto"/>
        <w:left w:val="none" w:sz="0" w:space="0" w:color="auto"/>
        <w:bottom w:val="none" w:sz="0" w:space="0" w:color="auto"/>
        <w:right w:val="none" w:sz="0" w:space="0" w:color="auto"/>
      </w:divBdr>
    </w:div>
    <w:div w:id="491533257">
      <w:marLeft w:val="0"/>
      <w:marRight w:val="0"/>
      <w:marTop w:val="0"/>
      <w:marBottom w:val="100"/>
      <w:divBdr>
        <w:top w:val="none" w:sz="0" w:space="0" w:color="auto"/>
        <w:left w:val="none" w:sz="0" w:space="0" w:color="auto"/>
        <w:bottom w:val="none" w:sz="0" w:space="0" w:color="auto"/>
        <w:right w:val="none" w:sz="0" w:space="0" w:color="auto"/>
      </w:divBdr>
    </w:div>
    <w:div w:id="491680011">
      <w:marLeft w:val="0"/>
      <w:marRight w:val="0"/>
      <w:marTop w:val="180"/>
      <w:marBottom w:val="0"/>
      <w:divBdr>
        <w:top w:val="none" w:sz="0" w:space="0" w:color="auto"/>
        <w:left w:val="none" w:sz="0" w:space="0" w:color="auto"/>
        <w:bottom w:val="none" w:sz="0" w:space="0" w:color="auto"/>
        <w:right w:val="none" w:sz="0" w:space="0" w:color="auto"/>
      </w:divBdr>
    </w:div>
    <w:div w:id="491720576">
      <w:marLeft w:val="0"/>
      <w:marRight w:val="0"/>
      <w:marTop w:val="0"/>
      <w:marBottom w:val="0"/>
      <w:divBdr>
        <w:top w:val="none" w:sz="0" w:space="0" w:color="auto"/>
        <w:left w:val="none" w:sz="0" w:space="0" w:color="auto"/>
        <w:bottom w:val="none" w:sz="0" w:space="0" w:color="auto"/>
        <w:right w:val="none" w:sz="0" w:space="0" w:color="auto"/>
      </w:divBdr>
      <w:divsChild>
        <w:div w:id="651108071">
          <w:marLeft w:val="0"/>
          <w:marRight w:val="0"/>
          <w:marTop w:val="0"/>
          <w:marBottom w:val="100"/>
          <w:divBdr>
            <w:top w:val="none" w:sz="0" w:space="0" w:color="auto"/>
            <w:left w:val="none" w:sz="0" w:space="0" w:color="auto"/>
            <w:bottom w:val="none" w:sz="0" w:space="0" w:color="auto"/>
            <w:right w:val="none" w:sz="0" w:space="0" w:color="auto"/>
          </w:divBdr>
        </w:div>
      </w:divsChild>
    </w:div>
    <w:div w:id="492181826">
      <w:marLeft w:val="0"/>
      <w:marRight w:val="0"/>
      <w:marTop w:val="0"/>
      <w:marBottom w:val="100"/>
      <w:divBdr>
        <w:top w:val="none" w:sz="0" w:space="0" w:color="auto"/>
        <w:left w:val="none" w:sz="0" w:space="0" w:color="auto"/>
        <w:bottom w:val="none" w:sz="0" w:space="0" w:color="auto"/>
        <w:right w:val="none" w:sz="0" w:space="0" w:color="auto"/>
      </w:divBdr>
    </w:div>
    <w:div w:id="493684110">
      <w:marLeft w:val="0"/>
      <w:marRight w:val="0"/>
      <w:marTop w:val="0"/>
      <w:marBottom w:val="100"/>
      <w:divBdr>
        <w:top w:val="none" w:sz="0" w:space="0" w:color="auto"/>
        <w:left w:val="none" w:sz="0" w:space="0" w:color="auto"/>
        <w:bottom w:val="none" w:sz="0" w:space="0" w:color="auto"/>
        <w:right w:val="none" w:sz="0" w:space="0" w:color="auto"/>
      </w:divBdr>
    </w:div>
    <w:div w:id="494995543">
      <w:marLeft w:val="0"/>
      <w:marRight w:val="0"/>
      <w:marTop w:val="0"/>
      <w:marBottom w:val="100"/>
      <w:divBdr>
        <w:top w:val="none" w:sz="0" w:space="0" w:color="auto"/>
        <w:left w:val="none" w:sz="0" w:space="0" w:color="auto"/>
        <w:bottom w:val="none" w:sz="0" w:space="0" w:color="auto"/>
        <w:right w:val="none" w:sz="0" w:space="0" w:color="auto"/>
      </w:divBdr>
    </w:div>
    <w:div w:id="501893861">
      <w:marLeft w:val="0"/>
      <w:marRight w:val="0"/>
      <w:marTop w:val="0"/>
      <w:marBottom w:val="100"/>
      <w:divBdr>
        <w:top w:val="none" w:sz="0" w:space="0" w:color="auto"/>
        <w:left w:val="none" w:sz="0" w:space="0" w:color="auto"/>
        <w:bottom w:val="none" w:sz="0" w:space="0" w:color="auto"/>
        <w:right w:val="none" w:sz="0" w:space="0" w:color="auto"/>
      </w:divBdr>
    </w:div>
    <w:div w:id="503865773">
      <w:marLeft w:val="0"/>
      <w:marRight w:val="0"/>
      <w:marTop w:val="0"/>
      <w:marBottom w:val="100"/>
      <w:divBdr>
        <w:top w:val="none" w:sz="0" w:space="0" w:color="auto"/>
        <w:left w:val="none" w:sz="0" w:space="0" w:color="auto"/>
        <w:bottom w:val="none" w:sz="0" w:space="0" w:color="auto"/>
        <w:right w:val="none" w:sz="0" w:space="0" w:color="auto"/>
      </w:divBdr>
    </w:div>
    <w:div w:id="504784869">
      <w:marLeft w:val="0"/>
      <w:marRight w:val="0"/>
      <w:marTop w:val="180"/>
      <w:marBottom w:val="180"/>
      <w:divBdr>
        <w:top w:val="none" w:sz="0" w:space="0" w:color="auto"/>
        <w:left w:val="none" w:sz="0" w:space="0" w:color="auto"/>
        <w:bottom w:val="none" w:sz="0" w:space="0" w:color="auto"/>
        <w:right w:val="none" w:sz="0" w:space="0" w:color="auto"/>
      </w:divBdr>
    </w:div>
    <w:div w:id="506794093">
      <w:marLeft w:val="0"/>
      <w:marRight w:val="0"/>
      <w:marTop w:val="0"/>
      <w:marBottom w:val="0"/>
      <w:divBdr>
        <w:top w:val="none" w:sz="0" w:space="0" w:color="auto"/>
        <w:left w:val="none" w:sz="0" w:space="0" w:color="auto"/>
        <w:bottom w:val="none" w:sz="0" w:space="0" w:color="auto"/>
        <w:right w:val="none" w:sz="0" w:space="0" w:color="auto"/>
      </w:divBdr>
      <w:divsChild>
        <w:div w:id="2096440523">
          <w:marLeft w:val="0"/>
          <w:marRight w:val="0"/>
          <w:marTop w:val="0"/>
          <w:marBottom w:val="100"/>
          <w:divBdr>
            <w:top w:val="none" w:sz="0" w:space="0" w:color="auto"/>
            <w:left w:val="none" w:sz="0" w:space="0" w:color="auto"/>
            <w:bottom w:val="none" w:sz="0" w:space="0" w:color="auto"/>
            <w:right w:val="none" w:sz="0" w:space="0" w:color="auto"/>
          </w:divBdr>
        </w:div>
      </w:divsChild>
    </w:div>
    <w:div w:id="507062021">
      <w:marLeft w:val="0"/>
      <w:marRight w:val="0"/>
      <w:marTop w:val="180"/>
      <w:marBottom w:val="0"/>
      <w:divBdr>
        <w:top w:val="none" w:sz="0" w:space="0" w:color="auto"/>
        <w:left w:val="none" w:sz="0" w:space="0" w:color="auto"/>
        <w:bottom w:val="none" w:sz="0" w:space="0" w:color="auto"/>
        <w:right w:val="none" w:sz="0" w:space="0" w:color="auto"/>
      </w:divBdr>
    </w:div>
    <w:div w:id="507063321">
      <w:marLeft w:val="0"/>
      <w:marRight w:val="0"/>
      <w:marTop w:val="0"/>
      <w:marBottom w:val="100"/>
      <w:divBdr>
        <w:top w:val="none" w:sz="0" w:space="0" w:color="auto"/>
        <w:left w:val="none" w:sz="0" w:space="0" w:color="auto"/>
        <w:bottom w:val="none" w:sz="0" w:space="0" w:color="auto"/>
        <w:right w:val="none" w:sz="0" w:space="0" w:color="auto"/>
      </w:divBdr>
    </w:div>
    <w:div w:id="509608460">
      <w:marLeft w:val="0"/>
      <w:marRight w:val="0"/>
      <w:marTop w:val="0"/>
      <w:marBottom w:val="0"/>
      <w:divBdr>
        <w:top w:val="none" w:sz="0" w:space="0" w:color="auto"/>
        <w:left w:val="none" w:sz="0" w:space="0" w:color="auto"/>
        <w:bottom w:val="none" w:sz="0" w:space="0" w:color="auto"/>
        <w:right w:val="none" w:sz="0" w:space="0" w:color="auto"/>
      </w:divBdr>
      <w:divsChild>
        <w:div w:id="1584954197">
          <w:marLeft w:val="0"/>
          <w:marRight w:val="0"/>
          <w:marTop w:val="0"/>
          <w:marBottom w:val="100"/>
          <w:divBdr>
            <w:top w:val="none" w:sz="0" w:space="0" w:color="auto"/>
            <w:left w:val="none" w:sz="0" w:space="0" w:color="auto"/>
            <w:bottom w:val="none" w:sz="0" w:space="0" w:color="auto"/>
            <w:right w:val="none" w:sz="0" w:space="0" w:color="auto"/>
          </w:divBdr>
        </w:div>
      </w:divsChild>
    </w:div>
    <w:div w:id="515461353">
      <w:marLeft w:val="0"/>
      <w:marRight w:val="0"/>
      <w:marTop w:val="180"/>
      <w:marBottom w:val="0"/>
      <w:divBdr>
        <w:top w:val="none" w:sz="0" w:space="0" w:color="auto"/>
        <w:left w:val="none" w:sz="0" w:space="0" w:color="auto"/>
        <w:bottom w:val="none" w:sz="0" w:space="0" w:color="auto"/>
        <w:right w:val="none" w:sz="0" w:space="0" w:color="auto"/>
      </w:divBdr>
      <w:divsChild>
        <w:div w:id="692654950">
          <w:marLeft w:val="0"/>
          <w:marRight w:val="0"/>
          <w:marTop w:val="0"/>
          <w:marBottom w:val="0"/>
          <w:divBdr>
            <w:top w:val="none" w:sz="0" w:space="0" w:color="auto"/>
            <w:left w:val="none" w:sz="0" w:space="0" w:color="auto"/>
            <w:bottom w:val="none" w:sz="0" w:space="0" w:color="auto"/>
            <w:right w:val="none" w:sz="0" w:space="0" w:color="auto"/>
          </w:divBdr>
        </w:div>
      </w:divsChild>
    </w:div>
    <w:div w:id="515463964">
      <w:marLeft w:val="0"/>
      <w:marRight w:val="0"/>
      <w:marTop w:val="0"/>
      <w:marBottom w:val="100"/>
      <w:divBdr>
        <w:top w:val="none" w:sz="0" w:space="0" w:color="auto"/>
        <w:left w:val="none" w:sz="0" w:space="0" w:color="auto"/>
        <w:bottom w:val="none" w:sz="0" w:space="0" w:color="auto"/>
        <w:right w:val="none" w:sz="0" w:space="0" w:color="auto"/>
      </w:divBdr>
    </w:div>
    <w:div w:id="516386675">
      <w:marLeft w:val="0"/>
      <w:marRight w:val="0"/>
      <w:marTop w:val="0"/>
      <w:marBottom w:val="100"/>
      <w:divBdr>
        <w:top w:val="none" w:sz="0" w:space="0" w:color="auto"/>
        <w:left w:val="none" w:sz="0" w:space="0" w:color="auto"/>
        <w:bottom w:val="none" w:sz="0" w:space="0" w:color="auto"/>
        <w:right w:val="none" w:sz="0" w:space="0" w:color="auto"/>
      </w:divBdr>
    </w:div>
    <w:div w:id="516621129">
      <w:marLeft w:val="0"/>
      <w:marRight w:val="0"/>
      <w:marTop w:val="0"/>
      <w:marBottom w:val="0"/>
      <w:divBdr>
        <w:top w:val="none" w:sz="0" w:space="0" w:color="auto"/>
        <w:left w:val="none" w:sz="0" w:space="0" w:color="auto"/>
        <w:bottom w:val="none" w:sz="0" w:space="0" w:color="auto"/>
        <w:right w:val="none" w:sz="0" w:space="0" w:color="auto"/>
      </w:divBdr>
    </w:div>
    <w:div w:id="518353418">
      <w:marLeft w:val="0"/>
      <w:marRight w:val="0"/>
      <w:marTop w:val="0"/>
      <w:marBottom w:val="0"/>
      <w:divBdr>
        <w:top w:val="none" w:sz="0" w:space="0" w:color="auto"/>
        <w:left w:val="none" w:sz="0" w:space="0" w:color="auto"/>
        <w:bottom w:val="none" w:sz="0" w:space="0" w:color="auto"/>
        <w:right w:val="none" w:sz="0" w:space="0" w:color="auto"/>
      </w:divBdr>
      <w:divsChild>
        <w:div w:id="1895464546">
          <w:marLeft w:val="0"/>
          <w:marRight w:val="0"/>
          <w:marTop w:val="0"/>
          <w:marBottom w:val="0"/>
          <w:divBdr>
            <w:top w:val="none" w:sz="0" w:space="0" w:color="auto"/>
            <w:left w:val="none" w:sz="0" w:space="0" w:color="auto"/>
            <w:bottom w:val="none" w:sz="0" w:space="0" w:color="auto"/>
            <w:right w:val="none" w:sz="0" w:space="0" w:color="auto"/>
          </w:divBdr>
          <w:divsChild>
            <w:div w:id="166546855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520701272">
      <w:marLeft w:val="0"/>
      <w:marRight w:val="0"/>
      <w:marTop w:val="0"/>
      <w:marBottom w:val="100"/>
      <w:divBdr>
        <w:top w:val="none" w:sz="0" w:space="0" w:color="auto"/>
        <w:left w:val="none" w:sz="0" w:space="0" w:color="auto"/>
        <w:bottom w:val="none" w:sz="0" w:space="0" w:color="auto"/>
        <w:right w:val="none" w:sz="0" w:space="0" w:color="auto"/>
      </w:divBdr>
    </w:div>
    <w:div w:id="522986542">
      <w:marLeft w:val="0"/>
      <w:marRight w:val="0"/>
      <w:marTop w:val="180"/>
      <w:marBottom w:val="0"/>
      <w:divBdr>
        <w:top w:val="none" w:sz="0" w:space="0" w:color="auto"/>
        <w:left w:val="none" w:sz="0" w:space="0" w:color="auto"/>
        <w:bottom w:val="none" w:sz="0" w:space="0" w:color="auto"/>
        <w:right w:val="none" w:sz="0" w:space="0" w:color="auto"/>
      </w:divBdr>
    </w:div>
    <w:div w:id="526677590">
      <w:marLeft w:val="0"/>
      <w:marRight w:val="0"/>
      <w:marTop w:val="0"/>
      <w:marBottom w:val="0"/>
      <w:divBdr>
        <w:top w:val="none" w:sz="0" w:space="0" w:color="auto"/>
        <w:left w:val="none" w:sz="0" w:space="0" w:color="auto"/>
        <w:bottom w:val="none" w:sz="0" w:space="0" w:color="auto"/>
        <w:right w:val="none" w:sz="0" w:space="0" w:color="auto"/>
      </w:divBdr>
      <w:divsChild>
        <w:div w:id="889611665">
          <w:marLeft w:val="0"/>
          <w:marRight w:val="0"/>
          <w:marTop w:val="180"/>
          <w:marBottom w:val="0"/>
          <w:divBdr>
            <w:top w:val="none" w:sz="0" w:space="0" w:color="auto"/>
            <w:left w:val="none" w:sz="0" w:space="0" w:color="auto"/>
            <w:bottom w:val="none" w:sz="0" w:space="0" w:color="auto"/>
            <w:right w:val="none" w:sz="0" w:space="0" w:color="auto"/>
          </w:divBdr>
        </w:div>
        <w:div w:id="486555928">
          <w:marLeft w:val="0"/>
          <w:marRight w:val="0"/>
          <w:marTop w:val="180"/>
          <w:marBottom w:val="0"/>
          <w:divBdr>
            <w:top w:val="none" w:sz="0" w:space="0" w:color="auto"/>
            <w:left w:val="none" w:sz="0" w:space="0" w:color="auto"/>
            <w:bottom w:val="none" w:sz="0" w:space="0" w:color="auto"/>
            <w:right w:val="none" w:sz="0" w:space="0" w:color="auto"/>
          </w:divBdr>
        </w:div>
      </w:divsChild>
    </w:div>
    <w:div w:id="527722508">
      <w:marLeft w:val="0"/>
      <w:marRight w:val="0"/>
      <w:marTop w:val="0"/>
      <w:marBottom w:val="100"/>
      <w:divBdr>
        <w:top w:val="none" w:sz="0" w:space="0" w:color="auto"/>
        <w:left w:val="none" w:sz="0" w:space="0" w:color="auto"/>
        <w:bottom w:val="none" w:sz="0" w:space="0" w:color="auto"/>
        <w:right w:val="none" w:sz="0" w:space="0" w:color="auto"/>
      </w:divBdr>
    </w:div>
    <w:div w:id="528110411">
      <w:marLeft w:val="0"/>
      <w:marRight w:val="0"/>
      <w:marTop w:val="0"/>
      <w:marBottom w:val="100"/>
      <w:divBdr>
        <w:top w:val="none" w:sz="0" w:space="0" w:color="auto"/>
        <w:left w:val="none" w:sz="0" w:space="0" w:color="auto"/>
        <w:bottom w:val="none" w:sz="0" w:space="0" w:color="auto"/>
        <w:right w:val="none" w:sz="0" w:space="0" w:color="auto"/>
      </w:divBdr>
    </w:div>
    <w:div w:id="529077349">
      <w:marLeft w:val="0"/>
      <w:marRight w:val="0"/>
      <w:marTop w:val="0"/>
      <w:marBottom w:val="100"/>
      <w:divBdr>
        <w:top w:val="none" w:sz="0" w:space="0" w:color="auto"/>
        <w:left w:val="none" w:sz="0" w:space="0" w:color="auto"/>
        <w:bottom w:val="none" w:sz="0" w:space="0" w:color="auto"/>
        <w:right w:val="none" w:sz="0" w:space="0" w:color="auto"/>
      </w:divBdr>
    </w:div>
    <w:div w:id="529759272">
      <w:marLeft w:val="0"/>
      <w:marRight w:val="0"/>
      <w:marTop w:val="0"/>
      <w:marBottom w:val="100"/>
      <w:divBdr>
        <w:top w:val="none" w:sz="0" w:space="0" w:color="auto"/>
        <w:left w:val="none" w:sz="0" w:space="0" w:color="auto"/>
        <w:bottom w:val="none" w:sz="0" w:space="0" w:color="auto"/>
        <w:right w:val="none" w:sz="0" w:space="0" w:color="auto"/>
      </w:divBdr>
    </w:div>
    <w:div w:id="530269113">
      <w:marLeft w:val="0"/>
      <w:marRight w:val="0"/>
      <w:marTop w:val="0"/>
      <w:marBottom w:val="0"/>
      <w:divBdr>
        <w:top w:val="none" w:sz="0" w:space="0" w:color="auto"/>
        <w:left w:val="none" w:sz="0" w:space="0" w:color="auto"/>
        <w:bottom w:val="none" w:sz="0" w:space="0" w:color="auto"/>
        <w:right w:val="none" w:sz="0" w:space="0" w:color="auto"/>
      </w:divBdr>
    </w:div>
    <w:div w:id="536549401">
      <w:marLeft w:val="0"/>
      <w:marRight w:val="0"/>
      <w:marTop w:val="0"/>
      <w:marBottom w:val="0"/>
      <w:divBdr>
        <w:top w:val="none" w:sz="0" w:space="0" w:color="auto"/>
        <w:left w:val="none" w:sz="0" w:space="0" w:color="auto"/>
        <w:bottom w:val="none" w:sz="0" w:space="0" w:color="auto"/>
        <w:right w:val="none" w:sz="0" w:space="0" w:color="auto"/>
      </w:divBdr>
      <w:divsChild>
        <w:div w:id="1916239561">
          <w:marLeft w:val="0"/>
          <w:marRight w:val="0"/>
          <w:marTop w:val="0"/>
          <w:marBottom w:val="0"/>
          <w:divBdr>
            <w:top w:val="none" w:sz="0" w:space="0" w:color="auto"/>
            <w:left w:val="none" w:sz="0" w:space="0" w:color="auto"/>
            <w:bottom w:val="none" w:sz="0" w:space="0" w:color="auto"/>
            <w:right w:val="none" w:sz="0" w:space="0" w:color="auto"/>
          </w:divBdr>
          <w:divsChild>
            <w:div w:id="142877238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536897813">
      <w:marLeft w:val="0"/>
      <w:marRight w:val="0"/>
      <w:marTop w:val="0"/>
      <w:marBottom w:val="100"/>
      <w:divBdr>
        <w:top w:val="none" w:sz="0" w:space="0" w:color="auto"/>
        <w:left w:val="none" w:sz="0" w:space="0" w:color="auto"/>
        <w:bottom w:val="none" w:sz="0" w:space="0" w:color="auto"/>
        <w:right w:val="none" w:sz="0" w:space="0" w:color="auto"/>
      </w:divBdr>
    </w:div>
    <w:div w:id="537279605">
      <w:marLeft w:val="0"/>
      <w:marRight w:val="0"/>
      <w:marTop w:val="0"/>
      <w:marBottom w:val="0"/>
      <w:divBdr>
        <w:top w:val="none" w:sz="0" w:space="0" w:color="auto"/>
        <w:left w:val="none" w:sz="0" w:space="0" w:color="auto"/>
        <w:bottom w:val="none" w:sz="0" w:space="0" w:color="auto"/>
        <w:right w:val="none" w:sz="0" w:space="0" w:color="auto"/>
      </w:divBdr>
    </w:div>
    <w:div w:id="538929806">
      <w:marLeft w:val="0"/>
      <w:marRight w:val="0"/>
      <w:marTop w:val="100"/>
      <w:marBottom w:val="0"/>
      <w:divBdr>
        <w:top w:val="none" w:sz="0" w:space="0" w:color="auto"/>
        <w:left w:val="none" w:sz="0" w:space="0" w:color="auto"/>
        <w:bottom w:val="none" w:sz="0" w:space="0" w:color="auto"/>
        <w:right w:val="none" w:sz="0" w:space="0" w:color="auto"/>
      </w:divBdr>
    </w:div>
    <w:div w:id="540283231">
      <w:marLeft w:val="0"/>
      <w:marRight w:val="0"/>
      <w:marTop w:val="0"/>
      <w:marBottom w:val="100"/>
      <w:divBdr>
        <w:top w:val="none" w:sz="0" w:space="0" w:color="auto"/>
        <w:left w:val="none" w:sz="0" w:space="0" w:color="auto"/>
        <w:bottom w:val="none" w:sz="0" w:space="0" w:color="auto"/>
        <w:right w:val="none" w:sz="0" w:space="0" w:color="auto"/>
      </w:divBdr>
    </w:div>
    <w:div w:id="544172102">
      <w:marLeft w:val="0"/>
      <w:marRight w:val="0"/>
      <w:marTop w:val="180"/>
      <w:marBottom w:val="0"/>
      <w:divBdr>
        <w:top w:val="none" w:sz="0" w:space="0" w:color="auto"/>
        <w:left w:val="none" w:sz="0" w:space="0" w:color="auto"/>
        <w:bottom w:val="none" w:sz="0" w:space="0" w:color="auto"/>
        <w:right w:val="none" w:sz="0" w:space="0" w:color="auto"/>
      </w:divBdr>
    </w:div>
    <w:div w:id="544173885">
      <w:marLeft w:val="0"/>
      <w:marRight w:val="0"/>
      <w:marTop w:val="0"/>
      <w:marBottom w:val="100"/>
      <w:divBdr>
        <w:top w:val="none" w:sz="0" w:space="0" w:color="auto"/>
        <w:left w:val="none" w:sz="0" w:space="0" w:color="auto"/>
        <w:bottom w:val="none" w:sz="0" w:space="0" w:color="auto"/>
        <w:right w:val="none" w:sz="0" w:space="0" w:color="auto"/>
      </w:divBdr>
    </w:div>
    <w:div w:id="544677047">
      <w:marLeft w:val="0"/>
      <w:marRight w:val="0"/>
      <w:marTop w:val="180"/>
      <w:marBottom w:val="0"/>
      <w:divBdr>
        <w:top w:val="none" w:sz="0" w:space="0" w:color="auto"/>
        <w:left w:val="none" w:sz="0" w:space="0" w:color="auto"/>
        <w:bottom w:val="none" w:sz="0" w:space="0" w:color="auto"/>
        <w:right w:val="none" w:sz="0" w:space="0" w:color="auto"/>
      </w:divBdr>
    </w:div>
    <w:div w:id="546646780">
      <w:marLeft w:val="0"/>
      <w:marRight w:val="0"/>
      <w:marTop w:val="180"/>
      <w:marBottom w:val="0"/>
      <w:divBdr>
        <w:top w:val="none" w:sz="0" w:space="0" w:color="auto"/>
        <w:left w:val="none" w:sz="0" w:space="0" w:color="auto"/>
        <w:bottom w:val="none" w:sz="0" w:space="0" w:color="auto"/>
        <w:right w:val="none" w:sz="0" w:space="0" w:color="auto"/>
      </w:divBdr>
    </w:div>
    <w:div w:id="547763525">
      <w:marLeft w:val="0"/>
      <w:marRight w:val="0"/>
      <w:marTop w:val="0"/>
      <w:marBottom w:val="100"/>
      <w:divBdr>
        <w:top w:val="none" w:sz="0" w:space="0" w:color="auto"/>
        <w:left w:val="none" w:sz="0" w:space="0" w:color="auto"/>
        <w:bottom w:val="none" w:sz="0" w:space="0" w:color="auto"/>
        <w:right w:val="none" w:sz="0" w:space="0" w:color="auto"/>
      </w:divBdr>
    </w:div>
    <w:div w:id="550533574">
      <w:marLeft w:val="0"/>
      <w:marRight w:val="0"/>
      <w:marTop w:val="0"/>
      <w:marBottom w:val="100"/>
      <w:divBdr>
        <w:top w:val="none" w:sz="0" w:space="0" w:color="auto"/>
        <w:left w:val="none" w:sz="0" w:space="0" w:color="auto"/>
        <w:bottom w:val="none" w:sz="0" w:space="0" w:color="auto"/>
        <w:right w:val="none" w:sz="0" w:space="0" w:color="auto"/>
      </w:divBdr>
    </w:div>
    <w:div w:id="551037514">
      <w:marLeft w:val="0"/>
      <w:marRight w:val="0"/>
      <w:marTop w:val="0"/>
      <w:marBottom w:val="100"/>
      <w:divBdr>
        <w:top w:val="none" w:sz="0" w:space="0" w:color="auto"/>
        <w:left w:val="none" w:sz="0" w:space="0" w:color="auto"/>
        <w:bottom w:val="none" w:sz="0" w:space="0" w:color="auto"/>
        <w:right w:val="none" w:sz="0" w:space="0" w:color="auto"/>
      </w:divBdr>
    </w:div>
    <w:div w:id="551618630">
      <w:marLeft w:val="0"/>
      <w:marRight w:val="0"/>
      <w:marTop w:val="0"/>
      <w:marBottom w:val="100"/>
      <w:divBdr>
        <w:top w:val="none" w:sz="0" w:space="0" w:color="auto"/>
        <w:left w:val="none" w:sz="0" w:space="0" w:color="auto"/>
        <w:bottom w:val="none" w:sz="0" w:space="0" w:color="auto"/>
        <w:right w:val="none" w:sz="0" w:space="0" w:color="auto"/>
      </w:divBdr>
    </w:div>
    <w:div w:id="551623083">
      <w:marLeft w:val="0"/>
      <w:marRight w:val="0"/>
      <w:marTop w:val="0"/>
      <w:marBottom w:val="100"/>
      <w:divBdr>
        <w:top w:val="none" w:sz="0" w:space="0" w:color="auto"/>
        <w:left w:val="none" w:sz="0" w:space="0" w:color="auto"/>
        <w:bottom w:val="none" w:sz="0" w:space="0" w:color="auto"/>
        <w:right w:val="none" w:sz="0" w:space="0" w:color="auto"/>
      </w:divBdr>
    </w:div>
    <w:div w:id="552036146">
      <w:marLeft w:val="0"/>
      <w:marRight w:val="0"/>
      <w:marTop w:val="0"/>
      <w:marBottom w:val="100"/>
      <w:divBdr>
        <w:top w:val="none" w:sz="0" w:space="0" w:color="auto"/>
        <w:left w:val="none" w:sz="0" w:space="0" w:color="auto"/>
        <w:bottom w:val="none" w:sz="0" w:space="0" w:color="auto"/>
        <w:right w:val="none" w:sz="0" w:space="0" w:color="auto"/>
      </w:divBdr>
    </w:div>
    <w:div w:id="552422699">
      <w:marLeft w:val="0"/>
      <w:marRight w:val="0"/>
      <w:marTop w:val="0"/>
      <w:marBottom w:val="100"/>
      <w:divBdr>
        <w:top w:val="none" w:sz="0" w:space="0" w:color="auto"/>
        <w:left w:val="none" w:sz="0" w:space="0" w:color="auto"/>
        <w:bottom w:val="none" w:sz="0" w:space="0" w:color="auto"/>
        <w:right w:val="none" w:sz="0" w:space="0" w:color="auto"/>
      </w:divBdr>
    </w:div>
    <w:div w:id="555549060">
      <w:marLeft w:val="0"/>
      <w:marRight w:val="0"/>
      <w:marTop w:val="0"/>
      <w:marBottom w:val="100"/>
      <w:divBdr>
        <w:top w:val="none" w:sz="0" w:space="0" w:color="auto"/>
        <w:left w:val="none" w:sz="0" w:space="0" w:color="auto"/>
        <w:bottom w:val="none" w:sz="0" w:space="0" w:color="auto"/>
        <w:right w:val="none" w:sz="0" w:space="0" w:color="auto"/>
      </w:divBdr>
    </w:div>
    <w:div w:id="556357240">
      <w:marLeft w:val="0"/>
      <w:marRight w:val="0"/>
      <w:marTop w:val="0"/>
      <w:marBottom w:val="0"/>
      <w:divBdr>
        <w:top w:val="none" w:sz="0" w:space="0" w:color="auto"/>
        <w:left w:val="none" w:sz="0" w:space="0" w:color="auto"/>
        <w:bottom w:val="none" w:sz="0" w:space="0" w:color="auto"/>
        <w:right w:val="none" w:sz="0" w:space="0" w:color="auto"/>
      </w:divBdr>
      <w:divsChild>
        <w:div w:id="712274399">
          <w:marLeft w:val="0"/>
          <w:marRight w:val="0"/>
          <w:marTop w:val="0"/>
          <w:marBottom w:val="0"/>
          <w:divBdr>
            <w:top w:val="none" w:sz="0" w:space="0" w:color="auto"/>
            <w:left w:val="none" w:sz="0" w:space="0" w:color="auto"/>
            <w:bottom w:val="none" w:sz="0" w:space="0" w:color="auto"/>
            <w:right w:val="none" w:sz="0" w:space="0" w:color="auto"/>
          </w:divBdr>
          <w:divsChild>
            <w:div w:id="71095759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557011845">
      <w:marLeft w:val="0"/>
      <w:marRight w:val="0"/>
      <w:marTop w:val="0"/>
      <w:marBottom w:val="0"/>
      <w:divBdr>
        <w:top w:val="none" w:sz="0" w:space="0" w:color="auto"/>
        <w:left w:val="none" w:sz="0" w:space="0" w:color="auto"/>
        <w:bottom w:val="none" w:sz="0" w:space="0" w:color="auto"/>
        <w:right w:val="none" w:sz="0" w:space="0" w:color="auto"/>
      </w:divBdr>
      <w:divsChild>
        <w:div w:id="431245151">
          <w:marLeft w:val="0"/>
          <w:marRight w:val="0"/>
          <w:marTop w:val="0"/>
          <w:marBottom w:val="0"/>
          <w:divBdr>
            <w:top w:val="none" w:sz="0" w:space="0" w:color="auto"/>
            <w:left w:val="none" w:sz="0" w:space="0" w:color="auto"/>
            <w:bottom w:val="none" w:sz="0" w:space="0" w:color="auto"/>
            <w:right w:val="none" w:sz="0" w:space="0" w:color="auto"/>
          </w:divBdr>
          <w:divsChild>
            <w:div w:id="206251437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557477957">
      <w:marLeft w:val="0"/>
      <w:marRight w:val="0"/>
      <w:marTop w:val="0"/>
      <w:marBottom w:val="0"/>
      <w:divBdr>
        <w:top w:val="none" w:sz="0" w:space="0" w:color="auto"/>
        <w:left w:val="none" w:sz="0" w:space="0" w:color="auto"/>
        <w:bottom w:val="none" w:sz="0" w:space="0" w:color="auto"/>
        <w:right w:val="none" w:sz="0" w:space="0" w:color="auto"/>
      </w:divBdr>
      <w:divsChild>
        <w:div w:id="1449082068">
          <w:marLeft w:val="0"/>
          <w:marRight w:val="0"/>
          <w:marTop w:val="0"/>
          <w:marBottom w:val="0"/>
          <w:divBdr>
            <w:top w:val="none" w:sz="0" w:space="0" w:color="auto"/>
            <w:left w:val="none" w:sz="0" w:space="0" w:color="auto"/>
            <w:bottom w:val="none" w:sz="0" w:space="0" w:color="auto"/>
            <w:right w:val="none" w:sz="0" w:space="0" w:color="auto"/>
          </w:divBdr>
          <w:divsChild>
            <w:div w:id="160727273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558595468">
      <w:marLeft w:val="0"/>
      <w:marRight w:val="0"/>
      <w:marTop w:val="0"/>
      <w:marBottom w:val="100"/>
      <w:divBdr>
        <w:top w:val="none" w:sz="0" w:space="0" w:color="auto"/>
        <w:left w:val="none" w:sz="0" w:space="0" w:color="auto"/>
        <w:bottom w:val="none" w:sz="0" w:space="0" w:color="auto"/>
        <w:right w:val="none" w:sz="0" w:space="0" w:color="auto"/>
      </w:divBdr>
    </w:div>
    <w:div w:id="562372430">
      <w:marLeft w:val="0"/>
      <w:marRight w:val="0"/>
      <w:marTop w:val="0"/>
      <w:marBottom w:val="0"/>
      <w:divBdr>
        <w:top w:val="none" w:sz="0" w:space="0" w:color="auto"/>
        <w:left w:val="none" w:sz="0" w:space="0" w:color="auto"/>
        <w:bottom w:val="none" w:sz="0" w:space="0" w:color="auto"/>
        <w:right w:val="none" w:sz="0" w:space="0" w:color="auto"/>
      </w:divBdr>
    </w:div>
    <w:div w:id="563830819">
      <w:marLeft w:val="0"/>
      <w:marRight w:val="0"/>
      <w:marTop w:val="180"/>
      <w:marBottom w:val="100"/>
      <w:divBdr>
        <w:top w:val="none" w:sz="0" w:space="0" w:color="auto"/>
        <w:left w:val="none" w:sz="0" w:space="0" w:color="auto"/>
        <w:bottom w:val="none" w:sz="0" w:space="0" w:color="auto"/>
        <w:right w:val="none" w:sz="0" w:space="0" w:color="auto"/>
      </w:divBdr>
    </w:div>
    <w:div w:id="564220414">
      <w:marLeft w:val="0"/>
      <w:marRight w:val="0"/>
      <w:marTop w:val="0"/>
      <w:marBottom w:val="100"/>
      <w:divBdr>
        <w:top w:val="none" w:sz="0" w:space="0" w:color="auto"/>
        <w:left w:val="none" w:sz="0" w:space="0" w:color="auto"/>
        <w:bottom w:val="none" w:sz="0" w:space="0" w:color="auto"/>
        <w:right w:val="none" w:sz="0" w:space="0" w:color="auto"/>
      </w:divBdr>
    </w:div>
    <w:div w:id="565724901">
      <w:marLeft w:val="0"/>
      <w:marRight w:val="0"/>
      <w:marTop w:val="0"/>
      <w:marBottom w:val="0"/>
      <w:divBdr>
        <w:top w:val="none" w:sz="0" w:space="0" w:color="auto"/>
        <w:left w:val="none" w:sz="0" w:space="0" w:color="auto"/>
        <w:bottom w:val="none" w:sz="0" w:space="0" w:color="auto"/>
        <w:right w:val="none" w:sz="0" w:space="0" w:color="auto"/>
      </w:divBdr>
    </w:div>
    <w:div w:id="566302163">
      <w:marLeft w:val="0"/>
      <w:marRight w:val="0"/>
      <w:marTop w:val="0"/>
      <w:marBottom w:val="0"/>
      <w:divBdr>
        <w:top w:val="none" w:sz="0" w:space="0" w:color="auto"/>
        <w:left w:val="none" w:sz="0" w:space="0" w:color="auto"/>
        <w:bottom w:val="none" w:sz="0" w:space="0" w:color="auto"/>
        <w:right w:val="none" w:sz="0" w:space="0" w:color="auto"/>
      </w:divBdr>
      <w:divsChild>
        <w:div w:id="1491677615">
          <w:marLeft w:val="0"/>
          <w:marRight w:val="0"/>
          <w:marTop w:val="0"/>
          <w:marBottom w:val="100"/>
          <w:divBdr>
            <w:top w:val="none" w:sz="0" w:space="0" w:color="auto"/>
            <w:left w:val="none" w:sz="0" w:space="0" w:color="auto"/>
            <w:bottom w:val="none" w:sz="0" w:space="0" w:color="auto"/>
            <w:right w:val="none" w:sz="0" w:space="0" w:color="auto"/>
          </w:divBdr>
        </w:div>
      </w:divsChild>
    </w:div>
    <w:div w:id="567618282">
      <w:marLeft w:val="0"/>
      <w:marRight w:val="0"/>
      <w:marTop w:val="0"/>
      <w:marBottom w:val="100"/>
      <w:divBdr>
        <w:top w:val="none" w:sz="0" w:space="0" w:color="auto"/>
        <w:left w:val="none" w:sz="0" w:space="0" w:color="auto"/>
        <w:bottom w:val="none" w:sz="0" w:space="0" w:color="auto"/>
        <w:right w:val="none" w:sz="0" w:space="0" w:color="auto"/>
      </w:divBdr>
    </w:div>
    <w:div w:id="568150385">
      <w:marLeft w:val="0"/>
      <w:marRight w:val="0"/>
      <w:marTop w:val="0"/>
      <w:marBottom w:val="100"/>
      <w:divBdr>
        <w:top w:val="none" w:sz="0" w:space="0" w:color="auto"/>
        <w:left w:val="none" w:sz="0" w:space="0" w:color="auto"/>
        <w:bottom w:val="none" w:sz="0" w:space="0" w:color="auto"/>
        <w:right w:val="none" w:sz="0" w:space="0" w:color="auto"/>
      </w:divBdr>
    </w:div>
    <w:div w:id="568266369">
      <w:marLeft w:val="0"/>
      <w:marRight w:val="0"/>
      <w:marTop w:val="0"/>
      <w:marBottom w:val="100"/>
      <w:divBdr>
        <w:top w:val="none" w:sz="0" w:space="0" w:color="auto"/>
        <w:left w:val="none" w:sz="0" w:space="0" w:color="auto"/>
        <w:bottom w:val="none" w:sz="0" w:space="0" w:color="auto"/>
        <w:right w:val="none" w:sz="0" w:space="0" w:color="auto"/>
      </w:divBdr>
    </w:div>
    <w:div w:id="571626423">
      <w:marLeft w:val="0"/>
      <w:marRight w:val="0"/>
      <w:marTop w:val="0"/>
      <w:marBottom w:val="0"/>
      <w:divBdr>
        <w:top w:val="none" w:sz="0" w:space="0" w:color="auto"/>
        <w:left w:val="none" w:sz="0" w:space="0" w:color="auto"/>
        <w:bottom w:val="none" w:sz="0" w:space="0" w:color="auto"/>
        <w:right w:val="none" w:sz="0" w:space="0" w:color="auto"/>
      </w:divBdr>
    </w:div>
    <w:div w:id="573275904">
      <w:marLeft w:val="0"/>
      <w:marRight w:val="0"/>
      <w:marTop w:val="0"/>
      <w:marBottom w:val="100"/>
      <w:divBdr>
        <w:top w:val="none" w:sz="0" w:space="0" w:color="auto"/>
        <w:left w:val="none" w:sz="0" w:space="0" w:color="auto"/>
        <w:bottom w:val="none" w:sz="0" w:space="0" w:color="auto"/>
        <w:right w:val="none" w:sz="0" w:space="0" w:color="auto"/>
      </w:divBdr>
    </w:div>
    <w:div w:id="574360275">
      <w:marLeft w:val="0"/>
      <w:marRight w:val="0"/>
      <w:marTop w:val="0"/>
      <w:marBottom w:val="100"/>
      <w:divBdr>
        <w:top w:val="none" w:sz="0" w:space="0" w:color="auto"/>
        <w:left w:val="none" w:sz="0" w:space="0" w:color="auto"/>
        <w:bottom w:val="none" w:sz="0" w:space="0" w:color="auto"/>
        <w:right w:val="none" w:sz="0" w:space="0" w:color="auto"/>
      </w:divBdr>
    </w:div>
    <w:div w:id="576018409">
      <w:marLeft w:val="0"/>
      <w:marRight w:val="0"/>
      <w:marTop w:val="0"/>
      <w:marBottom w:val="0"/>
      <w:divBdr>
        <w:top w:val="none" w:sz="0" w:space="0" w:color="auto"/>
        <w:left w:val="none" w:sz="0" w:space="0" w:color="auto"/>
        <w:bottom w:val="none" w:sz="0" w:space="0" w:color="auto"/>
        <w:right w:val="none" w:sz="0" w:space="0" w:color="auto"/>
      </w:divBdr>
      <w:divsChild>
        <w:div w:id="1841458041">
          <w:marLeft w:val="0"/>
          <w:marRight w:val="0"/>
          <w:marTop w:val="0"/>
          <w:marBottom w:val="0"/>
          <w:divBdr>
            <w:top w:val="none" w:sz="0" w:space="0" w:color="auto"/>
            <w:left w:val="none" w:sz="0" w:space="0" w:color="auto"/>
            <w:bottom w:val="none" w:sz="0" w:space="0" w:color="auto"/>
            <w:right w:val="none" w:sz="0" w:space="0" w:color="auto"/>
          </w:divBdr>
          <w:divsChild>
            <w:div w:id="14937203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576331251">
      <w:marLeft w:val="0"/>
      <w:marRight w:val="0"/>
      <w:marTop w:val="0"/>
      <w:marBottom w:val="100"/>
      <w:divBdr>
        <w:top w:val="none" w:sz="0" w:space="0" w:color="auto"/>
        <w:left w:val="none" w:sz="0" w:space="0" w:color="auto"/>
        <w:bottom w:val="none" w:sz="0" w:space="0" w:color="auto"/>
        <w:right w:val="none" w:sz="0" w:space="0" w:color="auto"/>
      </w:divBdr>
    </w:div>
    <w:div w:id="578561879">
      <w:marLeft w:val="0"/>
      <w:marRight w:val="0"/>
      <w:marTop w:val="0"/>
      <w:marBottom w:val="100"/>
      <w:divBdr>
        <w:top w:val="none" w:sz="0" w:space="0" w:color="auto"/>
        <w:left w:val="none" w:sz="0" w:space="0" w:color="auto"/>
        <w:bottom w:val="none" w:sz="0" w:space="0" w:color="auto"/>
        <w:right w:val="none" w:sz="0" w:space="0" w:color="auto"/>
      </w:divBdr>
    </w:div>
    <w:div w:id="582488952">
      <w:marLeft w:val="0"/>
      <w:marRight w:val="0"/>
      <w:marTop w:val="0"/>
      <w:marBottom w:val="100"/>
      <w:divBdr>
        <w:top w:val="none" w:sz="0" w:space="0" w:color="auto"/>
        <w:left w:val="none" w:sz="0" w:space="0" w:color="auto"/>
        <w:bottom w:val="none" w:sz="0" w:space="0" w:color="auto"/>
        <w:right w:val="none" w:sz="0" w:space="0" w:color="auto"/>
      </w:divBdr>
    </w:div>
    <w:div w:id="582761606">
      <w:marLeft w:val="0"/>
      <w:marRight w:val="0"/>
      <w:marTop w:val="0"/>
      <w:marBottom w:val="0"/>
      <w:divBdr>
        <w:top w:val="none" w:sz="0" w:space="0" w:color="auto"/>
        <w:left w:val="none" w:sz="0" w:space="0" w:color="auto"/>
        <w:bottom w:val="none" w:sz="0" w:space="0" w:color="auto"/>
        <w:right w:val="none" w:sz="0" w:space="0" w:color="auto"/>
      </w:divBdr>
      <w:divsChild>
        <w:div w:id="1021277790">
          <w:marLeft w:val="0"/>
          <w:marRight w:val="0"/>
          <w:marTop w:val="0"/>
          <w:marBottom w:val="0"/>
          <w:divBdr>
            <w:top w:val="none" w:sz="0" w:space="0" w:color="auto"/>
            <w:left w:val="none" w:sz="0" w:space="0" w:color="auto"/>
            <w:bottom w:val="none" w:sz="0" w:space="0" w:color="auto"/>
            <w:right w:val="none" w:sz="0" w:space="0" w:color="auto"/>
          </w:divBdr>
          <w:divsChild>
            <w:div w:id="151718499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583300613">
      <w:marLeft w:val="0"/>
      <w:marRight w:val="0"/>
      <w:marTop w:val="0"/>
      <w:marBottom w:val="0"/>
      <w:divBdr>
        <w:top w:val="none" w:sz="0" w:space="0" w:color="auto"/>
        <w:left w:val="none" w:sz="0" w:space="0" w:color="auto"/>
        <w:bottom w:val="none" w:sz="0" w:space="0" w:color="auto"/>
        <w:right w:val="none" w:sz="0" w:space="0" w:color="auto"/>
      </w:divBdr>
    </w:div>
    <w:div w:id="587151909">
      <w:marLeft w:val="0"/>
      <w:marRight w:val="0"/>
      <w:marTop w:val="0"/>
      <w:marBottom w:val="0"/>
      <w:divBdr>
        <w:top w:val="none" w:sz="0" w:space="0" w:color="auto"/>
        <w:left w:val="none" w:sz="0" w:space="0" w:color="auto"/>
        <w:bottom w:val="none" w:sz="0" w:space="0" w:color="auto"/>
        <w:right w:val="none" w:sz="0" w:space="0" w:color="auto"/>
      </w:divBdr>
      <w:divsChild>
        <w:div w:id="68430465">
          <w:marLeft w:val="0"/>
          <w:marRight w:val="0"/>
          <w:marTop w:val="0"/>
          <w:marBottom w:val="100"/>
          <w:divBdr>
            <w:top w:val="none" w:sz="0" w:space="0" w:color="auto"/>
            <w:left w:val="none" w:sz="0" w:space="0" w:color="auto"/>
            <w:bottom w:val="none" w:sz="0" w:space="0" w:color="auto"/>
            <w:right w:val="none" w:sz="0" w:space="0" w:color="auto"/>
          </w:divBdr>
        </w:div>
      </w:divsChild>
    </w:div>
    <w:div w:id="589310558">
      <w:marLeft w:val="0"/>
      <w:marRight w:val="0"/>
      <w:marTop w:val="180"/>
      <w:marBottom w:val="0"/>
      <w:divBdr>
        <w:top w:val="none" w:sz="0" w:space="0" w:color="auto"/>
        <w:left w:val="none" w:sz="0" w:space="0" w:color="auto"/>
        <w:bottom w:val="none" w:sz="0" w:space="0" w:color="auto"/>
        <w:right w:val="none" w:sz="0" w:space="0" w:color="auto"/>
      </w:divBdr>
    </w:div>
    <w:div w:id="589461504">
      <w:marLeft w:val="0"/>
      <w:marRight w:val="0"/>
      <w:marTop w:val="0"/>
      <w:marBottom w:val="0"/>
      <w:divBdr>
        <w:top w:val="none" w:sz="0" w:space="0" w:color="auto"/>
        <w:left w:val="none" w:sz="0" w:space="0" w:color="auto"/>
        <w:bottom w:val="none" w:sz="0" w:space="0" w:color="auto"/>
        <w:right w:val="none" w:sz="0" w:space="0" w:color="auto"/>
      </w:divBdr>
    </w:div>
    <w:div w:id="593321065">
      <w:marLeft w:val="0"/>
      <w:marRight w:val="0"/>
      <w:marTop w:val="0"/>
      <w:marBottom w:val="0"/>
      <w:divBdr>
        <w:top w:val="none" w:sz="0" w:space="0" w:color="auto"/>
        <w:left w:val="none" w:sz="0" w:space="0" w:color="auto"/>
        <w:bottom w:val="none" w:sz="0" w:space="0" w:color="auto"/>
        <w:right w:val="none" w:sz="0" w:space="0" w:color="auto"/>
      </w:divBdr>
      <w:divsChild>
        <w:div w:id="299573581">
          <w:marLeft w:val="0"/>
          <w:marRight w:val="0"/>
          <w:marTop w:val="0"/>
          <w:marBottom w:val="0"/>
          <w:divBdr>
            <w:top w:val="none" w:sz="0" w:space="0" w:color="auto"/>
            <w:left w:val="none" w:sz="0" w:space="0" w:color="auto"/>
            <w:bottom w:val="none" w:sz="0" w:space="0" w:color="auto"/>
            <w:right w:val="none" w:sz="0" w:space="0" w:color="auto"/>
          </w:divBdr>
          <w:divsChild>
            <w:div w:id="197474840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593975006">
      <w:marLeft w:val="0"/>
      <w:marRight w:val="0"/>
      <w:marTop w:val="0"/>
      <w:marBottom w:val="100"/>
      <w:divBdr>
        <w:top w:val="none" w:sz="0" w:space="0" w:color="auto"/>
        <w:left w:val="none" w:sz="0" w:space="0" w:color="auto"/>
        <w:bottom w:val="none" w:sz="0" w:space="0" w:color="auto"/>
        <w:right w:val="none" w:sz="0" w:space="0" w:color="auto"/>
      </w:divBdr>
    </w:div>
    <w:div w:id="594559399">
      <w:marLeft w:val="0"/>
      <w:marRight w:val="0"/>
      <w:marTop w:val="0"/>
      <w:marBottom w:val="0"/>
      <w:divBdr>
        <w:top w:val="none" w:sz="0" w:space="0" w:color="auto"/>
        <w:left w:val="none" w:sz="0" w:space="0" w:color="auto"/>
        <w:bottom w:val="none" w:sz="0" w:space="0" w:color="auto"/>
        <w:right w:val="none" w:sz="0" w:space="0" w:color="auto"/>
      </w:divBdr>
      <w:divsChild>
        <w:div w:id="499466956">
          <w:marLeft w:val="0"/>
          <w:marRight w:val="0"/>
          <w:marTop w:val="0"/>
          <w:marBottom w:val="0"/>
          <w:divBdr>
            <w:top w:val="none" w:sz="0" w:space="0" w:color="auto"/>
            <w:left w:val="none" w:sz="0" w:space="0" w:color="auto"/>
            <w:bottom w:val="none" w:sz="0" w:space="0" w:color="auto"/>
            <w:right w:val="none" w:sz="0" w:space="0" w:color="auto"/>
          </w:divBdr>
          <w:divsChild>
            <w:div w:id="89813397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595602388">
      <w:marLeft w:val="0"/>
      <w:marRight w:val="0"/>
      <w:marTop w:val="180"/>
      <w:marBottom w:val="0"/>
      <w:divBdr>
        <w:top w:val="none" w:sz="0" w:space="0" w:color="auto"/>
        <w:left w:val="none" w:sz="0" w:space="0" w:color="auto"/>
        <w:bottom w:val="none" w:sz="0" w:space="0" w:color="auto"/>
        <w:right w:val="none" w:sz="0" w:space="0" w:color="auto"/>
      </w:divBdr>
      <w:divsChild>
        <w:div w:id="1452360215">
          <w:marLeft w:val="0"/>
          <w:marRight w:val="0"/>
          <w:marTop w:val="0"/>
          <w:marBottom w:val="0"/>
          <w:divBdr>
            <w:top w:val="none" w:sz="0" w:space="0" w:color="auto"/>
            <w:left w:val="none" w:sz="0" w:space="0" w:color="auto"/>
            <w:bottom w:val="none" w:sz="0" w:space="0" w:color="auto"/>
            <w:right w:val="none" w:sz="0" w:space="0" w:color="auto"/>
          </w:divBdr>
        </w:div>
      </w:divsChild>
    </w:div>
    <w:div w:id="599024987">
      <w:marLeft w:val="0"/>
      <w:marRight w:val="0"/>
      <w:marTop w:val="0"/>
      <w:marBottom w:val="100"/>
      <w:divBdr>
        <w:top w:val="none" w:sz="0" w:space="0" w:color="auto"/>
        <w:left w:val="none" w:sz="0" w:space="0" w:color="auto"/>
        <w:bottom w:val="none" w:sz="0" w:space="0" w:color="auto"/>
        <w:right w:val="none" w:sz="0" w:space="0" w:color="auto"/>
      </w:divBdr>
    </w:div>
    <w:div w:id="599527819">
      <w:marLeft w:val="0"/>
      <w:marRight w:val="0"/>
      <w:marTop w:val="0"/>
      <w:marBottom w:val="100"/>
      <w:divBdr>
        <w:top w:val="none" w:sz="0" w:space="0" w:color="auto"/>
        <w:left w:val="none" w:sz="0" w:space="0" w:color="auto"/>
        <w:bottom w:val="none" w:sz="0" w:space="0" w:color="auto"/>
        <w:right w:val="none" w:sz="0" w:space="0" w:color="auto"/>
      </w:divBdr>
    </w:div>
    <w:div w:id="599720311">
      <w:marLeft w:val="0"/>
      <w:marRight w:val="0"/>
      <w:marTop w:val="100"/>
      <w:marBottom w:val="100"/>
      <w:divBdr>
        <w:top w:val="none" w:sz="0" w:space="0" w:color="auto"/>
        <w:left w:val="none" w:sz="0" w:space="0" w:color="auto"/>
        <w:bottom w:val="none" w:sz="0" w:space="0" w:color="auto"/>
        <w:right w:val="none" w:sz="0" w:space="0" w:color="auto"/>
      </w:divBdr>
    </w:div>
    <w:div w:id="601571024">
      <w:marLeft w:val="0"/>
      <w:marRight w:val="0"/>
      <w:marTop w:val="0"/>
      <w:marBottom w:val="100"/>
      <w:divBdr>
        <w:top w:val="none" w:sz="0" w:space="0" w:color="auto"/>
        <w:left w:val="none" w:sz="0" w:space="0" w:color="auto"/>
        <w:bottom w:val="none" w:sz="0" w:space="0" w:color="auto"/>
        <w:right w:val="none" w:sz="0" w:space="0" w:color="auto"/>
      </w:divBdr>
    </w:div>
    <w:div w:id="601691874">
      <w:marLeft w:val="0"/>
      <w:marRight w:val="0"/>
      <w:marTop w:val="0"/>
      <w:marBottom w:val="0"/>
      <w:divBdr>
        <w:top w:val="none" w:sz="0" w:space="0" w:color="auto"/>
        <w:left w:val="none" w:sz="0" w:space="0" w:color="auto"/>
        <w:bottom w:val="none" w:sz="0" w:space="0" w:color="auto"/>
        <w:right w:val="none" w:sz="0" w:space="0" w:color="auto"/>
      </w:divBdr>
    </w:div>
    <w:div w:id="602109418">
      <w:marLeft w:val="0"/>
      <w:marRight w:val="0"/>
      <w:marTop w:val="0"/>
      <w:marBottom w:val="100"/>
      <w:divBdr>
        <w:top w:val="none" w:sz="0" w:space="0" w:color="auto"/>
        <w:left w:val="none" w:sz="0" w:space="0" w:color="auto"/>
        <w:bottom w:val="none" w:sz="0" w:space="0" w:color="auto"/>
        <w:right w:val="none" w:sz="0" w:space="0" w:color="auto"/>
      </w:divBdr>
    </w:div>
    <w:div w:id="604003252">
      <w:marLeft w:val="0"/>
      <w:marRight w:val="0"/>
      <w:marTop w:val="0"/>
      <w:marBottom w:val="100"/>
      <w:divBdr>
        <w:top w:val="none" w:sz="0" w:space="0" w:color="auto"/>
        <w:left w:val="none" w:sz="0" w:space="0" w:color="auto"/>
        <w:bottom w:val="none" w:sz="0" w:space="0" w:color="auto"/>
        <w:right w:val="none" w:sz="0" w:space="0" w:color="auto"/>
      </w:divBdr>
    </w:div>
    <w:div w:id="606229759">
      <w:marLeft w:val="0"/>
      <w:marRight w:val="0"/>
      <w:marTop w:val="0"/>
      <w:marBottom w:val="100"/>
      <w:divBdr>
        <w:top w:val="none" w:sz="0" w:space="0" w:color="auto"/>
        <w:left w:val="none" w:sz="0" w:space="0" w:color="auto"/>
        <w:bottom w:val="none" w:sz="0" w:space="0" w:color="auto"/>
        <w:right w:val="none" w:sz="0" w:space="0" w:color="auto"/>
      </w:divBdr>
    </w:div>
    <w:div w:id="606471166">
      <w:marLeft w:val="0"/>
      <w:marRight w:val="0"/>
      <w:marTop w:val="0"/>
      <w:marBottom w:val="100"/>
      <w:divBdr>
        <w:top w:val="none" w:sz="0" w:space="0" w:color="auto"/>
        <w:left w:val="none" w:sz="0" w:space="0" w:color="auto"/>
        <w:bottom w:val="none" w:sz="0" w:space="0" w:color="auto"/>
        <w:right w:val="none" w:sz="0" w:space="0" w:color="auto"/>
      </w:divBdr>
    </w:div>
    <w:div w:id="607978038">
      <w:marLeft w:val="0"/>
      <w:marRight w:val="0"/>
      <w:marTop w:val="0"/>
      <w:marBottom w:val="0"/>
      <w:divBdr>
        <w:top w:val="none" w:sz="0" w:space="0" w:color="auto"/>
        <w:left w:val="none" w:sz="0" w:space="0" w:color="auto"/>
        <w:bottom w:val="none" w:sz="0" w:space="0" w:color="auto"/>
        <w:right w:val="none" w:sz="0" w:space="0" w:color="auto"/>
      </w:divBdr>
    </w:div>
    <w:div w:id="608008729">
      <w:marLeft w:val="0"/>
      <w:marRight w:val="0"/>
      <w:marTop w:val="0"/>
      <w:marBottom w:val="100"/>
      <w:divBdr>
        <w:top w:val="none" w:sz="0" w:space="0" w:color="auto"/>
        <w:left w:val="none" w:sz="0" w:space="0" w:color="auto"/>
        <w:bottom w:val="none" w:sz="0" w:space="0" w:color="auto"/>
        <w:right w:val="none" w:sz="0" w:space="0" w:color="auto"/>
      </w:divBdr>
    </w:div>
    <w:div w:id="611136158">
      <w:marLeft w:val="0"/>
      <w:marRight w:val="0"/>
      <w:marTop w:val="0"/>
      <w:marBottom w:val="100"/>
      <w:divBdr>
        <w:top w:val="none" w:sz="0" w:space="0" w:color="auto"/>
        <w:left w:val="none" w:sz="0" w:space="0" w:color="auto"/>
        <w:bottom w:val="none" w:sz="0" w:space="0" w:color="auto"/>
        <w:right w:val="none" w:sz="0" w:space="0" w:color="auto"/>
      </w:divBdr>
    </w:div>
    <w:div w:id="611400331">
      <w:marLeft w:val="0"/>
      <w:marRight w:val="0"/>
      <w:marTop w:val="0"/>
      <w:marBottom w:val="100"/>
      <w:divBdr>
        <w:top w:val="none" w:sz="0" w:space="0" w:color="auto"/>
        <w:left w:val="none" w:sz="0" w:space="0" w:color="auto"/>
        <w:bottom w:val="none" w:sz="0" w:space="0" w:color="auto"/>
        <w:right w:val="none" w:sz="0" w:space="0" w:color="auto"/>
      </w:divBdr>
    </w:div>
    <w:div w:id="615019830">
      <w:marLeft w:val="0"/>
      <w:marRight w:val="0"/>
      <w:marTop w:val="0"/>
      <w:marBottom w:val="0"/>
      <w:divBdr>
        <w:top w:val="none" w:sz="0" w:space="0" w:color="auto"/>
        <w:left w:val="none" w:sz="0" w:space="0" w:color="auto"/>
        <w:bottom w:val="none" w:sz="0" w:space="0" w:color="auto"/>
        <w:right w:val="none" w:sz="0" w:space="0" w:color="auto"/>
      </w:divBdr>
    </w:div>
    <w:div w:id="615990803">
      <w:marLeft w:val="0"/>
      <w:marRight w:val="0"/>
      <w:marTop w:val="0"/>
      <w:marBottom w:val="0"/>
      <w:divBdr>
        <w:top w:val="none" w:sz="0" w:space="0" w:color="auto"/>
        <w:left w:val="none" w:sz="0" w:space="0" w:color="auto"/>
        <w:bottom w:val="none" w:sz="0" w:space="0" w:color="auto"/>
        <w:right w:val="none" w:sz="0" w:space="0" w:color="auto"/>
      </w:divBdr>
      <w:divsChild>
        <w:div w:id="868681032">
          <w:marLeft w:val="0"/>
          <w:marRight w:val="0"/>
          <w:marTop w:val="0"/>
          <w:marBottom w:val="100"/>
          <w:divBdr>
            <w:top w:val="none" w:sz="0" w:space="0" w:color="auto"/>
            <w:left w:val="none" w:sz="0" w:space="0" w:color="auto"/>
            <w:bottom w:val="none" w:sz="0" w:space="0" w:color="auto"/>
            <w:right w:val="none" w:sz="0" w:space="0" w:color="auto"/>
          </w:divBdr>
        </w:div>
      </w:divsChild>
    </w:div>
    <w:div w:id="617760973">
      <w:marLeft w:val="0"/>
      <w:marRight w:val="0"/>
      <w:marTop w:val="180"/>
      <w:marBottom w:val="0"/>
      <w:divBdr>
        <w:top w:val="none" w:sz="0" w:space="0" w:color="auto"/>
        <w:left w:val="none" w:sz="0" w:space="0" w:color="auto"/>
        <w:bottom w:val="none" w:sz="0" w:space="0" w:color="auto"/>
        <w:right w:val="none" w:sz="0" w:space="0" w:color="auto"/>
      </w:divBdr>
    </w:div>
    <w:div w:id="618490845">
      <w:marLeft w:val="0"/>
      <w:marRight w:val="0"/>
      <w:marTop w:val="0"/>
      <w:marBottom w:val="100"/>
      <w:divBdr>
        <w:top w:val="none" w:sz="0" w:space="0" w:color="auto"/>
        <w:left w:val="none" w:sz="0" w:space="0" w:color="auto"/>
        <w:bottom w:val="none" w:sz="0" w:space="0" w:color="auto"/>
        <w:right w:val="none" w:sz="0" w:space="0" w:color="auto"/>
      </w:divBdr>
    </w:div>
    <w:div w:id="618876052">
      <w:marLeft w:val="0"/>
      <w:marRight w:val="0"/>
      <w:marTop w:val="0"/>
      <w:marBottom w:val="100"/>
      <w:divBdr>
        <w:top w:val="none" w:sz="0" w:space="0" w:color="auto"/>
        <w:left w:val="none" w:sz="0" w:space="0" w:color="auto"/>
        <w:bottom w:val="none" w:sz="0" w:space="0" w:color="auto"/>
        <w:right w:val="none" w:sz="0" w:space="0" w:color="auto"/>
      </w:divBdr>
    </w:div>
    <w:div w:id="619649851">
      <w:marLeft w:val="0"/>
      <w:marRight w:val="0"/>
      <w:marTop w:val="0"/>
      <w:marBottom w:val="100"/>
      <w:divBdr>
        <w:top w:val="none" w:sz="0" w:space="0" w:color="auto"/>
        <w:left w:val="none" w:sz="0" w:space="0" w:color="auto"/>
        <w:bottom w:val="none" w:sz="0" w:space="0" w:color="auto"/>
        <w:right w:val="none" w:sz="0" w:space="0" w:color="auto"/>
      </w:divBdr>
    </w:div>
    <w:div w:id="620497828">
      <w:marLeft w:val="0"/>
      <w:marRight w:val="0"/>
      <w:marTop w:val="0"/>
      <w:marBottom w:val="0"/>
      <w:divBdr>
        <w:top w:val="none" w:sz="0" w:space="0" w:color="auto"/>
        <w:left w:val="none" w:sz="0" w:space="0" w:color="auto"/>
        <w:bottom w:val="none" w:sz="0" w:space="0" w:color="auto"/>
        <w:right w:val="none" w:sz="0" w:space="0" w:color="auto"/>
      </w:divBdr>
    </w:div>
    <w:div w:id="625550239">
      <w:marLeft w:val="0"/>
      <w:marRight w:val="0"/>
      <w:marTop w:val="180"/>
      <w:marBottom w:val="0"/>
      <w:divBdr>
        <w:top w:val="none" w:sz="0" w:space="0" w:color="auto"/>
        <w:left w:val="none" w:sz="0" w:space="0" w:color="auto"/>
        <w:bottom w:val="none" w:sz="0" w:space="0" w:color="auto"/>
        <w:right w:val="none" w:sz="0" w:space="0" w:color="auto"/>
      </w:divBdr>
    </w:div>
    <w:div w:id="626741162">
      <w:marLeft w:val="0"/>
      <w:marRight w:val="0"/>
      <w:marTop w:val="0"/>
      <w:marBottom w:val="100"/>
      <w:divBdr>
        <w:top w:val="none" w:sz="0" w:space="0" w:color="auto"/>
        <w:left w:val="none" w:sz="0" w:space="0" w:color="auto"/>
        <w:bottom w:val="none" w:sz="0" w:space="0" w:color="auto"/>
        <w:right w:val="none" w:sz="0" w:space="0" w:color="auto"/>
      </w:divBdr>
    </w:div>
    <w:div w:id="627467720">
      <w:marLeft w:val="0"/>
      <w:marRight w:val="0"/>
      <w:marTop w:val="0"/>
      <w:marBottom w:val="0"/>
      <w:divBdr>
        <w:top w:val="none" w:sz="0" w:space="0" w:color="auto"/>
        <w:left w:val="none" w:sz="0" w:space="0" w:color="auto"/>
        <w:bottom w:val="none" w:sz="0" w:space="0" w:color="auto"/>
        <w:right w:val="none" w:sz="0" w:space="0" w:color="auto"/>
      </w:divBdr>
      <w:divsChild>
        <w:div w:id="1919247845">
          <w:marLeft w:val="0"/>
          <w:marRight w:val="0"/>
          <w:marTop w:val="0"/>
          <w:marBottom w:val="100"/>
          <w:divBdr>
            <w:top w:val="none" w:sz="0" w:space="0" w:color="auto"/>
            <w:left w:val="none" w:sz="0" w:space="0" w:color="auto"/>
            <w:bottom w:val="none" w:sz="0" w:space="0" w:color="auto"/>
            <w:right w:val="none" w:sz="0" w:space="0" w:color="auto"/>
          </w:divBdr>
        </w:div>
      </w:divsChild>
    </w:div>
    <w:div w:id="627708883">
      <w:marLeft w:val="0"/>
      <w:marRight w:val="0"/>
      <w:marTop w:val="0"/>
      <w:marBottom w:val="0"/>
      <w:divBdr>
        <w:top w:val="none" w:sz="0" w:space="0" w:color="auto"/>
        <w:left w:val="none" w:sz="0" w:space="0" w:color="auto"/>
        <w:bottom w:val="none" w:sz="0" w:space="0" w:color="auto"/>
        <w:right w:val="none" w:sz="0" w:space="0" w:color="auto"/>
      </w:divBdr>
    </w:div>
    <w:div w:id="628509746">
      <w:marLeft w:val="0"/>
      <w:marRight w:val="0"/>
      <w:marTop w:val="180"/>
      <w:marBottom w:val="0"/>
      <w:divBdr>
        <w:top w:val="none" w:sz="0" w:space="0" w:color="auto"/>
        <w:left w:val="none" w:sz="0" w:space="0" w:color="auto"/>
        <w:bottom w:val="none" w:sz="0" w:space="0" w:color="auto"/>
        <w:right w:val="none" w:sz="0" w:space="0" w:color="auto"/>
      </w:divBdr>
    </w:div>
    <w:div w:id="629170509">
      <w:marLeft w:val="0"/>
      <w:marRight w:val="0"/>
      <w:marTop w:val="100"/>
      <w:marBottom w:val="100"/>
      <w:divBdr>
        <w:top w:val="none" w:sz="0" w:space="0" w:color="auto"/>
        <w:left w:val="none" w:sz="0" w:space="0" w:color="auto"/>
        <w:bottom w:val="none" w:sz="0" w:space="0" w:color="auto"/>
        <w:right w:val="none" w:sz="0" w:space="0" w:color="auto"/>
      </w:divBdr>
    </w:div>
    <w:div w:id="630945083">
      <w:marLeft w:val="0"/>
      <w:marRight w:val="0"/>
      <w:marTop w:val="0"/>
      <w:marBottom w:val="100"/>
      <w:divBdr>
        <w:top w:val="none" w:sz="0" w:space="0" w:color="auto"/>
        <w:left w:val="none" w:sz="0" w:space="0" w:color="auto"/>
        <w:bottom w:val="none" w:sz="0" w:space="0" w:color="auto"/>
        <w:right w:val="none" w:sz="0" w:space="0" w:color="auto"/>
      </w:divBdr>
    </w:div>
    <w:div w:id="633414625">
      <w:marLeft w:val="0"/>
      <w:marRight w:val="0"/>
      <w:marTop w:val="0"/>
      <w:marBottom w:val="0"/>
      <w:divBdr>
        <w:top w:val="none" w:sz="0" w:space="0" w:color="auto"/>
        <w:left w:val="none" w:sz="0" w:space="0" w:color="auto"/>
        <w:bottom w:val="none" w:sz="0" w:space="0" w:color="auto"/>
        <w:right w:val="none" w:sz="0" w:space="0" w:color="auto"/>
      </w:divBdr>
      <w:divsChild>
        <w:div w:id="48697172">
          <w:marLeft w:val="0"/>
          <w:marRight w:val="0"/>
          <w:marTop w:val="0"/>
          <w:marBottom w:val="0"/>
          <w:divBdr>
            <w:top w:val="none" w:sz="0" w:space="0" w:color="auto"/>
            <w:left w:val="none" w:sz="0" w:space="0" w:color="auto"/>
            <w:bottom w:val="none" w:sz="0" w:space="0" w:color="auto"/>
            <w:right w:val="none" w:sz="0" w:space="0" w:color="auto"/>
          </w:divBdr>
          <w:divsChild>
            <w:div w:id="104988679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634918451">
      <w:marLeft w:val="0"/>
      <w:marRight w:val="0"/>
      <w:marTop w:val="0"/>
      <w:marBottom w:val="100"/>
      <w:divBdr>
        <w:top w:val="none" w:sz="0" w:space="0" w:color="auto"/>
        <w:left w:val="none" w:sz="0" w:space="0" w:color="auto"/>
        <w:bottom w:val="none" w:sz="0" w:space="0" w:color="auto"/>
        <w:right w:val="none" w:sz="0" w:space="0" w:color="auto"/>
      </w:divBdr>
    </w:div>
    <w:div w:id="636760922">
      <w:marLeft w:val="0"/>
      <w:marRight w:val="0"/>
      <w:marTop w:val="180"/>
      <w:marBottom w:val="0"/>
      <w:divBdr>
        <w:top w:val="none" w:sz="0" w:space="0" w:color="auto"/>
        <w:left w:val="none" w:sz="0" w:space="0" w:color="auto"/>
        <w:bottom w:val="none" w:sz="0" w:space="0" w:color="auto"/>
        <w:right w:val="none" w:sz="0" w:space="0" w:color="auto"/>
      </w:divBdr>
    </w:div>
    <w:div w:id="638146419">
      <w:marLeft w:val="0"/>
      <w:marRight w:val="0"/>
      <w:marTop w:val="180"/>
      <w:marBottom w:val="0"/>
      <w:divBdr>
        <w:top w:val="none" w:sz="0" w:space="0" w:color="auto"/>
        <w:left w:val="none" w:sz="0" w:space="0" w:color="auto"/>
        <w:bottom w:val="none" w:sz="0" w:space="0" w:color="auto"/>
        <w:right w:val="none" w:sz="0" w:space="0" w:color="auto"/>
      </w:divBdr>
    </w:div>
    <w:div w:id="640814988">
      <w:marLeft w:val="0"/>
      <w:marRight w:val="0"/>
      <w:marTop w:val="0"/>
      <w:marBottom w:val="0"/>
      <w:divBdr>
        <w:top w:val="none" w:sz="0" w:space="0" w:color="auto"/>
        <w:left w:val="none" w:sz="0" w:space="0" w:color="auto"/>
        <w:bottom w:val="none" w:sz="0" w:space="0" w:color="auto"/>
        <w:right w:val="none" w:sz="0" w:space="0" w:color="auto"/>
      </w:divBdr>
      <w:divsChild>
        <w:div w:id="386955233">
          <w:marLeft w:val="0"/>
          <w:marRight w:val="0"/>
          <w:marTop w:val="0"/>
          <w:marBottom w:val="100"/>
          <w:divBdr>
            <w:top w:val="none" w:sz="0" w:space="0" w:color="auto"/>
            <w:left w:val="none" w:sz="0" w:space="0" w:color="auto"/>
            <w:bottom w:val="none" w:sz="0" w:space="0" w:color="auto"/>
            <w:right w:val="none" w:sz="0" w:space="0" w:color="auto"/>
          </w:divBdr>
        </w:div>
      </w:divsChild>
    </w:div>
    <w:div w:id="641427236">
      <w:marLeft w:val="0"/>
      <w:marRight w:val="0"/>
      <w:marTop w:val="0"/>
      <w:marBottom w:val="0"/>
      <w:divBdr>
        <w:top w:val="none" w:sz="0" w:space="0" w:color="auto"/>
        <w:left w:val="none" w:sz="0" w:space="0" w:color="auto"/>
        <w:bottom w:val="none" w:sz="0" w:space="0" w:color="auto"/>
        <w:right w:val="none" w:sz="0" w:space="0" w:color="auto"/>
      </w:divBdr>
      <w:divsChild>
        <w:div w:id="1715040618">
          <w:marLeft w:val="0"/>
          <w:marRight w:val="0"/>
          <w:marTop w:val="0"/>
          <w:marBottom w:val="0"/>
          <w:divBdr>
            <w:top w:val="none" w:sz="0" w:space="0" w:color="auto"/>
            <w:left w:val="none" w:sz="0" w:space="0" w:color="auto"/>
            <w:bottom w:val="none" w:sz="0" w:space="0" w:color="auto"/>
            <w:right w:val="none" w:sz="0" w:space="0" w:color="auto"/>
          </w:divBdr>
          <w:divsChild>
            <w:div w:id="104348255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643388817">
      <w:marLeft w:val="0"/>
      <w:marRight w:val="0"/>
      <w:marTop w:val="180"/>
      <w:marBottom w:val="0"/>
      <w:divBdr>
        <w:top w:val="none" w:sz="0" w:space="0" w:color="auto"/>
        <w:left w:val="none" w:sz="0" w:space="0" w:color="auto"/>
        <w:bottom w:val="none" w:sz="0" w:space="0" w:color="auto"/>
        <w:right w:val="none" w:sz="0" w:space="0" w:color="auto"/>
      </w:divBdr>
    </w:div>
    <w:div w:id="644435545">
      <w:marLeft w:val="0"/>
      <w:marRight w:val="0"/>
      <w:marTop w:val="180"/>
      <w:marBottom w:val="0"/>
      <w:divBdr>
        <w:top w:val="none" w:sz="0" w:space="0" w:color="auto"/>
        <w:left w:val="none" w:sz="0" w:space="0" w:color="auto"/>
        <w:bottom w:val="none" w:sz="0" w:space="0" w:color="auto"/>
        <w:right w:val="none" w:sz="0" w:space="0" w:color="auto"/>
      </w:divBdr>
      <w:divsChild>
        <w:div w:id="604458088">
          <w:marLeft w:val="0"/>
          <w:marRight w:val="0"/>
          <w:marTop w:val="0"/>
          <w:marBottom w:val="0"/>
          <w:divBdr>
            <w:top w:val="none" w:sz="0" w:space="0" w:color="auto"/>
            <w:left w:val="none" w:sz="0" w:space="0" w:color="auto"/>
            <w:bottom w:val="none" w:sz="0" w:space="0" w:color="auto"/>
            <w:right w:val="none" w:sz="0" w:space="0" w:color="auto"/>
          </w:divBdr>
        </w:div>
      </w:divsChild>
    </w:div>
    <w:div w:id="646982268">
      <w:marLeft w:val="0"/>
      <w:marRight w:val="0"/>
      <w:marTop w:val="0"/>
      <w:marBottom w:val="100"/>
      <w:divBdr>
        <w:top w:val="none" w:sz="0" w:space="0" w:color="auto"/>
        <w:left w:val="none" w:sz="0" w:space="0" w:color="auto"/>
        <w:bottom w:val="none" w:sz="0" w:space="0" w:color="auto"/>
        <w:right w:val="none" w:sz="0" w:space="0" w:color="auto"/>
      </w:divBdr>
    </w:div>
    <w:div w:id="647515508">
      <w:marLeft w:val="0"/>
      <w:marRight w:val="0"/>
      <w:marTop w:val="180"/>
      <w:marBottom w:val="0"/>
      <w:divBdr>
        <w:top w:val="none" w:sz="0" w:space="0" w:color="auto"/>
        <w:left w:val="none" w:sz="0" w:space="0" w:color="auto"/>
        <w:bottom w:val="none" w:sz="0" w:space="0" w:color="auto"/>
        <w:right w:val="none" w:sz="0" w:space="0" w:color="auto"/>
      </w:divBdr>
    </w:div>
    <w:div w:id="649093177">
      <w:marLeft w:val="0"/>
      <w:marRight w:val="0"/>
      <w:marTop w:val="0"/>
      <w:marBottom w:val="0"/>
      <w:divBdr>
        <w:top w:val="none" w:sz="0" w:space="0" w:color="auto"/>
        <w:left w:val="none" w:sz="0" w:space="0" w:color="auto"/>
        <w:bottom w:val="none" w:sz="0" w:space="0" w:color="auto"/>
        <w:right w:val="none" w:sz="0" w:space="0" w:color="auto"/>
      </w:divBdr>
      <w:divsChild>
        <w:div w:id="1725715309">
          <w:marLeft w:val="0"/>
          <w:marRight w:val="0"/>
          <w:marTop w:val="0"/>
          <w:marBottom w:val="100"/>
          <w:divBdr>
            <w:top w:val="none" w:sz="0" w:space="0" w:color="auto"/>
            <w:left w:val="none" w:sz="0" w:space="0" w:color="auto"/>
            <w:bottom w:val="none" w:sz="0" w:space="0" w:color="auto"/>
            <w:right w:val="none" w:sz="0" w:space="0" w:color="auto"/>
          </w:divBdr>
        </w:div>
      </w:divsChild>
    </w:div>
    <w:div w:id="649871737">
      <w:marLeft w:val="0"/>
      <w:marRight w:val="0"/>
      <w:marTop w:val="0"/>
      <w:marBottom w:val="100"/>
      <w:divBdr>
        <w:top w:val="none" w:sz="0" w:space="0" w:color="auto"/>
        <w:left w:val="none" w:sz="0" w:space="0" w:color="auto"/>
        <w:bottom w:val="none" w:sz="0" w:space="0" w:color="auto"/>
        <w:right w:val="none" w:sz="0" w:space="0" w:color="auto"/>
      </w:divBdr>
    </w:div>
    <w:div w:id="649943650">
      <w:marLeft w:val="0"/>
      <w:marRight w:val="0"/>
      <w:marTop w:val="180"/>
      <w:marBottom w:val="0"/>
      <w:divBdr>
        <w:top w:val="none" w:sz="0" w:space="0" w:color="auto"/>
        <w:left w:val="none" w:sz="0" w:space="0" w:color="auto"/>
        <w:bottom w:val="none" w:sz="0" w:space="0" w:color="auto"/>
        <w:right w:val="none" w:sz="0" w:space="0" w:color="auto"/>
      </w:divBdr>
    </w:div>
    <w:div w:id="650795420">
      <w:marLeft w:val="0"/>
      <w:marRight w:val="0"/>
      <w:marTop w:val="0"/>
      <w:marBottom w:val="100"/>
      <w:divBdr>
        <w:top w:val="none" w:sz="0" w:space="0" w:color="auto"/>
        <w:left w:val="none" w:sz="0" w:space="0" w:color="auto"/>
        <w:bottom w:val="none" w:sz="0" w:space="0" w:color="auto"/>
        <w:right w:val="none" w:sz="0" w:space="0" w:color="auto"/>
      </w:divBdr>
    </w:div>
    <w:div w:id="652173242">
      <w:marLeft w:val="0"/>
      <w:marRight w:val="0"/>
      <w:marTop w:val="0"/>
      <w:marBottom w:val="0"/>
      <w:divBdr>
        <w:top w:val="none" w:sz="0" w:space="0" w:color="auto"/>
        <w:left w:val="none" w:sz="0" w:space="0" w:color="auto"/>
        <w:bottom w:val="none" w:sz="0" w:space="0" w:color="auto"/>
        <w:right w:val="none" w:sz="0" w:space="0" w:color="auto"/>
      </w:divBdr>
      <w:divsChild>
        <w:div w:id="983192619">
          <w:marLeft w:val="0"/>
          <w:marRight w:val="0"/>
          <w:marTop w:val="0"/>
          <w:marBottom w:val="0"/>
          <w:divBdr>
            <w:top w:val="none" w:sz="0" w:space="0" w:color="auto"/>
            <w:left w:val="none" w:sz="0" w:space="0" w:color="auto"/>
            <w:bottom w:val="none" w:sz="0" w:space="0" w:color="auto"/>
            <w:right w:val="none" w:sz="0" w:space="0" w:color="auto"/>
          </w:divBdr>
          <w:divsChild>
            <w:div w:id="41209546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652373012">
      <w:marLeft w:val="0"/>
      <w:marRight w:val="0"/>
      <w:marTop w:val="180"/>
      <w:marBottom w:val="0"/>
      <w:divBdr>
        <w:top w:val="none" w:sz="0" w:space="0" w:color="auto"/>
        <w:left w:val="none" w:sz="0" w:space="0" w:color="auto"/>
        <w:bottom w:val="none" w:sz="0" w:space="0" w:color="auto"/>
        <w:right w:val="none" w:sz="0" w:space="0" w:color="auto"/>
      </w:divBdr>
    </w:div>
    <w:div w:id="653030365">
      <w:marLeft w:val="0"/>
      <w:marRight w:val="0"/>
      <w:marTop w:val="0"/>
      <w:marBottom w:val="100"/>
      <w:divBdr>
        <w:top w:val="none" w:sz="0" w:space="0" w:color="auto"/>
        <w:left w:val="none" w:sz="0" w:space="0" w:color="auto"/>
        <w:bottom w:val="none" w:sz="0" w:space="0" w:color="auto"/>
        <w:right w:val="none" w:sz="0" w:space="0" w:color="auto"/>
      </w:divBdr>
    </w:div>
    <w:div w:id="653333168">
      <w:marLeft w:val="0"/>
      <w:marRight w:val="0"/>
      <w:marTop w:val="0"/>
      <w:marBottom w:val="0"/>
      <w:divBdr>
        <w:top w:val="none" w:sz="0" w:space="0" w:color="auto"/>
        <w:left w:val="none" w:sz="0" w:space="0" w:color="auto"/>
        <w:bottom w:val="none" w:sz="0" w:space="0" w:color="auto"/>
        <w:right w:val="none" w:sz="0" w:space="0" w:color="auto"/>
      </w:divBdr>
    </w:div>
    <w:div w:id="653412841">
      <w:marLeft w:val="0"/>
      <w:marRight w:val="0"/>
      <w:marTop w:val="0"/>
      <w:marBottom w:val="100"/>
      <w:divBdr>
        <w:top w:val="none" w:sz="0" w:space="0" w:color="auto"/>
        <w:left w:val="none" w:sz="0" w:space="0" w:color="auto"/>
        <w:bottom w:val="none" w:sz="0" w:space="0" w:color="auto"/>
        <w:right w:val="none" w:sz="0" w:space="0" w:color="auto"/>
      </w:divBdr>
    </w:div>
    <w:div w:id="653685841">
      <w:marLeft w:val="0"/>
      <w:marRight w:val="0"/>
      <w:marTop w:val="0"/>
      <w:marBottom w:val="100"/>
      <w:divBdr>
        <w:top w:val="none" w:sz="0" w:space="0" w:color="auto"/>
        <w:left w:val="none" w:sz="0" w:space="0" w:color="auto"/>
        <w:bottom w:val="none" w:sz="0" w:space="0" w:color="auto"/>
        <w:right w:val="none" w:sz="0" w:space="0" w:color="auto"/>
      </w:divBdr>
    </w:div>
    <w:div w:id="656808080">
      <w:marLeft w:val="0"/>
      <w:marRight w:val="0"/>
      <w:marTop w:val="0"/>
      <w:marBottom w:val="100"/>
      <w:divBdr>
        <w:top w:val="none" w:sz="0" w:space="0" w:color="auto"/>
        <w:left w:val="none" w:sz="0" w:space="0" w:color="auto"/>
        <w:bottom w:val="none" w:sz="0" w:space="0" w:color="auto"/>
        <w:right w:val="none" w:sz="0" w:space="0" w:color="auto"/>
      </w:divBdr>
    </w:div>
    <w:div w:id="657147997">
      <w:marLeft w:val="0"/>
      <w:marRight w:val="0"/>
      <w:marTop w:val="0"/>
      <w:marBottom w:val="0"/>
      <w:divBdr>
        <w:top w:val="none" w:sz="0" w:space="0" w:color="auto"/>
        <w:left w:val="none" w:sz="0" w:space="0" w:color="auto"/>
        <w:bottom w:val="none" w:sz="0" w:space="0" w:color="auto"/>
        <w:right w:val="none" w:sz="0" w:space="0" w:color="auto"/>
      </w:divBdr>
      <w:divsChild>
        <w:div w:id="2094818575">
          <w:marLeft w:val="0"/>
          <w:marRight w:val="0"/>
          <w:marTop w:val="0"/>
          <w:marBottom w:val="0"/>
          <w:divBdr>
            <w:top w:val="none" w:sz="0" w:space="0" w:color="auto"/>
            <w:left w:val="none" w:sz="0" w:space="0" w:color="auto"/>
            <w:bottom w:val="none" w:sz="0" w:space="0" w:color="auto"/>
            <w:right w:val="none" w:sz="0" w:space="0" w:color="auto"/>
          </w:divBdr>
          <w:divsChild>
            <w:div w:id="51033990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658575905">
      <w:marLeft w:val="0"/>
      <w:marRight w:val="0"/>
      <w:marTop w:val="0"/>
      <w:marBottom w:val="100"/>
      <w:divBdr>
        <w:top w:val="none" w:sz="0" w:space="0" w:color="auto"/>
        <w:left w:val="none" w:sz="0" w:space="0" w:color="auto"/>
        <w:bottom w:val="none" w:sz="0" w:space="0" w:color="auto"/>
        <w:right w:val="none" w:sz="0" w:space="0" w:color="auto"/>
      </w:divBdr>
    </w:div>
    <w:div w:id="658729960">
      <w:marLeft w:val="0"/>
      <w:marRight w:val="0"/>
      <w:marTop w:val="0"/>
      <w:marBottom w:val="100"/>
      <w:divBdr>
        <w:top w:val="none" w:sz="0" w:space="0" w:color="auto"/>
        <w:left w:val="none" w:sz="0" w:space="0" w:color="auto"/>
        <w:bottom w:val="none" w:sz="0" w:space="0" w:color="auto"/>
        <w:right w:val="none" w:sz="0" w:space="0" w:color="auto"/>
      </w:divBdr>
    </w:div>
    <w:div w:id="659576423">
      <w:marLeft w:val="0"/>
      <w:marRight w:val="0"/>
      <w:marTop w:val="0"/>
      <w:marBottom w:val="100"/>
      <w:divBdr>
        <w:top w:val="none" w:sz="0" w:space="0" w:color="auto"/>
        <w:left w:val="none" w:sz="0" w:space="0" w:color="auto"/>
        <w:bottom w:val="none" w:sz="0" w:space="0" w:color="auto"/>
        <w:right w:val="none" w:sz="0" w:space="0" w:color="auto"/>
      </w:divBdr>
    </w:div>
    <w:div w:id="660892312">
      <w:marLeft w:val="0"/>
      <w:marRight w:val="0"/>
      <w:marTop w:val="0"/>
      <w:marBottom w:val="100"/>
      <w:divBdr>
        <w:top w:val="none" w:sz="0" w:space="0" w:color="auto"/>
        <w:left w:val="none" w:sz="0" w:space="0" w:color="auto"/>
        <w:bottom w:val="none" w:sz="0" w:space="0" w:color="auto"/>
        <w:right w:val="none" w:sz="0" w:space="0" w:color="auto"/>
      </w:divBdr>
    </w:div>
    <w:div w:id="660961744">
      <w:marLeft w:val="0"/>
      <w:marRight w:val="0"/>
      <w:marTop w:val="0"/>
      <w:marBottom w:val="0"/>
      <w:divBdr>
        <w:top w:val="none" w:sz="0" w:space="0" w:color="auto"/>
        <w:left w:val="none" w:sz="0" w:space="0" w:color="auto"/>
        <w:bottom w:val="none" w:sz="0" w:space="0" w:color="auto"/>
        <w:right w:val="none" w:sz="0" w:space="0" w:color="auto"/>
      </w:divBdr>
    </w:div>
    <w:div w:id="663435990">
      <w:marLeft w:val="0"/>
      <w:marRight w:val="0"/>
      <w:marTop w:val="100"/>
      <w:marBottom w:val="100"/>
      <w:divBdr>
        <w:top w:val="none" w:sz="0" w:space="0" w:color="auto"/>
        <w:left w:val="none" w:sz="0" w:space="0" w:color="auto"/>
        <w:bottom w:val="none" w:sz="0" w:space="0" w:color="auto"/>
        <w:right w:val="none" w:sz="0" w:space="0" w:color="auto"/>
      </w:divBdr>
    </w:div>
    <w:div w:id="664092351">
      <w:marLeft w:val="0"/>
      <w:marRight w:val="0"/>
      <w:marTop w:val="0"/>
      <w:marBottom w:val="100"/>
      <w:divBdr>
        <w:top w:val="none" w:sz="0" w:space="0" w:color="auto"/>
        <w:left w:val="none" w:sz="0" w:space="0" w:color="auto"/>
        <w:bottom w:val="none" w:sz="0" w:space="0" w:color="auto"/>
        <w:right w:val="none" w:sz="0" w:space="0" w:color="auto"/>
      </w:divBdr>
    </w:div>
    <w:div w:id="664211120">
      <w:marLeft w:val="0"/>
      <w:marRight w:val="0"/>
      <w:marTop w:val="0"/>
      <w:marBottom w:val="100"/>
      <w:divBdr>
        <w:top w:val="none" w:sz="0" w:space="0" w:color="auto"/>
        <w:left w:val="none" w:sz="0" w:space="0" w:color="auto"/>
        <w:bottom w:val="none" w:sz="0" w:space="0" w:color="auto"/>
        <w:right w:val="none" w:sz="0" w:space="0" w:color="auto"/>
      </w:divBdr>
    </w:div>
    <w:div w:id="667907869">
      <w:marLeft w:val="0"/>
      <w:marRight w:val="0"/>
      <w:marTop w:val="0"/>
      <w:marBottom w:val="0"/>
      <w:divBdr>
        <w:top w:val="none" w:sz="0" w:space="0" w:color="auto"/>
        <w:left w:val="none" w:sz="0" w:space="0" w:color="auto"/>
        <w:bottom w:val="none" w:sz="0" w:space="0" w:color="auto"/>
        <w:right w:val="none" w:sz="0" w:space="0" w:color="auto"/>
      </w:divBdr>
    </w:div>
    <w:div w:id="670136280">
      <w:marLeft w:val="0"/>
      <w:marRight w:val="0"/>
      <w:marTop w:val="0"/>
      <w:marBottom w:val="100"/>
      <w:divBdr>
        <w:top w:val="none" w:sz="0" w:space="0" w:color="auto"/>
        <w:left w:val="none" w:sz="0" w:space="0" w:color="auto"/>
        <w:bottom w:val="none" w:sz="0" w:space="0" w:color="auto"/>
        <w:right w:val="none" w:sz="0" w:space="0" w:color="auto"/>
      </w:divBdr>
    </w:div>
    <w:div w:id="672224224">
      <w:marLeft w:val="0"/>
      <w:marRight w:val="0"/>
      <w:marTop w:val="180"/>
      <w:marBottom w:val="0"/>
      <w:divBdr>
        <w:top w:val="none" w:sz="0" w:space="0" w:color="auto"/>
        <w:left w:val="none" w:sz="0" w:space="0" w:color="auto"/>
        <w:bottom w:val="none" w:sz="0" w:space="0" w:color="auto"/>
        <w:right w:val="none" w:sz="0" w:space="0" w:color="auto"/>
      </w:divBdr>
    </w:div>
    <w:div w:id="674769935">
      <w:marLeft w:val="0"/>
      <w:marRight w:val="0"/>
      <w:marTop w:val="180"/>
      <w:marBottom w:val="0"/>
      <w:divBdr>
        <w:top w:val="none" w:sz="0" w:space="0" w:color="auto"/>
        <w:left w:val="none" w:sz="0" w:space="0" w:color="auto"/>
        <w:bottom w:val="none" w:sz="0" w:space="0" w:color="auto"/>
        <w:right w:val="none" w:sz="0" w:space="0" w:color="auto"/>
      </w:divBdr>
    </w:div>
    <w:div w:id="674919943">
      <w:marLeft w:val="0"/>
      <w:marRight w:val="0"/>
      <w:marTop w:val="0"/>
      <w:marBottom w:val="100"/>
      <w:divBdr>
        <w:top w:val="none" w:sz="0" w:space="0" w:color="auto"/>
        <w:left w:val="none" w:sz="0" w:space="0" w:color="auto"/>
        <w:bottom w:val="none" w:sz="0" w:space="0" w:color="auto"/>
        <w:right w:val="none" w:sz="0" w:space="0" w:color="auto"/>
      </w:divBdr>
    </w:div>
    <w:div w:id="675575259">
      <w:marLeft w:val="0"/>
      <w:marRight w:val="0"/>
      <w:marTop w:val="0"/>
      <w:marBottom w:val="0"/>
      <w:divBdr>
        <w:top w:val="none" w:sz="0" w:space="0" w:color="auto"/>
        <w:left w:val="none" w:sz="0" w:space="0" w:color="auto"/>
        <w:bottom w:val="none" w:sz="0" w:space="0" w:color="auto"/>
        <w:right w:val="none" w:sz="0" w:space="0" w:color="auto"/>
      </w:divBdr>
      <w:divsChild>
        <w:div w:id="1150370842">
          <w:marLeft w:val="0"/>
          <w:marRight w:val="0"/>
          <w:marTop w:val="0"/>
          <w:marBottom w:val="100"/>
          <w:divBdr>
            <w:top w:val="none" w:sz="0" w:space="0" w:color="auto"/>
            <w:left w:val="none" w:sz="0" w:space="0" w:color="auto"/>
            <w:bottom w:val="none" w:sz="0" w:space="0" w:color="auto"/>
            <w:right w:val="none" w:sz="0" w:space="0" w:color="auto"/>
          </w:divBdr>
        </w:div>
      </w:divsChild>
    </w:div>
    <w:div w:id="676150000">
      <w:marLeft w:val="0"/>
      <w:marRight w:val="0"/>
      <w:marTop w:val="100"/>
      <w:marBottom w:val="0"/>
      <w:divBdr>
        <w:top w:val="none" w:sz="0" w:space="0" w:color="auto"/>
        <w:left w:val="none" w:sz="0" w:space="0" w:color="auto"/>
        <w:bottom w:val="none" w:sz="0" w:space="0" w:color="auto"/>
        <w:right w:val="none" w:sz="0" w:space="0" w:color="auto"/>
      </w:divBdr>
      <w:divsChild>
        <w:div w:id="1727488527">
          <w:marLeft w:val="0"/>
          <w:marRight w:val="0"/>
          <w:marTop w:val="0"/>
          <w:marBottom w:val="0"/>
          <w:divBdr>
            <w:top w:val="none" w:sz="0" w:space="0" w:color="auto"/>
            <w:left w:val="none" w:sz="0" w:space="0" w:color="auto"/>
            <w:bottom w:val="none" w:sz="0" w:space="0" w:color="auto"/>
            <w:right w:val="none" w:sz="0" w:space="0" w:color="auto"/>
          </w:divBdr>
        </w:div>
        <w:div w:id="101993481">
          <w:marLeft w:val="0"/>
          <w:marRight w:val="0"/>
          <w:marTop w:val="0"/>
          <w:marBottom w:val="0"/>
          <w:divBdr>
            <w:top w:val="none" w:sz="0" w:space="0" w:color="auto"/>
            <w:left w:val="none" w:sz="0" w:space="0" w:color="auto"/>
            <w:bottom w:val="none" w:sz="0" w:space="0" w:color="auto"/>
            <w:right w:val="none" w:sz="0" w:space="0" w:color="auto"/>
          </w:divBdr>
        </w:div>
      </w:divsChild>
    </w:div>
    <w:div w:id="676734116">
      <w:marLeft w:val="0"/>
      <w:marRight w:val="0"/>
      <w:marTop w:val="0"/>
      <w:marBottom w:val="0"/>
      <w:divBdr>
        <w:top w:val="none" w:sz="0" w:space="0" w:color="auto"/>
        <w:left w:val="none" w:sz="0" w:space="0" w:color="auto"/>
        <w:bottom w:val="none" w:sz="0" w:space="0" w:color="auto"/>
        <w:right w:val="none" w:sz="0" w:space="0" w:color="auto"/>
      </w:divBdr>
      <w:divsChild>
        <w:div w:id="1789346792">
          <w:marLeft w:val="0"/>
          <w:marRight w:val="0"/>
          <w:marTop w:val="0"/>
          <w:marBottom w:val="0"/>
          <w:divBdr>
            <w:top w:val="none" w:sz="0" w:space="0" w:color="auto"/>
            <w:left w:val="none" w:sz="0" w:space="0" w:color="auto"/>
            <w:bottom w:val="none" w:sz="0" w:space="0" w:color="auto"/>
            <w:right w:val="none" w:sz="0" w:space="0" w:color="auto"/>
          </w:divBdr>
          <w:divsChild>
            <w:div w:id="127409485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677390418">
      <w:marLeft w:val="0"/>
      <w:marRight w:val="0"/>
      <w:marTop w:val="0"/>
      <w:marBottom w:val="100"/>
      <w:divBdr>
        <w:top w:val="none" w:sz="0" w:space="0" w:color="auto"/>
        <w:left w:val="none" w:sz="0" w:space="0" w:color="auto"/>
        <w:bottom w:val="none" w:sz="0" w:space="0" w:color="auto"/>
        <w:right w:val="none" w:sz="0" w:space="0" w:color="auto"/>
      </w:divBdr>
    </w:div>
    <w:div w:id="679506990">
      <w:marLeft w:val="0"/>
      <w:marRight w:val="0"/>
      <w:marTop w:val="0"/>
      <w:marBottom w:val="100"/>
      <w:divBdr>
        <w:top w:val="none" w:sz="0" w:space="0" w:color="auto"/>
        <w:left w:val="none" w:sz="0" w:space="0" w:color="auto"/>
        <w:bottom w:val="none" w:sz="0" w:space="0" w:color="auto"/>
        <w:right w:val="none" w:sz="0" w:space="0" w:color="auto"/>
      </w:divBdr>
    </w:div>
    <w:div w:id="679553028">
      <w:marLeft w:val="0"/>
      <w:marRight w:val="0"/>
      <w:marTop w:val="180"/>
      <w:marBottom w:val="0"/>
      <w:divBdr>
        <w:top w:val="none" w:sz="0" w:space="0" w:color="auto"/>
        <w:left w:val="none" w:sz="0" w:space="0" w:color="auto"/>
        <w:bottom w:val="none" w:sz="0" w:space="0" w:color="auto"/>
        <w:right w:val="none" w:sz="0" w:space="0" w:color="auto"/>
      </w:divBdr>
    </w:div>
    <w:div w:id="680469512">
      <w:marLeft w:val="0"/>
      <w:marRight w:val="0"/>
      <w:marTop w:val="0"/>
      <w:marBottom w:val="100"/>
      <w:divBdr>
        <w:top w:val="none" w:sz="0" w:space="0" w:color="auto"/>
        <w:left w:val="none" w:sz="0" w:space="0" w:color="auto"/>
        <w:bottom w:val="none" w:sz="0" w:space="0" w:color="auto"/>
        <w:right w:val="none" w:sz="0" w:space="0" w:color="auto"/>
      </w:divBdr>
    </w:div>
    <w:div w:id="681200922">
      <w:marLeft w:val="0"/>
      <w:marRight w:val="0"/>
      <w:marTop w:val="0"/>
      <w:marBottom w:val="100"/>
      <w:divBdr>
        <w:top w:val="none" w:sz="0" w:space="0" w:color="auto"/>
        <w:left w:val="none" w:sz="0" w:space="0" w:color="auto"/>
        <w:bottom w:val="none" w:sz="0" w:space="0" w:color="auto"/>
        <w:right w:val="none" w:sz="0" w:space="0" w:color="auto"/>
      </w:divBdr>
    </w:div>
    <w:div w:id="681712261">
      <w:marLeft w:val="0"/>
      <w:marRight w:val="0"/>
      <w:marTop w:val="0"/>
      <w:marBottom w:val="100"/>
      <w:divBdr>
        <w:top w:val="none" w:sz="0" w:space="0" w:color="auto"/>
        <w:left w:val="none" w:sz="0" w:space="0" w:color="auto"/>
        <w:bottom w:val="none" w:sz="0" w:space="0" w:color="auto"/>
        <w:right w:val="none" w:sz="0" w:space="0" w:color="auto"/>
      </w:divBdr>
    </w:div>
    <w:div w:id="683091657">
      <w:marLeft w:val="0"/>
      <w:marRight w:val="0"/>
      <w:marTop w:val="0"/>
      <w:marBottom w:val="0"/>
      <w:divBdr>
        <w:top w:val="none" w:sz="0" w:space="0" w:color="auto"/>
        <w:left w:val="none" w:sz="0" w:space="0" w:color="auto"/>
        <w:bottom w:val="none" w:sz="0" w:space="0" w:color="auto"/>
        <w:right w:val="none" w:sz="0" w:space="0" w:color="auto"/>
      </w:divBdr>
      <w:divsChild>
        <w:div w:id="996304023">
          <w:marLeft w:val="0"/>
          <w:marRight w:val="0"/>
          <w:marTop w:val="0"/>
          <w:marBottom w:val="100"/>
          <w:divBdr>
            <w:top w:val="none" w:sz="0" w:space="0" w:color="auto"/>
            <w:left w:val="none" w:sz="0" w:space="0" w:color="auto"/>
            <w:bottom w:val="none" w:sz="0" w:space="0" w:color="auto"/>
            <w:right w:val="none" w:sz="0" w:space="0" w:color="auto"/>
          </w:divBdr>
        </w:div>
      </w:divsChild>
    </w:div>
    <w:div w:id="684089965">
      <w:marLeft w:val="0"/>
      <w:marRight w:val="0"/>
      <w:marTop w:val="0"/>
      <w:marBottom w:val="100"/>
      <w:divBdr>
        <w:top w:val="none" w:sz="0" w:space="0" w:color="auto"/>
        <w:left w:val="none" w:sz="0" w:space="0" w:color="auto"/>
        <w:bottom w:val="none" w:sz="0" w:space="0" w:color="auto"/>
        <w:right w:val="none" w:sz="0" w:space="0" w:color="auto"/>
      </w:divBdr>
    </w:div>
    <w:div w:id="686758729">
      <w:marLeft w:val="0"/>
      <w:marRight w:val="0"/>
      <w:marTop w:val="0"/>
      <w:marBottom w:val="0"/>
      <w:divBdr>
        <w:top w:val="none" w:sz="0" w:space="0" w:color="auto"/>
        <w:left w:val="none" w:sz="0" w:space="0" w:color="auto"/>
        <w:bottom w:val="none" w:sz="0" w:space="0" w:color="auto"/>
        <w:right w:val="none" w:sz="0" w:space="0" w:color="auto"/>
      </w:divBdr>
      <w:divsChild>
        <w:div w:id="1620336881">
          <w:marLeft w:val="0"/>
          <w:marRight w:val="0"/>
          <w:marTop w:val="0"/>
          <w:marBottom w:val="100"/>
          <w:divBdr>
            <w:top w:val="none" w:sz="0" w:space="0" w:color="auto"/>
            <w:left w:val="none" w:sz="0" w:space="0" w:color="auto"/>
            <w:bottom w:val="none" w:sz="0" w:space="0" w:color="auto"/>
            <w:right w:val="none" w:sz="0" w:space="0" w:color="auto"/>
          </w:divBdr>
        </w:div>
      </w:divsChild>
    </w:div>
    <w:div w:id="687025583">
      <w:marLeft w:val="0"/>
      <w:marRight w:val="0"/>
      <w:marTop w:val="0"/>
      <w:marBottom w:val="100"/>
      <w:divBdr>
        <w:top w:val="none" w:sz="0" w:space="0" w:color="auto"/>
        <w:left w:val="none" w:sz="0" w:space="0" w:color="auto"/>
        <w:bottom w:val="none" w:sz="0" w:space="0" w:color="auto"/>
        <w:right w:val="none" w:sz="0" w:space="0" w:color="auto"/>
      </w:divBdr>
    </w:div>
    <w:div w:id="688020879">
      <w:marLeft w:val="0"/>
      <w:marRight w:val="0"/>
      <w:marTop w:val="0"/>
      <w:marBottom w:val="100"/>
      <w:divBdr>
        <w:top w:val="none" w:sz="0" w:space="0" w:color="auto"/>
        <w:left w:val="none" w:sz="0" w:space="0" w:color="auto"/>
        <w:bottom w:val="none" w:sz="0" w:space="0" w:color="auto"/>
        <w:right w:val="none" w:sz="0" w:space="0" w:color="auto"/>
      </w:divBdr>
    </w:div>
    <w:div w:id="689916253">
      <w:marLeft w:val="0"/>
      <w:marRight w:val="0"/>
      <w:marTop w:val="180"/>
      <w:marBottom w:val="0"/>
      <w:divBdr>
        <w:top w:val="none" w:sz="0" w:space="0" w:color="auto"/>
        <w:left w:val="none" w:sz="0" w:space="0" w:color="auto"/>
        <w:bottom w:val="none" w:sz="0" w:space="0" w:color="auto"/>
        <w:right w:val="none" w:sz="0" w:space="0" w:color="auto"/>
      </w:divBdr>
    </w:div>
    <w:div w:id="690423803">
      <w:marLeft w:val="0"/>
      <w:marRight w:val="0"/>
      <w:marTop w:val="180"/>
      <w:marBottom w:val="100"/>
      <w:divBdr>
        <w:top w:val="none" w:sz="0" w:space="0" w:color="auto"/>
        <w:left w:val="none" w:sz="0" w:space="0" w:color="auto"/>
        <w:bottom w:val="none" w:sz="0" w:space="0" w:color="auto"/>
        <w:right w:val="none" w:sz="0" w:space="0" w:color="auto"/>
      </w:divBdr>
      <w:divsChild>
        <w:div w:id="1234125780">
          <w:marLeft w:val="0"/>
          <w:marRight w:val="0"/>
          <w:marTop w:val="0"/>
          <w:marBottom w:val="0"/>
          <w:divBdr>
            <w:top w:val="none" w:sz="0" w:space="0" w:color="auto"/>
            <w:left w:val="none" w:sz="0" w:space="0" w:color="auto"/>
            <w:bottom w:val="none" w:sz="0" w:space="0" w:color="auto"/>
            <w:right w:val="none" w:sz="0" w:space="0" w:color="auto"/>
          </w:divBdr>
        </w:div>
        <w:div w:id="806434648">
          <w:marLeft w:val="0"/>
          <w:marRight w:val="0"/>
          <w:marTop w:val="0"/>
          <w:marBottom w:val="0"/>
          <w:divBdr>
            <w:top w:val="none" w:sz="0" w:space="0" w:color="auto"/>
            <w:left w:val="none" w:sz="0" w:space="0" w:color="auto"/>
            <w:bottom w:val="none" w:sz="0" w:space="0" w:color="auto"/>
            <w:right w:val="none" w:sz="0" w:space="0" w:color="auto"/>
          </w:divBdr>
        </w:div>
        <w:div w:id="1433017933">
          <w:marLeft w:val="0"/>
          <w:marRight w:val="0"/>
          <w:marTop w:val="0"/>
          <w:marBottom w:val="0"/>
          <w:divBdr>
            <w:top w:val="none" w:sz="0" w:space="0" w:color="auto"/>
            <w:left w:val="none" w:sz="0" w:space="0" w:color="auto"/>
            <w:bottom w:val="none" w:sz="0" w:space="0" w:color="auto"/>
            <w:right w:val="none" w:sz="0" w:space="0" w:color="auto"/>
          </w:divBdr>
        </w:div>
        <w:div w:id="2073381362">
          <w:marLeft w:val="0"/>
          <w:marRight w:val="0"/>
          <w:marTop w:val="0"/>
          <w:marBottom w:val="0"/>
          <w:divBdr>
            <w:top w:val="none" w:sz="0" w:space="0" w:color="auto"/>
            <w:left w:val="none" w:sz="0" w:space="0" w:color="auto"/>
            <w:bottom w:val="none" w:sz="0" w:space="0" w:color="auto"/>
            <w:right w:val="none" w:sz="0" w:space="0" w:color="auto"/>
          </w:divBdr>
        </w:div>
        <w:div w:id="1840077417">
          <w:marLeft w:val="0"/>
          <w:marRight w:val="0"/>
          <w:marTop w:val="0"/>
          <w:marBottom w:val="0"/>
          <w:divBdr>
            <w:top w:val="none" w:sz="0" w:space="0" w:color="auto"/>
            <w:left w:val="none" w:sz="0" w:space="0" w:color="auto"/>
            <w:bottom w:val="none" w:sz="0" w:space="0" w:color="auto"/>
            <w:right w:val="none" w:sz="0" w:space="0" w:color="auto"/>
          </w:divBdr>
        </w:div>
      </w:divsChild>
    </w:div>
    <w:div w:id="692146269">
      <w:marLeft w:val="0"/>
      <w:marRight w:val="0"/>
      <w:marTop w:val="180"/>
      <w:marBottom w:val="0"/>
      <w:divBdr>
        <w:top w:val="none" w:sz="0" w:space="0" w:color="auto"/>
        <w:left w:val="none" w:sz="0" w:space="0" w:color="auto"/>
        <w:bottom w:val="none" w:sz="0" w:space="0" w:color="auto"/>
        <w:right w:val="none" w:sz="0" w:space="0" w:color="auto"/>
      </w:divBdr>
      <w:divsChild>
        <w:div w:id="1061370146">
          <w:marLeft w:val="0"/>
          <w:marRight w:val="0"/>
          <w:marTop w:val="0"/>
          <w:marBottom w:val="0"/>
          <w:divBdr>
            <w:top w:val="none" w:sz="0" w:space="0" w:color="auto"/>
            <w:left w:val="none" w:sz="0" w:space="0" w:color="auto"/>
            <w:bottom w:val="none" w:sz="0" w:space="0" w:color="auto"/>
            <w:right w:val="none" w:sz="0" w:space="0" w:color="auto"/>
          </w:divBdr>
        </w:div>
        <w:div w:id="1955598487">
          <w:marLeft w:val="0"/>
          <w:marRight w:val="0"/>
          <w:marTop w:val="180"/>
          <w:marBottom w:val="0"/>
          <w:divBdr>
            <w:top w:val="none" w:sz="0" w:space="0" w:color="auto"/>
            <w:left w:val="none" w:sz="0" w:space="0" w:color="auto"/>
            <w:bottom w:val="none" w:sz="0" w:space="0" w:color="auto"/>
            <w:right w:val="none" w:sz="0" w:space="0" w:color="auto"/>
          </w:divBdr>
        </w:div>
      </w:divsChild>
    </w:div>
    <w:div w:id="693264987">
      <w:marLeft w:val="0"/>
      <w:marRight w:val="0"/>
      <w:marTop w:val="0"/>
      <w:marBottom w:val="100"/>
      <w:divBdr>
        <w:top w:val="none" w:sz="0" w:space="0" w:color="auto"/>
        <w:left w:val="none" w:sz="0" w:space="0" w:color="auto"/>
        <w:bottom w:val="none" w:sz="0" w:space="0" w:color="auto"/>
        <w:right w:val="none" w:sz="0" w:space="0" w:color="auto"/>
      </w:divBdr>
    </w:div>
    <w:div w:id="693729871">
      <w:marLeft w:val="0"/>
      <w:marRight w:val="0"/>
      <w:marTop w:val="0"/>
      <w:marBottom w:val="100"/>
      <w:divBdr>
        <w:top w:val="none" w:sz="0" w:space="0" w:color="auto"/>
        <w:left w:val="none" w:sz="0" w:space="0" w:color="auto"/>
        <w:bottom w:val="none" w:sz="0" w:space="0" w:color="auto"/>
        <w:right w:val="none" w:sz="0" w:space="0" w:color="auto"/>
      </w:divBdr>
    </w:div>
    <w:div w:id="701322678">
      <w:marLeft w:val="0"/>
      <w:marRight w:val="0"/>
      <w:marTop w:val="0"/>
      <w:marBottom w:val="100"/>
      <w:divBdr>
        <w:top w:val="none" w:sz="0" w:space="0" w:color="auto"/>
        <w:left w:val="none" w:sz="0" w:space="0" w:color="auto"/>
        <w:bottom w:val="none" w:sz="0" w:space="0" w:color="auto"/>
        <w:right w:val="none" w:sz="0" w:space="0" w:color="auto"/>
      </w:divBdr>
    </w:div>
    <w:div w:id="702169193">
      <w:marLeft w:val="0"/>
      <w:marRight w:val="0"/>
      <w:marTop w:val="0"/>
      <w:marBottom w:val="0"/>
      <w:divBdr>
        <w:top w:val="none" w:sz="0" w:space="0" w:color="auto"/>
        <w:left w:val="none" w:sz="0" w:space="0" w:color="auto"/>
        <w:bottom w:val="none" w:sz="0" w:space="0" w:color="auto"/>
        <w:right w:val="none" w:sz="0" w:space="0" w:color="auto"/>
      </w:divBdr>
      <w:divsChild>
        <w:div w:id="1806268125">
          <w:marLeft w:val="0"/>
          <w:marRight w:val="0"/>
          <w:marTop w:val="0"/>
          <w:marBottom w:val="0"/>
          <w:divBdr>
            <w:top w:val="none" w:sz="0" w:space="0" w:color="auto"/>
            <w:left w:val="none" w:sz="0" w:space="0" w:color="auto"/>
            <w:bottom w:val="none" w:sz="0" w:space="0" w:color="auto"/>
            <w:right w:val="none" w:sz="0" w:space="0" w:color="auto"/>
          </w:divBdr>
          <w:divsChild>
            <w:div w:id="182068572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702286424">
      <w:marLeft w:val="0"/>
      <w:marRight w:val="0"/>
      <w:marTop w:val="180"/>
      <w:marBottom w:val="0"/>
      <w:divBdr>
        <w:top w:val="none" w:sz="0" w:space="0" w:color="auto"/>
        <w:left w:val="none" w:sz="0" w:space="0" w:color="auto"/>
        <w:bottom w:val="none" w:sz="0" w:space="0" w:color="auto"/>
        <w:right w:val="none" w:sz="0" w:space="0" w:color="auto"/>
      </w:divBdr>
    </w:div>
    <w:div w:id="704141885">
      <w:marLeft w:val="0"/>
      <w:marRight w:val="0"/>
      <w:marTop w:val="0"/>
      <w:marBottom w:val="100"/>
      <w:divBdr>
        <w:top w:val="none" w:sz="0" w:space="0" w:color="auto"/>
        <w:left w:val="none" w:sz="0" w:space="0" w:color="auto"/>
        <w:bottom w:val="none" w:sz="0" w:space="0" w:color="auto"/>
        <w:right w:val="none" w:sz="0" w:space="0" w:color="auto"/>
      </w:divBdr>
    </w:div>
    <w:div w:id="704259212">
      <w:marLeft w:val="0"/>
      <w:marRight w:val="0"/>
      <w:marTop w:val="0"/>
      <w:marBottom w:val="0"/>
      <w:divBdr>
        <w:top w:val="none" w:sz="0" w:space="0" w:color="auto"/>
        <w:left w:val="none" w:sz="0" w:space="0" w:color="auto"/>
        <w:bottom w:val="none" w:sz="0" w:space="0" w:color="auto"/>
        <w:right w:val="none" w:sz="0" w:space="0" w:color="auto"/>
      </w:divBdr>
      <w:divsChild>
        <w:div w:id="1863518360">
          <w:marLeft w:val="0"/>
          <w:marRight w:val="0"/>
          <w:marTop w:val="0"/>
          <w:marBottom w:val="0"/>
          <w:divBdr>
            <w:top w:val="none" w:sz="0" w:space="0" w:color="auto"/>
            <w:left w:val="none" w:sz="0" w:space="0" w:color="auto"/>
            <w:bottom w:val="none" w:sz="0" w:space="0" w:color="auto"/>
            <w:right w:val="none" w:sz="0" w:space="0" w:color="auto"/>
          </w:divBdr>
          <w:divsChild>
            <w:div w:id="140143845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704907113">
      <w:marLeft w:val="0"/>
      <w:marRight w:val="0"/>
      <w:marTop w:val="0"/>
      <w:marBottom w:val="100"/>
      <w:divBdr>
        <w:top w:val="none" w:sz="0" w:space="0" w:color="auto"/>
        <w:left w:val="none" w:sz="0" w:space="0" w:color="auto"/>
        <w:bottom w:val="none" w:sz="0" w:space="0" w:color="auto"/>
        <w:right w:val="none" w:sz="0" w:space="0" w:color="auto"/>
      </w:divBdr>
    </w:div>
    <w:div w:id="705789112">
      <w:marLeft w:val="0"/>
      <w:marRight w:val="0"/>
      <w:marTop w:val="0"/>
      <w:marBottom w:val="100"/>
      <w:divBdr>
        <w:top w:val="none" w:sz="0" w:space="0" w:color="auto"/>
        <w:left w:val="none" w:sz="0" w:space="0" w:color="auto"/>
        <w:bottom w:val="none" w:sz="0" w:space="0" w:color="auto"/>
        <w:right w:val="none" w:sz="0" w:space="0" w:color="auto"/>
      </w:divBdr>
    </w:div>
    <w:div w:id="707225106">
      <w:marLeft w:val="0"/>
      <w:marRight w:val="0"/>
      <w:marTop w:val="0"/>
      <w:marBottom w:val="100"/>
      <w:divBdr>
        <w:top w:val="none" w:sz="0" w:space="0" w:color="auto"/>
        <w:left w:val="none" w:sz="0" w:space="0" w:color="auto"/>
        <w:bottom w:val="none" w:sz="0" w:space="0" w:color="auto"/>
        <w:right w:val="none" w:sz="0" w:space="0" w:color="auto"/>
      </w:divBdr>
    </w:div>
    <w:div w:id="708186361">
      <w:marLeft w:val="0"/>
      <w:marRight w:val="0"/>
      <w:marTop w:val="0"/>
      <w:marBottom w:val="0"/>
      <w:divBdr>
        <w:top w:val="none" w:sz="0" w:space="0" w:color="auto"/>
        <w:left w:val="none" w:sz="0" w:space="0" w:color="auto"/>
        <w:bottom w:val="none" w:sz="0" w:space="0" w:color="auto"/>
        <w:right w:val="none" w:sz="0" w:space="0" w:color="auto"/>
      </w:divBdr>
      <w:divsChild>
        <w:div w:id="1960917467">
          <w:marLeft w:val="0"/>
          <w:marRight w:val="0"/>
          <w:marTop w:val="0"/>
          <w:marBottom w:val="0"/>
          <w:divBdr>
            <w:top w:val="none" w:sz="0" w:space="0" w:color="auto"/>
            <w:left w:val="none" w:sz="0" w:space="0" w:color="auto"/>
            <w:bottom w:val="none" w:sz="0" w:space="0" w:color="auto"/>
            <w:right w:val="none" w:sz="0" w:space="0" w:color="auto"/>
          </w:divBdr>
          <w:divsChild>
            <w:div w:id="187815263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710418354">
      <w:marLeft w:val="0"/>
      <w:marRight w:val="0"/>
      <w:marTop w:val="0"/>
      <w:marBottom w:val="0"/>
      <w:divBdr>
        <w:top w:val="none" w:sz="0" w:space="0" w:color="auto"/>
        <w:left w:val="none" w:sz="0" w:space="0" w:color="auto"/>
        <w:bottom w:val="none" w:sz="0" w:space="0" w:color="auto"/>
        <w:right w:val="none" w:sz="0" w:space="0" w:color="auto"/>
      </w:divBdr>
      <w:divsChild>
        <w:div w:id="533618132">
          <w:marLeft w:val="0"/>
          <w:marRight w:val="0"/>
          <w:marTop w:val="0"/>
          <w:marBottom w:val="100"/>
          <w:divBdr>
            <w:top w:val="none" w:sz="0" w:space="0" w:color="auto"/>
            <w:left w:val="none" w:sz="0" w:space="0" w:color="auto"/>
            <w:bottom w:val="none" w:sz="0" w:space="0" w:color="auto"/>
            <w:right w:val="none" w:sz="0" w:space="0" w:color="auto"/>
          </w:divBdr>
        </w:div>
      </w:divsChild>
    </w:div>
    <w:div w:id="710568607">
      <w:marLeft w:val="0"/>
      <w:marRight w:val="0"/>
      <w:marTop w:val="0"/>
      <w:marBottom w:val="100"/>
      <w:divBdr>
        <w:top w:val="none" w:sz="0" w:space="0" w:color="auto"/>
        <w:left w:val="none" w:sz="0" w:space="0" w:color="auto"/>
        <w:bottom w:val="none" w:sz="0" w:space="0" w:color="auto"/>
        <w:right w:val="none" w:sz="0" w:space="0" w:color="auto"/>
      </w:divBdr>
    </w:div>
    <w:div w:id="710768617">
      <w:marLeft w:val="0"/>
      <w:marRight w:val="0"/>
      <w:marTop w:val="180"/>
      <w:marBottom w:val="0"/>
      <w:divBdr>
        <w:top w:val="none" w:sz="0" w:space="0" w:color="auto"/>
        <w:left w:val="none" w:sz="0" w:space="0" w:color="auto"/>
        <w:bottom w:val="none" w:sz="0" w:space="0" w:color="auto"/>
        <w:right w:val="none" w:sz="0" w:space="0" w:color="auto"/>
      </w:divBdr>
    </w:div>
    <w:div w:id="712003395">
      <w:marLeft w:val="0"/>
      <w:marRight w:val="0"/>
      <w:marTop w:val="0"/>
      <w:marBottom w:val="100"/>
      <w:divBdr>
        <w:top w:val="none" w:sz="0" w:space="0" w:color="auto"/>
        <w:left w:val="none" w:sz="0" w:space="0" w:color="auto"/>
        <w:bottom w:val="none" w:sz="0" w:space="0" w:color="auto"/>
        <w:right w:val="none" w:sz="0" w:space="0" w:color="auto"/>
      </w:divBdr>
    </w:div>
    <w:div w:id="712391279">
      <w:marLeft w:val="0"/>
      <w:marRight w:val="0"/>
      <w:marTop w:val="180"/>
      <w:marBottom w:val="0"/>
      <w:divBdr>
        <w:top w:val="none" w:sz="0" w:space="0" w:color="auto"/>
        <w:left w:val="none" w:sz="0" w:space="0" w:color="auto"/>
        <w:bottom w:val="none" w:sz="0" w:space="0" w:color="auto"/>
        <w:right w:val="none" w:sz="0" w:space="0" w:color="auto"/>
      </w:divBdr>
    </w:div>
    <w:div w:id="713042188">
      <w:marLeft w:val="0"/>
      <w:marRight w:val="0"/>
      <w:marTop w:val="0"/>
      <w:marBottom w:val="0"/>
      <w:divBdr>
        <w:top w:val="none" w:sz="0" w:space="0" w:color="auto"/>
        <w:left w:val="none" w:sz="0" w:space="0" w:color="auto"/>
        <w:bottom w:val="none" w:sz="0" w:space="0" w:color="auto"/>
        <w:right w:val="none" w:sz="0" w:space="0" w:color="auto"/>
      </w:divBdr>
    </w:div>
    <w:div w:id="713581924">
      <w:marLeft w:val="0"/>
      <w:marRight w:val="0"/>
      <w:marTop w:val="0"/>
      <w:marBottom w:val="100"/>
      <w:divBdr>
        <w:top w:val="none" w:sz="0" w:space="0" w:color="auto"/>
        <w:left w:val="none" w:sz="0" w:space="0" w:color="auto"/>
        <w:bottom w:val="none" w:sz="0" w:space="0" w:color="auto"/>
        <w:right w:val="none" w:sz="0" w:space="0" w:color="auto"/>
      </w:divBdr>
    </w:div>
    <w:div w:id="716012304">
      <w:marLeft w:val="0"/>
      <w:marRight w:val="0"/>
      <w:marTop w:val="180"/>
      <w:marBottom w:val="0"/>
      <w:divBdr>
        <w:top w:val="none" w:sz="0" w:space="0" w:color="auto"/>
        <w:left w:val="none" w:sz="0" w:space="0" w:color="auto"/>
        <w:bottom w:val="none" w:sz="0" w:space="0" w:color="auto"/>
        <w:right w:val="none" w:sz="0" w:space="0" w:color="auto"/>
      </w:divBdr>
      <w:divsChild>
        <w:div w:id="1771849179">
          <w:marLeft w:val="0"/>
          <w:marRight w:val="0"/>
          <w:marTop w:val="0"/>
          <w:marBottom w:val="0"/>
          <w:divBdr>
            <w:top w:val="none" w:sz="0" w:space="0" w:color="auto"/>
            <w:left w:val="none" w:sz="0" w:space="0" w:color="auto"/>
            <w:bottom w:val="none" w:sz="0" w:space="0" w:color="auto"/>
            <w:right w:val="none" w:sz="0" w:space="0" w:color="auto"/>
          </w:divBdr>
        </w:div>
        <w:div w:id="1973098007">
          <w:marLeft w:val="0"/>
          <w:marRight w:val="0"/>
          <w:marTop w:val="0"/>
          <w:marBottom w:val="0"/>
          <w:divBdr>
            <w:top w:val="none" w:sz="0" w:space="0" w:color="auto"/>
            <w:left w:val="none" w:sz="0" w:space="0" w:color="auto"/>
            <w:bottom w:val="none" w:sz="0" w:space="0" w:color="auto"/>
            <w:right w:val="none" w:sz="0" w:space="0" w:color="auto"/>
          </w:divBdr>
        </w:div>
        <w:div w:id="149491394">
          <w:marLeft w:val="0"/>
          <w:marRight w:val="0"/>
          <w:marTop w:val="0"/>
          <w:marBottom w:val="0"/>
          <w:divBdr>
            <w:top w:val="none" w:sz="0" w:space="0" w:color="auto"/>
            <w:left w:val="none" w:sz="0" w:space="0" w:color="auto"/>
            <w:bottom w:val="none" w:sz="0" w:space="0" w:color="auto"/>
            <w:right w:val="none" w:sz="0" w:space="0" w:color="auto"/>
          </w:divBdr>
        </w:div>
        <w:div w:id="673652110">
          <w:marLeft w:val="0"/>
          <w:marRight w:val="0"/>
          <w:marTop w:val="0"/>
          <w:marBottom w:val="0"/>
          <w:divBdr>
            <w:top w:val="none" w:sz="0" w:space="0" w:color="auto"/>
            <w:left w:val="none" w:sz="0" w:space="0" w:color="auto"/>
            <w:bottom w:val="none" w:sz="0" w:space="0" w:color="auto"/>
            <w:right w:val="none" w:sz="0" w:space="0" w:color="auto"/>
          </w:divBdr>
        </w:div>
        <w:div w:id="1704937099">
          <w:marLeft w:val="0"/>
          <w:marRight w:val="0"/>
          <w:marTop w:val="0"/>
          <w:marBottom w:val="0"/>
          <w:divBdr>
            <w:top w:val="none" w:sz="0" w:space="0" w:color="auto"/>
            <w:left w:val="none" w:sz="0" w:space="0" w:color="auto"/>
            <w:bottom w:val="none" w:sz="0" w:space="0" w:color="auto"/>
            <w:right w:val="none" w:sz="0" w:space="0" w:color="auto"/>
          </w:divBdr>
        </w:div>
        <w:div w:id="1346175675">
          <w:marLeft w:val="0"/>
          <w:marRight w:val="0"/>
          <w:marTop w:val="0"/>
          <w:marBottom w:val="0"/>
          <w:divBdr>
            <w:top w:val="none" w:sz="0" w:space="0" w:color="auto"/>
            <w:left w:val="none" w:sz="0" w:space="0" w:color="auto"/>
            <w:bottom w:val="none" w:sz="0" w:space="0" w:color="auto"/>
            <w:right w:val="none" w:sz="0" w:space="0" w:color="auto"/>
          </w:divBdr>
        </w:div>
        <w:div w:id="1050881867">
          <w:marLeft w:val="0"/>
          <w:marRight w:val="0"/>
          <w:marTop w:val="0"/>
          <w:marBottom w:val="0"/>
          <w:divBdr>
            <w:top w:val="none" w:sz="0" w:space="0" w:color="auto"/>
            <w:left w:val="none" w:sz="0" w:space="0" w:color="auto"/>
            <w:bottom w:val="none" w:sz="0" w:space="0" w:color="auto"/>
            <w:right w:val="none" w:sz="0" w:space="0" w:color="auto"/>
          </w:divBdr>
        </w:div>
        <w:div w:id="1751809001">
          <w:marLeft w:val="0"/>
          <w:marRight w:val="0"/>
          <w:marTop w:val="0"/>
          <w:marBottom w:val="0"/>
          <w:divBdr>
            <w:top w:val="none" w:sz="0" w:space="0" w:color="auto"/>
            <w:left w:val="none" w:sz="0" w:space="0" w:color="auto"/>
            <w:bottom w:val="none" w:sz="0" w:space="0" w:color="auto"/>
            <w:right w:val="none" w:sz="0" w:space="0" w:color="auto"/>
          </w:divBdr>
        </w:div>
        <w:div w:id="1255433055">
          <w:marLeft w:val="0"/>
          <w:marRight w:val="0"/>
          <w:marTop w:val="0"/>
          <w:marBottom w:val="0"/>
          <w:divBdr>
            <w:top w:val="none" w:sz="0" w:space="0" w:color="auto"/>
            <w:left w:val="none" w:sz="0" w:space="0" w:color="auto"/>
            <w:bottom w:val="none" w:sz="0" w:space="0" w:color="auto"/>
            <w:right w:val="none" w:sz="0" w:space="0" w:color="auto"/>
          </w:divBdr>
        </w:div>
      </w:divsChild>
    </w:div>
    <w:div w:id="719020364">
      <w:marLeft w:val="0"/>
      <w:marRight w:val="0"/>
      <w:marTop w:val="0"/>
      <w:marBottom w:val="0"/>
      <w:divBdr>
        <w:top w:val="none" w:sz="0" w:space="0" w:color="auto"/>
        <w:left w:val="none" w:sz="0" w:space="0" w:color="auto"/>
        <w:bottom w:val="none" w:sz="0" w:space="0" w:color="auto"/>
        <w:right w:val="none" w:sz="0" w:space="0" w:color="auto"/>
      </w:divBdr>
    </w:div>
    <w:div w:id="720058177">
      <w:marLeft w:val="0"/>
      <w:marRight w:val="0"/>
      <w:marTop w:val="180"/>
      <w:marBottom w:val="180"/>
      <w:divBdr>
        <w:top w:val="none" w:sz="0" w:space="0" w:color="auto"/>
        <w:left w:val="none" w:sz="0" w:space="0" w:color="auto"/>
        <w:bottom w:val="none" w:sz="0" w:space="0" w:color="auto"/>
        <w:right w:val="none" w:sz="0" w:space="0" w:color="auto"/>
      </w:divBdr>
    </w:div>
    <w:div w:id="722825332">
      <w:marLeft w:val="0"/>
      <w:marRight w:val="0"/>
      <w:marTop w:val="0"/>
      <w:marBottom w:val="100"/>
      <w:divBdr>
        <w:top w:val="none" w:sz="0" w:space="0" w:color="auto"/>
        <w:left w:val="none" w:sz="0" w:space="0" w:color="auto"/>
        <w:bottom w:val="none" w:sz="0" w:space="0" w:color="auto"/>
        <w:right w:val="none" w:sz="0" w:space="0" w:color="auto"/>
      </w:divBdr>
    </w:div>
    <w:div w:id="724061068">
      <w:marLeft w:val="0"/>
      <w:marRight w:val="0"/>
      <w:marTop w:val="80"/>
      <w:marBottom w:val="0"/>
      <w:divBdr>
        <w:top w:val="none" w:sz="0" w:space="0" w:color="auto"/>
        <w:left w:val="none" w:sz="0" w:space="0" w:color="auto"/>
        <w:bottom w:val="none" w:sz="0" w:space="0" w:color="auto"/>
        <w:right w:val="none" w:sz="0" w:space="0" w:color="auto"/>
      </w:divBdr>
      <w:divsChild>
        <w:div w:id="1216552822">
          <w:marLeft w:val="0"/>
          <w:marRight w:val="0"/>
          <w:marTop w:val="0"/>
          <w:marBottom w:val="0"/>
          <w:divBdr>
            <w:top w:val="none" w:sz="0" w:space="0" w:color="auto"/>
            <w:left w:val="none" w:sz="0" w:space="0" w:color="auto"/>
            <w:bottom w:val="none" w:sz="0" w:space="0" w:color="auto"/>
            <w:right w:val="none" w:sz="0" w:space="0" w:color="auto"/>
          </w:divBdr>
        </w:div>
        <w:div w:id="2069066606">
          <w:marLeft w:val="0"/>
          <w:marRight w:val="0"/>
          <w:marTop w:val="0"/>
          <w:marBottom w:val="0"/>
          <w:divBdr>
            <w:top w:val="none" w:sz="0" w:space="0" w:color="auto"/>
            <w:left w:val="none" w:sz="0" w:space="0" w:color="auto"/>
            <w:bottom w:val="none" w:sz="0" w:space="0" w:color="auto"/>
            <w:right w:val="none" w:sz="0" w:space="0" w:color="auto"/>
          </w:divBdr>
        </w:div>
        <w:div w:id="1687290960">
          <w:marLeft w:val="0"/>
          <w:marRight w:val="0"/>
          <w:marTop w:val="100"/>
          <w:marBottom w:val="100"/>
          <w:divBdr>
            <w:top w:val="none" w:sz="0" w:space="0" w:color="auto"/>
            <w:left w:val="none" w:sz="0" w:space="0" w:color="auto"/>
            <w:bottom w:val="none" w:sz="0" w:space="0" w:color="auto"/>
            <w:right w:val="none" w:sz="0" w:space="0" w:color="auto"/>
          </w:divBdr>
        </w:div>
        <w:div w:id="1911425663">
          <w:marLeft w:val="0"/>
          <w:marRight w:val="0"/>
          <w:marTop w:val="100"/>
          <w:marBottom w:val="100"/>
          <w:divBdr>
            <w:top w:val="none" w:sz="0" w:space="0" w:color="auto"/>
            <w:left w:val="none" w:sz="0" w:space="0" w:color="auto"/>
            <w:bottom w:val="none" w:sz="0" w:space="0" w:color="auto"/>
            <w:right w:val="none" w:sz="0" w:space="0" w:color="auto"/>
          </w:divBdr>
        </w:div>
      </w:divsChild>
    </w:div>
    <w:div w:id="726609876">
      <w:marLeft w:val="0"/>
      <w:marRight w:val="0"/>
      <w:marTop w:val="180"/>
      <w:marBottom w:val="0"/>
      <w:divBdr>
        <w:top w:val="none" w:sz="0" w:space="0" w:color="auto"/>
        <w:left w:val="none" w:sz="0" w:space="0" w:color="auto"/>
        <w:bottom w:val="none" w:sz="0" w:space="0" w:color="auto"/>
        <w:right w:val="none" w:sz="0" w:space="0" w:color="auto"/>
      </w:divBdr>
    </w:div>
    <w:div w:id="727337966">
      <w:marLeft w:val="0"/>
      <w:marRight w:val="0"/>
      <w:marTop w:val="100"/>
      <w:marBottom w:val="0"/>
      <w:divBdr>
        <w:top w:val="none" w:sz="0" w:space="0" w:color="auto"/>
        <w:left w:val="none" w:sz="0" w:space="0" w:color="auto"/>
        <w:bottom w:val="none" w:sz="0" w:space="0" w:color="auto"/>
        <w:right w:val="none" w:sz="0" w:space="0" w:color="auto"/>
      </w:divBdr>
    </w:div>
    <w:div w:id="727992105">
      <w:marLeft w:val="0"/>
      <w:marRight w:val="0"/>
      <w:marTop w:val="0"/>
      <w:marBottom w:val="100"/>
      <w:divBdr>
        <w:top w:val="none" w:sz="0" w:space="0" w:color="auto"/>
        <w:left w:val="none" w:sz="0" w:space="0" w:color="auto"/>
        <w:bottom w:val="none" w:sz="0" w:space="0" w:color="auto"/>
        <w:right w:val="none" w:sz="0" w:space="0" w:color="auto"/>
      </w:divBdr>
    </w:div>
    <w:div w:id="734008712">
      <w:marLeft w:val="0"/>
      <w:marRight w:val="0"/>
      <w:marTop w:val="0"/>
      <w:marBottom w:val="100"/>
      <w:divBdr>
        <w:top w:val="none" w:sz="0" w:space="0" w:color="auto"/>
        <w:left w:val="none" w:sz="0" w:space="0" w:color="auto"/>
        <w:bottom w:val="none" w:sz="0" w:space="0" w:color="auto"/>
        <w:right w:val="none" w:sz="0" w:space="0" w:color="auto"/>
      </w:divBdr>
    </w:div>
    <w:div w:id="734157251">
      <w:marLeft w:val="0"/>
      <w:marRight w:val="0"/>
      <w:marTop w:val="0"/>
      <w:marBottom w:val="100"/>
      <w:divBdr>
        <w:top w:val="none" w:sz="0" w:space="0" w:color="auto"/>
        <w:left w:val="none" w:sz="0" w:space="0" w:color="auto"/>
        <w:bottom w:val="none" w:sz="0" w:space="0" w:color="auto"/>
        <w:right w:val="none" w:sz="0" w:space="0" w:color="auto"/>
      </w:divBdr>
      <w:divsChild>
        <w:div w:id="2141343718">
          <w:marLeft w:val="0"/>
          <w:marRight w:val="0"/>
          <w:marTop w:val="0"/>
          <w:marBottom w:val="0"/>
          <w:divBdr>
            <w:top w:val="none" w:sz="0" w:space="0" w:color="auto"/>
            <w:left w:val="none" w:sz="0" w:space="0" w:color="auto"/>
            <w:bottom w:val="none" w:sz="0" w:space="0" w:color="auto"/>
            <w:right w:val="none" w:sz="0" w:space="0" w:color="auto"/>
          </w:divBdr>
        </w:div>
        <w:div w:id="1180660578">
          <w:marLeft w:val="0"/>
          <w:marRight w:val="0"/>
          <w:marTop w:val="0"/>
          <w:marBottom w:val="0"/>
          <w:divBdr>
            <w:top w:val="none" w:sz="0" w:space="0" w:color="auto"/>
            <w:left w:val="none" w:sz="0" w:space="0" w:color="auto"/>
            <w:bottom w:val="none" w:sz="0" w:space="0" w:color="auto"/>
            <w:right w:val="none" w:sz="0" w:space="0" w:color="auto"/>
          </w:divBdr>
        </w:div>
        <w:div w:id="782841836">
          <w:marLeft w:val="0"/>
          <w:marRight w:val="0"/>
          <w:marTop w:val="0"/>
          <w:marBottom w:val="0"/>
          <w:divBdr>
            <w:top w:val="none" w:sz="0" w:space="0" w:color="auto"/>
            <w:left w:val="none" w:sz="0" w:space="0" w:color="auto"/>
            <w:bottom w:val="none" w:sz="0" w:space="0" w:color="auto"/>
            <w:right w:val="none" w:sz="0" w:space="0" w:color="auto"/>
          </w:divBdr>
        </w:div>
        <w:div w:id="1778864010">
          <w:marLeft w:val="0"/>
          <w:marRight w:val="0"/>
          <w:marTop w:val="0"/>
          <w:marBottom w:val="0"/>
          <w:divBdr>
            <w:top w:val="none" w:sz="0" w:space="0" w:color="auto"/>
            <w:left w:val="none" w:sz="0" w:space="0" w:color="auto"/>
            <w:bottom w:val="none" w:sz="0" w:space="0" w:color="auto"/>
            <w:right w:val="none" w:sz="0" w:space="0" w:color="auto"/>
          </w:divBdr>
        </w:div>
        <w:div w:id="1965648777">
          <w:marLeft w:val="0"/>
          <w:marRight w:val="0"/>
          <w:marTop w:val="0"/>
          <w:marBottom w:val="0"/>
          <w:divBdr>
            <w:top w:val="none" w:sz="0" w:space="0" w:color="auto"/>
            <w:left w:val="none" w:sz="0" w:space="0" w:color="auto"/>
            <w:bottom w:val="none" w:sz="0" w:space="0" w:color="auto"/>
            <w:right w:val="none" w:sz="0" w:space="0" w:color="auto"/>
          </w:divBdr>
        </w:div>
        <w:div w:id="134304255">
          <w:marLeft w:val="0"/>
          <w:marRight w:val="0"/>
          <w:marTop w:val="0"/>
          <w:marBottom w:val="0"/>
          <w:divBdr>
            <w:top w:val="none" w:sz="0" w:space="0" w:color="auto"/>
            <w:left w:val="none" w:sz="0" w:space="0" w:color="auto"/>
            <w:bottom w:val="none" w:sz="0" w:space="0" w:color="auto"/>
            <w:right w:val="none" w:sz="0" w:space="0" w:color="auto"/>
          </w:divBdr>
        </w:div>
      </w:divsChild>
    </w:div>
    <w:div w:id="737941828">
      <w:marLeft w:val="0"/>
      <w:marRight w:val="0"/>
      <w:marTop w:val="180"/>
      <w:marBottom w:val="0"/>
      <w:divBdr>
        <w:top w:val="none" w:sz="0" w:space="0" w:color="auto"/>
        <w:left w:val="none" w:sz="0" w:space="0" w:color="auto"/>
        <w:bottom w:val="none" w:sz="0" w:space="0" w:color="auto"/>
        <w:right w:val="none" w:sz="0" w:space="0" w:color="auto"/>
      </w:divBdr>
    </w:div>
    <w:div w:id="738552233">
      <w:marLeft w:val="0"/>
      <w:marRight w:val="0"/>
      <w:marTop w:val="0"/>
      <w:marBottom w:val="100"/>
      <w:divBdr>
        <w:top w:val="none" w:sz="0" w:space="0" w:color="auto"/>
        <w:left w:val="none" w:sz="0" w:space="0" w:color="auto"/>
        <w:bottom w:val="none" w:sz="0" w:space="0" w:color="auto"/>
        <w:right w:val="none" w:sz="0" w:space="0" w:color="auto"/>
      </w:divBdr>
    </w:div>
    <w:div w:id="739519264">
      <w:marLeft w:val="0"/>
      <w:marRight w:val="0"/>
      <w:marTop w:val="180"/>
      <w:marBottom w:val="0"/>
      <w:divBdr>
        <w:top w:val="none" w:sz="0" w:space="0" w:color="auto"/>
        <w:left w:val="none" w:sz="0" w:space="0" w:color="auto"/>
        <w:bottom w:val="none" w:sz="0" w:space="0" w:color="auto"/>
        <w:right w:val="none" w:sz="0" w:space="0" w:color="auto"/>
      </w:divBdr>
    </w:div>
    <w:div w:id="740375183">
      <w:marLeft w:val="0"/>
      <w:marRight w:val="0"/>
      <w:marTop w:val="0"/>
      <w:marBottom w:val="0"/>
      <w:divBdr>
        <w:top w:val="none" w:sz="0" w:space="0" w:color="auto"/>
        <w:left w:val="none" w:sz="0" w:space="0" w:color="auto"/>
        <w:bottom w:val="none" w:sz="0" w:space="0" w:color="auto"/>
        <w:right w:val="none" w:sz="0" w:space="0" w:color="auto"/>
      </w:divBdr>
      <w:divsChild>
        <w:div w:id="1894582023">
          <w:marLeft w:val="0"/>
          <w:marRight w:val="0"/>
          <w:marTop w:val="0"/>
          <w:marBottom w:val="0"/>
          <w:divBdr>
            <w:top w:val="none" w:sz="0" w:space="0" w:color="auto"/>
            <w:left w:val="none" w:sz="0" w:space="0" w:color="auto"/>
            <w:bottom w:val="none" w:sz="0" w:space="0" w:color="auto"/>
            <w:right w:val="none" w:sz="0" w:space="0" w:color="auto"/>
          </w:divBdr>
          <w:divsChild>
            <w:div w:id="520902882">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742221887">
      <w:marLeft w:val="0"/>
      <w:marRight w:val="0"/>
      <w:marTop w:val="0"/>
      <w:marBottom w:val="100"/>
      <w:divBdr>
        <w:top w:val="none" w:sz="0" w:space="0" w:color="auto"/>
        <w:left w:val="none" w:sz="0" w:space="0" w:color="auto"/>
        <w:bottom w:val="none" w:sz="0" w:space="0" w:color="auto"/>
        <w:right w:val="none" w:sz="0" w:space="0" w:color="auto"/>
      </w:divBdr>
    </w:div>
    <w:div w:id="742683027">
      <w:marLeft w:val="0"/>
      <w:marRight w:val="0"/>
      <w:marTop w:val="0"/>
      <w:marBottom w:val="100"/>
      <w:divBdr>
        <w:top w:val="none" w:sz="0" w:space="0" w:color="auto"/>
        <w:left w:val="none" w:sz="0" w:space="0" w:color="auto"/>
        <w:bottom w:val="none" w:sz="0" w:space="0" w:color="auto"/>
        <w:right w:val="none" w:sz="0" w:space="0" w:color="auto"/>
      </w:divBdr>
    </w:div>
    <w:div w:id="742722101">
      <w:marLeft w:val="0"/>
      <w:marRight w:val="0"/>
      <w:marTop w:val="0"/>
      <w:marBottom w:val="100"/>
      <w:divBdr>
        <w:top w:val="none" w:sz="0" w:space="0" w:color="auto"/>
        <w:left w:val="none" w:sz="0" w:space="0" w:color="auto"/>
        <w:bottom w:val="none" w:sz="0" w:space="0" w:color="auto"/>
        <w:right w:val="none" w:sz="0" w:space="0" w:color="auto"/>
      </w:divBdr>
    </w:div>
    <w:div w:id="742727887">
      <w:marLeft w:val="0"/>
      <w:marRight w:val="0"/>
      <w:marTop w:val="0"/>
      <w:marBottom w:val="100"/>
      <w:divBdr>
        <w:top w:val="none" w:sz="0" w:space="0" w:color="auto"/>
        <w:left w:val="none" w:sz="0" w:space="0" w:color="auto"/>
        <w:bottom w:val="none" w:sz="0" w:space="0" w:color="auto"/>
        <w:right w:val="none" w:sz="0" w:space="0" w:color="auto"/>
      </w:divBdr>
    </w:div>
    <w:div w:id="742996123">
      <w:marLeft w:val="0"/>
      <w:marRight w:val="0"/>
      <w:marTop w:val="0"/>
      <w:marBottom w:val="100"/>
      <w:divBdr>
        <w:top w:val="none" w:sz="0" w:space="0" w:color="auto"/>
        <w:left w:val="none" w:sz="0" w:space="0" w:color="auto"/>
        <w:bottom w:val="none" w:sz="0" w:space="0" w:color="auto"/>
        <w:right w:val="none" w:sz="0" w:space="0" w:color="auto"/>
      </w:divBdr>
    </w:div>
    <w:div w:id="745155062">
      <w:marLeft w:val="0"/>
      <w:marRight w:val="0"/>
      <w:marTop w:val="0"/>
      <w:marBottom w:val="100"/>
      <w:divBdr>
        <w:top w:val="none" w:sz="0" w:space="0" w:color="auto"/>
        <w:left w:val="none" w:sz="0" w:space="0" w:color="auto"/>
        <w:bottom w:val="none" w:sz="0" w:space="0" w:color="auto"/>
        <w:right w:val="none" w:sz="0" w:space="0" w:color="auto"/>
      </w:divBdr>
    </w:div>
    <w:div w:id="745880190">
      <w:marLeft w:val="0"/>
      <w:marRight w:val="0"/>
      <w:marTop w:val="0"/>
      <w:marBottom w:val="100"/>
      <w:divBdr>
        <w:top w:val="none" w:sz="0" w:space="0" w:color="auto"/>
        <w:left w:val="none" w:sz="0" w:space="0" w:color="auto"/>
        <w:bottom w:val="none" w:sz="0" w:space="0" w:color="auto"/>
        <w:right w:val="none" w:sz="0" w:space="0" w:color="auto"/>
      </w:divBdr>
    </w:div>
    <w:div w:id="746029015">
      <w:marLeft w:val="0"/>
      <w:marRight w:val="0"/>
      <w:marTop w:val="0"/>
      <w:marBottom w:val="0"/>
      <w:divBdr>
        <w:top w:val="none" w:sz="0" w:space="0" w:color="auto"/>
        <w:left w:val="none" w:sz="0" w:space="0" w:color="auto"/>
        <w:bottom w:val="none" w:sz="0" w:space="0" w:color="auto"/>
        <w:right w:val="none" w:sz="0" w:space="0" w:color="auto"/>
      </w:divBdr>
    </w:div>
    <w:div w:id="747118355">
      <w:marLeft w:val="0"/>
      <w:marRight w:val="0"/>
      <w:marTop w:val="0"/>
      <w:marBottom w:val="0"/>
      <w:divBdr>
        <w:top w:val="none" w:sz="0" w:space="0" w:color="auto"/>
        <w:left w:val="none" w:sz="0" w:space="0" w:color="auto"/>
        <w:bottom w:val="none" w:sz="0" w:space="0" w:color="auto"/>
        <w:right w:val="none" w:sz="0" w:space="0" w:color="auto"/>
      </w:divBdr>
      <w:divsChild>
        <w:div w:id="921448562">
          <w:marLeft w:val="0"/>
          <w:marRight w:val="0"/>
          <w:marTop w:val="0"/>
          <w:marBottom w:val="100"/>
          <w:divBdr>
            <w:top w:val="none" w:sz="0" w:space="0" w:color="auto"/>
            <w:left w:val="none" w:sz="0" w:space="0" w:color="auto"/>
            <w:bottom w:val="none" w:sz="0" w:space="0" w:color="auto"/>
            <w:right w:val="none" w:sz="0" w:space="0" w:color="auto"/>
          </w:divBdr>
        </w:div>
      </w:divsChild>
    </w:div>
    <w:div w:id="748384487">
      <w:marLeft w:val="0"/>
      <w:marRight w:val="0"/>
      <w:marTop w:val="0"/>
      <w:marBottom w:val="100"/>
      <w:divBdr>
        <w:top w:val="none" w:sz="0" w:space="0" w:color="auto"/>
        <w:left w:val="none" w:sz="0" w:space="0" w:color="auto"/>
        <w:bottom w:val="none" w:sz="0" w:space="0" w:color="auto"/>
        <w:right w:val="none" w:sz="0" w:space="0" w:color="auto"/>
      </w:divBdr>
    </w:div>
    <w:div w:id="750198124">
      <w:marLeft w:val="0"/>
      <w:marRight w:val="0"/>
      <w:marTop w:val="0"/>
      <w:marBottom w:val="0"/>
      <w:divBdr>
        <w:top w:val="none" w:sz="0" w:space="0" w:color="auto"/>
        <w:left w:val="none" w:sz="0" w:space="0" w:color="auto"/>
        <w:bottom w:val="none" w:sz="0" w:space="0" w:color="auto"/>
        <w:right w:val="none" w:sz="0" w:space="0" w:color="auto"/>
      </w:divBdr>
      <w:divsChild>
        <w:div w:id="674307479">
          <w:marLeft w:val="0"/>
          <w:marRight w:val="0"/>
          <w:marTop w:val="0"/>
          <w:marBottom w:val="100"/>
          <w:divBdr>
            <w:top w:val="none" w:sz="0" w:space="0" w:color="auto"/>
            <w:left w:val="none" w:sz="0" w:space="0" w:color="auto"/>
            <w:bottom w:val="none" w:sz="0" w:space="0" w:color="auto"/>
            <w:right w:val="none" w:sz="0" w:space="0" w:color="auto"/>
          </w:divBdr>
        </w:div>
      </w:divsChild>
    </w:div>
    <w:div w:id="751128471">
      <w:marLeft w:val="0"/>
      <w:marRight w:val="0"/>
      <w:marTop w:val="0"/>
      <w:marBottom w:val="100"/>
      <w:divBdr>
        <w:top w:val="none" w:sz="0" w:space="0" w:color="auto"/>
        <w:left w:val="none" w:sz="0" w:space="0" w:color="auto"/>
        <w:bottom w:val="none" w:sz="0" w:space="0" w:color="auto"/>
        <w:right w:val="none" w:sz="0" w:space="0" w:color="auto"/>
      </w:divBdr>
    </w:div>
    <w:div w:id="751203902">
      <w:marLeft w:val="0"/>
      <w:marRight w:val="0"/>
      <w:marTop w:val="0"/>
      <w:marBottom w:val="0"/>
      <w:divBdr>
        <w:top w:val="none" w:sz="0" w:space="0" w:color="auto"/>
        <w:left w:val="none" w:sz="0" w:space="0" w:color="auto"/>
        <w:bottom w:val="none" w:sz="0" w:space="0" w:color="auto"/>
        <w:right w:val="none" w:sz="0" w:space="0" w:color="auto"/>
      </w:divBdr>
    </w:div>
    <w:div w:id="752623707">
      <w:marLeft w:val="0"/>
      <w:marRight w:val="0"/>
      <w:marTop w:val="0"/>
      <w:marBottom w:val="100"/>
      <w:divBdr>
        <w:top w:val="none" w:sz="0" w:space="0" w:color="auto"/>
        <w:left w:val="none" w:sz="0" w:space="0" w:color="auto"/>
        <w:bottom w:val="none" w:sz="0" w:space="0" w:color="auto"/>
        <w:right w:val="none" w:sz="0" w:space="0" w:color="auto"/>
      </w:divBdr>
    </w:div>
    <w:div w:id="753280359">
      <w:marLeft w:val="0"/>
      <w:marRight w:val="0"/>
      <w:marTop w:val="0"/>
      <w:marBottom w:val="0"/>
      <w:divBdr>
        <w:top w:val="none" w:sz="0" w:space="0" w:color="auto"/>
        <w:left w:val="none" w:sz="0" w:space="0" w:color="auto"/>
        <w:bottom w:val="none" w:sz="0" w:space="0" w:color="auto"/>
        <w:right w:val="none" w:sz="0" w:space="0" w:color="auto"/>
      </w:divBdr>
      <w:divsChild>
        <w:div w:id="1551385546">
          <w:marLeft w:val="0"/>
          <w:marRight w:val="0"/>
          <w:marTop w:val="0"/>
          <w:marBottom w:val="0"/>
          <w:divBdr>
            <w:top w:val="none" w:sz="0" w:space="0" w:color="auto"/>
            <w:left w:val="none" w:sz="0" w:space="0" w:color="auto"/>
            <w:bottom w:val="none" w:sz="0" w:space="0" w:color="auto"/>
            <w:right w:val="none" w:sz="0" w:space="0" w:color="auto"/>
          </w:divBdr>
        </w:div>
      </w:divsChild>
    </w:div>
    <w:div w:id="754790264">
      <w:marLeft w:val="0"/>
      <w:marRight w:val="0"/>
      <w:marTop w:val="100"/>
      <w:marBottom w:val="0"/>
      <w:divBdr>
        <w:top w:val="none" w:sz="0" w:space="0" w:color="auto"/>
        <w:left w:val="none" w:sz="0" w:space="0" w:color="auto"/>
        <w:bottom w:val="none" w:sz="0" w:space="0" w:color="auto"/>
        <w:right w:val="none" w:sz="0" w:space="0" w:color="auto"/>
      </w:divBdr>
    </w:div>
    <w:div w:id="755982297">
      <w:marLeft w:val="0"/>
      <w:marRight w:val="0"/>
      <w:marTop w:val="0"/>
      <w:marBottom w:val="100"/>
      <w:divBdr>
        <w:top w:val="none" w:sz="0" w:space="0" w:color="auto"/>
        <w:left w:val="none" w:sz="0" w:space="0" w:color="auto"/>
        <w:bottom w:val="none" w:sz="0" w:space="0" w:color="auto"/>
        <w:right w:val="none" w:sz="0" w:space="0" w:color="auto"/>
      </w:divBdr>
    </w:div>
    <w:div w:id="762839600">
      <w:marLeft w:val="0"/>
      <w:marRight w:val="0"/>
      <w:marTop w:val="0"/>
      <w:marBottom w:val="100"/>
      <w:divBdr>
        <w:top w:val="none" w:sz="0" w:space="0" w:color="auto"/>
        <w:left w:val="none" w:sz="0" w:space="0" w:color="auto"/>
        <w:bottom w:val="none" w:sz="0" w:space="0" w:color="auto"/>
        <w:right w:val="none" w:sz="0" w:space="0" w:color="auto"/>
      </w:divBdr>
    </w:div>
    <w:div w:id="763497537">
      <w:marLeft w:val="0"/>
      <w:marRight w:val="0"/>
      <w:marTop w:val="0"/>
      <w:marBottom w:val="100"/>
      <w:divBdr>
        <w:top w:val="none" w:sz="0" w:space="0" w:color="auto"/>
        <w:left w:val="none" w:sz="0" w:space="0" w:color="auto"/>
        <w:bottom w:val="none" w:sz="0" w:space="0" w:color="auto"/>
        <w:right w:val="none" w:sz="0" w:space="0" w:color="auto"/>
      </w:divBdr>
    </w:div>
    <w:div w:id="765728628">
      <w:marLeft w:val="0"/>
      <w:marRight w:val="0"/>
      <w:marTop w:val="0"/>
      <w:marBottom w:val="100"/>
      <w:divBdr>
        <w:top w:val="none" w:sz="0" w:space="0" w:color="auto"/>
        <w:left w:val="none" w:sz="0" w:space="0" w:color="auto"/>
        <w:bottom w:val="none" w:sz="0" w:space="0" w:color="auto"/>
        <w:right w:val="none" w:sz="0" w:space="0" w:color="auto"/>
      </w:divBdr>
    </w:div>
    <w:div w:id="766779350">
      <w:marLeft w:val="0"/>
      <w:marRight w:val="0"/>
      <w:marTop w:val="100"/>
      <w:marBottom w:val="0"/>
      <w:divBdr>
        <w:top w:val="none" w:sz="0" w:space="0" w:color="auto"/>
        <w:left w:val="none" w:sz="0" w:space="0" w:color="auto"/>
        <w:bottom w:val="none" w:sz="0" w:space="0" w:color="auto"/>
        <w:right w:val="none" w:sz="0" w:space="0" w:color="auto"/>
      </w:divBdr>
    </w:div>
    <w:div w:id="766924682">
      <w:marLeft w:val="0"/>
      <w:marRight w:val="0"/>
      <w:marTop w:val="180"/>
      <w:marBottom w:val="180"/>
      <w:divBdr>
        <w:top w:val="none" w:sz="0" w:space="0" w:color="auto"/>
        <w:left w:val="none" w:sz="0" w:space="0" w:color="auto"/>
        <w:bottom w:val="none" w:sz="0" w:space="0" w:color="auto"/>
        <w:right w:val="none" w:sz="0" w:space="0" w:color="auto"/>
      </w:divBdr>
    </w:div>
    <w:div w:id="767702611">
      <w:marLeft w:val="0"/>
      <w:marRight w:val="0"/>
      <w:marTop w:val="180"/>
      <w:marBottom w:val="0"/>
      <w:divBdr>
        <w:top w:val="none" w:sz="0" w:space="0" w:color="auto"/>
        <w:left w:val="none" w:sz="0" w:space="0" w:color="auto"/>
        <w:bottom w:val="none" w:sz="0" w:space="0" w:color="auto"/>
        <w:right w:val="none" w:sz="0" w:space="0" w:color="auto"/>
      </w:divBdr>
    </w:div>
    <w:div w:id="768695890">
      <w:marLeft w:val="0"/>
      <w:marRight w:val="0"/>
      <w:marTop w:val="180"/>
      <w:marBottom w:val="180"/>
      <w:divBdr>
        <w:top w:val="none" w:sz="0" w:space="0" w:color="auto"/>
        <w:left w:val="none" w:sz="0" w:space="0" w:color="auto"/>
        <w:bottom w:val="none" w:sz="0" w:space="0" w:color="auto"/>
        <w:right w:val="none" w:sz="0" w:space="0" w:color="auto"/>
      </w:divBdr>
    </w:div>
    <w:div w:id="770317216">
      <w:marLeft w:val="0"/>
      <w:marRight w:val="0"/>
      <w:marTop w:val="0"/>
      <w:marBottom w:val="0"/>
      <w:divBdr>
        <w:top w:val="none" w:sz="0" w:space="0" w:color="auto"/>
        <w:left w:val="none" w:sz="0" w:space="0" w:color="auto"/>
        <w:bottom w:val="none" w:sz="0" w:space="0" w:color="auto"/>
        <w:right w:val="none" w:sz="0" w:space="0" w:color="auto"/>
      </w:divBdr>
      <w:divsChild>
        <w:div w:id="48768617">
          <w:marLeft w:val="0"/>
          <w:marRight w:val="0"/>
          <w:marTop w:val="0"/>
          <w:marBottom w:val="100"/>
          <w:divBdr>
            <w:top w:val="none" w:sz="0" w:space="0" w:color="auto"/>
            <w:left w:val="none" w:sz="0" w:space="0" w:color="auto"/>
            <w:bottom w:val="none" w:sz="0" w:space="0" w:color="auto"/>
            <w:right w:val="none" w:sz="0" w:space="0" w:color="auto"/>
          </w:divBdr>
        </w:div>
      </w:divsChild>
    </w:div>
    <w:div w:id="771051889">
      <w:marLeft w:val="0"/>
      <w:marRight w:val="0"/>
      <w:marTop w:val="0"/>
      <w:marBottom w:val="100"/>
      <w:divBdr>
        <w:top w:val="none" w:sz="0" w:space="0" w:color="auto"/>
        <w:left w:val="none" w:sz="0" w:space="0" w:color="auto"/>
        <w:bottom w:val="none" w:sz="0" w:space="0" w:color="auto"/>
        <w:right w:val="none" w:sz="0" w:space="0" w:color="auto"/>
      </w:divBdr>
    </w:div>
    <w:div w:id="771822262">
      <w:marLeft w:val="0"/>
      <w:marRight w:val="0"/>
      <w:marTop w:val="180"/>
      <w:marBottom w:val="0"/>
      <w:divBdr>
        <w:top w:val="none" w:sz="0" w:space="0" w:color="auto"/>
        <w:left w:val="none" w:sz="0" w:space="0" w:color="auto"/>
        <w:bottom w:val="none" w:sz="0" w:space="0" w:color="auto"/>
        <w:right w:val="none" w:sz="0" w:space="0" w:color="auto"/>
      </w:divBdr>
    </w:div>
    <w:div w:id="772357125">
      <w:marLeft w:val="0"/>
      <w:marRight w:val="0"/>
      <w:marTop w:val="0"/>
      <w:marBottom w:val="100"/>
      <w:divBdr>
        <w:top w:val="none" w:sz="0" w:space="0" w:color="auto"/>
        <w:left w:val="none" w:sz="0" w:space="0" w:color="auto"/>
        <w:bottom w:val="none" w:sz="0" w:space="0" w:color="auto"/>
        <w:right w:val="none" w:sz="0" w:space="0" w:color="auto"/>
      </w:divBdr>
    </w:div>
    <w:div w:id="773598379">
      <w:marLeft w:val="0"/>
      <w:marRight w:val="0"/>
      <w:marTop w:val="0"/>
      <w:marBottom w:val="0"/>
      <w:divBdr>
        <w:top w:val="none" w:sz="0" w:space="0" w:color="auto"/>
        <w:left w:val="none" w:sz="0" w:space="0" w:color="auto"/>
        <w:bottom w:val="none" w:sz="0" w:space="0" w:color="auto"/>
        <w:right w:val="none" w:sz="0" w:space="0" w:color="auto"/>
      </w:divBdr>
      <w:divsChild>
        <w:div w:id="202594121">
          <w:marLeft w:val="0"/>
          <w:marRight w:val="0"/>
          <w:marTop w:val="0"/>
          <w:marBottom w:val="100"/>
          <w:divBdr>
            <w:top w:val="none" w:sz="0" w:space="0" w:color="auto"/>
            <w:left w:val="none" w:sz="0" w:space="0" w:color="auto"/>
            <w:bottom w:val="none" w:sz="0" w:space="0" w:color="auto"/>
            <w:right w:val="none" w:sz="0" w:space="0" w:color="auto"/>
          </w:divBdr>
        </w:div>
      </w:divsChild>
    </w:div>
    <w:div w:id="775173297">
      <w:marLeft w:val="0"/>
      <w:marRight w:val="0"/>
      <w:marTop w:val="0"/>
      <w:marBottom w:val="0"/>
      <w:divBdr>
        <w:top w:val="none" w:sz="0" w:space="0" w:color="auto"/>
        <w:left w:val="none" w:sz="0" w:space="0" w:color="auto"/>
        <w:bottom w:val="none" w:sz="0" w:space="0" w:color="auto"/>
        <w:right w:val="none" w:sz="0" w:space="0" w:color="auto"/>
      </w:divBdr>
    </w:div>
    <w:div w:id="776412624">
      <w:marLeft w:val="0"/>
      <w:marRight w:val="0"/>
      <w:marTop w:val="0"/>
      <w:marBottom w:val="100"/>
      <w:divBdr>
        <w:top w:val="none" w:sz="0" w:space="0" w:color="auto"/>
        <w:left w:val="none" w:sz="0" w:space="0" w:color="auto"/>
        <w:bottom w:val="none" w:sz="0" w:space="0" w:color="auto"/>
        <w:right w:val="none" w:sz="0" w:space="0" w:color="auto"/>
      </w:divBdr>
      <w:divsChild>
        <w:div w:id="688263469">
          <w:marLeft w:val="0"/>
          <w:marRight w:val="0"/>
          <w:marTop w:val="0"/>
          <w:marBottom w:val="0"/>
          <w:divBdr>
            <w:top w:val="none" w:sz="0" w:space="0" w:color="auto"/>
            <w:left w:val="none" w:sz="0" w:space="0" w:color="auto"/>
            <w:bottom w:val="none" w:sz="0" w:space="0" w:color="auto"/>
            <w:right w:val="none" w:sz="0" w:space="0" w:color="auto"/>
          </w:divBdr>
        </w:div>
        <w:div w:id="105317839">
          <w:marLeft w:val="0"/>
          <w:marRight w:val="0"/>
          <w:marTop w:val="0"/>
          <w:marBottom w:val="0"/>
          <w:divBdr>
            <w:top w:val="none" w:sz="0" w:space="0" w:color="auto"/>
            <w:left w:val="none" w:sz="0" w:space="0" w:color="auto"/>
            <w:bottom w:val="none" w:sz="0" w:space="0" w:color="auto"/>
            <w:right w:val="none" w:sz="0" w:space="0" w:color="auto"/>
          </w:divBdr>
        </w:div>
        <w:div w:id="1736202273">
          <w:marLeft w:val="0"/>
          <w:marRight w:val="0"/>
          <w:marTop w:val="0"/>
          <w:marBottom w:val="0"/>
          <w:divBdr>
            <w:top w:val="none" w:sz="0" w:space="0" w:color="auto"/>
            <w:left w:val="none" w:sz="0" w:space="0" w:color="auto"/>
            <w:bottom w:val="none" w:sz="0" w:space="0" w:color="auto"/>
            <w:right w:val="none" w:sz="0" w:space="0" w:color="auto"/>
          </w:divBdr>
        </w:div>
      </w:divsChild>
    </w:div>
    <w:div w:id="776798615">
      <w:marLeft w:val="0"/>
      <w:marRight w:val="0"/>
      <w:marTop w:val="0"/>
      <w:marBottom w:val="100"/>
      <w:divBdr>
        <w:top w:val="none" w:sz="0" w:space="0" w:color="auto"/>
        <w:left w:val="none" w:sz="0" w:space="0" w:color="auto"/>
        <w:bottom w:val="none" w:sz="0" w:space="0" w:color="auto"/>
        <w:right w:val="none" w:sz="0" w:space="0" w:color="auto"/>
      </w:divBdr>
    </w:div>
    <w:div w:id="777406638">
      <w:marLeft w:val="0"/>
      <w:marRight w:val="0"/>
      <w:marTop w:val="180"/>
      <w:marBottom w:val="0"/>
      <w:divBdr>
        <w:top w:val="none" w:sz="0" w:space="0" w:color="auto"/>
        <w:left w:val="none" w:sz="0" w:space="0" w:color="auto"/>
        <w:bottom w:val="none" w:sz="0" w:space="0" w:color="auto"/>
        <w:right w:val="none" w:sz="0" w:space="0" w:color="auto"/>
      </w:divBdr>
    </w:div>
    <w:div w:id="778453297">
      <w:marLeft w:val="0"/>
      <w:marRight w:val="0"/>
      <w:marTop w:val="0"/>
      <w:marBottom w:val="0"/>
      <w:divBdr>
        <w:top w:val="none" w:sz="0" w:space="0" w:color="auto"/>
        <w:left w:val="none" w:sz="0" w:space="0" w:color="auto"/>
        <w:bottom w:val="none" w:sz="0" w:space="0" w:color="auto"/>
        <w:right w:val="none" w:sz="0" w:space="0" w:color="auto"/>
      </w:divBdr>
    </w:div>
    <w:div w:id="779105890">
      <w:marLeft w:val="0"/>
      <w:marRight w:val="0"/>
      <w:marTop w:val="0"/>
      <w:marBottom w:val="100"/>
      <w:divBdr>
        <w:top w:val="none" w:sz="0" w:space="0" w:color="auto"/>
        <w:left w:val="none" w:sz="0" w:space="0" w:color="auto"/>
        <w:bottom w:val="none" w:sz="0" w:space="0" w:color="auto"/>
        <w:right w:val="none" w:sz="0" w:space="0" w:color="auto"/>
      </w:divBdr>
    </w:div>
    <w:div w:id="780341522">
      <w:marLeft w:val="0"/>
      <w:marRight w:val="0"/>
      <w:marTop w:val="0"/>
      <w:marBottom w:val="0"/>
      <w:divBdr>
        <w:top w:val="none" w:sz="0" w:space="0" w:color="auto"/>
        <w:left w:val="none" w:sz="0" w:space="0" w:color="auto"/>
        <w:bottom w:val="none" w:sz="0" w:space="0" w:color="auto"/>
        <w:right w:val="none" w:sz="0" w:space="0" w:color="auto"/>
      </w:divBdr>
      <w:divsChild>
        <w:div w:id="1683776730">
          <w:marLeft w:val="0"/>
          <w:marRight w:val="0"/>
          <w:marTop w:val="0"/>
          <w:marBottom w:val="0"/>
          <w:divBdr>
            <w:top w:val="none" w:sz="0" w:space="0" w:color="auto"/>
            <w:left w:val="none" w:sz="0" w:space="0" w:color="auto"/>
            <w:bottom w:val="none" w:sz="0" w:space="0" w:color="auto"/>
            <w:right w:val="none" w:sz="0" w:space="0" w:color="auto"/>
          </w:divBdr>
          <w:divsChild>
            <w:div w:id="206027789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785781360">
      <w:marLeft w:val="0"/>
      <w:marRight w:val="0"/>
      <w:marTop w:val="0"/>
      <w:marBottom w:val="0"/>
      <w:divBdr>
        <w:top w:val="none" w:sz="0" w:space="0" w:color="auto"/>
        <w:left w:val="none" w:sz="0" w:space="0" w:color="auto"/>
        <w:bottom w:val="none" w:sz="0" w:space="0" w:color="auto"/>
        <w:right w:val="none" w:sz="0" w:space="0" w:color="auto"/>
      </w:divBdr>
      <w:divsChild>
        <w:div w:id="1030108912">
          <w:marLeft w:val="0"/>
          <w:marRight w:val="0"/>
          <w:marTop w:val="0"/>
          <w:marBottom w:val="100"/>
          <w:divBdr>
            <w:top w:val="none" w:sz="0" w:space="0" w:color="auto"/>
            <w:left w:val="none" w:sz="0" w:space="0" w:color="auto"/>
            <w:bottom w:val="none" w:sz="0" w:space="0" w:color="auto"/>
            <w:right w:val="none" w:sz="0" w:space="0" w:color="auto"/>
          </w:divBdr>
        </w:div>
      </w:divsChild>
    </w:div>
    <w:div w:id="790057200">
      <w:marLeft w:val="0"/>
      <w:marRight w:val="0"/>
      <w:marTop w:val="0"/>
      <w:marBottom w:val="100"/>
      <w:divBdr>
        <w:top w:val="none" w:sz="0" w:space="0" w:color="auto"/>
        <w:left w:val="none" w:sz="0" w:space="0" w:color="auto"/>
        <w:bottom w:val="none" w:sz="0" w:space="0" w:color="auto"/>
        <w:right w:val="none" w:sz="0" w:space="0" w:color="auto"/>
      </w:divBdr>
    </w:div>
    <w:div w:id="792210502">
      <w:marLeft w:val="0"/>
      <w:marRight w:val="0"/>
      <w:marTop w:val="0"/>
      <w:marBottom w:val="100"/>
      <w:divBdr>
        <w:top w:val="none" w:sz="0" w:space="0" w:color="auto"/>
        <w:left w:val="none" w:sz="0" w:space="0" w:color="auto"/>
        <w:bottom w:val="none" w:sz="0" w:space="0" w:color="auto"/>
        <w:right w:val="none" w:sz="0" w:space="0" w:color="auto"/>
      </w:divBdr>
    </w:div>
    <w:div w:id="792556494">
      <w:marLeft w:val="0"/>
      <w:marRight w:val="0"/>
      <w:marTop w:val="0"/>
      <w:marBottom w:val="100"/>
      <w:divBdr>
        <w:top w:val="none" w:sz="0" w:space="0" w:color="auto"/>
        <w:left w:val="none" w:sz="0" w:space="0" w:color="auto"/>
        <w:bottom w:val="none" w:sz="0" w:space="0" w:color="auto"/>
        <w:right w:val="none" w:sz="0" w:space="0" w:color="auto"/>
      </w:divBdr>
    </w:div>
    <w:div w:id="793475494">
      <w:marLeft w:val="0"/>
      <w:marRight w:val="0"/>
      <w:marTop w:val="100"/>
      <w:marBottom w:val="0"/>
      <w:divBdr>
        <w:top w:val="none" w:sz="0" w:space="0" w:color="auto"/>
        <w:left w:val="none" w:sz="0" w:space="0" w:color="auto"/>
        <w:bottom w:val="none" w:sz="0" w:space="0" w:color="auto"/>
        <w:right w:val="none" w:sz="0" w:space="0" w:color="auto"/>
      </w:divBdr>
    </w:div>
    <w:div w:id="796991232">
      <w:marLeft w:val="0"/>
      <w:marRight w:val="0"/>
      <w:marTop w:val="0"/>
      <w:marBottom w:val="0"/>
      <w:divBdr>
        <w:top w:val="none" w:sz="0" w:space="0" w:color="auto"/>
        <w:left w:val="none" w:sz="0" w:space="0" w:color="auto"/>
        <w:bottom w:val="none" w:sz="0" w:space="0" w:color="auto"/>
        <w:right w:val="none" w:sz="0" w:space="0" w:color="auto"/>
      </w:divBdr>
      <w:divsChild>
        <w:div w:id="338191331">
          <w:marLeft w:val="0"/>
          <w:marRight w:val="0"/>
          <w:marTop w:val="0"/>
          <w:marBottom w:val="0"/>
          <w:divBdr>
            <w:top w:val="none" w:sz="0" w:space="0" w:color="auto"/>
            <w:left w:val="none" w:sz="0" w:space="0" w:color="auto"/>
            <w:bottom w:val="none" w:sz="0" w:space="0" w:color="auto"/>
            <w:right w:val="none" w:sz="0" w:space="0" w:color="auto"/>
          </w:divBdr>
          <w:divsChild>
            <w:div w:id="118890758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797651425">
      <w:marLeft w:val="0"/>
      <w:marRight w:val="0"/>
      <w:marTop w:val="0"/>
      <w:marBottom w:val="0"/>
      <w:divBdr>
        <w:top w:val="none" w:sz="0" w:space="0" w:color="auto"/>
        <w:left w:val="none" w:sz="0" w:space="0" w:color="auto"/>
        <w:bottom w:val="none" w:sz="0" w:space="0" w:color="auto"/>
        <w:right w:val="none" w:sz="0" w:space="0" w:color="auto"/>
      </w:divBdr>
    </w:div>
    <w:div w:id="798500733">
      <w:marLeft w:val="0"/>
      <w:marRight w:val="0"/>
      <w:marTop w:val="0"/>
      <w:marBottom w:val="100"/>
      <w:divBdr>
        <w:top w:val="none" w:sz="0" w:space="0" w:color="auto"/>
        <w:left w:val="none" w:sz="0" w:space="0" w:color="auto"/>
        <w:bottom w:val="none" w:sz="0" w:space="0" w:color="auto"/>
        <w:right w:val="none" w:sz="0" w:space="0" w:color="auto"/>
      </w:divBdr>
    </w:div>
    <w:div w:id="798694402">
      <w:marLeft w:val="0"/>
      <w:marRight w:val="0"/>
      <w:marTop w:val="0"/>
      <w:marBottom w:val="100"/>
      <w:divBdr>
        <w:top w:val="none" w:sz="0" w:space="0" w:color="auto"/>
        <w:left w:val="none" w:sz="0" w:space="0" w:color="auto"/>
        <w:bottom w:val="none" w:sz="0" w:space="0" w:color="auto"/>
        <w:right w:val="none" w:sz="0" w:space="0" w:color="auto"/>
      </w:divBdr>
    </w:div>
    <w:div w:id="799373874">
      <w:marLeft w:val="0"/>
      <w:marRight w:val="0"/>
      <w:marTop w:val="0"/>
      <w:marBottom w:val="100"/>
      <w:divBdr>
        <w:top w:val="none" w:sz="0" w:space="0" w:color="auto"/>
        <w:left w:val="none" w:sz="0" w:space="0" w:color="auto"/>
        <w:bottom w:val="none" w:sz="0" w:space="0" w:color="auto"/>
        <w:right w:val="none" w:sz="0" w:space="0" w:color="auto"/>
      </w:divBdr>
    </w:div>
    <w:div w:id="799498351">
      <w:marLeft w:val="0"/>
      <w:marRight w:val="0"/>
      <w:marTop w:val="0"/>
      <w:marBottom w:val="100"/>
      <w:divBdr>
        <w:top w:val="none" w:sz="0" w:space="0" w:color="auto"/>
        <w:left w:val="none" w:sz="0" w:space="0" w:color="auto"/>
        <w:bottom w:val="none" w:sz="0" w:space="0" w:color="auto"/>
        <w:right w:val="none" w:sz="0" w:space="0" w:color="auto"/>
      </w:divBdr>
    </w:div>
    <w:div w:id="801462349">
      <w:marLeft w:val="0"/>
      <w:marRight w:val="0"/>
      <w:marTop w:val="0"/>
      <w:marBottom w:val="100"/>
      <w:divBdr>
        <w:top w:val="none" w:sz="0" w:space="0" w:color="auto"/>
        <w:left w:val="none" w:sz="0" w:space="0" w:color="auto"/>
        <w:bottom w:val="none" w:sz="0" w:space="0" w:color="auto"/>
        <w:right w:val="none" w:sz="0" w:space="0" w:color="auto"/>
      </w:divBdr>
    </w:div>
    <w:div w:id="802162028">
      <w:marLeft w:val="0"/>
      <w:marRight w:val="0"/>
      <w:marTop w:val="0"/>
      <w:marBottom w:val="0"/>
      <w:divBdr>
        <w:top w:val="none" w:sz="0" w:space="0" w:color="auto"/>
        <w:left w:val="none" w:sz="0" w:space="0" w:color="auto"/>
        <w:bottom w:val="none" w:sz="0" w:space="0" w:color="auto"/>
        <w:right w:val="none" w:sz="0" w:space="0" w:color="auto"/>
      </w:divBdr>
      <w:divsChild>
        <w:div w:id="1608149941">
          <w:marLeft w:val="0"/>
          <w:marRight w:val="0"/>
          <w:marTop w:val="0"/>
          <w:marBottom w:val="100"/>
          <w:divBdr>
            <w:top w:val="none" w:sz="0" w:space="0" w:color="auto"/>
            <w:left w:val="none" w:sz="0" w:space="0" w:color="auto"/>
            <w:bottom w:val="none" w:sz="0" w:space="0" w:color="auto"/>
            <w:right w:val="none" w:sz="0" w:space="0" w:color="auto"/>
          </w:divBdr>
        </w:div>
      </w:divsChild>
    </w:div>
    <w:div w:id="802427031">
      <w:marLeft w:val="0"/>
      <w:marRight w:val="0"/>
      <w:marTop w:val="180"/>
      <w:marBottom w:val="0"/>
      <w:divBdr>
        <w:top w:val="none" w:sz="0" w:space="0" w:color="auto"/>
        <w:left w:val="none" w:sz="0" w:space="0" w:color="auto"/>
        <w:bottom w:val="none" w:sz="0" w:space="0" w:color="auto"/>
        <w:right w:val="none" w:sz="0" w:space="0" w:color="auto"/>
      </w:divBdr>
    </w:div>
    <w:div w:id="803154537">
      <w:marLeft w:val="0"/>
      <w:marRight w:val="0"/>
      <w:marTop w:val="180"/>
      <w:marBottom w:val="0"/>
      <w:divBdr>
        <w:top w:val="none" w:sz="0" w:space="0" w:color="auto"/>
        <w:left w:val="none" w:sz="0" w:space="0" w:color="auto"/>
        <w:bottom w:val="none" w:sz="0" w:space="0" w:color="auto"/>
        <w:right w:val="none" w:sz="0" w:space="0" w:color="auto"/>
      </w:divBdr>
    </w:div>
    <w:div w:id="804393121">
      <w:marLeft w:val="0"/>
      <w:marRight w:val="0"/>
      <w:marTop w:val="0"/>
      <w:marBottom w:val="0"/>
      <w:divBdr>
        <w:top w:val="none" w:sz="0" w:space="0" w:color="auto"/>
        <w:left w:val="none" w:sz="0" w:space="0" w:color="auto"/>
        <w:bottom w:val="none" w:sz="0" w:space="0" w:color="auto"/>
        <w:right w:val="none" w:sz="0" w:space="0" w:color="auto"/>
      </w:divBdr>
    </w:div>
    <w:div w:id="806047936">
      <w:marLeft w:val="0"/>
      <w:marRight w:val="0"/>
      <w:marTop w:val="0"/>
      <w:marBottom w:val="100"/>
      <w:divBdr>
        <w:top w:val="none" w:sz="0" w:space="0" w:color="auto"/>
        <w:left w:val="none" w:sz="0" w:space="0" w:color="auto"/>
        <w:bottom w:val="none" w:sz="0" w:space="0" w:color="auto"/>
        <w:right w:val="none" w:sz="0" w:space="0" w:color="auto"/>
      </w:divBdr>
    </w:div>
    <w:div w:id="806439276">
      <w:marLeft w:val="0"/>
      <w:marRight w:val="0"/>
      <w:marTop w:val="0"/>
      <w:marBottom w:val="0"/>
      <w:divBdr>
        <w:top w:val="none" w:sz="0" w:space="0" w:color="auto"/>
        <w:left w:val="none" w:sz="0" w:space="0" w:color="auto"/>
        <w:bottom w:val="none" w:sz="0" w:space="0" w:color="auto"/>
        <w:right w:val="none" w:sz="0" w:space="0" w:color="auto"/>
      </w:divBdr>
      <w:divsChild>
        <w:div w:id="198709814">
          <w:marLeft w:val="0"/>
          <w:marRight w:val="0"/>
          <w:marTop w:val="0"/>
          <w:marBottom w:val="0"/>
          <w:divBdr>
            <w:top w:val="none" w:sz="0" w:space="0" w:color="auto"/>
            <w:left w:val="none" w:sz="0" w:space="0" w:color="auto"/>
            <w:bottom w:val="none" w:sz="0" w:space="0" w:color="auto"/>
            <w:right w:val="none" w:sz="0" w:space="0" w:color="auto"/>
          </w:divBdr>
          <w:divsChild>
            <w:div w:id="200438578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810293686">
      <w:marLeft w:val="0"/>
      <w:marRight w:val="0"/>
      <w:marTop w:val="180"/>
      <w:marBottom w:val="0"/>
      <w:divBdr>
        <w:top w:val="none" w:sz="0" w:space="0" w:color="auto"/>
        <w:left w:val="none" w:sz="0" w:space="0" w:color="auto"/>
        <w:bottom w:val="none" w:sz="0" w:space="0" w:color="auto"/>
        <w:right w:val="none" w:sz="0" w:space="0" w:color="auto"/>
      </w:divBdr>
    </w:div>
    <w:div w:id="811486730">
      <w:marLeft w:val="0"/>
      <w:marRight w:val="0"/>
      <w:marTop w:val="0"/>
      <w:marBottom w:val="100"/>
      <w:divBdr>
        <w:top w:val="none" w:sz="0" w:space="0" w:color="auto"/>
        <w:left w:val="none" w:sz="0" w:space="0" w:color="auto"/>
        <w:bottom w:val="none" w:sz="0" w:space="0" w:color="auto"/>
        <w:right w:val="none" w:sz="0" w:space="0" w:color="auto"/>
      </w:divBdr>
    </w:div>
    <w:div w:id="813791345">
      <w:marLeft w:val="0"/>
      <w:marRight w:val="0"/>
      <w:marTop w:val="0"/>
      <w:marBottom w:val="100"/>
      <w:divBdr>
        <w:top w:val="none" w:sz="0" w:space="0" w:color="auto"/>
        <w:left w:val="none" w:sz="0" w:space="0" w:color="auto"/>
        <w:bottom w:val="none" w:sz="0" w:space="0" w:color="auto"/>
        <w:right w:val="none" w:sz="0" w:space="0" w:color="auto"/>
      </w:divBdr>
    </w:div>
    <w:div w:id="814100255">
      <w:marLeft w:val="0"/>
      <w:marRight w:val="0"/>
      <w:marTop w:val="0"/>
      <w:marBottom w:val="100"/>
      <w:divBdr>
        <w:top w:val="none" w:sz="0" w:space="0" w:color="auto"/>
        <w:left w:val="none" w:sz="0" w:space="0" w:color="auto"/>
        <w:bottom w:val="none" w:sz="0" w:space="0" w:color="auto"/>
        <w:right w:val="none" w:sz="0" w:space="0" w:color="auto"/>
      </w:divBdr>
    </w:div>
    <w:div w:id="815533313">
      <w:marLeft w:val="0"/>
      <w:marRight w:val="0"/>
      <w:marTop w:val="0"/>
      <w:marBottom w:val="100"/>
      <w:divBdr>
        <w:top w:val="none" w:sz="0" w:space="0" w:color="auto"/>
        <w:left w:val="none" w:sz="0" w:space="0" w:color="auto"/>
        <w:bottom w:val="none" w:sz="0" w:space="0" w:color="auto"/>
        <w:right w:val="none" w:sz="0" w:space="0" w:color="auto"/>
      </w:divBdr>
    </w:div>
    <w:div w:id="815881240">
      <w:marLeft w:val="0"/>
      <w:marRight w:val="0"/>
      <w:marTop w:val="0"/>
      <w:marBottom w:val="100"/>
      <w:divBdr>
        <w:top w:val="none" w:sz="0" w:space="0" w:color="auto"/>
        <w:left w:val="none" w:sz="0" w:space="0" w:color="auto"/>
        <w:bottom w:val="none" w:sz="0" w:space="0" w:color="auto"/>
        <w:right w:val="none" w:sz="0" w:space="0" w:color="auto"/>
      </w:divBdr>
    </w:div>
    <w:div w:id="816068575">
      <w:marLeft w:val="0"/>
      <w:marRight w:val="0"/>
      <w:marTop w:val="0"/>
      <w:marBottom w:val="0"/>
      <w:divBdr>
        <w:top w:val="none" w:sz="0" w:space="0" w:color="auto"/>
        <w:left w:val="none" w:sz="0" w:space="0" w:color="auto"/>
        <w:bottom w:val="none" w:sz="0" w:space="0" w:color="auto"/>
        <w:right w:val="none" w:sz="0" w:space="0" w:color="auto"/>
      </w:divBdr>
    </w:div>
    <w:div w:id="817383045">
      <w:marLeft w:val="0"/>
      <w:marRight w:val="0"/>
      <w:marTop w:val="0"/>
      <w:marBottom w:val="100"/>
      <w:divBdr>
        <w:top w:val="none" w:sz="0" w:space="0" w:color="auto"/>
        <w:left w:val="none" w:sz="0" w:space="0" w:color="auto"/>
        <w:bottom w:val="none" w:sz="0" w:space="0" w:color="auto"/>
        <w:right w:val="none" w:sz="0" w:space="0" w:color="auto"/>
      </w:divBdr>
    </w:div>
    <w:div w:id="819464866">
      <w:marLeft w:val="0"/>
      <w:marRight w:val="0"/>
      <w:marTop w:val="0"/>
      <w:marBottom w:val="0"/>
      <w:divBdr>
        <w:top w:val="none" w:sz="0" w:space="0" w:color="auto"/>
        <w:left w:val="none" w:sz="0" w:space="0" w:color="auto"/>
        <w:bottom w:val="none" w:sz="0" w:space="0" w:color="auto"/>
        <w:right w:val="none" w:sz="0" w:space="0" w:color="auto"/>
      </w:divBdr>
      <w:divsChild>
        <w:div w:id="512570490">
          <w:marLeft w:val="0"/>
          <w:marRight w:val="0"/>
          <w:marTop w:val="0"/>
          <w:marBottom w:val="0"/>
          <w:divBdr>
            <w:top w:val="none" w:sz="0" w:space="0" w:color="auto"/>
            <w:left w:val="none" w:sz="0" w:space="0" w:color="auto"/>
            <w:bottom w:val="none" w:sz="0" w:space="0" w:color="auto"/>
            <w:right w:val="none" w:sz="0" w:space="0" w:color="auto"/>
          </w:divBdr>
          <w:divsChild>
            <w:div w:id="1328482242">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822622491">
      <w:marLeft w:val="0"/>
      <w:marRight w:val="0"/>
      <w:marTop w:val="0"/>
      <w:marBottom w:val="100"/>
      <w:divBdr>
        <w:top w:val="none" w:sz="0" w:space="0" w:color="auto"/>
        <w:left w:val="none" w:sz="0" w:space="0" w:color="auto"/>
        <w:bottom w:val="none" w:sz="0" w:space="0" w:color="auto"/>
        <w:right w:val="none" w:sz="0" w:space="0" w:color="auto"/>
      </w:divBdr>
    </w:div>
    <w:div w:id="823208074">
      <w:marLeft w:val="0"/>
      <w:marRight w:val="0"/>
      <w:marTop w:val="0"/>
      <w:marBottom w:val="0"/>
      <w:divBdr>
        <w:top w:val="none" w:sz="0" w:space="0" w:color="auto"/>
        <w:left w:val="none" w:sz="0" w:space="0" w:color="auto"/>
        <w:bottom w:val="none" w:sz="0" w:space="0" w:color="auto"/>
        <w:right w:val="none" w:sz="0" w:space="0" w:color="auto"/>
      </w:divBdr>
    </w:div>
    <w:div w:id="824130417">
      <w:marLeft w:val="0"/>
      <w:marRight w:val="0"/>
      <w:marTop w:val="0"/>
      <w:marBottom w:val="100"/>
      <w:divBdr>
        <w:top w:val="none" w:sz="0" w:space="0" w:color="auto"/>
        <w:left w:val="none" w:sz="0" w:space="0" w:color="auto"/>
        <w:bottom w:val="none" w:sz="0" w:space="0" w:color="auto"/>
        <w:right w:val="none" w:sz="0" w:space="0" w:color="auto"/>
      </w:divBdr>
    </w:div>
    <w:div w:id="824787407">
      <w:marLeft w:val="0"/>
      <w:marRight w:val="0"/>
      <w:marTop w:val="0"/>
      <w:marBottom w:val="0"/>
      <w:divBdr>
        <w:top w:val="none" w:sz="0" w:space="0" w:color="auto"/>
        <w:left w:val="none" w:sz="0" w:space="0" w:color="auto"/>
        <w:bottom w:val="none" w:sz="0" w:space="0" w:color="auto"/>
        <w:right w:val="none" w:sz="0" w:space="0" w:color="auto"/>
      </w:divBdr>
    </w:div>
    <w:div w:id="825705341">
      <w:marLeft w:val="0"/>
      <w:marRight w:val="0"/>
      <w:marTop w:val="0"/>
      <w:marBottom w:val="0"/>
      <w:divBdr>
        <w:top w:val="none" w:sz="0" w:space="0" w:color="auto"/>
        <w:left w:val="none" w:sz="0" w:space="0" w:color="auto"/>
        <w:bottom w:val="none" w:sz="0" w:space="0" w:color="auto"/>
        <w:right w:val="none" w:sz="0" w:space="0" w:color="auto"/>
      </w:divBdr>
    </w:div>
    <w:div w:id="825897789">
      <w:marLeft w:val="0"/>
      <w:marRight w:val="0"/>
      <w:marTop w:val="0"/>
      <w:marBottom w:val="100"/>
      <w:divBdr>
        <w:top w:val="none" w:sz="0" w:space="0" w:color="auto"/>
        <w:left w:val="none" w:sz="0" w:space="0" w:color="auto"/>
        <w:bottom w:val="none" w:sz="0" w:space="0" w:color="auto"/>
        <w:right w:val="none" w:sz="0" w:space="0" w:color="auto"/>
      </w:divBdr>
    </w:div>
    <w:div w:id="827214814">
      <w:marLeft w:val="0"/>
      <w:marRight w:val="0"/>
      <w:marTop w:val="0"/>
      <w:marBottom w:val="100"/>
      <w:divBdr>
        <w:top w:val="none" w:sz="0" w:space="0" w:color="auto"/>
        <w:left w:val="none" w:sz="0" w:space="0" w:color="auto"/>
        <w:bottom w:val="none" w:sz="0" w:space="0" w:color="auto"/>
        <w:right w:val="none" w:sz="0" w:space="0" w:color="auto"/>
      </w:divBdr>
    </w:div>
    <w:div w:id="828712210">
      <w:marLeft w:val="0"/>
      <w:marRight w:val="0"/>
      <w:marTop w:val="0"/>
      <w:marBottom w:val="100"/>
      <w:divBdr>
        <w:top w:val="none" w:sz="0" w:space="0" w:color="auto"/>
        <w:left w:val="none" w:sz="0" w:space="0" w:color="auto"/>
        <w:bottom w:val="none" w:sz="0" w:space="0" w:color="auto"/>
        <w:right w:val="none" w:sz="0" w:space="0" w:color="auto"/>
      </w:divBdr>
    </w:div>
    <w:div w:id="830365835">
      <w:marLeft w:val="0"/>
      <w:marRight w:val="0"/>
      <w:marTop w:val="180"/>
      <w:marBottom w:val="0"/>
      <w:divBdr>
        <w:top w:val="none" w:sz="0" w:space="0" w:color="auto"/>
        <w:left w:val="none" w:sz="0" w:space="0" w:color="auto"/>
        <w:bottom w:val="none" w:sz="0" w:space="0" w:color="auto"/>
        <w:right w:val="none" w:sz="0" w:space="0" w:color="auto"/>
      </w:divBdr>
    </w:div>
    <w:div w:id="830560207">
      <w:marLeft w:val="0"/>
      <w:marRight w:val="0"/>
      <w:marTop w:val="0"/>
      <w:marBottom w:val="100"/>
      <w:divBdr>
        <w:top w:val="none" w:sz="0" w:space="0" w:color="auto"/>
        <w:left w:val="none" w:sz="0" w:space="0" w:color="auto"/>
        <w:bottom w:val="none" w:sz="0" w:space="0" w:color="auto"/>
        <w:right w:val="none" w:sz="0" w:space="0" w:color="auto"/>
      </w:divBdr>
    </w:div>
    <w:div w:id="832066983">
      <w:marLeft w:val="0"/>
      <w:marRight w:val="0"/>
      <w:marTop w:val="0"/>
      <w:marBottom w:val="100"/>
      <w:divBdr>
        <w:top w:val="none" w:sz="0" w:space="0" w:color="auto"/>
        <w:left w:val="none" w:sz="0" w:space="0" w:color="auto"/>
        <w:bottom w:val="none" w:sz="0" w:space="0" w:color="auto"/>
        <w:right w:val="none" w:sz="0" w:space="0" w:color="auto"/>
      </w:divBdr>
    </w:div>
    <w:div w:id="834029074">
      <w:marLeft w:val="0"/>
      <w:marRight w:val="0"/>
      <w:marTop w:val="0"/>
      <w:marBottom w:val="0"/>
      <w:divBdr>
        <w:top w:val="none" w:sz="0" w:space="0" w:color="auto"/>
        <w:left w:val="none" w:sz="0" w:space="0" w:color="auto"/>
        <w:bottom w:val="none" w:sz="0" w:space="0" w:color="auto"/>
        <w:right w:val="none" w:sz="0" w:space="0" w:color="auto"/>
      </w:divBdr>
      <w:divsChild>
        <w:div w:id="574171090">
          <w:marLeft w:val="0"/>
          <w:marRight w:val="0"/>
          <w:marTop w:val="0"/>
          <w:marBottom w:val="100"/>
          <w:divBdr>
            <w:top w:val="none" w:sz="0" w:space="0" w:color="auto"/>
            <w:left w:val="none" w:sz="0" w:space="0" w:color="auto"/>
            <w:bottom w:val="none" w:sz="0" w:space="0" w:color="auto"/>
            <w:right w:val="none" w:sz="0" w:space="0" w:color="auto"/>
          </w:divBdr>
        </w:div>
      </w:divsChild>
    </w:div>
    <w:div w:id="834150471">
      <w:marLeft w:val="0"/>
      <w:marRight w:val="0"/>
      <w:marTop w:val="0"/>
      <w:marBottom w:val="0"/>
      <w:divBdr>
        <w:top w:val="none" w:sz="0" w:space="0" w:color="auto"/>
        <w:left w:val="none" w:sz="0" w:space="0" w:color="auto"/>
        <w:bottom w:val="none" w:sz="0" w:space="0" w:color="auto"/>
        <w:right w:val="none" w:sz="0" w:space="0" w:color="auto"/>
      </w:divBdr>
    </w:div>
    <w:div w:id="834537883">
      <w:marLeft w:val="0"/>
      <w:marRight w:val="0"/>
      <w:marTop w:val="0"/>
      <w:marBottom w:val="100"/>
      <w:divBdr>
        <w:top w:val="none" w:sz="0" w:space="0" w:color="auto"/>
        <w:left w:val="none" w:sz="0" w:space="0" w:color="auto"/>
        <w:bottom w:val="none" w:sz="0" w:space="0" w:color="auto"/>
        <w:right w:val="none" w:sz="0" w:space="0" w:color="auto"/>
      </w:divBdr>
    </w:div>
    <w:div w:id="838271659">
      <w:marLeft w:val="0"/>
      <w:marRight w:val="0"/>
      <w:marTop w:val="0"/>
      <w:marBottom w:val="100"/>
      <w:divBdr>
        <w:top w:val="none" w:sz="0" w:space="0" w:color="auto"/>
        <w:left w:val="none" w:sz="0" w:space="0" w:color="auto"/>
        <w:bottom w:val="none" w:sz="0" w:space="0" w:color="auto"/>
        <w:right w:val="none" w:sz="0" w:space="0" w:color="auto"/>
      </w:divBdr>
    </w:div>
    <w:div w:id="839350387">
      <w:marLeft w:val="0"/>
      <w:marRight w:val="0"/>
      <w:marTop w:val="0"/>
      <w:marBottom w:val="100"/>
      <w:divBdr>
        <w:top w:val="none" w:sz="0" w:space="0" w:color="auto"/>
        <w:left w:val="none" w:sz="0" w:space="0" w:color="auto"/>
        <w:bottom w:val="none" w:sz="0" w:space="0" w:color="auto"/>
        <w:right w:val="none" w:sz="0" w:space="0" w:color="auto"/>
      </w:divBdr>
    </w:div>
    <w:div w:id="839586635">
      <w:marLeft w:val="0"/>
      <w:marRight w:val="0"/>
      <w:marTop w:val="0"/>
      <w:marBottom w:val="0"/>
      <w:divBdr>
        <w:top w:val="none" w:sz="0" w:space="0" w:color="auto"/>
        <w:left w:val="none" w:sz="0" w:space="0" w:color="auto"/>
        <w:bottom w:val="none" w:sz="0" w:space="0" w:color="auto"/>
        <w:right w:val="none" w:sz="0" w:space="0" w:color="auto"/>
      </w:divBdr>
      <w:divsChild>
        <w:div w:id="778135607">
          <w:marLeft w:val="0"/>
          <w:marRight w:val="0"/>
          <w:marTop w:val="0"/>
          <w:marBottom w:val="0"/>
          <w:divBdr>
            <w:top w:val="none" w:sz="0" w:space="0" w:color="auto"/>
            <w:left w:val="none" w:sz="0" w:space="0" w:color="auto"/>
            <w:bottom w:val="none" w:sz="0" w:space="0" w:color="auto"/>
            <w:right w:val="none" w:sz="0" w:space="0" w:color="auto"/>
          </w:divBdr>
          <w:divsChild>
            <w:div w:id="1222446012">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840044468">
      <w:marLeft w:val="0"/>
      <w:marRight w:val="0"/>
      <w:marTop w:val="0"/>
      <w:marBottom w:val="0"/>
      <w:divBdr>
        <w:top w:val="none" w:sz="0" w:space="0" w:color="auto"/>
        <w:left w:val="none" w:sz="0" w:space="0" w:color="auto"/>
        <w:bottom w:val="none" w:sz="0" w:space="0" w:color="auto"/>
        <w:right w:val="none" w:sz="0" w:space="0" w:color="auto"/>
      </w:divBdr>
    </w:div>
    <w:div w:id="842550400">
      <w:marLeft w:val="0"/>
      <w:marRight w:val="0"/>
      <w:marTop w:val="0"/>
      <w:marBottom w:val="0"/>
      <w:divBdr>
        <w:top w:val="none" w:sz="0" w:space="0" w:color="auto"/>
        <w:left w:val="none" w:sz="0" w:space="0" w:color="auto"/>
        <w:bottom w:val="none" w:sz="0" w:space="0" w:color="auto"/>
        <w:right w:val="none" w:sz="0" w:space="0" w:color="auto"/>
      </w:divBdr>
      <w:divsChild>
        <w:div w:id="1051879913">
          <w:marLeft w:val="0"/>
          <w:marRight w:val="0"/>
          <w:marTop w:val="0"/>
          <w:marBottom w:val="0"/>
          <w:divBdr>
            <w:top w:val="none" w:sz="0" w:space="0" w:color="auto"/>
            <w:left w:val="none" w:sz="0" w:space="0" w:color="auto"/>
            <w:bottom w:val="none" w:sz="0" w:space="0" w:color="auto"/>
            <w:right w:val="none" w:sz="0" w:space="0" w:color="auto"/>
          </w:divBdr>
          <w:divsChild>
            <w:div w:id="179459698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843669924">
      <w:marLeft w:val="0"/>
      <w:marRight w:val="0"/>
      <w:marTop w:val="0"/>
      <w:marBottom w:val="100"/>
      <w:divBdr>
        <w:top w:val="none" w:sz="0" w:space="0" w:color="auto"/>
        <w:left w:val="none" w:sz="0" w:space="0" w:color="auto"/>
        <w:bottom w:val="none" w:sz="0" w:space="0" w:color="auto"/>
        <w:right w:val="none" w:sz="0" w:space="0" w:color="auto"/>
      </w:divBdr>
    </w:div>
    <w:div w:id="847132626">
      <w:marLeft w:val="0"/>
      <w:marRight w:val="0"/>
      <w:marTop w:val="0"/>
      <w:marBottom w:val="100"/>
      <w:divBdr>
        <w:top w:val="none" w:sz="0" w:space="0" w:color="auto"/>
        <w:left w:val="none" w:sz="0" w:space="0" w:color="auto"/>
        <w:bottom w:val="none" w:sz="0" w:space="0" w:color="auto"/>
        <w:right w:val="none" w:sz="0" w:space="0" w:color="auto"/>
      </w:divBdr>
    </w:div>
    <w:div w:id="847215192">
      <w:marLeft w:val="0"/>
      <w:marRight w:val="0"/>
      <w:marTop w:val="0"/>
      <w:marBottom w:val="100"/>
      <w:divBdr>
        <w:top w:val="none" w:sz="0" w:space="0" w:color="auto"/>
        <w:left w:val="none" w:sz="0" w:space="0" w:color="auto"/>
        <w:bottom w:val="none" w:sz="0" w:space="0" w:color="auto"/>
        <w:right w:val="none" w:sz="0" w:space="0" w:color="auto"/>
      </w:divBdr>
    </w:div>
    <w:div w:id="850027896">
      <w:marLeft w:val="0"/>
      <w:marRight w:val="0"/>
      <w:marTop w:val="0"/>
      <w:marBottom w:val="100"/>
      <w:divBdr>
        <w:top w:val="none" w:sz="0" w:space="0" w:color="auto"/>
        <w:left w:val="none" w:sz="0" w:space="0" w:color="auto"/>
        <w:bottom w:val="none" w:sz="0" w:space="0" w:color="auto"/>
        <w:right w:val="none" w:sz="0" w:space="0" w:color="auto"/>
      </w:divBdr>
    </w:div>
    <w:div w:id="851191027">
      <w:marLeft w:val="0"/>
      <w:marRight w:val="0"/>
      <w:marTop w:val="0"/>
      <w:marBottom w:val="100"/>
      <w:divBdr>
        <w:top w:val="none" w:sz="0" w:space="0" w:color="auto"/>
        <w:left w:val="none" w:sz="0" w:space="0" w:color="auto"/>
        <w:bottom w:val="none" w:sz="0" w:space="0" w:color="auto"/>
        <w:right w:val="none" w:sz="0" w:space="0" w:color="auto"/>
      </w:divBdr>
    </w:div>
    <w:div w:id="851845720">
      <w:marLeft w:val="0"/>
      <w:marRight w:val="0"/>
      <w:marTop w:val="0"/>
      <w:marBottom w:val="0"/>
      <w:divBdr>
        <w:top w:val="none" w:sz="0" w:space="0" w:color="auto"/>
        <w:left w:val="none" w:sz="0" w:space="0" w:color="auto"/>
        <w:bottom w:val="none" w:sz="0" w:space="0" w:color="auto"/>
        <w:right w:val="none" w:sz="0" w:space="0" w:color="auto"/>
      </w:divBdr>
      <w:divsChild>
        <w:div w:id="1136148329">
          <w:marLeft w:val="0"/>
          <w:marRight w:val="0"/>
          <w:marTop w:val="0"/>
          <w:marBottom w:val="100"/>
          <w:divBdr>
            <w:top w:val="none" w:sz="0" w:space="0" w:color="auto"/>
            <w:left w:val="none" w:sz="0" w:space="0" w:color="auto"/>
            <w:bottom w:val="none" w:sz="0" w:space="0" w:color="auto"/>
            <w:right w:val="none" w:sz="0" w:space="0" w:color="auto"/>
          </w:divBdr>
        </w:div>
      </w:divsChild>
    </w:div>
    <w:div w:id="854228707">
      <w:marLeft w:val="0"/>
      <w:marRight w:val="0"/>
      <w:marTop w:val="0"/>
      <w:marBottom w:val="0"/>
      <w:divBdr>
        <w:top w:val="none" w:sz="0" w:space="0" w:color="auto"/>
        <w:left w:val="none" w:sz="0" w:space="0" w:color="auto"/>
        <w:bottom w:val="none" w:sz="0" w:space="0" w:color="auto"/>
        <w:right w:val="none" w:sz="0" w:space="0" w:color="auto"/>
      </w:divBdr>
    </w:div>
    <w:div w:id="854807613">
      <w:marLeft w:val="0"/>
      <w:marRight w:val="0"/>
      <w:marTop w:val="0"/>
      <w:marBottom w:val="0"/>
      <w:divBdr>
        <w:top w:val="none" w:sz="0" w:space="0" w:color="auto"/>
        <w:left w:val="none" w:sz="0" w:space="0" w:color="auto"/>
        <w:bottom w:val="none" w:sz="0" w:space="0" w:color="auto"/>
        <w:right w:val="none" w:sz="0" w:space="0" w:color="auto"/>
      </w:divBdr>
      <w:divsChild>
        <w:div w:id="939412663">
          <w:marLeft w:val="0"/>
          <w:marRight w:val="0"/>
          <w:marTop w:val="0"/>
          <w:marBottom w:val="100"/>
          <w:divBdr>
            <w:top w:val="none" w:sz="0" w:space="0" w:color="auto"/>
            <w:left w:val="none" w:sz="0" w:space="0" w:color="auto"/>
            <w:bottom w:val="none" w:sz="0" w:space="0" w:color="auto"/>
            <w:right w:val="none" w:sz="0" w:space="0" w:color="auto"/>
          </w:divBdr>
        </w:div>
      </w:divsChild>
    </w:div>
    <w:div w:id="855846099">
      <w:marLeft w:val="0"/>
      <w:marRight w:val="0"/>
      <w:marTop w:val="0"/>
      <w:marBottom w:val="0"/>
      <w:divBdr>
        <w:top w:val="none" w:sz="0" w:space="0" w:color="auto"/>
        <w:left w:val="none" w:sz="0" w:space="0" w:color="auto"/>
        <w:bottom w:val="none" w:sz="0" w:space="0" w:color="auto"/>
        <w:right w:val="none" w:sz="0" w:space="0" w:color="auto"/>
      </w:divBdr>
    </w:div>
    <w:div w:id="857230452">
      <w:marLeft w:val="0"/>
      <w:marRight w:val="0"/>
      <w:marTop w:val="0"/>
      <w:marBottom w:val="0"/>
      <w:divBdr>
        <w:top w:val="none" w:sz="0" w:space="0" w:color="auto"/>
        <w:left w:val="none" w:sz="0" w:space="0" w:color="auto"/>
        <w:bottom w:val="none" w:sz="0" w:space="0" w:color="auto"/>
        <w:right w:val="none" w:sz="0" w:space="0" w:color="auto"/>
      </w:divBdr>
      <w:divsChild>
        <w:div w:id="1078013529">
          <w:marLeft w:val="0"/>
          <w:marRight w:val="0"/>
          <w:marTop w:val="0"/>
          <w:marBottom w:val="100"/>
          <w:divBdr>
            <w:top w:val="none" w:sz="0" w:space="0" w:color="auto"/>
            <w:left w:val="none" w:sz="0" w:space="0" w:color="auto"/>
            <w:bottom w:val="none" w:sz="0" w:space="0" w:color="auto"/>
            <w:right w:val="none" w:sz="0" w:space="0" w:color="auto"/>
          </w:divBdr>
        </w:div>
      </w:divsChild>
    </w:div>
    <w:div w:id="858130284">
      <w:marLeft w:val="0"/>
      <w:marRight w:val="0"/>
      <w:marTop w:val="180"/>
      <w:marBottom w:val="0"/>
      <w:divBdr>
        <w:top w:val="none" w:sz="0" w:space="0" w:color="auto"/>
        <w:left w:val="none" w:sz="0" w:space="0" w:color="auto"/>
        <w:bottom w:val="none" w:sz="0" w:space="0" w:color="auto"/>
        <w:right w:val="none" w:sz="0" w:space="0" w:color="auto"/>
      </w:divBdr>
    </w:div>
    <w:div w:id="858467085">
      <w:marLeft w:val="0"/>
      <w:marRight w:val="0"/>
      <w:marTop w:val="0"/>
      <w:marBottom w:val="0"/>
      <w:divBdr>
        <w:top w:val="none" w:sz="0" w:space="0" w:color="auto"/>
        <w:left w:val="none" w:sz="0" w:space="0" w:color="auto"/>
        <w:bottom w:val="none" w:sz="0" w:space="0" w:color="auto"/>
        <w:right w:val="none" w:sz="0" w:space="0" w:color="auto"/>
      </w:divBdr>
      <w:divsChild>
        <w:div w:id="1834565314">
          <w:marLeft w:val="0"/>
          <w:marRight w:val="0"/>
          <w:marTop w:val="0"/>
          <w:marBottom w:val="100"/>
          <w:divBdr>
            <w:top w:val="none" w:sz="0" w:space="0" w:color="auto"/>
            <w:left w:val="none" w:sz="0" w:space="0" w:color="auto"/>
            <w:bottom w:val="none" w:sz="0" w:space="0" w:color="auto"/>
            <w:right w:val="none" w:sz="0" w:space="0" w:color="auto"/>
          </w:divBdr>
        </w:div>
      </w:divsChild>
    </w:div>
    <w:div w:id="859003063">
      <w:marLeft w:val="0"/>
      <w:marRight w:val="0"/>
      <w:marTop w:val="0"/>
      <w:marBottom w:val="0"/>
      <w:divBdr>
        <w:top w:val="none" w:sz="0" w:space="0" w:color="auto"/>
        <w:left w:val="none" w:sz="0" w:space="0" w:color="auto"/>
        <w:bottom w:val="none" w:sz="0" w:space="0" w:color="auto"/>
        <w:right w:val="none" w:sz="0" w:space="0" w:color="auto"/>
      </w:divBdr>
      <w:divsChild>
        <w:div w:id="1009797667">
          <w:marLeft w:val="0"/>
          <w:marRight w:val="0"/>
          <w:marTop w:val="0"/>
          <w:marBottom w:val="0"/>
          <w:divBdr>
            <w:top w:val="none" w:sz="0" w:space="0" w:color="auto"/>
            <w:left w:val="none" w:sz="0" w:space="0" w:color="auto"/>
            <w:bottom w:val="none" w:sz="0" w:space="0" w:color="auto"/>
            <w:right w:val="none" w:sz="0" w:space="0" w:color="auto"/>
          </w:divBdr>
          <w:divsChild>
            <w:div w:id="18082693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859008837">
      <w:marLeft w:val="0"/>
      <w:marRight w:val="0"/>
      <w:marTop w:val="0"/>
      <w:marBottom w:val="100"/>
      <w:divBdr>
        <w:top w:val="none" w:sz="0" w:space="0" w:color="auto"/>
        <w:left w:val="none" w:sz="0" w:space="0" w:color="auto"/>
        <w:bottom w:val="none" w:sz="0" w:space="0" w:color="auto"/>
        <w:right w:val="none" w:sz="0" w:space="0" w:color="auto"/>
      </w:divBdr>
    </w:div>
    <w:div w:id="859583200">
      <w:marLeft w:val="0"/>
      <w:marRight w:val="0"/>
      <w:marTop w:val="0"/>
      <w:marBottom w:val="0"/>
      <w:divBdr>
        <w:top w:val="none" w:sz="0" w:space="0" w:color="auto"/>
        <w:left w:val="none" w:sz="0" w:space="0" w:color="auto"/>
        <w:bottom w:val="none" w:sz="0" w:space="0" w:color="auto"/>
        <w:right w:val="none" w:sz="0" w:space="0" w:color="auto"/>
      </w:divBdr>
      <w:divsChild>
        <w:div w:id="1300379783">
          <w:marLeft w:val="0"/>
          <w:marRight w:val="0"/>
          <w:marTop w:val="0"/>
          <w:marBottom w:val="100"/>
          <w:divBdr>
            <w:top w:val="none" w:sz="0" w:space="0" w:color="auto"/>
            <w:left w:val="none" w:sz="0" w:space="0" w:color="auto"/>
            <w:bottom w:val="none" w:sz="0" w:space="0" w:color="auto"/>
            <w:right w:val="none" w:sz="0" w:space="0" w:color="auto"/>
          </w:divBdr>
        </w:div>
      </w:divsChild>
    </w:div>
    <w:div w:id="861014361">
      <w:marLeft w:val="0"/>
      <w:marRight w:val="0"/>
      <w:marTop w:val="0"/>
      <w:marBottom w:val="100"/>
      <w:divBdr>
        <w:top w:val="none" w:sz="0" w:space="0" w:color="auto"/>
        <w:left w:val="none" w:sz="0" w:space="0" w:color="auto"/>
        <w:bottom w:val="none" w:sz="0" w:space="0" w:color="auto"/>
        <w:right w:val="none" w:sz="0" w:space="0" w:color="auto"/>
      </w:divBdr>
    </w:div>
    <w:div w:id="862093125">
      <w:marLeft w:val="0"/>
      <w:marRight w:val="0"/>
      <w:marTop w:val="0"/>
      <w:marBottom w:val="100"/>
      <w:divBdr>
        <w:top w:val="none" w:sz="0" w:space="0" w:color="auto"/>
        <w:left w:val="none" w:sz="0" w:space="0" w:color="auto"/>
        <w:bottom w:val="none" w:sz="0" w:space="0" w:color="auto"/>
        <w:right w:val="none" w:sz="0" w:space="0" w:color="auto"/>
      </w:divBdr>
    </w:div>
    <w:div w:id="865367648">
      <w:marLeft w:val="0"/>
      <w:marRight w:val="0"/>
      <w:marTop w:val="180"/>
      <w:marBottom w:val="0"/>
      <w:divBdr>
        <w:top w:val="none" w:sz="0" w:space="0" w:color="auto"/>
        <w:left w:val="none" w:sz="0" w:space="0" w:color="auto"/>
        <w:bottom w:val="none" w:sz="0" w:space="0" w:color="auto"/>
        <w:right w:val="none" w:sz="0" w:space="0" w:color="auto"/>
      </w:divBdr>
    </w:div>
    <w:div w:id="866137437">
      <w:marLeft w:val="0"/>
      <w:marRight w:val="0"/>
      <w:marTop w:val="100"/>
      <w:marBottom w:val="100"/>
      <w:divBdr>
        <w:top w:val="none" w:sz="0" w:space="0" w:color="auto"/>
        <w:left w:val="none" w:sz="0" w:space="0" w:color="auto"/>
        <w:bottom w:val="none" w:sz="0" w:space="0" w:color="auto"/>
        <w:right w:val="none" w:sz="0" w:space="0" w:color="auto"/>
      </w:divBdr>
    </w:div>
    <w:div w:id="867715919">
      <w:marLeft w:val="0"/>
      <w:marRight w:val="0"/>
      <w:marTop w:val="0"/>
      <w:marBottom w:val="0"/>
      <w:divBdr>
        <w:top w:val="none" w:sz="0" w:space="0" w:color="auto"/>
        <w:left w:val="none" w:sz="0" w:space="0" w:color="auto"/>
        <w:bottom w:val="none" w:sz="0" w:space="0" w:color="auto"/>
        <w:right w:val="none" w:sz="0" w:space="0" w:color="auto"/>
      </w:divBdr>
      <w:divsChild>
        <w:div w:id="2032536174">
          <w:marLeft w:val="0"/>
          <w:marRight w:val="0"/>
          <w:marTop w:val="0"/>
          <w:marBottom w:val="100"/>
          <w:divBdr>
            <w:top w:val="none" w:sz="0" w:space="0" w:color="auto"/>
            <w:left w:val="none" w:sz="0" w:space="0" w:color="auto"/>
            <w:bottom w:val="none" w:sz="0" w:space="0" w:color="auto"/>
            <w:right w:val="none" w:sz="0" w:space="0" w:color="auto"/>
          </w:divBdr>
        </w:div>
      </w:divsChild>
    </w:div>
    <w:div w:id="868303200">
      <w:marLeft w:val="0"/>
      <w:marRight w:val="0"/>
      <w:marTop w:val="0"/>
      <w:marBottom w:val="100"/>
      <w:divBdr>
        <w:top w:val="none" w:sz="0" w:space="0" w:color="auto"/>
        <w:left w:val="none" w:sz="0" w:space="0" w:color="auto"/>
        <w:bottom w:val="none" w:sz="0" w:space="0" w:color="auto"/>
        <w:right w:val="none" w:sz="0" w:space="0" w:color="auto"/>
      </w:divBdr>
    </w:div>
    <w:div w:id="868876563">
      <w:marLeft w:val="0"/>
      <w:marRight w:val="0"/>
      <w:marTop w:val="0"/>
      <w:marBottom w:val="0"/>
      <w:divBdr>
        <w:top w:val="none" w:sz="0" w:space="0" w:color="auto"/>
        <w:left w:val="none" w:sz="0" w:space="0" w:color="auto"/>
        <w:bottom w:val="none" w:sz="0" w:space="0" w:color="auto"/>
        <w:right w:val="none" w:sz="0" w:space="0" w:color="auto"/>
      </w:divBdr>
    </w:div>
    <w:div w:id="869151659">
      <w:marLeft w:val="0"/>
      <w:marRight w:val="0"/>
      <w:marTop w:val="0"/>
      <w:marBottom w:val="100"/>
      <w:divBdr>
        <w:top w:val="none" w:sz="0" w:space="0" w:color="auto"/>
        <w:left w:val="none" w:sz="0" w:space="0" w:color="auto"/>
        <w:bottom w:val="none" w:sz="0" w:space="0" w:color="auto"/>
        <w:right w:val="none" w:sz="0" w:space="0" w:color="auto"/>
      </w:divBdr>
    </w:div>
    <w:div w:id="869491466">
      <w:marLeft w:val="0"/>
      <w:marRight w:val="0"/>
      <w:marTop w:val="0"/>
      <w:marBottom w:val="100"/>
      <w:divBdr>
        <w:top w:val="none" w:sz="0" w:space="0" w:color="auto"/>
        <w:left w:val="none" w:sz="0" w:space="0" w:color="auto"/>
        <w:bottom w:val="none" w:sz="0" w:space="0" w:color="auto"/>
        <w:right w:val="none" w:sz="0" w:space="0" w:color="auto"/>
      </w:divBdr>
    </w:div>
    <w:div w:id="869995732">
      <w:marLeft w:val="0"/>
      <w:marRight w:val="0"/>
      <w:marTop w:val="0"/>
      <w:marBottom w:val="100"/>
      <w:divBdr>
        <w:top w:val="none" w:sz="0" w:space="0" w:color="auto"/>
        <w:left w:val="none" w:sz="0" w:space="0" w:color="auto"/>
        <w:bottom w:val="none" w:sz="0" w:space="0" w:color="auto"/>
        <w:right w:val="none" w:sz="0" w:space="0" w:color="auto"/>
      </w:divBdr>
    </w:div>
    <w:div w:id="873929887">
      <w:marLeft w:val="0"/>
      <w:marRight w:val="0"/>
      <w:marTop w:val="0"/>
      <w:marBottom w:val="100"/>
      <w:divBdr>
        <w:top w:val="none" w:sz="0" w:space="0" w:color="auto"/>
        <w:left w:val="none" w:sz="0" w:space="0" w:color="auto"/>
        <w:bottom w:val="none" w:sz="0" w:space="0" w:color="auto"/>
        <w:right w:val="none" w:sz="0" w:space="0" w:color="auto"/>
      </w:divBdr>
    </w:div>
    <w:div w:id="873998436">
      <w:marLeft w:val="0"/>
      <w:marRight w:val="0"/>
      <w:marTop w:val="180"/>
      <w:marBottom w:val="0"/>
      <w:divBdr>
        <w:top w:val="none" w:sz="0" w:space="0" w:color="auto"/>
        <w:left w:val="none" w:sz="0" w:space="0" w:color="auto"/>
        <w:bottom w:val="none" w:sz="0" w:space="0" w:color="auto"/>
        <w:right w:val="none" w:sz="0" w:space="0" w:color="auto"/>
      </w:divBdr>
    </w:div>
    <w:div w:id="874192706">
      <w:marLeft w:val="0"/>
      <w:marRight w:val="0"/>
      <w:marTop w:val="0"/>
      <w:marBottom w:val="100"/>
      <w:divBdr>
        <w:top w:val="none" w:sz="0" w:space="0" w:color="auto"/>
        <w:left w:val="none" w:sz="0" w:space="0" w:color="auto"/>
        <w:bottom w:val="none" w:sz="0" w:space="0" w:color="auto"/>
        <w:right w:val="none" w:sz="0" w:space="0" w:color="auto"/>
      </w:divBdr>
    </w:div>
    <w:div w:id="875776830">
      <w:marLeft w:val="0"/>
      <w:marRight w:val="0"/>
      <w:marTop w:val="0"/>
      <w:marBottom w:val="100"/>
      <w:divBdr>
        <w:top w:val="none" w:sz="0" w:space="0" w:color="auto"/>
        <w:left w:val="none" w:sz="0" w:space="0" w:color="auto"/>
        <w:bottom w:val="none" w:sz="0" w:space="0" w:color="auto"/>
        <w:right w:val="none" w:sz="0" w:space="0" w:color="auto"/>
      </w:divBdr>
    </w:div>
    <w:div w:id="876355464">
      <w:marLeft w:val="0"/>
      <w:marRight w:val="0"/>
      <w:marTop w:val="0"/>
      <w:marBottom w:val="100"/>
      <w:divBdr>
        <w:top w:val="none" w:sz="0" w:space="0" w:color="auto"/>
        <w:left w:val="none" w:sz="0" w:space="0" w:color="auto"/>
        <w:bottom w:val="none" w:sz="0" w:space="0" w:color="auto"/>
        <w:right w:val="none" w:sz="0" w:space="0" w:color="auto"/>
      </w:divBdr>
    </w:div>
    <w:div w:id="880441893">
      <w:marLeft w:val="0"/>
      <w:marRight w:val="0"/>
      <w:marTop w:val="0"/>
      <w:marBottom w:val="0"/>
      <w:divBdr>
        <w:top w:val="none" w:sz="0" w:space="0" w:color="auto"/>
        <w:left w:val="none" w:sz="0" w:space="0" w:color="auto"/>
        <w:bottom w:val="none" w:sz="0" w:space="0" w:color="auto"/>
        <w:right w:val="none" w:sz="0" w:space="0" w:color="auto"/>
      </w:divBdr>
      <w:divsChild>
        <w:div w:id="1171336964">
          <w:marLeft w:val="0"/>
          <w:marRight w:val="0"/>
          <w:marTop w:val="0"/>
          <w:marBottom w:val="0"/>
          <w:divBdr>
            <w:top w:val="none" w:sz="0" w:space="0" w:color="auto"/>
            <w:left w:val="none" w:sz="0" w:space="0" w:color="auto"/>
            <w:bottom w:val="none" w:sz="0" w:space="0" w:color="auto"/>
            <w:right w:val="none" w:sz="0" w:space="0" w:color="auto"/>
          </w:divBdr>
          <w:divsChild>
            <w:div w:id="76083514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881668352">
      <w:marLeft w:val="0"/>
      <w:marRight w:val="0"/>
      <w:marTop w:val="100"/>
      <w:marBottom w:val="0"/>
      <w:divBdr>
        <w:top w:val="none" w:sz="0" w:space="0" w:color="auto"/>
        <w:left w:val="none" w:sz="0" w:space="0" w:color="auto"/>
        <w:bottom w:val="none" w:sz="0" w:space="0" w:color="auto"/>
        <w:right w:val="none" w:sz="0" w:space="0" w:color="auto"/>
      </w:divBdr>
    </w:div>
    <w:div w:id="881675233">
      <w:marLeft w:val="0"/>
      <w:marRight w:val="0"/>
      <w:marTop w:val="0"/>
      <w:marBottom w:val="100"/>
      <w:divBdr>
        <w:top w:val="none" w:sz="0" w:space="0" w:color="auto"/>
        <w:left w:val="none" w:sz="0" w:space="0" w:color="auto"/>
        <w:bottom w:val="none" w:sz="0" w:space="0" w:color="auto"/>
        <w:right w:val="none" w:sz="0" w:space="0" w:color="auto"/>
      </w:divBdr>
    </w:div>
    <w:div w:id="882138361">
      <w:marLeft w:val="0"/>
      <w:marRight w:val="0"/>
      <w:marTop w:val="0"/>
      <w:marBottom w:val="100"/>
      <w:divBdr>
        <w:top w:val="none" w:sz="0" w:space="0" w:color="auto"/>
        <w:left w:val="none" w:sz="0" w:space="0" w:color="auto"/>
        <w:bottom w:val="none" w:sz="0" w:space="0" w:color="auto"/>
        <w:right w:val="none" w:sz="0" w:space="0" w:color="auto"/>
      </w:divBdr>
    </w:div>
    <w:div w:id="884028318">
      <w:marLeft w:val="0"/>
      <w:marRight w:val="0"/>
      <w:marTop w:val="0"/>
      <w:marBottom w:val="0"/>
      <w:divBdr>
        <w:top w:val="none" w:sz="0" w:space="0" w:color="auto"/>
        <w:left w:val="none" w:sz="0" w:space="0" w:color="auto"/>
        <w:bottom w:val="none" w:sz="0" w:space="0" w:color="auto"/>
        <w:right w:val="none" w:sz="0" w:space="0" w:color="auto"/>
      </w:divBdr>
    </w:div>
    <w:div w:id="886449058">
      <w:marLeft w:val="0"/>
      <w:marRight w:val="0"/>
      <w:marTop w:val="0"/>
      <w:marBottom w:val="100"/>
      <w:divBdr>
        <w:top w:val="none" w:sz="0" w:space="0" w:color="auto"/>
        <w:left w:val="none" w:sz="0" w:space="0" w:color="auto"/>
        <w:bottom w:val="none" w:sz="0" w:space="0" w:color="auto"/>
        <w:right w:val="none" w:sz="0" w:space="0" w:color="auto"/>
      </w:divBdr>
    </w:div>
    <w:div w:id="886525478">
      <w:marLeft w:val="0"/>
      <w:marRight w:val="0"/>
      <w:marTop w:val="100"/>
      <w:marBottom w:val="0"/>
      <w:divBdr>
        <w:top w:val="none" w:sz="0" w:space="0" w:color="auto"/>
        <w:left w:val="none" w:sz="0" w:space="0" w:color="auto"/>
        <w:bottom w:val="none" w:sz="0" w:space="0" w:color="auto"/>
        <w:right w:val="none" w:sz="0" w:space="0" w:color="auto"/>
      </w:divBdr>
    </w:div>
    <w:div w:id="886530899">
      <w:marLeft w:val="0"/>
      <w:marRight w:val="0"/>
      <w:marTop w:val="0"/>
      <w:marBottom w:val="0"/>
      <w:divBdr>
        <w:top w:val="none" w:sz="0" w:space="0" w:color="auto"/>
        <w:left w:val="none" w:sz="0" w:space="0" w:color="auto"/>
        <w:bottom w:val="none" w:sz="0" w:space="0" w:color="auto"/>
        <w:right w:val="none" w:sz="0" w:space="0" w:color="auto"/>
      </w:divBdr>
    </w:div>
    <w:div w:id="889390080">
      <w:marLeft w:val="0"/>
      <w:marRight w:val="0"/>
      <w:marTop w:val="180"/>
      <w:marBottom w:val="0"/>
      <w:divBdr>
        <w:top w:val="none" w:sz="0" w:space="0" w:color="auto"/>
        <w:left w:val="none" w:sz="0" w:space="0" w:color="auto"/>
        <w:bottom w:val="none" w:sz="0" w:space="0" w:color="auto"/>
        <w:right w:val="none" w:sz="0" w:space="0" w:color="auto"/>
      </w:divBdr>
    </w:div>
    <w:div w:id="890339045">
      <w:marLeft w:val="0"/>
      <w:marRight w:val="0"/>
      <w:marTop w:val="180"/>
      <w:marBottom w:val="0"/>
      <w:divBdr>
        <w:top w:val="none" w:sz="0" w:space="0" w:color="auto"/>
        <w:left w:val="none" w:sz="0" w:space="0" w:color="auto"/>
        <w:bottom w:val="none" w:sz="0" w:space="0" w:color="auto"/>
        <w:right w:val="none" w:sz="0" w:space="0" w:color="auto"/>
      </w:divBdr>
    </w:div>
    <w:div w:id="891161080">
      <w:marLeft w:val="0"/>
      <w:marRight w:val="0"/>
      <w:marTop w:val="0"/>
      <w:marBottom w:val="0"/>
      <w:divBdr>
        <w:top w:val="none" w:sz="0" w:space="0" w:color="auto"/>
        <w:left w:val="none" w:sz="0" w:space="0" w:color="auto"/>
        <w:bottom w:val="none" w:sz="0" w:space="0" w:color="auto"/>
        <w:right w:val="none" w:sz="0" w:space="0" w:color="auto"/>
      </w:divBdr>
    </w:div>
    <w:div w:id="892542293">
      <w:marLeft w:val="0"/>
      <w:marRight w:val="0"/>
      <w:marTop w:val="0"/>
      <w:marBottom w:val="100"/>
      <w:divBdr>
        <w:top w:val="none" w:sz="0" w:space="0" w:color="auto"/>
        <w:left w:val="none" w:sz="0" w:space="0" w:color="auto"/>
        <w:bottom w:val="none" w:sz="0" w:space="0" w:color="auto"/>
        <w:right w:val="none" w:sz="0" w:space="0" w:color="auto"/>
      </w:divBdr>
    </w:div>
    <w:div w:id="893658034">
      <w:marLeft w:val="0"/>
      <w:marRight w:val="0"/>
      <w:marTop w:val="0"/>
      <w:marBottom w:val="100"/>
      <w:divBdr>
        <w:top w:val="none" w:sz="0" w:space="0" w:color="auto"/>
        <w:left w:val="none" w:sz="0" w:space="0" w:color="auto"/>
        <w:bottom w:val="none" w:sz="0" w:space="0" w:color="auto"/>
        <w:right w:val="none" w:sz="0" w:space="0" w:color="auto"/>
      </w:divBdr>
    </w:div>
    <w:div w:id="895508587">
      <w:marLeft w:val="0"/>
      <w:marRight w:val="0"/>
      <w:marTop w:val="0"/>
      <w:marBottom w:val="100"/>
      <w:divBdr>
        <w:top w:val="none" w:sz="0" w:space="0" w:color="auto"/>
        <w:left w:val="none" w:sz="0" w:space="0" w:color="auto"/>
        <w:bottom w:val="none" w:sz="0" w:space="0" w:color="auto"/>
        <w:right w:val="none" w:sz="0" w:space="0" w:color="auto"/>
      </w:divBdr>
    </w:div>
    <w:div w:id="896016640">
      <w:marLeft w:val="0"/>
      <w:marRight w:val="0"/>
      <w:marTop w:val="180"/>
      <w:marBottom w:val="0"/>
      <w:divBdr>
        <w:top w:val="none" w:sz="0" w:space="0" w:color="auto"/>
        <w:left w:val="none" w:sz="0" w:space="0" w:color="auto"/>
        <w:bottom w:val="none" w:sz="0" w:space="0" w:color="auto"/>
        <w:right w:val="none" w:sz="0" w:space="0" w:color="auto"/>
      </w:divBdr>
    </w:div>
    <w:div w:id="896089481">
      <w:marLeft w:val="0"/>
      <w:marRight w:val="0"/>
      <w:marTop w:val="0"/>
      <w:marBottom w:val="0"/>
      <w:divBdr>
        <w:top w:val="none" w:sz="0" w:space="0" w:color="auto"/>
        <w:left w:val="none" w:sz="0" w:space="0" w:color="auto"/>
        <w:bottom w:val="none" w:sz="0" w:space="0" w:color="auto"/>
        <w:right w:val="none" w:sz="0" w:space="0" w:color="auto"/>
      </w:divBdr>
      <w:divsChild>
        <w:div w:id="478544804">
          <w:marLeft w:val="0"/>
          <w:marRight w:val="0"/>
          <w:marTop w:val="0"/>
          <w:marBottom w:val="100"/>
          <w:divBdr>
            <w:top w:val="none" w:sz="0" w:space="0" w:color="auto"/>
            <w:left w:val="none" w:sz="0" w:space="0" w:color="auto"/>
            <w:bottom w:val="none" w:sz="0" w:space="0" w:color="auto"/>
            <w:right w:val="none" w:sz="0" w:space="0" w:color="auto"/>
          </w:divBdr>
        </w:div>
      </w:divsChild>
    </w:div>
    <w:div w:id="898203447">
      <w:marLeft w:val="0"/>
      <w:marRight w:val="0"/>
      <w:marTop w:val="0"/>
      <w:marBottom w:val="100"/>
      <w:divBdr>
        <w:top w:val="none" w:sz="0" w:space="0" w:color="auto"/>
        <w:left w:val="none" w:sz="0" w:space="0" w:color="auto"/>
        <w:bottom w:val="none" w:sz="0" w:space="0" w:color="auto"/>
        <w:right w:val="none" w:sz="0" w:space="0" w:color="auto"/>
      </w:divBdr>
    </w:div>
    <w:div w:id="899941495">
      <w:marLeft w:val="0"/>
      <w:marRight w:val="0"/>
      <w:marTop w:val="180"/>
      <w:marBottom w:val="0"/>
      <w:divBdr>
        <w:top w:val="none" w:sz="0" w:space="0" w:color="auto"/>
        <w:left w:val="none" w:sz="0" w:space="0" w:color="auto"/>
        <w:bottom w:val="none" w:sz="0" w:space="0" w:color="auto"/>
        <w:right w:val="none" w:sz="0" w:space="0" w:color="auto"/>
      </w:divBdr>
      <w:divsChild>
        <w:div w:id="813983607">
          <w:marLeft w:val="0"/>
          <w:marRight w:val="0"/>
          <w:marTop w:val="0"/>
          <w:marBottom w:val="0"/>
          <w:divBdr>
            <w:top w:val="none" w:sz="0" w:space="0" w:color="auto"/>
            <w:left w:val="none" w:sz="0" w:space="0" w:color="auto"/>
            <w:bottom w:val="none" w:sz="0" w:space="0" w:color="auto"/>
            <w:right w:val="none" w:sz="0" w:space="0" w:color="auto"/>
          </w:divBdr>
        </w:div>
        <w:div w:id="1463767879">
          <w:marLeft w:val="0"/>
          <w:marRight w:val="0"/>
          <w:marTop w:val="0"/>
          <w:marBottom w:val="0"/>
          <w:divBdr>
            <w:top w:val="none" w:sz="0" w:space="0" w:color="auto"/>
            <w:left w:val="none" w:sz="0" w:space="0" w:color="auto"/>
            <w:bottom w:val="none" w:sz="0" w:space="0" w:color="auto"/>
            <w:right w:val="none" w:sz="0" w:space="0" w:color="auto"/>
          </w:divBdr>
        </w:div>
      </w:divsChild>
    </w:div>
    <w:div w:id="900097088">
      <w:marLeft w:val="0"/>
      <w:marRight w:val="0"/>
      <w:marTop w:val="180"/>
      <w:marBottom w:val="100"/>
      <w:divBdr>
        <w:top w:val="none" w:sz="0" w:space="0" w:color="auto"/>
        <w:left w:val="none" w:sz="0" w:space="0" w:color="auto"/>
        <w:bottom w:val="none" w:sz="0" w:space="0" w:color="auto"/>
        <w:right w:val="none" w:sz="0" w:space="0" w:color="auto"/>
      </w:divBdr>
    </w:div>
    <w:div w:id="900797680">
      <w:marLeft w:val="0"/>
      <w:marRight w:val="0"/>
      <w:marTop w:val="0"/>
      <w:marBottom w:val="100"/>
      <w:divBdr>
        <w:top w:val="none" w:sz="0" w:space="0" w:color="auto"/>
        <w:left w:val="none" w:sz="0" w:space="0" w:color="auto"/>
        <w:bottom w:val="none" w:sz="0" w:space="0" w:color="auto"/>
        <w:right w:val="none" w:sz="0" w:space="0" w:color="auto"/>
      </w:divBdr>
    </w:div>
    <w:div w:id="901672512">
      <w:marLeft w:val="0"/>
      <w:marRight w:val="0"/>
      <w:marTop w:val="0"/>
      <w:marBottom w:val="100"/>
      <w:divBdr>
        <w:top w:val="none" w:sz="0" w:space="0" w:color="auto"/>
        <w:left w:val="none" w:sz="0" w:space="0" w:color="auto"/>
        <w:bottom w:val="none" w:sz="0" w:space="0" w:color="auto"/>
        <w:right w:val="none" w:sz="0" w:space="0" w:color="auto"/>
      </w:divBdr>
    </w:div>
    <w:div w:id="905532966">
      <w:marLeft w:val="0"/>
      <w:marRight w:val="0"/>
      <w:marTop w:val="0"/>
      <w:marBottom w:val="0"/>
      <w:divBdr>
        <w:top w:val="none" w:sz="0" w:space="0" w:color="auto"/>
        <w:left w:val="none" w:sz="0" w:space="0" w:color="auto"/>
        <w:bottom w:val="none" w:sz="0" w:space="0" w:color="auto"/>
        <w:right w:val="none" w:sz="0" w:space="0" w:color="auto"/>
      </w:divBdr>
      <w:divsChild>
        <w:div w:id="1286504041">
          <w:marLeft w:val="0"/>
          <w:marRight w:val="0"/>
          <w:marTop w:val="0"/>
          <w:marBottom w:val="100"/>
          <w:divBdr>
            <w:top w:val="none" w:sz="0" w:space="0" w:color="auto"/>
            <w:left w:val="none" w:sz="0" w:space="0" w:color="auto"/>
            <w:bottom w:val="none" w:sz="0" w:space="0" w:color="auto"/>
            <w:right w:val="none" w:sz="0" w:space="0" w:color="auto"/>
          </w:divBdr>
        </w:div>
      </w:divsChild>
    </w:div>
    <w:div w:id="906887550">
      <w:marLeft w:val="0"/>
      <w:marRight w:val="0"/>
      <w:marTop w:val="180"/>
      <w:marBottom w:val="180"/>
      <w:divBdr>
        <w:top w:val="none" w:sz="0" w:space="0" w:color="auto"/>
        <w:left w:val="none" w:sz="0" w:space="0" w:color="auto"/>
        <w:bottom w:val="none" w:sz="0" w:space="0" w:color="auto"/>
        <w:right w:val="none" w:sz="0" w:space="0" w:color="auto"/>
      </w:divBdr>
    </w:div>
    <w:div w:id="907349038">
      <w:marLeft w:val="0"/>
      <w:marRight w:val="0"/>
      <w:marTop w:val="0"/>
      <w:marBottom w:val="100"/>
      <w:divBdr>
        <w:top w:val="none" w:sz="0" w:space="0" w:color="auto"/>
        <w:left w:val="none" w:sz="0" w:space="0" w:color="auto"/>
        <w:bottom w:val="none" w:sz="0" w:space="0" w:color="auto"/>
        <w:right w:val="none" w:sz="0" w:space="0" w:color="auto"/>
      </w:divBdr>
    </w:div>
    <w:div w:id="909190904">
      <w:marLeft w:val="0"/>
      <w:marRight w:val="0"/>
      <w:marTop w:val="0"/>
      <w:marBottom w:val="0"/>
      <w:divBdr>
        <w:top w:val="none" w:sz="0" w:space="0" w:color="auto"/>
        <w:left w:val="none" w:sz="0" w:space="0" w:color="auto"/>
        <w:bottom w:val="none" w:sz="0" w:space="0" w:color="auto"/>
        <w:right w:val="none" w:sz="0" w:space="0" w:color="auto"/>
      </w:divBdr>
    </w:div>
    <w:div w:id="909777314">
      <w:marLeft w:val="0"/>
      <w:marRight w:val="0"/>
      <w:marTop w:val="0"/>
      <w:marBottom w:val="100"/>
      <w:divBdr>
        <w:top w:val="none" w:sz="0" w:space="0" w:color="auto"/>
        <w:left w:val="none" w:sz="0" w:space="0" w:color="auto"/>
        <w:bottom w:val="none" w:sz="0" w:space="0" w:color="auto"/>
        <w:right w:val="none" w:sz="0" w:space="0" w:color="auto"/>
      </w:divBdr>
    </w:div>
    <w:div w:id="909926152">
      <w:marLeft w:val="0"/>
      <w:marRight w:val="0"/>
      <w:marTop w:val="180"/>
      <w:marBottom w:val="0"/>
      <w:divBdr>
        <w:top w:val="none" w:sz="0" w:space="0" w:color="auto"/>
        <w:left w:val="none" w:sz="0" w:space="0" w:color="auto"/>
        <w:bottom w:val="none" w:sz="0" w:space="0" w:color="auto"/>
        <w:right w:val="none" w:sz="0" w:space="0" w:color="auto"/>
      </w:divBdr>
    </w:div>
    <w:div w:id="911623093">
      <w:marLeft w:val="0"/>
      <w:marRight w:val="0"/>
      <w:marTop w:val="0"/>
      <w:marBottom w:val="100"/>
      <w:divBdr>
        <w:top w:val="none" w:sz="0" w:space="0" w:color="auto"/>
        <w:left w:val="none" w:sz="0" w:space="0" w:color="auto"/>
        <w:bottom w:val="none" w:sz="0" w:space="0" w:color="auto"/>
        <w:right w:val="none" w:sz="0" w:space="0" w:color="auto"/>
      </w:divBdr>
    </w:div>
    <w:div w:id="912081996">
      <w:marLeft w:val="0"/>
      <w:marRight w:val="0"/>
      <w:marTop w:val="0"/>
      <w:marBottom w:val="0"/>
      <w:divBdr>
        <w:top w:val="none" w:sz="0" w:space="0" w:color="auto"/>
        <w:left w:val="none" w:sz="0" w:space="0" w:color="auto"/>
        <w:bottom w:val="none" w:sz="0" w:space="0" w:color="auto"/>
        <w:right w:val="none" w:sz="0" w:space="0" w:color="auto"/>
      </w:divBdr>
      <w:divsChild>
        <w:div w:id="1578326290">
          <w:marLeft w:val="0"/>
          <w:marRight w:val="0"/>
          <w:marTop w:val="0"/>
          <w:marBottom w:val="0"/>
          <w:divBdr>
            <w:top w:val="none" w:sz="0" w:space="0" w:color="auto"/>
            <w:left w:val="none" w:sz="0" w:space="0" w:color="auto"/>
            <w:bottom w:val="none" w:sz="0" w:space="0" w:color="auto"/>
            <w:right w:val="none" w:sz="0" w:space="0" w:color="auto"/>
          </w:divBdr>
          <w:divsChild>
            <w:div w:id="190186695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913470901">
      <w:marLeft w:val="0"/>
      <w:marRight w:val="0"/>
      <w:marTop w:val="0"/>
      <w:marBottom w:val="100"/>
      <w:divBdr>
        <w:top w:val="none" w:sz="0" w:space="0" w:color="auto"/>
        <w:left w:val="none" w:sz="0" w:space="0" w:color="auto"/>
        <w:bottom w:val="none" w:sz="0" w:space="0" w:color="auto"/>
        <w:right w:val="none" w:sz="0" w:space="0" w:color="auto"/>
      </w:divBdr>
    </w:div>
    <w:div w:id="913590543">
      <w:marLeft w:val="0"/>
      <w:marRight w:val="0"/>
      <w:marTop w:val="0"/>
      <w:marBottom w:val="100"/>
      <w:divBdr>
        <w:top w:val="none" w:sz="0" w:space="0" w:color="auto"/>
        <w:left w:val="none" w:sz="0" w:space="0" w:color="auto"/>
        <w:bottom w:val="none" w:sz="0" w:space="0" w:color="auto"/>
        <w:right w:val="none" w:sz="0" w:space="0" w:color="auto"/>
      </w:divBdr>
    </w:div>
    <w:div w:id="915282836">
      <w:marLeft w:val="0"/>
      <w:marRight w:val="0"/>
      <w:marTop w:val="0"/>
      <w:marBottom w:val="0"/>
      <w:divBdr>
        <w:top w:val="none" w:sz="0" w:space="0" w:color="auto"/>
        <w:left w:val="none" w:sz="0" w:space="0" w:color="auto"/>
        <w:bottom w:val="none" w:sz="0" w:space="0" w:color="auto"/>
        <w:right w:val="none" w:sz="0" w:space="0" w:color="auto"/>
      </w:divBdr>
    </w:div>
    <w:div w:id="915439594">
      <w:marLeft w:val="0"/>
      <w:marRight w:val="0"/>
      <w:marTop w:val="0"/>
      <w:marBottom w:val="100"/>
      <w:divBdr>
        <w:top w:val="none" w:sz="0" w:space="0" w:color="auto"/>
        <w:left w:val="none" w:sz="0" w:space="0" w:color="auto"/>
        <w:bottom w:val="none" w:sz="0" w:space="0" w:color="auto"/>
        <w:right w:val="none" w:sz="0" w:space="0" w:color="auto"/>
      </w:divBdr>
    </w:div>
    <w:div w:id="917717228">
      <w:marLeft w:val="0"/>
      <w:marRight w:val="0"/>
      <w:marTop w:val="0"/>
      <w:marBottom w:val="100"/>
      <w:divBdr>
        <w:top w:val="none" w:sz="0" w:space="0" w:color="auto"/>
        <w:left w:val="none" w:sz="0" w:space="0" w:color="auto"/>
        <w:bottom w:val="none" w:sz="0" w:space="0" w:color="auto"/>
        <w:right w:val="none" w:sz="0" w:space="0" w:color="auto"/>
      </w:divBdr>
    </w:div>
    <w:div w:id="918445850">
      <w:marLeft w:val="0"/>
      <w:marRight w:val="0"/>
      <w:marTop w:val="180"/>
      <w:marBottom w:val="0"/>
      <w:divBdr>
        <w:top w:val="none" w:sz="0" w:space="0" w:color="auto"/>
        <w:left w:val="none" w:sz="0" w:space="0" w:color="auto"/>
        <w:bottom w:val="none" w:sz="0" w:space="0" w:color="auto"/>
        <w:right w:val="none" w:sz="0" w:space="0" w:color="auto"/>
      </w:divBdr>
      <w:divsChild>
        <w:div w:id="799759585">
          <w:marLeft w:val="0"/>
          <w:marRight w:val="0"/>
          <w:marTop w:val="0"/>
          <w:marBottom w:val="0"/>
          <w:divBdr>
            <w:top w:val="none" w:sz="0" w:space="0" w:color="auto"/>
            <w:left w:val="none" w:sz="0" w:space="0" w:color="auto"/>
            <w:bottom w:val="none" w:sz="0" w:space="0" w:color="auto"/>
            <w:right w:val="none" w:sz="0" w:space="0" w:color="auto"/>
          </w:divBdr>
        </w:div>
      </w:divsChild>
    </w:div>
    <w:div w:id="920261857">
      <w:marLeft w:val="0"/>
      <w:marRight w:val="0"/>
      <w:marTop w:val="0"/>
      <w:marBottom w:val="100"/>
      <w:divBdr>
        <w:top w:val="none" w:sz="0" w:space="0" w:color="auto"/>
        <w:left w:val="none" w:sz="0" w:space="0" w:color="auto"/>
        <w:bottom w:val="none" w:sz="0" w:space="0" w:color="auto"/>
        <w:right w:val="none" w:sz="0" w:space="0" w:color="auto"/>
      </w:divBdr>
    </w:div>
    <w:div w:id="921183517">
      <w:marLeft w:val="0"/>
      <w:marRight w:val="0"/>
      <w:marTop w:val="0"/>
      <w:marBottom w:val="0"/>
      <w:divBdr>
        <w:top w:val="none" w:sz="0" w:space="0" w:color="auto"/>
        <w:left w:val="none" w:sz="0" w:space="0" w:color="auto"/>
        <w:bottom w:val="none" w:sz="0" w:space="0" w:color="auto"/>
        <w:right w:val="none" w:sz="0" w:space="0" w:color="auto"/>
      </w:divBdr>
    </w:div>
    <w:div w:id="921570825">
      <w:marLeft w:val="0"/>
      <w:marRight w:val="0"/>
      <w:marTop w:val="0"/>
      <w:marBottom w:val="100"/>
      <w:divBdr>
        <w:top w:val="none" w:sz="0" w:space="0" w:color="auto"/>
        <w:left w:val="none" w:sz="0" w:space="0" w:color="auto"/>
        <w:bottom w:val="none" w:sz="0" w:space="0" w:color="auto"/>
        <w:right w:val="none" w:sz="0" w:space="0" w:color="auto"/>
      </w:divBdr>
    </w:div>
    <w:div w:id="923413268">
      <w:marLeft w:val="0"/>
      <w:marRight w:val="0"/>
      <w:marTop w:val="0"/>
      <w:marBottom w:val="100"/>
      <w:divBdr>
        <w:top w:val="none" w:sz="0" w:space="0" w:color="auto"/>
        <w:left w:val="none" w:sz="0" w:space="0" w:color="auto"/>
        <w:bottom w:val="none" w:sz="0" w:space="0" w:color="auto"/>
        <w:right w:val="none" w:sz="0" w:space="0" w:color="auto"/>
      </w:divBdr>
    </w:div>
    <w:div w:id="926689735">
      <w:marLeft w:val="0"/>
      <w:marRight w:val="0"/>
      <w:marTop w:val="100"/>
      <w:marBottom w:val="100"/>
      <w:divBdr>
        <w:top w:val="none" w:sz="0" w:space="0" w:color="auto"/>
        <w:left w:val="none" w:sz="0" w:space="0" w:color="auto"/>
        <w:bottom w:val="none" w:sz="0" w:space="0" w:color="auto"/>
        <w:right w:val="none" w:sz="0" w:space="0" w:color="auto"/>
      </w:divBdr>
    </w:div>
    <w:div w:id="926764320">
      <w:marLeft w:val="0"/>
      <w:marRight w:val="0"/>
      <w:marTop w:val="0"/>
      <w:marBottom w:val="0"/>
      <w:divBdr>
        <w:top w:val="none" w:sz="0" w:space="0" w:color="auto"/>
        <w:left w:val="none" w:sz="0" w:space="0" w:color="auto"/>
        <w:bottom w:val="none" w:sz="0" w:space="0" w:color="auto"/>
        <w:right w:val="none" w:sz="0" w:space="0" w:color="auto"/>
      </w:divBdr>
      <w:divsChild>
        <w:div w:id="1931430755">
          <w:marLeft w:val="0"/>
          <w:marRight w:val="0"/>
          <w:marTop w:val="0"/>
          <w:marBottom w:val="100"/>
          <w:divBdr>
            <w:top w:val="none" w:sz="0" w:space="0" w:color="auto"/>
            <w:left w:val="none" w:sz="0" w:space="0" w:color="auto"/>
            <w:bottom w:val="none" w:sz="0" w:space="0" w:color="auto"/>
            <w:right w:val="none" w:sz="0" w:space="0" w:color="auto"/>
          </w:divBdr>
        </w:div>
      </w:divsChild>
    </w:div>
    <w:div w:id="927612728">
      <w:marLeft w:val="0"/>
      <w:marRight w:val="0"/>
      <w:marTop w:val="0"/>
      <w:marBottom w:val="100"/>
      <w:divBdr>
        <w:top w:val="none" w:sz="0" w:space="0" w:color="auto"/>
        <w:left w:val="none" w:sz="0" w:space="0" w:color="auto"/>
        <w:bottom w:val="none" w:sz="0" w:space="0" w:color="auto"/>
        <w:right w:val="none" w:sz="0" w:space="0" w:color="auto"/>
      </w:divBdr>
    </w:div>
    <w:div w:id="927689368">
      <w:marLeft w:val="0"/>
      <w:marRight w:val="0"/>
      <w:marTop w:val="0"/>
      <w:marBottom w:val="100"/>
      <w:divBdr>
        <w:top w:val="none" w:sz="0" w:space="0" w:color="auto"/>
        <w:left w:val="none" w:sz="0" w:space="0" w:color="auto"/>
        <w:bottom w:val="none" w:sz="0" w:space="0" w:color="auto"/>
        <w:right w:val="none" w:sz="0" w:space="0" w:color="auto"/>
      </w:divBdr>
    </w:div>
    <w:div w:id="933125627">
      <w:marLeft w:val="0"/>
      <w:marRight w:val="0"/>
      <w:marTop w:val="0"/>
      <w:marBottom w:val="100"/>
      <w:divBdr>
        <w:top w:val="none" w:sz="0" w:space="0" w:color="auto"/>
        <w:left w:val="none" w:sz="0" w:space="0" w:color="auto"/>
        <w:bottom w:val="none" w:sz="0" w:space="0" w:color="auto"/>
        <w:right w:val="none" w:sz="0" w:space="0" w:color="auto"/>
      </w:divBdr>
    </w:div>
    <w:div w:id="933709331">
      <w:marLeft w:val="0"/>
      <w:marRight w:val="0"/>
      <w:marTop w:val="0"/>
      <w:marBottom w:val="100"/>
      <w:divBdr>
        <w:top w:val="none" w:sz="0" w:space="0" w:color="auto"/>
        <w:left w:val="none" w:sz="0" w:space="0" w:color="auto"/>
        <w:bottom w:val="none" w:sz="0" w:space="0" w:color="auto"/>
        <w:right w:val="none" w:sz="0" w:space="0" w:color="auto"/>
      </w:divBdr>
    </w:div>
    <w:div w:id="934095542">
      <w:marLeft w:val="0"/>
      <w:marRight w:val="0"/>
      <w:marTop w:val="0"/>
      <w:marBottom w:val="0"/>
      <w:divBdr>
        <w:top w:val="none" w:sz="0" w:space="0" w:color="auto"/>
        <w:left w:val="none" w:sz="0" w:space="0" w:color="auto"/>
        <w:bottom w:val="none" w:sz="0" w:space="0" w:color="auto"/>
        <w:right w:val="none" w:sz="0" w:space="0" w:color="auto"/>
      </w:divBdr>
    </w:div>
    <w:div w:id="935941336">
      <w:marLeft w:val="0"/>
      <w:marRight w:val="0"/>
      <w:marTop w:val="0"/>
      <w:marBottom w:val="100"/>
      <w:divBdr>
        <w:top w:val="none" w:sz="0" w:space="0" w:color="auto"/>
        <w:left w:val="none" w:sz="0" w:space="0" w:color="auto"/>
        <w:bottom w:val="none" w:sz="0" w:space="0" w:color="auto"/>
        <w:right w:val="none" w:sz="0" w:space="0" w:color="auto"/>
      </w:divBdr>
    </w:div>
    <w:div w:id="936328882">
      <w:marLeft w:val="0"/>
      <w:marRight w:val="0"/>
      <w:marTop w:val="0"/>
      <w:marBottom w:val="0"/>
      <w:divBdr>
        <w:top w:val="none" w:sz="0" w:space="0" w:color="auto"/>
        <w:left w:val="none" w:sz="0" w:space="0" w:color="auto"/>
        <w:bottom w:val="none" w:sz="0" w:space="0" w:color="auto"/>
        <w:right w:val="none" w:sz="0" w:space="0" w:color="auto"/>
      </w:divBdr>
    </w:div>
    <w:div w:id="937562184">
      <w:marLeft w:val="0"/>
      <w:marRight w:val="0"/>
      <w:marTop w:val="0"/>
      <w:marBottom w:val="100"/>
      <w:divBdr>
        <w:top w:val="none" w:sz="0" w:space="0" w:color="auto"/>
        <w:left w:val="none" w:sz="0" w:space="0" w:color="auto"/>
        <w:bottom w:val="none" w:sz="0" w:space="0" w:color="auto"/>
        <w:right w:val="none" w:sz="0" w:space="0" w:color="auto"/>
      </w:divBdr>
    </w:div>
    <w:div w:id="938607906">
      <w:marLeft w:val="0"/>
      <w:marRight w:val="0"/>
      <w:marTop w:val="0"/>
      <w:marBottom w:val="0"/>
      <w:divBdr>
        <w:top w:val="none" w:sz="0" w:space="0" w:color="auto"/>
        <w:left w:val="none" w:sz="0" w:space="0" w:color="auto"/>
        <w:bottom w:val="none" w:sz="0" w:space="0" w:color="auto"/>
        <w:right w:val="none" w:sz="0" w:space="0" w:color="auto"/>
      </w:divBdr>
      <w:divsChild>
        <w:div w:id="1977636337">
          <w:marLeft w:val="0"/>
          <w:marRight w:val="0"/>
          <w:marTop w:val="0"/>
          <w:marBottom w:val="0"/>
          <w:divBdr>
            <w:top w:val="none" w:sz="0" w:space="0" w:color="auto"/>
            <w:left w:val="none" w:sz="0" w:space="0" w:color="auto"/>
            <w:bottom w:val="none" w:sz="0" w:space="0" w:color="auto"/>
            <w:right w:val="none" w:sz="0" w:space="0" w:color="auto"/>
          </w:divBdr>
        </w:div>
      </w:divsChild>
    </w:div>
    <w:div w:id="939146436">
      <w:marLeft w:val="0"/>
      <w:marRight w:val="0"/>
      <w:marTop w:val="0"/>
      <w:marBottom w:val="100"/>
      <w:divBdr>
        <w:top w:val="none" w:sz="0" w:space="0" w:color="auto"/>
        <w:left w:val="none" w:sz="0" w:space="0" w:color="auto"/>
        <w:bottom w:val="none" w:sz="0" w:space="0" w:color="auto"/>
        <w:right w:val="none" w:sz="0" w:space="0" w:color="auto"/>
      </w:divBdr>
    </w:div>
    <w:div w:id="940458081">
      <w:marLeft w:val="0"/>
      <w:marRight w:val="0"/>
      <w:marTop w:val="0"/>
      <w:marBottom w:val="0"/>
      <w:divBdr>
        <w:top w:val="none" w:sz="0" w:space="0" w:color="auto"/>
        <w:left w:val="none" w:sz="0" w:space="0" w:color="auto"/>
        <w:bottom w:val="none" w:sz="0" w:space="0" w:color="auto"/>
        <w:right w:val="none" w:sz="0" w:space="0" w:color="auto"/>
      </w:divBdr>
      <w:divsChild>
        <w:div w:id="700206894">
          <w:marLeft w:val="0"/>
          <w:marRight w:val="0"/>
          <w:marTop w:val="0"/>
          <w:marBottom w:val="0"/>
          <w:divBdr>
            <w:top w:val="none" w:sz="0" w:space="0" w:color="auto"/>
            <w:left w:val="none" w:sz="0" w:space="0" w:color="auto"/>
            <w:bottom w:val="none" w:sz="0" w:space="0" w:color="auto"/>
            <w:right w:val="none" w:sz="0" w:space="0" w:color="auto"/>
          </w:divBdr>
          <w:divsChild>
            <w:div w:id="2353089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944265049">
      <w:marLeft w:val="0"/>
      <w:marRight w:val="0"/>
      <w:marTop w:val="0"/>
      <w:marBottom w:val="100"/>
      <w:divBdr>
        <w:top w:val="none" w:sz="0" w:space="0" w:color="auto"/>
        <w:left w:val="none" w:sz="0" w:space="0" w:color="auto"/>
        <w:bottom w:val="none" w:sz="0" w:space="0" w:color="auto"/>
        <w:right w:val="none" w:sz="0" w:space="0" w:color="auto"/>
      </w:divBdr>
    </w:div>
    <w:div w:id="946891131">
      <w:marLeft w:val="0"/>
      <w:marRight w:val="0"/>
      <w:marTop w:val="180"/>
      <w:marBottom w:val="0"/>
      <w:divBdr>
        <w:top w:val="none" w:sz="0" w:space="0" w:color="auto"/>
        <w:left w:val="none" w:sz="0" w:space="0" w:color="auto"/>
        <w:bottom w:val="none" w:sz="0" w:space="0" w:color="auto"/>
        <w:right w:val="none" w:sz="0" w:space="0" w:color="auto"/>
      </w:divBdr>
    </w:div>
    <w:div w:id="948004983">
      <w:marLeft w:val="0"/>
      <w:marRight w:val="0"/>
      <w:marTop w:val="0"/>
      <w:marBottom w:val="100"/>
      <w:divBdr>
        <w:top w:val="none" w:sz="0" w:space="0" w:color="auto"/>
        <w:left w:val="none" w:sz="0" w:space="0" w:color="auto"/>
        <w:bottom w:val="none" w:sz="0" w:space="0" w:color="auto"/>
        <w:right w:val="none" w:sz="0" w:space="0" w:color="auto"/>
      </w:divBdr>
    </w:div>
    <w:div w:id="948582554">
      <w:marLeft w:val="0"/>
      <w:marRight w:val="0"/>
      <w:marTop w:val="0"/>
      <w:marBottom w:val="100"/>
      <w:divBdr>
        <w:top w:val="none" w:sz="0" w:space="0" w:color="auto"/>
        <w:left w:val="none" w:sz="0" w:space="0" w:color="auto"/>
        <w:bottom w:val="none" w:sz="0" w:space="0" w:color="auto"/>
        <w:right w:val="none" w:sz="0" w:space="0" w:color="auto"/>
      </w:divBdr>
    </w:div>
    <w:div w:id="950280065">
      <w:marLeft w:val="0"/>
      <w:marRight w:val="0"/>
      <w:marTop w:val="0"/>
      <w:marBottom w:val="0"/>
      <w:divBdr>
        <w:top w:val="none" w:sz="0" w:space="0" w:color="auto"/>
        <w:left w:val="none" w:sz="0" w:space="0" w:color="auto"/>
        <w:bottom w:val="none" w:sz="0" w:space="0" w:color="auto"/>
        <w:right w:val="none" w:sz="0" w:space="0" w:color="auto"/>
      </w:divBdr>
    </w:div>
    <w:div w:id="950475705">
      <w:marLeft w:val="0"/>
      <w:marRight w:val="0"/>
      <w:marTop w:val="0"/>
      <w:marBottom w:val="100"/>
      <w:divBdr>
        <w:top w:val="none" w:sz="0" w:space="0" w:color="auto"/>
        <w:left w:val="none" w:sz="0" w:space="0" w:color="auto"/>
        <w:bottom w:val="none" w:sz="0" w:space="0" w:color="auto"/>
        <w:right w:val="none" w:sz="0" w:space="0" w:color="auto"/>
      </w:divBdr>
    </w:div>
    <w:div w:id="951012978">
      <w:marLeft w:val="0"/>
      <w:marRight w:val="0"/>
      <w:marTop w:val="180"/>
      <w:marBottom w:val="100"/>
      <w:divBdr>
        <w:top w:val="none" w:sz="0" w:space="0" w:color="auto"/>
        <w:left w:val="none" w:sz="0" w:space="0" w:color="auto"/>
        <w:bottom w:val="none" w:sz="0" w:space="0" w:color="auto"/>
        <w:right w:val="none" w:sz="0" w:space="0" w:color="auto"/>
      </w:divBdr>
    </w:div>
    <w:div w:id="951017741">
      <w:marLeft w:val="0"/>
      <w:marRight w:val="0"/>
      <w:marTop w:val="180"/>
      <w:marBottom w:val="0"/>
      <w:divBdr>
        <w:top w:val="none" w:sz="0" w:space="0" w:color="auto"/>
        <w:left w:val="none" w:sz="0" w:space="0" w:color="auto"/>
        <w:bottom w:val="none" w:sz="0" w:space="0" w:color="auto"/>
        <w:right w:val="none" w:sz="0" w:space="0" w:color="auto"/>
      </w:divBdr>
    </w:div>
    <w:div w:id="951136204">
      <w:marLeft w:val="0"/>
      <w:marRight w:val="0"/>
      <w:marTop w:val="0"/>
      <w:marBottom w:val="0"/>
      <w:divBdr>
        <w:top w:val="none" w:sz="0" w:space="0" w:color="auto"/>
        <w:left w:val="none" w:sz="0" w:space="0" w:color="auto"/>
        <w:bottom w:val="none" w:sz="0" w:space="0" w:color="auto"/>
        <w:right w:val="none" w:sz="0" w:space="0" w:color="auto"/>
      </w:divBdr>
    </w:div>
    <w:div w:id="951284125">
      <w:marLeft w:val="0"/>
      <w:marRight w:val="0"/>
      <w:marTop w:val="0"/>
      <w:marBottom w:val="100"/>
      <w:divBdr>
        <w:top w:val="none" w:sz="0" w:space="0" w:color="auto"/>
        <w:left w:val="none" w:sz="0" w:space="0" w:color="auto"/>
        <w:bottom w:val="none" w:sz="0" w:space="0" w:color="auto"/>
        <w:right w:val="none" w:sz="0" w:space="0" w:color="auto"/>
      </w:divBdr>
    </w:div>
    <w:div w:id="951857340">
      <w:marLeft w:val="0"/>
      <w:marRight w:val="0"/>
      <w:marTop w:val="0"/>
      <w:marBottom w:val="100"/>
      <w:divBdr>
        <w:top w:val="none" w:sz="0" w:space="0" w:color="auto"/>
        <w:left w:val="none" w:sz="0" w:space="0" w:color="auto"/>
        <w:bottom w:val="none" w:sz="0" w:space="0" w:color="auto"/>
        <w:right w:val="none" w:sz="0" w:space="0" w:color="auto"/>
      </w:divBdr>
    </w:div>
    <w:div w:id="954749414">
      <w:marLeft w:val="0"/>
      <w:marRight w:val="0"/>
      <w:marTop w:val="0"/>
      <w:marBottom w:val="0"/>
      <w:divBdr>
        <w:top w:val="none" w:sz="0" w:space="0" w:color="auto"/>
        <w:left w:val="none" w:sz="0" w:space="0" w:color="auto"/>
        <w:bottom w:val="none" w:sz="0" w:space="0" w:color="auto"/>
        <w:right w:val="none" w:sz="0" w:space="0" w:color="auto"/>
      </w:divBdr>
    </w:div>
    <w:div w:id="959338330">
      <w:marLeft w:val="0"/>
      <w:marRight w:val="0"/>
      <w:marTop w:val="0"/>
      <w:marBottom w:val="100"/>
      <w:divBdr>
        <w:top w:val="none" w:sz="0" w:space="0" w:color="auto"/>
        <w:left w:val="none" w:sz="0" w:space="0" w:color="auto"/>
        <w:bottom w:val="none" w:sz="0" w:space="0" w:color="auto"/>
        <w:right w:val="none" w:sz="0" w:space="0" w:color="auto"/>
      </w:divBdr>
    </w:div>
    <w:div w:id="963540408">
      <w:marLeft w:val="0"/>
      <w:marRight w:val="0"/>
      <w:marTop w:val="180"/>
      <w:marBottom w:val="180"/>
      <w:divBdr>
        <w:top w:val="none" w:sz="0" w:space="0" w:color="auto"/>
        <w:left w:val="none" w:sz="0" w:space="0" w:color="auto"/>
        <w:bottom w:val="none" w:sz="0" w:space="0" w:color="auto"/>
        <w:right w:val="none" w:sz="0" w:space="0" w:color="auto"/>
      </w:divBdr>
    </w:div>
    <w:div w:id="964042900">
      <w:marLeft w:val="0"/>
      <w:marRight w:val="0"/>
      <w:marTop w:val="100"/>
      <w:marBottom w:val="0"/>
      <w:divBdr>
        <w:top w:val="none" w:sz="0" w:space="0" w:color="auto"/>
        <w:left w:val="none" w:sz="0" w:space="0" w:color="auto"/>
        <w:bottom w:val="none" w:sz="0" w:space="0" w:color="auto"/>
        <w:right w:val="none" w:sz="0" w:space="0" w:color="auto"/>
      </w:divBdr>
    </w:div>
    <w:div w:id="964240967">
      <w:marLeft w:val="0"/>
      <w:marRight w:val="0"/>
      <w:marTop w:val="0"/>
      <w:marBottom w:val="100"/>
      <w:divBdr>
        <w:top w:val="none" w:sz="0" w:space="0" w:color="auto"/>
        <w:left w:val="none" w:sz="0" w:space="0" w:color="auto"/>
        <w:bottom w:val="none" w:sz="0" w:space="0" w:color="auto"/>
        <w:right w:val="none" w:sz="0" w:space="0" w:color="auto"/>
      </w:divBdr>
    </w:div>
    <w:div w:id="964308111">
      <w:marLeft w:val="0"/>
      <w:marRight w:val="0"/>
      <w:marTop w:val="0"/>
      <w:marBottom w:val="0"/>
      <w:divBdr>
        <w:top w:val="none" w:sz="0" w:space="0" w:color="auto"/>
        <w:left w:val="none" w:sz="0" w:space="0" w:color="auto"/>
        <w:bottom w:val="none" w:sz="0" w:space="0" w:color="auto"/>
        <w:right w:val="none" w:sz="0" w:space="0" w:color="auto"/>
      </w:divBdr>
      <w:divsChild>
        <w:div w:id="1284269738">
          <w:marLeft w:val="0"/>
          <w:marRight w:val="0"/>
          <w:marTop w:val="0"/>
          <w:marBottom w:val="100"/>
          <w:divBdr>
            <w:top w:val="none" w:sz="0" w:space="0" w:color="auto"/>
            <w:left w:val="none" w:sz="0" w:space="0" w:color="auto"/>
            <w:bottom w:val="none" w:sz="0" w:space="0" w:color="auto"/>
            <w:right w:val="none" w:sz="0" w:space="0" w:color="auto"/>
          </w:divBdr>
        </w:div>
      </w:divsChild>
    </w:div>
    <w:div w:id="965506556">
      <w:marLeft w:val="0"/>
      <w:marRight w:val="0"/>
      <w:marTop w:val="0"/>
      <w:marBottom w:val="0"/>
      <w:divBdr>
        <w:top w:val="none" w:sz="0" w:space="0" w:color="auto"/>
        <w:left w:val="none" w:sz="0" w:space="0" w:color="auto"/>
        <w:bottom w:val="none" w:sz="0" w:space="0" w:color="auto"/>
        <w:right w:val="none" w:sz="0" w:space="0" w:color="auto"/>
      </w:divBdr>
    </w:div>
    <w:div w:id="968896975">
      <w:marLeft w:val="0"/>
      <w:marRight w:val="0"/>
      <w:marTop w:val="0"/>
      <w:marBottom w:val="0"/>
      <w:divBdr>
        <w:top w:val="none" w:sz="0" w:space="0" w:color="auto"/>
        <w:left w:val="none" w:sz="0" w:space="0" w:color="auto"/>
        <w:bottom w:val="none" w:sz="0" w:space="0" w:color="auto"/>
        <w:right w:val="none" w:sz="0" w:space="0" w:color="auto"/>
      </w:divBdr>
    </w:div>
    <w:div w:id="970750612">
      <w:marLeft w:val="0"/>
      <w:marRight w:val="0"/>
      <w:marTop w:val="180"/>
      <w:marBottom w:val="100"/>
      <w:divBdr>
        <w:top w:val="none" w:sz="0" w:space="0" w:color="auto"/>
        <w:left w:val="none" w:sz="0" w:space="0" w:color="auto"/>
        <w:bottom w:val="none" w:sz="0" w:space="0" w:color="auto"/>
        <w:right w:val="none" w:sz="0" w:space="0" w:color="auto"/>
      </w:divBdr>
    </w:div>
    <w:div w:id="972096384">
      <w:marLeft w:val="0"/>
      <w:marRight w:val="0"/>
      <w:marTop w:val="0"/>
      <w:marBottom w:val="0"/>
      <w:divBdr>
        <w:top w:val="none" w:sz="0" w:space="0" w:color="auto"/>
        <w:left w:val="none" w:sz="0" w:space="0" w:color="auto"/>
        <w:bottom w:val="none" w:sz="0" w:space="0" w:color="auto"/>
        <w:right w:val="none" w:sz="0" w:space="0" w:color="auto"/>
      </w:divBdr>
    </w:div>
    <w:div w:id="972635025">
      <w:marLeft w:val="0"/>
      <w:marRight w:val="0"/>
      <w:marTop w:val="0"/>
      <w:marBottom w:val="100"/>
      <w:divBdr>
        <w:top w:val="none" w:sz="0" w:space="0" w:color="auto"/>
        <w:left w:val="none" w:sz="0" w:space="0" w:color="auto"/>
        <w:bottom w:val="none" w:sz="0" w:space="0" w:color="auto"/>
        <w:right w:val="none" w:sz="0" w:space="0" w:color="auto"/>
      </w:divBdr>
    </w:div>
    <w:div w:id="976453321">
      <w:marLeft w:val="0"/>
      <w:marRight w:val="0"/>
      <w:marTop w:val="0"/>
      <w:marBottom w:val="100"/>
      <w:divBdr>
        <w:top w:val="none" w:sz="0" w:space="0" w:color="auto"/>
        <w:left w:val="none" w:sz="0" w:space="0" w:color="auto"/>
        <w:bottom w:val="none" w:sz="0" w:space="0" w:color="auto"/>
        <w:right w:val="none" w:sz="0" w:space="0" w:color="auto"/>
      </w:divBdr>
    </w:div>
    <w:div w:id="977950816">
      <w:marLeft w:val="0"/>
      <w:marRight w:val="0"/>
      <w:marTop w:val="0"/>
      <w:marBottom w:val="0"/>
      <w:divBdr>
        <w:top w:val="none" w:sz="0" w:space="0" w:color="auto"/>
        <w:left w:val="none" w:sz="0" w:space="0" w:color="auto"/>
        <w:bottom w:val="none" w:sz="0" w:space="0" w:color="auto"/>
        <w:right w:val="none" w:sz="0" w:space="0" w:color="auto"/>
      </w:divBdr>
    </w:div>
    <w:div w:id="979727242">
      <w:marLeft w:val="0"/>
      <w:marRight w:val="0"/>
      <w:marTop w:val="0"/>
      <w:marBottom w:val="100"/>
      <w:divBdr>
        <w:top w:val="none" w:sz="0" w:space="0" w:color="auto"/>
        <w:left w:val="none" w:sz="0" w:space="0" w:color="auto"/>
        <w:bottom w:val="none" w:sz="0" w:space="0" w:color="auto"/>
        <w:right w:val="none" w:sz="0" w:space="0" w:color="auto"/>
      </w:divBdr>
    </w:div>
    <w:div w:id="981695795">
      <w:marLeft w:val="0"/>
      <w:marRight w:val="0"/>
      <w:marTop w:val="0"/>
      <w:marBottom w:val="0"/>
      <w:divBdr>
        <w:top w:val="none" w:sz="0" w:space="0" w:color="auto"/>
        <w:left w:val="none" w:sz="0" w:space="0" w:color="auto"/>
        <w:bottom w:val="none" w:sz="0" w:space="0" w:color="auto"/>
        <w:right w:val="none" w:sz="0" w:space="0" w:color="auto"/>
      </w:divBdr>
      <w:divsChild>
        <w:div w:id="40447931">
          <w:marLeft w:val="0"/>
          <w:marRight w:val="0"/>
          <w:marTop w:val="0"/>
          <w:marBottom w:val="0"/>
          <w:divBdr>
            <w:top w:val="none" w:sz="0" w:space="0" w:color="auto"/>
            <w:left w:val="none" w:sz="0" w:space="0" w:color="auto"/>
            <w:bottom w:val="none" w:sz="0" w:space="0" w:color="auto"/>
            <w:right w:val="none" w:sz="0" w:space="0" w:color="auto"/>
          </w:divBdr>
          <w:divsChild>
            <w:div w:id="39420587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984316514">
      <w:marLeft w:val="0"/>
      <w:marRight w:val="0"/>
      <w:marTop w:val="0"/>
      <w:marBottom w:val="0"/>
      <w:divBdr>
        <w:top w:val="none" w:sz="0" w:space="0" w:color="auto"/>
        <w:left w:val="none" w:sz="0" w:space="0" w:color="auto"/>
        <w:bottom w:val="none" w:sz="0" w:space="0" w:color="auto"/>
        <w:right w:val="none" w:sz="0" w:space="0" w:color="auto"/>
      </w:divBdr>
      <w:divsChild>
        <w:div w:id="612708370">
          <w:marLeft w:val="0"/>
          <w:marRight w:val="0"/>
          <w:marTop w:val="0"/>
          <w:marBottom w:val="0"/>
          <w:divBdr>
            <w:top w:val="none" w:sz="0" w:space="0" w:color="auto"/>
            <w:left w:val="none" w:sz="0" w:space="0" w:color="auto"/>
            <w:bottom w:val="none" w:sz="0" w:space="0" w:color="auto"/>
            <w:right w:val="none" w:sz="0" w:space="0" w:color="auto"/>
          </w:divBdr>
          <w:divsChild>
            <w:div w:id="57285459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985353445">
      <w:marLeft w:val="0"/>
      <w:marRight w:val="0"/>
      <w:marTop w:val="0"/>
      <w:marBottom w:val="100"/>
      <w:divBdr>
        <w:top w:val="none" w:sz="0" w:space="0" w:color="auto"/>
        <w:left w:val="none" w:sz="0" w:space="0" w:color="auto"/>
        <w:bottom w:val="none" w:sz="0" w:space="0" w:color="auto"/>
        <w:right w:val="none" w:sz="0" w:space="0" w:color="auto"/>
      </w:divBdr>
    </w:div>
    <w:div w:id="985357971">
      <w:marLeft w:val="0"/>
      <w:marRight w:val="0"/>
      <w:marTop w:val="0"/>
      <w:marBottom w:val="100"/>
      <w:divBdr>
        <w:top w:val="none" w:sz="0" w:space="0" w:color="auto"/>
        <w:left w:val="none" w:sz="0" w:space="0" w:color="auto"/>
        <w:bottom w:val="none" w:sz="0" w:space="0" w:color="auto"/>
        <w:right w:val="none" w:sz="0" w:space="0" w:color="auto"/>
      </w:divBdr>
    </w:div>
    <w:div w:id="991832542">
      <w:marLeft w:val="0"/>
      <w:marRight w:val="0"/>
      <w:marTop w:val="0"/>
      <w:marBottom w:val="100"/>
      <w:divBdr>
        <w:top w:val="none" w:sz="0" w:space="0" w:color="auto"/>
        <w:left w:val="none" w:sz="0" w:space="0" w:color="auto"/>
        <w:bottom w:val="none" w:sz="0" w:space="0" w:color="auto"/>
        <w:right w:val="none" w:sz="0" w:space="0" w:color="auto"/>
      </w:divBdr>
    </w:div>
    <w:div w:id="996541681">
      <w:marLeft w:val="0"/>
      <w:marRight w:val="0"/>
      <w:marTop w:val="180"/>
      <w:marBottom w:val="0"/>
      <w:divBdr>
        <w:top w:val="none" w:sz="0" w:space="0" w:color="auto"/>
        <w:left w:val="none" w:sz="0" w:space="0" w:color="auto"/>
        <w:bottom w:val="none" w:sz="0" w:space="0" w:color="auto"/>
        <w:right w:val="none" w:sz="0" w:space="0" w:color="auto"/>
      </w:divBdr>
      <w:divsChild>
        <w:div w:id="870070313">
          <w:marLeft w:val="0"/>
          <w:marRight w:val="0"/>
          <w:marTop w:val="0"/>
          <w:marBottom w:val="0"/>
          <w:divBdr>
            <w:top w:val="none" w:sz="0" w:space="0" w:color="auto"/>
            <w:left w:val="none" w:sz="0" w:space="0" w:color="auto"/>
            <w:bottom w:val="none" w:sz="0" w:space="0" w:color="auto"/>
            <w:right w:val="none" w:sz="0" w:space="0" w:color="auto"/>
          </w:divBdr>
        </w:div>
      </w:divsChild>
    </w:div>
    <w:div w:id="998072581">
      <w:marLeft w:val="0"/>
      <w:marRight w:val="0"/>
      <w:marTop w:val="0"/>
      <w:marBottom w:val="0"/>
      <w:divBdr>
        <w:top w:val="none" w:sz="0" w:space="0" w:color="auto"/>
        <w:left w:val="none" w:sz="0" w:space="0" w:color="auto"/>
        <w:bottom w:val="none" w:sz="0" w:space="0" w:color="auto"/>
        <w:right w:val="none" w:sz="0" w:space="0" w:color="auto"/>
      </w:divBdr>
      <w:divsChild>
        <w:div w:id="1281375608">
          <w:marLeft w:val="0"/>
          <w:marRight w:val="0"/>
          <w:marTop w:val="0"/>
          <w:marBottom w:val="0"/>
          <w:divBdr>
            <w:top w:val="none" w:sz="0" w:space="0" w:color="auto"/>
            <w:left w:val="none" w:sz="0" w:space="0" w:color="auto"/>
            <w:bottom w:val="none" w:sz="0" w:space="0" w:color="auto"/>
            <w:right w:val="none" w:sz="0" w:space="0" w:color="auto"/>
          </w:divBdr>
          <w:divsChild>
            <w:div w:id="136624981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998922752">
      <w:marLeft w:val="0"/>
      <w:marRight w:val="0"/>
      <w:marTop w:val="0"/>
      <w:marBottom w:val="0"/>
      <w:divBdr>
        <w:top w:val="none" w:sz="0" w:space="0" w:color="auto"/>
        <w:left w:val="none" w:sz="0" w:space="0" w:color="auto"/>
        <w:bottom w:val="none" w:sz="0" w:space="0" w:color="auto"/>
        <w:right w:val="none" w:sz="0" w:space="0" w:color="auto"/>
      </w:divBdr>
      <w:divsChild>
        <w:div w:id="450444337">
          <w:marLeft w:val="0"/>
          <w:marRight w:val="0"/>
          <w:marTop w:val="0"/>
          <w:marBottom w:val="0"/>
          <w:divBdr>
            <w:top w:val="none" w:sz="0" w:space="0" w:color="auto"/>
            <w:left w:val="none" w:sz="0" w:space="0" w:color="auto"/>
            <w:bottom w:val="none" w:sz="0" w:space="0" w:color="auto"/>
            <w:right w:val="none" w:sz="0" w:space="0" w:color="auto"/>
          </w:divBdr>
          <w:divsChild>
            <w:div w:id="72738748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999036952">
      <w:marLeft w:val="0"/>
      <w:marRight w:val="0"/>
      <w:marTop w:val="0"/>
      <w:marBottom w:val="0"/>
      <w:divBdr>
        <w:top w:val="none" w:sz="0" w:space="0" w:color="auto"/>
        <w:left w:val="none" w:sz="0" w:space="0" w:color="auto"/>
        <w:bottom w:val="none" w:sz="0" w:space="0" w:color="auto"/>
        <w:right w:val="none" w:sz="0" w:space="0" w:color="auto"/>
      </w:divBdr>
      <w:divsChild>
        <w:div w:id="1897010793">
          <w:marLeft w:val="0"/>
          <w:marRight w:val="0"/>
          <w:marTop w:val="0"/>
          <w:marBottom w:val="100"/>
          <w:divBdr>
            <w:top w:val="none" w:sz="0" w:space="0" w:color="auto"/>
            <w:left w:val="none" w:sz="0" w:space="0" w:color="auto"/>
            <w:bottom w:val="none" w:sz="0" w:space="0" w:color="auto"/>
            <w:right w:val="none" w:sz="0" w:space="0" w:color="auto"/>
          </w:divBdr>
        </w:div>
      </w:divsChild>
    </w:div>
    <w:div w:id="1000817934">
      <w:marLeft w:val="0"/>
      <w:marRight w:val="0"/>
      <w:marTop w:val="0"/>
      <w:marBottom w:val="100"/>
      <w:divBdr>
        <w:top w:val="none" w:sz="0" w:space="0" w:color="auto"/>
        <w:left w:val="none" w:sz="0" w:space="0" w:color="auto"/>
        <w:bottom w:val="none" w:sz="0" w:space="0" w:color="auto"/>
        <w:right w:val="none" w:sz="0" w:space="0" w:color="auto"/>
      </w:divBdr>
    </w:div>
    <w:div w:id="1001666117">
      <w:marLeft w:val="0"/>
      <w:marRight w:val="0"/>
      <w:marTop w:val="0"/>
      <w:marBottom w:val="100"/>
      <w:divBdr>
        <w:top w:val="none" w:sz="0" w:space="0" w:color="auto"/>
        <w:left w:val="none" w:sz="0" w:space="0" w:color="auto"/>
        <w:bottom w:val="none" w:sz="0" w:space="0" w:color="auto"/>
        <w:right w:val="none" w:sz="0" w:space="0" w:color="auto"/>
      </w:divBdr>
    </w:div>
    <w:div w:id="1001740065">
      <w:marLeft w:val="0"/>
      <w:marRight w:val="0"/>
      <w:marTop w:val="0"/>
      <w:marBottom w:val="100"/>
      <w:divBdr>
        <w:top w:val="none" w:sz="0" w:space="0" w:color="auto"/>
        <w:left w:val="none" w:sz="0" w:space="0" w:color="auto"/>
        <w:bottom w:val="none" w:sz="0" w:space="0" w:color="auto"/>
        <w:right w:val="none" w:sz="0" w:space="0" w:color="auto"/>
      </w:divBdr>
    </w:div>
    <w:div w:id="1002125784">
      <w:marLeft w:val="0"/>
      <w:marRight w:val="0"/>
      <w:marTop w:val="0"/>
      <w:marBottom w:val="100"/>
      <w:divBdr>
        <w:top w:val="none" w:sz="0" w:space="0" w:color="auto"/>
        <w:left w:val="none" w:sz="0" w:space="0" w:color="auto"/>
        <w:bottom w:val="none" w:sz="0" w:space="0" w:color="auto"/>
        <w:right w:val="none" w:sz="0" w:space="0" w:color="auto"/>
      </w:divBdr>
    </w:div>
    <w:div w:id="1002393800">
      <w:marLeft w:val="0"/>
      <w:marRight w:val="0"/>
      <w:marTop w:val="0"/>
      <w:marBottom w:val="0"/>
      <w:divBdr>
        <w:top w:val="none" w:sz="0" w:space="0" w:color="auto"/>
        <w:left w:val="none" w:sz="0" w:space="0" w:color="auto"/>
        <w:bottom w:val="none" w:sz="0" w:space="0" w:color="auto"/>
        <w:right w:val="none" w:sz="0" w:space="0" w:color="auto"/>
      </w:divBdr>
    </w:div>
    <w:div w:id="1003554602">
      <w:marLeft w:val="0"/>
      <w:marRight w:val="0"/>
      <w:marTop w:val="0"/>
      <w:marBottom w:val="100"/>
      <w:divBdr>
        <w:top w:val="none" w:sz="0" w:space="0" w:color="auto"/>
        <w:left w:val="none" w:sz="0" w:space="0" w:color="auto"/>
        <w:bottom w:val="none" w:sz="0" w:space="0" w:color="auto"/>
        <w:right w:val="none" w:sz="0" w:space="0" w:color="auto"/>
      </w:divBdr>
    </w:div>
    <w:div w:id="1003777120">
      <w:marLeft w:val="0"/>
      <w:marRight w:val="0"/>
      <w:marTop w:val="0"/>
      <w:marBottom w:val="0"/>
      <w:divBdr>
        <w:top w:val="none" w:sz="0" w:space="0" w:color="auto"/>
        <w:left w:val="none" w:sz="0" w:space="0" w:color="auto"/>
        <w:bottom w:val="none" w:sz="0" w:space="0" w:color="auto"/>
        <w:right w:val="none" w:sz="0" w:space="0" w:color="auto"/>
      </w:divBdr>
    </w:div>
    <w:div w:id="1006783589">
      <w:marLeft w:val="0"/>
      <w:marRight w:val="0"/>
      <w:marTop w:val="0"/>
      <w:marBottom w:val="0"/>
      <w:divBdr>
        <w:top w:val="none" w:sz="0" w:space="0" w:color="auto"/>
        <w:left w:val="none" w:sz="0" w:space="0" w:color="auto"/>
        <w:bottom w:val="none" w:sz="0" w:space="0" w:color="auto"/>
        <w:right w:val="none" w:sz="0" w:space="0" w:color="auto"/>
      </w:divBdr>
      <w:divsChild>
        <w:div w:id="301423714">
          <w:marLeft w:val="0"/>
          <w:marRight w:val="0"/>
          <w:marTop w:val="0"/>
          <w:marBottom w:val="100"/>
          <w:divBdr>
            <w:top w:val="none" w:sz="0" w:space="0" w:color="auto"/>
            <w:left w:val="none" w:sz="0" w:space="0" w:color="auto"/>
            <w:bottom w:val="none" w:sz="0" w:space="0" w:color="auto"/>
            <w:right w:val="none" w:sz="0" w:space="0" w:color="auto"/>
          </w:divBdr>
        </w:div>
      </w:divsChild>
    </w:div>
    <w:div w:id="1007944945">
      <w:marLeft w:val="0"/>
      <w:marRight w:val="0"/>
      <w:marTop w:val="0"/>
      <w:marBottom w:val="100"/>
      <w:divBdr>
        <w:top w:val="none" w:sz="0" w:space="0" w:color="auto"/>
        <w:left w:val="none" w:sz="0" w:space="0" w:color="auto"/>
        <w:bottom w:val="none" w:sz="0" w:space="0" w:color="auto"/>
        <w:right w:val="none" w:sz="0" w:space="0" w:color="auto"/>
      </w:divBdr>
    </w:div>
    <w:div w:id="1011638475">
      <w:marLeft w:val="0"/>
      <w:marRight w:val="0"/>
      <w:marTop w:val="180"/>
      <w:marBottom w:val="0"/>
      <w:divBdr>
        <w:top w:val="none" w:sz="0" w:space="0" w:color="auto"/>
        <w:left w:val="none" w:sz="0" w:space="0" w:color="auto"/>
        <w:bottom w:val="none" w:sz="0" w:space="0" w:color="auto"/>
        <w:right w:val="none" w:sz="0" w:space="0" w:color="auto"/>
      </w:divBdr>
    </w:div>
    <w:div w:id="1012295826">
      <w:marLeft w:val="0"/>
      <w:marRight w:val="0"/>
      <w:marTop w:val="0"/>
      <w:marBottom w:val="100"/>
      <w:divBdr>
        <w:top w:val="none" w:sz="0" w:space="0" w:color="auto"/>
        <w:left w:val="none" w:sz="0" w:space="0" w:color="auto"/>
        <w:bottom w:val="none" w:sz="0" w:space="0" w:color="auto"/>
        <w:right w:val="none" w:sz="0" w:space="0" w:color="auto"/>
      </w:divBdr>
    </w:div>
    <w:div w:id="1012609936">
      <w:marLeft w:val="0"/>
      <w:marRight w:val="0"/>
      <w:marTop w:val="0"/>
      <w:marBottom w:val="0"/>
      <w:divBdr>
        <w:top w:val="none" w:sz="0" w:space="0" w:color="auto"/>
        <w:left w:val="none" w:sz="0" w:space="0" w:color="auto"/>
        <w:bottom w:val="none" w:sz="0" w:space="0" w:color="auto"/>
        <w:right w:val="none" w:sz="0" w:space="0" w:color="auto"/>
      </w:divBdr>
      <w:divsChild>
        <w:div w:id="1720012620">
          <w:marLeft w:val="0"/>
          <w:marRight w:val="0"/>
          <w:marTop w:val="0"/>
          <w:marBottom w:val="100"/>
          <w:divBdr>
            <w:top w:val="none" w:sz="0" w:space="0" w:color="auto"/>
            <w:left w:val="none" w:sz="0" w:space="0" w:color="auto"/>
            <w:bottom w:val="none" w:sz="0" w:space="0" w:color="auto"/>
            <w:right w:val="none" w:sz="0" w:space="0" w:color="auto"/>
          </w:divBdr>
        </w:div>
      </w:divsChild>
    </w:div>
    <w:div w:id="1012688093">
      <w:marLeft w:val="0"/>
      <w:marRight w:val="0"/>
      <w:marTop w:val="0"/>
      <w:marBottom w:val="100"/>
      <w:divBdr>
        <w:top w:val="none" w:sz="0" w:space="0" w:color="auto"/>
        <w:left w:val="none" w:sz="0" w:space="0" w:color="auto"/>
        <w:bottom w:val="none" w:sz="0" w:space="0" w:color="auto"/>
        <w:right w:val="none" w:sz="0" w:space="0" w:color="auto"/>
      </w:divBdr>
    </w:div>
    <w:div w:id="1012805188">
      <w:marLeft w:val="0"/>
      <w:marRight w:val="0"/>
      <w:marTop w:val="180"/>
      <w:marBottom w:val="0"/>
      <w:divBdr>
        <w:top w:val="none" w:sz="0" w:space="0" w:color="auto"/>
        <w:left w:val="none" w:sz="0" w:space="0" w:color="auto"/>
        <w:bottom w:val="none" w:sz="0" w:space="0" w:color="auto"/>
        <w:right w:val="none" w:sz="0" w:space="0" w:color="auto"/>
      </w:divBdr>
    </w:div>
    <w:div w:id="1013610327">
      <w:marLeft w:val="0"/>
      <w:marRight w:val="0"/>
      <w:marTop w:val="0"/>
      <w:marBottom w:val="0"/>
      <w:divBdr>
        <w:top w:val="none" w:sz="0" w:space="0" w:color="auto"/>
        <w:left w:val="none" w:sz="0" w:space="0" w:color="auto"/>
        <w:bottom w:val="none" w:sz="0" w:space="0" w:color="auto"/>
        <w:right w:val="none" w:sz="0" w:space="0" w:color="auto"/>
      </w:divBdr>
    </w:div>
    <w:div w:id="1014457289">
      <w:marLeft w:val="0"/>
      <w:marRight w:val="0"/>
      <w:marTop w:val="0"/>
      <w:marBottom w:val="0"/>
      <w:divBdr>
        <w:top w:val="none" w:sz="0" w:space="0" w:color="auto"/>
        <w:left w:val="none" w:sz="0" w:space="0" w:color="auto"/>
        <w:bottom w:val="none" w:sz="0" w:space="0" w:color="auto"/>
        <w:right w:val="none" w:sz="0" w:space="0" w:color="auto"/>
      </w:divBdr>
      <w:divsChild>
        <w:div w:id="310913429">
          <w:marLeft w:val="0"/>
          <w:marRight w:val="0"/>
          <w:marTop w:val="0"/>
          <w:marBottom w:val="100"/>
          <w:divBdr>
            <w:top w:val="none" w:sz="0" w:space="0" w:color="auto"/>
            <w:left w:val="none" w:sz="0" w:space="0" w:color="auto"/>
            <w:bottom w:val="none" w:sz="0" w:space="0" w:color="auto"/>
            <w:right w:val="none" w:sz="0" w:space="0" w:color="auto"/>
          </w:divBdr>
        </w:div>
      </w:divsChild>
    </w:div>
    <w:div w:id="1016342672">
      <w:marLeft w:val="0"/>
      <w:marRight w:val="0"/>
      <w:marTop w:val="180"/>
      <w:marBottom w:val="0"/>
      <w:divBdr>
        <w:top w:val="none" w:sz="0" w:space="0" w:color="auto"/>
        <w:left w:val="none" w:sz="0" w:space="0" w:color="auto"/>
        <w:bottom w:val="none" w:sz="0" w:space="0" w:color="auto"/>
        <w:right w:val="none" w:sz="0" w:space="0" w:color="auto"/>
      </w:divBdr>
    </w:div>
    <w:div w:id="1018890499">
      <w:marLeft w:val="0"/>
      <w:marRight w:val="0"/>
      <w:marTop w:val="0"/>
      <w:marBottom w:val="100"/>
      <w:divBdr>
        <w:top w:val="none" w:sz="0" w:space="0" w:color="auto"/>
        <w:left w:val="none" w:sz="0" w:space="0" w:color="auto"/>
        <w:bottom w:val="none" w:sz="0" w:space="0" w:color="auto"/>
        <w:right w:val="none" w:sz="0" w:space="0" w:color="auto"/>
      </w:divBdr>
    </w:div>
    <w:div w:id="1019041102">
      <w:marLeft w:val="0"/>
      <w:marRight w:val="0"/>
      <w:marTop w:val="0"/>
      <w:marBottom w:val="100"/>
      <w:divBdr>
        <w:top w:val="none" w:sz="0" w:space="0" w:color="auto"/>
        <w:left w:val="none" w:sz="0" w:space="0" w:color="auto"/>
        <w:bottom w:val="none" w:sz="0" w:space="0" w:color="auto"/>
        <w:right w:val="none" w:sz="0" w:space="0" w:color="auto"/>
      </w:divBdr>
    </w:div>
    <w:div w:id="1019892615">
      <w:marLeft w:val="0"/>
      <w:marRight w:val="0"/>
      <w:marTop w:val="0"/>
      <w:marBottom w:val="0"/>
      <w:divBdr>
        <w:top w:val="none" w:sz="0" w:space="0" w:color="auto"/>
        <w:left w:val="none" w:sz="0" w:space="0" w:color="auto"/>
        <w:bottom w:val="none" w:sz="0" w:space="0" w:color="auto"/>
        <w:right w:val="none" w:sz="0" w:space="0" w:color="auto"/>
      </w:divBdr>
      <w:divsChild>
        <w:div w:id="1296451360">
          <w:marLeft w:val="0"/>
          <w:marRight w:val="0"/>
          <w:marTop w:val="0"/>
          <w:marBottom w:val="100"/>
          <w:divBdr>
            <w:top w:val="none" w:sz="0" w:space="0" w:color="auto"/>
            <w:left w:val="none" w:sz="0" w:space="0" w:color="auto"/>
            <w:bottom w:val="none" w:sz="0" w:space="0" w:color="auto"/>
            <w:right w:val="none" w:sz="0" w:space="0" w:color="auto"/>
          </w:divBdr>
        </w:div>
      </w:divsChild>
    </w:div>
    <w:div w:id="1020199758">
      <w:marLeft w:val="0"/>
      <w:marRight w:val="0"/>
      <w:marTop w:val="180"/>
      <w:marBottom w:val="0"/>
      <w:divBdr>
        <w:top w:val="none" w:sz="0" w:space="0" w:color="auto"/>
        <w:left w:val="none" w:sz="0" w:space="0" w:color="auto"/>
        <w:bottom w:val="none" w:sz="0" w:space="0" w:color="auto"/>
        <w:right w:val="none" w:sz="0" w:space="0" w:color="auto"/>
      </w:divBdr>
    </w:div>
    <w:div w:id="1020542885">
      <w:marLeft w:val="0"/>
      <w:marRight w:val="0"/>
      <w:marTop w:val="0"/>
      <w:marBottom w:val="100"/>
      <w:divBdr>
        <w:top w:val="none" w:sz="0" w:space="0" w:color="auto"/>
        <w:left w:val="none" w:sz="0" w:space="0" w:color="auto"/>
        <w:bottom w:val="none" w:sz="0" w:space="0" w:color="auto"/>
        <w:right w:val="none" w:sz="0" w:space="0" w:color="auto"/>
      </w:divBdr>
    </w:div>
    <w:div w:id="1021517362">
      <w:marLeft w:val="0"/>
      <w:marRight w:val="0"/>
      <w:marTop w:val="0"/>
      <w:marBottom w:val="100"/>
      <w:divBdr>
        <w:top w:val="none" w:sz="0" w:space="0" w:color="auto"/>
        <w:left w:val="none" w:sz="0" w:space="0" w:color="auto"/>
        <w:bottom w:val="none" w:sz="0" w:space="0" w:color="auto"/>
        <w:right w:val="none" w:sz="0" w:space="0" w:color="auto"/>
      </w:divBdr>
    </w:div>
    <w:div w:id="1021669289">
      <w:marLeft w:val="0"/>
      <w:marRight w:val="0"/>
      <w:marTop w:val="0"/>
      <w:marBottom w:val="100"/>
      <w:divBdr>
        <w:top w:val="none" w:sz="0" w:space="0" w:color="auto"/>
        <w:left w:val="none" w:sz="0" w:space="0" w:color="auto"/>
        <w:bottom w:val="none" w:sz="0" w:space="0" w:color="auto"/>
        <w:right w:val="none" w:sz="0" w:space="0" w:color="auto"/>
      </w:divBdr>
    </w:div>
    <w:div w:id="1022786169">
      <w:marLeft w:val="0"/>
      <w:marRight w:val="0"/>
      <w:marTop w:val="0"/>
      <w:marBottom w:val="0"/>
      <w:divBdr>
        <w:top w:val="none" w:sz="0" w:space="0" w:color="auto"/>
        <w:left w:val="none" w:sz="0" w:space="0" w:color="auto"/>
        <w:bottom w:val="none" w:sz="0" w:space="0" w:color="auto"/>
        <w:right w:val="none" w:sz="0" w:space="0" w:color="auto"/>
      </w:divBdr>
    </w:div>
    <w:div w:id="1025057531">
      <w:marLeft w:val="0"/>
      <w:marRight w:val="0"/>
      <w:marTop w:val="0"/>
      <w:marBottom w:val="0"/>
      <w:divBdr>
        <w:top w:val="none" w:sz="0" w:space="0" w:color="auto"/>
        <w:left w:val="none" w:sz="0" w:space="0" w:color="auto"/>
        <w:bottom w:val="none" w:sz="0" w:space="0" w:color="auto"/>
        <w:right w:val="none" w:sz="0" w:space="0" w:color="auto"/>
      </w:divBdr>
      <w:divsChild>
        <w:div w:id="989483302">
          <w:marLeft w:val="0"/>
          <w:marRight w:val="0"/>
          <w:marTop w:val="0"/>
          <w:marBottom w:val="0"/>
          <w:divBdr>
            <w:top w:val="none" w:sz="0" w:space="0" w:color="auto"/>
            <w:left w:val="none" w:sz="0" w:space="0" w:color="auto"/>
            <w:bottom w:val="none" w:sz="0" w:space="0" w:color="auto"/>
            <w:right w:val="none" w:sz="0" w:space="0" w:color="auto"/>
          </w:divBdr>
          <w:divsChild>
            <w:div w:id="25240268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025206284">
      <w:marLeft w:val="0"/>
      <w:marRight w:val="0"/>
      <w:marTop w:val="0"/>
      <w:marBottom w:val="100"/>
      <w:divBdr>
        <w:top w:val="none" w:sz="0" w:space="0" w:color="auto"/>
        <w:left w:val="none" w:sz="0" w:space="0" w:color="auto"/>
        <w:bottom w:val="none" w:sz="0" w:space="0" w:color="auto"/>
        <w:right w:val="none" w:sz="0" w:space="0" w:color="auto"/>
      </w:divBdr>
    </w:div>
    <w:div w:id="1027028739">
      <w:marLeft w:val="0"/>
      <w:marRight w:val="0"/>
      <w:marTop w:val="0"/>
      <w:marBottom w:val="100"/>
      <w:divBdr>
        <w:top w:val="none" w:sz="0" w:space="0" w:color="auto"/>
        <w:left w:val="none" w:sz="0" w:space="0" w:color="auto"/>
        <w:bottom w:val="none" w:sz="0" w:space="0" w:color="auto"/>
        <w:right w:val="none" w:sz="0" w:space="0" w:color="auto"/>
      </w:divBdr>
    </w:div>
    <w:div w:id="1030489842">
      <w:marLeft w:val="0"/>
      <w:marRight w:val="0"/>
      <w:marTop w:val="0"/>
      <w:marBottom w:val="100"/>
      <w:divBdr>
        <w:top w:val="none" w:sz="0" w:space="0" w:color="auto"/>
        <w:left w:val="none" w:sz="0" w:space="0" w:color="auto"/>
        <w:bottom w:val="none" w:sz="0" w:space="0" w:color="auto"/>
        <w:right w:val="none" w:sz="0" w:space="0" w:color="auto"/>
      </w:divBdr>
    </w:div>
    <w:div w:id="1031494415">
      <w:marLeft w:val="0"/>
      <w:marRight w:val="0"/>
      <w:marTop w:val="180"/>
      <w:marBottom w:val="0"/>
      <w:divBdr>
        <w:top w:val="none" w:sz="0" w:space="0" w:color="auto"/>
        <w:left w:val="none" w:sz="0" w:space="0" w:color="auto"/>
        <w:bottom w:val="none" w:sz="0" w:space="0" w:color="auto"/>
        <w:right w:val="none" w:sz="0" w:space="0" w:color="auto"/>
      </w:divBdr>
    </w:div>
    <w:div w:id="1031691163">
      <w:marLeft w:val="0"/>
      <w:marRight w:val="0"/>
      <w:marTop w:val="180"/>
      <w:marBottom w:val="180"/>
      <w:divBdr>
        <w:top w:val="none" w:sz="0" w:space="0" w:color="auto"/>
        <w:left w:val="none" w:sz="0" w:space="0" w:color="auto"/>
        <w:bottom w:val="none" w:sz="0" w:space="0" w:color="auto"/>
        <w:right w:val="none" w:sz="0" w:space="0" w:color="auto"/>
      </w:divBdr>
    </w:div>
    <w:div w:id="1034503843">
      <w:marLeft w:val="0"/>
      <w:marRight w:val="0"/>
      <w:marTop w:val="180"/>
      <w:marBottom w:val="100"/>
      <w:divBdr>
        <w:top w:val="none" w:sz="0" w:space="0" w:color="auto"/>
        <w:left w:val="none" w:sz="0" w:space="0" w:color="auto"/>
        <w:bottom w:val="none" w:sz="0" w:space="0" w:color="auto"/>
        <w:right w:val="none" w:sz="0" w:space="0" w:color="auto"/>
      </w:divBdr>
    </w:div>
    <w:div w:id="1035040296">
      <w:marLeft w:val="0"/>
      <w:marRight w:val="0"/>
      <w:marTop w:val="0"/>
      <w:marBottom w:val="0"/>
      <w:divBdr>
        <w:top w:val="none" w:sz="0" w:space="0" w:color="auto"/>
        <w:left w:val="none" w:sz="0" w:space="0" w:color="auto"/>
        <w:bottom w:val="none" w:sz="0" w:space="0" w:color="auto"/>
        <w:right w:val="none" w:sz="0" w:space="0" w:color="auto"/>
      </w:divBdr>
    </w:div>
    <w:div w:id="1037463209">
      <w:marLeft w:val="0"/>
      <w:marRight w:val="0"/>
      <w:marTop w:val="0"/>
      <w:marBottom w:val="0"/>
      <w:divBdr>
        <w:top w:val="none" w:sz="0" w:space="0" w:color="auto"/>
        <w:left w:val="none" w:sz="0" w:space="0" w:color="auto"/>
        <w:bottom w:val="none" w:sz="0" w:space="0" w:color="auto"/>
        <w:right w:val="none" w:sz="0" w:space="0" w:color="auto"/>
      </w:divBdr>
    </w:div>
    <w:div w:id="1037465284">
      <w:marLeft w:val="0"/>
      <w:marRight w:val="0"/>
      <w:marTop w:val="0"/>
      <w:marBottom w:val="0"/>
      <w:divBdr>
        <w:top w:val="none" w:sz="0" w:space="0" w:color="auto"/>
        <w:left w:val="none" w:sz="0" w:space="0" w:color="auto"/>
        <w:bottom w:val="none" w:sz="0" w:space="0" w:color="auto"/>
        <w:right w:val="none" w:sz="0" w:space="0" w:color="auto"/>
      </w:divBdr>
    </w:div>
    <w:div w:id="1037510044">
      <w:marLeft w:val="0"/>
      <w:marRight w:val="0"/>
      <w:marTop w:val="0"/>
      <w:marBottom w:val="0"/>
      <w:divBdr>
        <w:top w:val="none" w:sz="0" w:space="0" w:color="auto"/>
        <w:left w:val="none" w:sz="0" w:space="0" w:color="auto"/>
        <w:bottom w:val="none" w:sz="0" w:space="0" w:color="auto"/>
        <w:right w:val="none" w:sz="0" w:space="0" w:color="auto"/>
      </w:divBdr>
      <w:divsChild>
        <w:div w:id="1803965137">
          <w:marLeft w:val="0"/>
          <w:marRight w:val="0"/>
          <w:marTop w:val="0"/>
          <w:marBottom w:val="0"/>
          <w:divBdr>
            <w:top w:val="none" w:sz="0" w:space="0" w:color="auto"/>
            <w:left w:val="none" w:sz="0" w:space="0" w:color="auto"/>
            <w:bottom w:val="none" w:sz="0" w:space="0" w:color="auto"/>
            <w:right w:val="none" w:sz="0" w:space="0" w:color="auto"/>
          </w:divBdr>
          <w:divsChild>
            <w:div w:id="22703876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037856689">
      <w:marLeft w:val="0"/>
      <w:marRight w:val="0"/>
      <w:marTop w:val="0"/>
      <w:marBottom w:val="0"/>
      <w:divBdr>
        <w:top w:val="none" w:sz="0" w:space="0" w:color="auto"/>
        <w:left w:val="none" w:sz="0" w:space="0" w:color="auto"/>
        <w:bottom w:val="none" w:sz="0" w:space="0" w:color="auto"/>
        <w:right w:val="none" w:sz="0" w:space="0" w:color="auto"/>
      </w:divBdr>
      <w:divsChild>
        <w:div w:id="1542093707">
          <w:marLeft w:val="0"/>
          <w:marRight w:val="0"/>
          <w:marTop w:val="0"/>
          <w:marBottom w:val="0"/>
          <w:divBdr>
            <w:top w:val="none" w:sz="0" w:space="0" w:color="auto"/>
            <w:left w:val="none" w:sz="0" w:space="0" w:color="auto"/>
            <w:bottom w:val="none" w:sz="0" w:space="0" w:color="auto"/>
            <w:right w:val="none" w:sz="0" w:space="0" w:color="auto"/>
          </w:divBdr>
          <w:divsChild>
            <w:div w:id="1058626722">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039478882">
      <w:marLeft w:val="0"/>
      <w:marRight w:val="0"/>
      <w:marTop w:val="0"/>
      <w:marBottom w:val="0"/>
      <w:divBdr>
        <w:top w:val="none" w:sz="0" w:space="0" w:color="auto"/>
        <w:left w:val="none" w:sz="0" w:space="0" w:color="auto"/>
        <w:bottom w:val="none" w:sz="0" w:space="0" w:color="auto"/>
        <w:right w:val="none" w:sz="0" w:space="0" w:color="auto"/>
      </w:divBdr>
    </w:div>
    <w:div w:id="1039669977">
      <w:marLeft w:val="0"/>
      <w:marRight w:val="0"/>
      <w:marTop w:val="100"/>
      <w:marBottom w:val="0"/>
      <w:divBdr>
        <w:top w:val="none" w:sz="0" w:space="0" w:color="auto"/>
        <w:left w:val="none" w:sz="0" w:space="0" w:color="auto"/>
        <w:bottom w:val="none" w:sz="0" w:space="0" w:color="auto"/>
        <w:right w:val="none" w:sz="0" w:space="0" w:color="auto"/>
      </w:divBdr>
    </w:div>
    <w:div w:id="1040936030">
      <w:marLeft w:val="0"/>
      <w:marRight w:val="0"/>
      <w:marTop w:val="0"/>
      <w:marBottom w:val="0"/>
      <w:divBdr>
        <w:top w:val="none" w:sz="0" w:space="0" w:color="auto"/>
        <w:left w:val="none" w:sz="0" w:space="0" w:color="auto"/>
        <w:bottom w:val="none" w:sz="0" w:space="0" w:color="auto"/>
        <w:right w:val="none" w:sz="0" w:space="0" w:color="auto"/>
      </w:divBdr>
      <w:divsChild>
        <w:div w:id="1120340978">
          <w:marLeft w:val="0"/>
          <w:marRight w:val="0"/>
          <w:marTop w:val="0"/>
          <w:marBottom w:val="0"/>
          <w:divBdr>
            <w:top w:val="none" w:sz="0" w:space="0" w:color="auto"/>
            <w:left w:val="none" w:sz="0" w:space="0" w:color="auto"/>
            <w:bottom w:val="none" w:sz="0" w:space="0" w:color="auto"/>
            <w:right w:val="none" w:sz="0" w:space="0" w:color="auto"/>
          </w:divBdr>
          <w:divsChild>
            <w:div w:id="66297297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045258351">
      <w:marLeft w:val="0"/>
      <w:marRight w:val="0"/>
      <w:marTop w:val="0"/>
      <w:marBottom w:val="0"/>
      <w:divBdr>
        <w:top w:val="none" w:sz="0" w:space="0" w:color="auto"/>
        <w:left w:val="none" w:sz="0" w:space="0" w:color="auto"/>
        <w:bottom w:val="none" w:sz="0" w:space="0" w:color="auto"/>
        <w:right w:val="none" w:sz="0" w:space="0" w:color="auto"/>
      </w:divBdr>
    </w:div>
    <w:div w:id="1046031927">
      <w:marLeft w:val="0"/>
      <w:marRight w:val="0"/>
      <w:marTop w:val="180"/>
      <w:marBottom w:val="0"/>
      <w:divBdr>
        <w:top w:val="none" w:sz="0" w:space="0" w:color="auto"/>
        <w:left w:val="none" w:sz="0" w:space="0" w:color="auto"/>
        <w:bottom w:val="none" w:sz="0" w:space="0" w:color="auto"/>
        <w:right w:val="none" w:sz="0" w:space="0" w:color="auto"/>
      </w:divBdr>
    </w:div>
    <w:div w:id="1046292916">
      <w:marLeft w:val="0"/>
      <w:marRight w:val="0"/>
      <w:marTop w:val="0"/>
      <w:marBottom w:val="100"/>
      <w:divBdr>
        <w:top w:val="none" w:sz="0" w:space="0" w:color="auto"/>
        <w:left w:val="none" w:sz="0" w:space="0" w:color="auto"/>
        <w:bottom w:val="none" w:sz="0" w:space="0" w:color="auto"/>
        <w:right w:val="none" w:sz="0" w:space="0" w:color="auto"/>
      </w:divBdr>
    </w:div>
    <w:div w:id="1047798526">
      <w:marLeft w:val="0"/>
      <w:marRight w:val="0"/>
      <w:marTop w:val="0"/>
      <w:marBottom w:val="100"/>
      <w:divBdr>
        <w:top w:val="none" w:sz="0" w:space="0" w:color="auto"/>
        <w:left w:val="none" w:sz="0" w:space="0" w:color="auto"/>
        <w:bottom w:val="none" w:sz="0" w:space="0" w:color="auto"/>
        <w:right w:val="none" w:sz="0" w:space="0" w:color="auto"/>
      </w:divBdr>
    </w:div>
    <w:div w:id="1049189433">
      <w:marLeft w:val="0"/>
      <w:marRight w:val="0"/>
      <w:marTop w:val="0"/>
      <w:marBottom w:val="100"/>
      <w:divBdr>
        <w:top w:val="none" w:sz="0" w:space="0" w:color="auto"/>
        <w:left w:val="none" w:sz="0" w:space="0" w:color="auto"/>
        <w:bottom w:val="none" w:sz="0" w:space="0" w:color="auto"/>
        <w:right w:val="none" w:sz="0" w:space="0" w:color="auto"/>
      </w:divBdr>
    </w:div>
    <w:div w:id="1049958707">
      <w:marLeft w:val="0"/>
      <w:marRight w:val="0"/>
      <w:marTop w:val="0"/>
      <w:marBottom w:val="0"/>
      <w:divBdr>
        <w:top w:val="none" w:sz="0" w:space="0" w:color="auto"/>
        <w:left w:val="none" w:sz="0" w:space="0" w:color="auto"/>
        <w:bottom w:val="none" w:sz="0" w:space="0" w:color="auto"/>
        <w:right w:val="none" w:sz="0" w:space="0" w:color="auto"/>
      </w:divBdr>
      <w:divsChild>
        <w:div w:id="946890490">
          <w:marLeft w:val="0"/>
          <w:marRight w:val="0"/>
          <w:marTop w:val="0"/>
          <w:marBottom w:val="0"/>
          <w:divBdr>
            <w:top w:val="none" w:sz="0" w:space="0" w:color="auto"/>
            <w:left w:val="none" w:sz="0" w:space="0" w:color="auto"/>
            <w:bottom w:val="none" w:sz="0" w:space="0" w:color="auto"/>
            <w:right w:val="none" w:sz="0" w:space="0" w:color="auto"/>
          </w:divBdr>
          <w:divsChild>
            <w:div w:id="63722648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051079366">
      <w:marLeft w:val="0"/>
      <w:marRight w:val="0"/>
      <w:marTop w:val="0"/>
      <w:marBottom w:val="100"/>
      <w:divBdr>
        <w:top w:val="none" w:sz="0" w:space="0" w:color="auto"/>
        <w:left w:val="none" w:sz="0" w:space="0" w:color="auto"/>
        <w:bottom w:val="none" w:sz="0" w:space="0" w:color="auto"/>
        <w:right w:val="none" w:sz="0" w:space="0" w:color="auto"/>
      </w:divBdr>
    </w:div>
    <w:div w:id="1056127647">
      <w:marLeft w:val="0"/>
      <w:marRight w:val="0"/>
      <w:marTop w:val="0"/>
      <w:marBottom w:val="100"/>
      <w:divBdr>
        <w:top w:val="none" w:sz="0" w:space="0" w:color="auto"/>
        <w:left w:val="none" w:sz="0" w:space="0" w:color="auto"/>
        <w:bottom w:val="none" w:sz="0" w:space="0" w:color="auto"/>
        <w:right w:val="none" w:sz="0" w:space="0" w:color="auto"/>
      </w:divBdr>
    </w:div>
    <w:div w:id="1057783559">
      <w:marLeft w:val="0"/>
      <w:marRight w:val="0"/>
      <w:marTop w:val="0"/>
      <w:marBottom w:val="100"/>
      <w:divBdr>
        <w:top w:val="none" w:sz="0" w:space="0" w:color="auto"/>
        <w:left w:val="none" w:sz="0" w:space="0" w:color="auto"/>
        <w:bottom w:val="none" w:sz="0" w:space="0" w:color="auto"/>
        <w:right w:val="none" w:sz="0" w:space="0" w:color="auto"/>
      </w:divBdr>
    </w:div>
    <w:div w:id="1058357909">
      <w:marLeft w:val="0"/>
      <w:marRight w:val="0"/>
      <w:marTop w:val="0"/>
      <w:marBottom w:val="0"/>
      <w:divBdr>
        <w:top w:val="none" w:sz="0" w:space="0" w:color="auto"/>
        <w:left w:val="none" w:sz="0" w:space="0" w:color="auto"/>
        <w:bottom w:val="none" w:sz="0" w:space="0" w:color="auto"/>
        <w:right w:val="none" w:sz="0" w:space="0" w:color="auto"/>
      </w:divBdr>
      <w:divsChild>
        <w:div w:id="1821380905">
          <w:marLeft w:val="0"/>
          <w:marRight w:val="0"/>
          <w:marTop w:val="0"/>
          <w:marBottom w:val="0"/>
          <w:divBdr>
            <w:top w:val="none" w:sz="0" w:space="0" w:color="auto"/>
            <w:left w:val="none" w:sz="0" w:space="0" w:color="auto"/>
            <w:bottom w:val="none" w:sz="0" w:space="0" w:color="auto"/>
            <w:right w:val="none" w:sz="0" w:space="0" w:color="auto"/>
          </w:divBdr>
        </w:div>
        <w:div w:id="1869294717">
          <w:marLeft w:val="0"/>
          <w:marRight w:val="0"/>
          <w:marTop w:val="0"/>
          <w:marBottom w:val="0"/>
          <w:divBdr>
            <w:top w:val="none" w:sz="0" w:space="0" w:color="auto"/>
            <w:left w:val="none" w:sz="0" w:space="0" w:color="auto"/>
            <w:bottom w:val="none" w:sz="0" w:space="0" w:color="auto"/>
            <w:right w:val="none" w:sz="0" w:space="0" w:color="auto"/>
          </w:divBdr>
        </w:div>
        <w:div w:id="1478567919">
          <w:marLeft w:val="0"/>
          <w:marRight w:val="0"/>
          <w:marTop w:val="0"/>
          <w:marBottom w:val="0"/>
          <w:divBdr>
            <w:top w:val="none" w:sz="0" w:space="0" w:color="auto"/>
            <w:left w:val="none" w:sz="0" w:space="0" w:color="auto"/>
            <w:bottom w:val="none" w:sz="0" w:space="0" w:color="auto"/>
            <w:right w:val="none" w:sz="0" w:space="0" w:color="auto"/>
          </w:divBdr>
        </w:div>
        <w:div w:id="141625346">
          <w:marLeft w:val="0"/>
          <w:marRight w:val="0"/>
          <w:marTop w:val="0"/>
          <w:marBottom w:val="0"/>
          <w:divBdr>
            <w:top w:val="none" w:sz="0" w:space="0" w:color="auto"/>
            <w:left w:val="none" w:sz="0" w:space="0" w:color="auto"/>
            <w:bottom w:val="none" w:sz="0" w:space="0" w:color="auto"/>
            <w:right w:val="none" w:sz="0" w:space="0" w:color="auto"/>
          </w:divBdr>
        </w:div>
        <w:div w:id="1293361740">
          <w:marLeft w:val="0"/>
          <w:marRight w:val="0"/>
          <w:marTop w:val="0"/>
          <w:marBottom w:val="0"/>
          <w:divBdr>
            <w:top w:val="none" w:sz="0" w:space="0" w:color="auto"/>
            <w:left w:val="none" w:sz="0" w:space="0" w:color="auto"/>
            <w:bottom w:val="none" w:sz="0" w:space="0" w:color="auto"/>
            <w:right w:val="none" w:sz="0" w:space="0" w:color="auto"/>
          </w:divBdr>
        </w:div>
        <w:div w:id="1064528479">
          <w:marLeft w:val="0"/>
          <w:marRight w:val="0"/>
          <w:marTop w:val="0"/>
          <w:marBottom w:val="0"/>
          <w:divBdr>
            <w:top w:val="none" w:sz="0" w:space="0" w:color="auto"/>
            <w:left w:val="none" w:sz="0" w:space="0" w:color="auto"/>
            <w:bottom w:val="none" w:sz="0" w:space="0" w:color="auto"/>
            <w:right w:val="none" w:sz="0" w:space="0" w:color="auto"/>
          </w:divBdr>
        </w:div>
        <w:div w:id="1665160143">
          <w:marLeft w:val="0"/>
          <w:marRight w:val="0"/>
          <w:marTop w:val="0"/>
          <w:marBottom w:val="0"/>
          <w:divBdr>
            <w:top w:val="none" w:sz="0" w:space="0" w:color="auto"/>
            <w:left w:val="none" w:sz="0" w:space="0" w:color="auto"/>
            <w:bottom w:val="none" w:sz="0" w:space="0" w:color="auto"/>
            <w:right w:val="none" w:sz="0" w:space="0" w:color="auto"/>
          </w:divBdr>
        </w:div>
        <w:div w:id="1344631347">
          <w:marLeft w:val="0"/>
          <w:marRight w:val="0"/>
          <w:marTop w:val="0"/>
          <w:marBottom w:val="0"/>
          <w:divBdr>
            <w:top w:val="none" w:sz="0" w:space="0" w:color="auto"/>
            <w:left w:val="none" w:sz="0" w:space="0" w:color="auto"/>
            <w:bottom w:val="none" w:sz="0" w:space="0" w:color="auto"/>
            <w:right w:val="none" w:sz="0" w:space="0" w:color="auto"/>
          </w:divBdr>
        </w:div>
        <w:div w:id="1074162929">
          <w:marLeft w:val="0"/>
          <w:marRight w:val="0"/>
          <w:marTop w:val="0"/>
          <w:marBottom w:val="0"/>
          <w:divBdr>
            <w:top w:val="none" w:sz="0" w:space="0" w:color="auto"/>
            <w:left w:val="none" w:sz="0" w:space="0" w:color="auto"/>
            <w:bottom w:val="none" w:sz="0" w:space="0" w:color="auto"/>
            <w:right w:val="none" w:sz="0" w:space="0" w:color="auto"/>
          </w:divBdr>
        </w:div>
        <w:div w:id="180362946">
          <w:marLeft w:val="0"/>
          <w:marRight w:val="0"/>
          <w:marTop w:val="0"/>
          <w:marBottom w:val="0"/>
          <w:divBdr>
            <w:top w:val="none" w:sz="0" w:space="0" w:color="auto"/>
            <w:left w:val="none" w:sz="0" w:space="0" w:color="auto"/>
            <w:bottom w:val="none" w:sz="0" w:space="0" w:color="auto"/>
            <w:right w:val="none" w:sz="0" w:space="0" w:color="auto"/>
          </w:divBdr>
        </w:div>
        <w:div w:id="61954556">
          <w:marLeft w:val="0"/>
          <w:marRight w:val="0"/>
          <w:marTop w:val="0"/>
          <w:marBottom w:val="0"/>
          <w:divBdr>
            <w:top w:val="none" w:sz="0" w:space="0" w:color="auto"/>
            <w:left w:val="none" w:sz="0" w:space="0" w:color="auto"/>
            <w:bottom w:val="none" w:sz="0" w:space="0" w:color="auto"/>
            <w:right w:val="none" w:sz="0" w:space="0" w:color="auto"/>
          </w:divBdr>
        </w:div>
      </w:divsChild>
    </w:div>
    <w:div w:id="1059286424">
      <w:marLeft w:val="0"/>
      <w:marRight w:val="0"/>
      <w:marTop w:val="0"/>
      <w:marBottom w:val="0"/>
      <w:divBdr>
        <w:top w:val="none" w:sz="0" w:space="0" w:color="auto"/>
        <w:left w:val="none" w:sz="0" w:space="0" w:color="auto"/>
        <w:bottom w:val="none" w:sz="0" w:space="0" w:color="auto"/>
        <w:right w:val="none" w:sz="0" w:space="0" w:color="auto"/>
      </w:divBdr>
      <w:divsChild>
        <w:div w:id="61103499">
          <w:marLeft w:val="0"/>
          <w:marRight w:val="0"/>
          <w:marTop w:val="0"/>
          <w:marBottom w:val="0"/>
          <w:divBdr>
            <w:top w:val="none" w:sz="0" w:space="0" w:color="auto"/>
            <w:left w:val="none" w:sz="0" w:space="0" w:color="auto"/>
            <w:bottom w:val="none" w:sz="0" w:space="0" w:color="auto"/>
            <w:right w:val="none" w:sz="0" w:space="0" w:color="auto"/>
          </w:divBdr>
          <w:divsChild>
            <w:div w:id="93798107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061321467">
      <w:marLeft w:val="0"/>
      <w:marRight w:val="0"/>
      <w:marTop w:val="0"/>
      <w:marBottom w:val="100"/>
      <w:divBdr>
        <w:top w:val="none" w:sz="0" w:space="0" w:color="auto"/>
        <w:left w:val="none" w:sz="0" w:space="0" w:color="auto"/>
        <w:bottom w:val="none" w:sz="0" w:space="0" w:color="auto"/>
        <w:right w:val="none" w:sz="0" w:space="0" w:color="auto"/>
      </w:divBdr>
    </w:div>
    <w:div w:id="1063062146">
      <w:marLeft w:val="0"/>
      <w:marRight w:val="0"/>
      <w:marTop w:val="0"/>
      <w:marBottom w:val="100"/>
      <w:divBdr>
        <w:top w:val="none" w:sz="0" w:space="0" w:color="auto"/>
        <w:left w:val="none" w:sz="0" w:space="0" w:color="auto"/>
        <w:bottom w:val="none" w:sz="0" w:space="0" w:color="auto"/>
        <w:right w:val="none" w:sz="0" w:space="0" w:color="auto"/>
      </w:divBdr>
    </w:div>
    <w:div w:id="1064183874">
      <w:marLeft w:val="0"/>
      <w:marRight w:val="0"/>
      <w:marTop w:val="0"/>
      <w:marBottom w:val="100"/>
      <w:divBdr>
        <w:top w:val="none" w:sz="0" w:space="0" w:color="auto"/>
        <w:left w:val="none" w:sz="0" w:space="0" w:color="auto"/>
        <w:bottom w:val="none" w:sz="0" w:space="0" w:color="auto"/>
        <w:right w:val="none" w:sz="0" w:space="0" w:color="auto"/>
      </w:divBdr>
    </w:div>
    <w:div w:id="1064450924">
      <w:marLeft w:val="0"/>
      <w:marRight w:val="0"/>
      <w:marTop w:val="0"/>
      <w:marBottom w:val="100"/>
      <w:divBdr>
        <w:top w:val="none" w:sz="0" w:space="0" w:color="auto"/>
        <w:left w:val="none" w:sz="0" w:space="0" w:color="auto"/>
        <w:bottom w:val="none" w:sz="0" w:space="0" w:color="auto"/>
        <w:right w:val="none" w:sz="0" w:space="0" w:color="auto"/>
      </w:divBdr>
    </w:div>
    <w:div w:id="1066878342">
      <w:marLeft w:val="0"/>
      <w:marRight w:val="0"/>
      <w:marTop w:val="0"/>
      <w:marBottom w:val="0"/>
      <w:divBdr>
        <w:top w:val="none" w:sz="0" w:space="0" w:color="auto"/>
        <w:left w:val="none" w:sz="0" w:space="0" w:color="auto"/>
        <w:bottom w:val="none" w:sz="0" w:space="0" w:color="auto"/>
        <w:right w:val="none" w:sz="0" w:space="0" w:color="auto"/>
      </w:divBdr>
      <w:divsChild>
        <w:div w:id="750350169">
          <w:marLeft w:val="0"/>
          <w:marRight w:val="0"/>
          <w:marTop w:val="0"/>
          <w:marBottom w:val="0"/>
          <w:divBdr>
            <w:top w:val="none" w:sz="0" w:space="0" w:color="auto"/>
            <w:left w:val="none" w:sz="0" w:space="0" w:color="auto"/>
            <w:bottom w:val="none" w:sz="0" w:space="0" w:color="auto"/>
            <w:right w:val="none" w:sz="0" w:space="0" w:color="auto"/>
          </w:divBdr>
          <w:divsChild>
            <w:div w:id="4148949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068500754">
      <w:marLeft w:val="0"/>
      <w:marRight w:val="0"/>
      <w:marTop w:val="0"/>
      <w:marBottom w:val="100"/>
      <w:divBdr>
        <w:top w:val="none" w:sz="0" w:space="0" w:color="auto"/>
        <w:left w:val="none" w:sz="0" w:space="0" w:color="auto"/>
        <w:bottom w:val="none" w:sz="0" w:space="0" w:color="auto"/>
        <w:right w:val="none" w:sz="0" w:space="0" w:color="auto"/>
      </w:divBdr>
    </w:div>
    <w:div w:id="1070159488">
      <w:marLeft w:val="0"/>
      <w:marRight w:val="0"/>
      <w:marTop w:val="180"/>
      <w:marBottom w:val="100"/>
      <w:divBdr>
        <w:top w:val="none" w:sz="0" w:space="0" w:color="auto"/>
        <w:left w:val="none" w:sz="0" w:space="0" w:color="auto"/>
        <w:bottom w:val="none" w:sz="0" w:space="0" w:color="auto"/>
        <w:right w:val="none" w:sz="0" w:space="0" w:color="auto"/>
      </w:divBdr>
    </w:div>
    <w:div w:id="1071393036">
      <w:marLeft w:val="0"/>
      <w:marRight w:val="0"/>
      <w:marTop w:val="0"/>
      <w:marBottom w:val="100"/>
      <w:divBdr>
        <w:top w:val="none" w:sz="0" w:space="0" w:color="auto"/>
        <w:left w:val="none" w:sz="0" w:space="0" w:color="auto"/>
        <w:bottom w:val="none" w:sz="0" w:space="0" w:color="auto"/>
        <w:right w:val="none" w:sz="0" w:space="0" w:color="auto"/>
      </w:divBdr>
    </w:div>
    <w:div w:id="1072579756">
      <w:marLeft w:val="0"/>
      <w:marRight w:val="0"/>
      <w:marTop w:val="0"/>
      <w:marBottom w:val="100"/>
      <w:divBdr>
        <w:top w:val="none" w:sz="0" w:space="0" w:color="auto"/>
        <w:left w:val="none" w:sz="0" w:space="0" w:color="auto"/>
        <w:bottom w:val="none" w:sz="0" w:space="0" w:color="auto"/>
        <w:right w:val="none" w:sz="0" w:space="0" w:color="auto"/>
      </w:divBdr>
    </w:div>
    <w:div w:id="1074082657">
      <w:marLeft w:val="0"/>
      <w:marRight w:val="0"/>
      <w:marTop w:val="180"/>
      <w:marBottom w:val="0"/>
      <w:divBdr>
        <w:top w:val="none" w:sz="0" w:space="0" w:color="auto"/>
        <w:left w:val="none" w:sz="0" w:space="0" w:color="auto"/>
        <w:bottom w:val="none" w:sz="0" w:space="0" w:color="auto"/>
        <w:right w:val="none" w:sz="0" w:space="0" w:color="auto"/>
      </w:divBdr>
    </w:div>
    <w:div w:id="1077482198">
      <w:marLeft w:val="0"/>
      <w:marRight w:val="0"/>
      <w:marTop w:val="0"/>
      <w:marBottom w:val="100"/>
      <w:divBdr>
        <w:top w:val="none" w:sz="0" w:space="0" w:color="auto"/>
        <w:left w:val="none" w:sz="0" w:space="0" w:color="auto"/>
        <w:bottom w:val="none" w:sz="0" w:space="0" w:color="auto"/>
        <w:right w:val="none" w:sz="0" w:space="0" w:color="auto"/>
      </w:divBdr>
    </w:div>
    <w:div w:id="1078282789">
      <w:marLeft w:val="0"/>
      <w:marRight w:val="0"/>
      <w:marTop w:val="180"/>
      <w:marBottom w:val="0"/>
      <w:divBdr>
        <w:top w:val="none" w:sz="0" w:space="0" w:color="auto"/>
        <w:left w:val="none" w:sz="0" w:space="0" w:color="auto"/>
        <w:bottom w:val="none" w:sz="0" w:space="0" w:color="auto"/>
        <w:right w:val="none" w:sz="0" w:space="0" w:color="auto"/>
      </w:divBdr>
    </w:div>
    <w:div w:id="1079668178">
      <w:marLeft w:val="0"/>
      <w:marRight w:val="0"/>
      <w:marTop w:val="0"/>
      <w:marBottom w:val="100"/>
      <w:divBdr>
        <w:top w:val="none" w:sz="0" w:space="0" w:color="auto"/>
        <w:left w:val="none" w:sz="0" w:space="0" w:color="auto"/>
        <w:bottom w:val="none" w:sz="0" w:space="0" w:color="auto"/>
        <w:right w:val="none" w:sz="0" w:space="0" w:color="auto"/>
      </w:divBdr>
    </w:div>
    <w:div w:id="1081096513">
      <w:marLeft w:val="0"/>
      <w:marRight w:val="0"/>
      <w:marTop w:val="0"/>
      <w:marBottom w:val="100"/>
      <w:divBdr>
        <w:top w:val="none" w:sz="0" w:space="0" w:color="auto"/>
        <w:left w:val="none" w:sz="0" w:space="0" w:color="auto"/>
        <w:bottom w:val="none" w:sz="0" w:space="0" w:color="auto"/>
        <w:right w:val="none" w:sz="0" w:space="0" w:color="auto"/>
      </w:divBdr>
    </w:div>
    <w:div w:id="1081104416">
      <w:marLeft w:val="0"/>
      <w:marRight w:val="0"/>
      <w:marTop w:val="0"/>
      <w:marBottom w:val="100"/>
      <w:divBdr>
        <w:top w:val="none" w:sz="0" w:space="0" w:color="auto"/>
        <w:left w:val="none" w:sz="0" w:space="0" w:color="auto"/>
        <w:bottom w:val="none" w:sz="0" w:space="0" w:color="auto"/>
        <w:right w:val="none" w:sz="0" w:space="0" w:color="auto"/>
      </w:divBdr>
    </w:div>
    <w:div w:id="1081834325">
      <w:marLeft w:val="0"/>
      <w:marRight w:val="0"/>
      <w:marTop w:val="0"/>
      <w:marBottom w:val="100"/>
      <w:divBdr>
        <w:top w:val="none" w:sz="0" w:space="0" w:color="auto"/>
        <w:left w:val="none" w:sz="0" w:space="0" w:color="auto"/>
        <w:bottom w:val="none" w:sz="0" w:space="0" w:color="auto"/>
        <w:right w:val="none" w:sz="0" w:space="0" w:color="auto"/>
      </w:divBdr>
    </w:div>
    <w:div w:id="1083529510">
      <w:marLeft w:val="0"/>
      <w:marRight w:val="0"/>
      <w:marTop w:val="0"/>
      <w:marBottom w:val="0"/>
      <w:divBdr>
        <w:top w:val="none" w:sz="0" w:space="0" w:color="auto"/>
        <w:left w:val="none" w:sz="0" w:space="0" w:color="auto"/>
        <w:bottom w:val="none" w:sz="0" w:space="0" w:color="auto"/>
        <w:right w:val="none" w:sz="0" w:space="0" w:color="auto"/>
      </w:divBdr>
      <w:divsChild>
        <w:div w:id="869495497">
          <w:marLeft w:val="0"/>
          <w:marRight w:val="0"/>
          <w:marTop w:val="0"/>
          <w:marBottom w:val="100"/>
          <w:divBdr>
            <w:top w:val="none" w:sz="0" w:space="0" w:color="auto"/>
            <w:left w:val="none" w:sz="0" w:space="0" w:color="auto"/>
            <w:bottom w:val="none" w:sz="0" w:space="0" w:color="auto"/>
            <w:right w:val="none" w:sz="0" w:space="0" w:color="auto"/>
          </w:divBdr>
        </w:div>
      </w:divsChild>
    </w:div>
    <w:div w:id="1085297014">
      <w:marLeft w:val="0"/>
      <w:marRight w:val="0"/>
      <w:marTop w:val="0"/>
      <w:marBottom w:val="100"/>
      <w:divBdr>
        <w:top w:val="none" w:sz="0" w:space="0" w:color="auto"/>
        <w:left w:val="none" w:sz="0" w:space="0" w:color="auto"/>
        <w:bottom w:val="none" w:sz="0" w:space="0" w:color="auto"/>
        <w:right w:val="none" w:sz="0" w:space="0" w:color="auto"/>
      </w:divBdr>
    </w:div>
    <w:div w:id="1086073801">
      <w:marLeft w:val="0"/>
      <w:marRight w:val="0"/>
      <w:marTop w:val="0"/>
      <w:marBottom w:val="100"/>
      <w:divBdr>
        <w:top w:val="none" w:sz="0" w:space="0" w:color="auto"/>
        <w:left w:val="none" w:sz="0" w:space="0" w:color="auto"/>
        <w:bottom w:val="none" w:sz="0" w:space="0" w:color="auto"/>
        <w:right w:val="none" w:sz="0" w:space="0" w:color="auto"/>
      </w:divBdr>
    </w:div>
    <w:div w:id="1087268895">
      <w:marLeft w:val="0"/>
      <w:marRight w:val="0"/>
      <w:marTop w:val="0"/>
      <w:marBottom w:val="100"/>
      <w:divBdr>
        <w:top w:val="none" w:sz="0" w:space="0" w:color="auto"/>
        <w:left w:val="none" w:sz="0" w:space="0" w:color="auto"/>
        <w:bottom w:val="none" w:sz="0" w:space="0" w:color="auto"/>
        <w:right w:val="none" w:sz="0" w:space="0" w:color="auto"/>
      </w:divBdr>
    </w:div>
    <w:div w:id="1087530894">
      <w:marLeft w:val="0"/>
      <w:marRight w:val="0"/>
      <w:marTop w:val="0"/>
      <w:marBottom w:val="0"/>
      <w:divBdr>
        <w:top w:val="none" w:sz="0" w:space="0" w:color="auto"/>
        <w:left w:val="none" w:sz="0" w:space="0" w:color="auto"/>
        <w:bottom w:val="none" w:sz="0" w:space="0" w:color="auto"/>
        <w:right w:val="none" w:sz="0" w:space="0" w:color="auto"/>
      </w:divBdr>
      <w:divsChild>
        <w:div w:id="1378747954">
          <w:marLeft w:val="0"/>
          <w:marRight w:val="0"/>
          <w:marTop w:val="0"/>
          <w:marBottom w:val="0"/>
          <w:divBdr>
            <w:top w:val="none" w:sz="0" w:space="0" w:color="auto"/>
            <w:left w:val="none" w:sz="0" w:space="0" w:color="auto"/>
            <w:bottom w:val="none" w:sz="0" w:space="0" w:color="auto"/>
            <w:right w:val="none" w:sz="0" w:space="0" w:color="auto"/>
          </w:divBdr>
          <w:divsChild>
            <w:div w:id="102894724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088499209">
      <w:marLeft w:val="0"/>
      <w:marRight w:val="0"/>
      <w:marTop w:val="180"/>
      <w:marBottom w:val="0"/>
      <w:divBdr>
        <w:top w:val="none" w:sz="0" w:space="0" w:color="auto"/>
        <w:left w:val="none" w:sz="0" w:space="0" w:color="auto"/>
        <w:bottom w:val="none" w:sz="0" w:space="0" w:color="auto"/>
        <w:right w:val="none" w:sz="0" w:space="0" w:color="auto"/>
      </w:divBdr>
    </w:div>
    <w:div w:id="1089736675">
      <w:marLeft w:val="0"/>
      <w:marRight w:val="0"/>
      <w:marTop w:val="0"/>
      <w:marBottom w:val="0"/>
      <w:divBdr>
        <w:top w:val="none" w:sz="0" w:space="0" w:color="auto"/>
        <w:left w:val="none" w:sz="0" w:space="0" w:color="auto"/>
        <w:bottom w:val="none" w:sz="0" w:space="0" w:color="auto"/>
        <w:right w:val="none" w:sz="0" w:space="0" w:color="auto"/>
      </w:divBdr>
      <w:divsChild>
        <w:div w:id="1170683896">
          <w:marLeft w:val="0"/>
          <w:marRight w:val="0"/>
          <w:marTop w:val="0"/>
          <w:marBottom w:val="0"/>
          <w:divBdr>
            <w:top w:val="none" w:sz="0" w:space="0" w:color="auto"/>
            <w:left w:val="none" w:sz="0" w:space="0" w:color="auto"/>
            <w:bottom w:val="none" w:sz="0" w:space="0" w:color="auto"/>
            <w:right w:val="none" w:sz="0" w:space="0" w:color="auto"/>
          </w:divBdr>
          <w:divsChild>
            <w:div w:id="26766492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093430530">
      <w:marLeft w:val="0"/>
      <w:marRight w:val="0"/>
      <w:marTop w:val="0"/>
      <w:marBottom w:val="100"/>
      <w:divBdr>
        <w:top w:val="none" w:sz="0" w:space="0" w:color="auto"/>
        <w:left w:val="none" w:sz="0" w:space="0" w:color="auto"/>
        <w:bottom w:val="none" w:sz="0" w:space="0" w:color="auto"/>
        <w:right w:val="none" w:sz="0" w:space="0" w:color="auto"/>
      </w:divBdr>
    </w:div>
    <w:div w:id="1098016210">
      <w:marLeft w:val="0"/>
      <w:marRight w:val="0"/>
      <w:marTop w:val="0"/>
      <w:marBottom w:val="0"/>
      <w:divBdr>
        <w:top w:val="none" w:sz="0" w:space="0" w:color="auto"/>
        <w:left w:val="none" w:sz="0" w:space="0" w:color="auto"/>
        <w:bottom w:val="none" w:sz="0" w:space="0" w:color="auto"/>
        <w:right w:val="none" w:sz="0" w:space="0" w:color="auto"/>
      </w:divBdr>
    </w:div>
    <w:div w:id="1100220241">
      <w:marLeft w:val="0"/>
      <w:marRight w:val="0"/>
      <w:marTop w:val="0"/>
      <w:marBottom w:val="100"/>
      <w:divBdr>
        <w:top w:val="none" w:sz="0" w:space="0" w:color="auto"/>
        <w:left w:val="none" w:sz="0" w:space="0" w:color="auto"/>
        <w:bottom w:val="none" w:sz="0" w:space="0" w:color="auto"/>
        <w:right w:val="none" w:sz="0" w:space="0" w:color="auto"/>
      </w:divBdr>
    </w:div>
    <w:div w:id="1100418254">
      <w:marLeft w:val="0"/>
      <w:marRight w:val="0"/>
      <w:marTop w:val="180"/>
      <w:marBottom w:val="0"/>
      <w:divBdr>
        <w:top w:val="none" w:sz="0" w:space="0" w:color="auto"/>
        <w:left w:val="none" w:sz="0" w:space="0" w:color="auto"/>
        <w:bottom w:val="none" w:sz="0" w:space="0" w:color="auto"/>
        <w:right w:val="none" w:sz="0" w:space="0" w:color="auto"/>
      </w:divBdr>
    </w:div>
    <w:div w:id="1103115604">
      <w:marLeft w:val="0"/>
      <w:marRight w:val="0"/>
      <w:marTop w:val="180"/>
      <w:marBottom w:val="100"/>
      <w:divBdr>
        <w:top w:val="none" w:sz="0" w:space="0" w:color="auto"/>
        <w:left w:val="none" w:sz="0" w:space="0" w:color="auto"/>
        <w:bottom w:val="none" w:sz="0" w:space="0" w:color="auto"/>
        <w:right w:val="none" w:sz="0" w:space="0" w:color="auto"/>
      </w:divBdr>
    </w:div>
    <w:div w:id="1103191156">
      <w:marLeft w:val="0"/>
      <w:marRight w:val="0"/>
      <w:marTop w:val="0"/>
      <w:marBottom w:val="100"/>
      <w:divBdr>
        <w:top w:val="none" w:sz="0" w:space="0" w:color="auto"/>
        <w:left w:val="none" w:sz="0" w:space="0" w:color="auto"/>
        <w:bottom w:val="none" w:sz="0" w:space="0" w:color="auto"/>
        <w:right w:val="none" w:sz="0" w:space="0" w:color="auto"/>
      </w:divBdr>
    </w:div>
    <w:div w:id="1105536722">
      <w:marLeft w:val="0"/>
      <w:marRight w:val="0"/>
      <w:marTop w:val="0"/>
      <w:marBottom w:val="100"/>
      <w:divBdr>
        <w:top w:val="none" w:sz="0" w:space="0" w:color="auto"/>
        <w:left w:val="none" w:sz="0" w:space="0" w:color="auto"/>
        <w:bottom w:val="none" w:sz="0" w:space="0" w:color="auto"/>
        <w:right w:val="none" w:sz="0" w:space="0" w:color="auto"/>
      </w:divBdr>
    </w:div>
    <w:div w:id="1107651111">
      <w:marLeft w:val="0"/>
      <w:marRight w:val="0"/>
      <w:marTop w:val="0"/>
      <w:marBottom w:val="100"/>
      <w:divBdr>
        <w:top w:val="none" w:sz="0" w:space="0" w:color="auto"/>
        <w:left w:val="none" w:sz="0" w:space="0" w:color="auto"/>
        <w:bottom w:val="none" w:sz="0" w:space="0" w:color="auto"/>
        <w:right w:val="none" w:sz="0" w:space="0" w:color="auto"/>
      </w:divBdr>
    </w:div>
    <w:div w:id="1109010484">
      <w:marLeft w:val="0"/>
      <w:marRight w:val="0"/>
      <w:marTop w:val="0"/>
      <w:marBottom w:val="0"/>
      <w:divBdr>
        <w:top w:val="none" w:sz="0" w:space="0" w:color="auto"/>
        <w:left w:val="none" w:sz="0" w:space="0" w:color="auto"/>
        <w:bottom w:val="none" w:sz="0" w:space="0" w:color="auto"/>
        <w:right w:val="none" w:sz="0" w:space="0" w:color="auto"/>
      </w:divBdr>
    </w:div>
    <w:div w:id="1109159783">
      <w:marLeft w:val="0"/>
      <w:marRight w:val="0"/>
      <w:marTop w:val="0"/>
      <w:marBottom w:val="100"/>
      <w:divBdr>
        <w:top w:val="none" w:sz="0" w:space="0" w:color="auto"/>
        <w:left w:val="none" w:sz="0" w:space="0" w:color="auto"/>
        <w:bottom w:val="none" w:sz="0" w:space="0" w:color="auto"/>
        <w:right w:val="none" w:sz="0" w:space="0" w:color="auto"/>
      </w:divBdr>
    </w:div>
    <w:div w:id="1110275644">
      <w:marLeft w:val="0"/>
      <w:marRight w:val="0"/>
      <w:marTop w:val="0"/>
      <w:marBottom w:val="100"/>
      <w:divBdr>
        <w:top w:val="none" w:sz="0" w:space="0" w:color="auto"/>
        <w:left w:val="none" w:sz="0" w:space="0" w:color="auto"/>
        <w:bottom w:val="none" w:sz="0" w:space="0" w:color="auto"/>
        <w:right w:val="none" w:sz="0" w:space="0" w:color="auto"/>
      </w:divBdr>
    </w:div>
    <w:div w:id="1110470875">
      <w:marLeft w:val="0"/>
      <w:marRight w:val="0"/>
      <w:marTop w:val="0"/>
      <w:marBottom w:val="100"/>
      <w:divBdr>
        <w:top w:val="none" w:sz="0" w:space="0" w:color="auto"/>
        <w:left w:val="none" w:sz="0" w:space="0" w:color="auto"/>
        <w:bottom w:val="none" w:sz="0" w:space="0" w:color="auto"/>
        <w:right w:val="none" w:sz="0" w:space="0" w:color="auto"/>
      </w:divBdr>
    </w:div>
    <w:div w:id="1111313889">
      <w:marLeft w:val="0"/>
      <w:marRight w:val="0"/>
      <w:marTop w:val="0"/>
      <w:marBottom w:val="100"/>
      <w:divBdr>
        <w:top w:val="none" w:sz="0" w:space="0" w:color="auto"/>
        <w:left w:val="none" w:sz="0" w:space="0" w:color="auto"/>
        <w:bottom w:val="none" w:sz="0" w:space="0" w:color="auto"/>
        <w:right w:val="none" w:sz="0" w:space="0" w:color="auto"/>
      </w:divBdr>
    </w:div>
    <w:div w:id="1114833337">
      <w:marLeft w:val="0"/>
      <w:marRight w:val="0"/>
      <w:marTop w:val="0"/>
      <w:marBottom w:val="100"/>
      <w:divBdr>
        <w:top w:val="none" w:sz="0" w:space="0" w:color="auto"/>
        <w:left w:val="none" w:sz="0" w:space="0" w:color="auto"/>
        <w:bottom w:val="none" w:sz="0" w:space="0" w:color="auto"/>
        <w:right w:val="none" w:sz="0" w:space="0" w:color="auto"/>
      </w:divBdr>
    </w:div>
    <w:div w:id="1117024919">
      <w:marLeft w:val="0"/>
      <w:marRight w:val="0"/>
      <w:marTop w:val="0"/>
      <w:marBottom w:val="0"/>
      <w:divBdr>
        <w:top w:val="none" w:sz="0" w:space="0" w:color="auto"/>
        <w:left w:val="none" w:sz="0" w:space="0" w:color="auto"/>
        <w:bottom w:val="none" w:sz="0" w:space="0" w:color="auto"/>
        <w:right w:val="none" w:sz="0" w:space="0" w:color="auto"/>
      </w:divBdr>
    </w:div>
    <w:div w:id="1118766542">
      <w:marLeft w:val="0"/>
      <w:marRight w:val="0"/>
      <w:marTop w:val="0"/>
      <w:marBottom w:val="0"/>
      <w:divBdr>
        <w:top w:val="none" w:sz="0" w:space="0" w:color="auto"/>
        <w:left w:val="none" w:sz="0" w:space="0" w:color="auto"/>
        <w:bottom w:val="none" w:sz="0" w:space="0" w:color="auto"/>
        <w:right w:val="none" w:sz="0" w:space="0" w:color="auto"/>
      </w:divBdr>
      <w:divsChild>
        <w:div w:id="1361858037">
          <w:marLeft w:val="0"/>
          <w:marRight w:val="0"/>
          <w:marTop w:val="0"/>
          <w:marBottom w:val="0"/>
          <w:divBdr>
            <w:top w:val="none" w:sz="0" w:space="0" w:color="auto"/>
            <w:left w:val="none" w:sz="0" w:space="0" w:color="auto"/>
            <w:bottom w:val="none" w:sz="0" w:space="0" w:color="auto"/>
            <w:right w:val="none" w:sz="0" w:space="0" w:color="auto"/>
          </w:divBdr>
          <w:divsChild>
            <w:div w:id="6495955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121613241">
      <w:marLeft w:val="0"/>
      <w:marRight w:val="0"/>
      <w:marTop w:val="0"/>
      <w:marBottom w:val="100"/>
      <w:divBdr>
        <w:top w:val="none" w:sz="0" w:space="0" w:color="auto"/>
        <w:left w:val="none" w:sz="0" w:space="0" w:color="auto"/>
        <w:bottom w:val="none" w:sz="0" w:space="0" w:color="auto"/>
        <w:right w:val="none" w:sz="0" w:space="0" w:color="auto"/>
      </w:divBdr>
    </w:div>
    <w:div w:id="1124228020">
      <w:marLeft w:val="0"/>
      <w:marRight w:val="0"/>
      <w:marTop w:val="0"/>
      <w:marBottom w:val="100"/>
      <w:divBdr>
        <w:top w:val="none" w:sz="0" w:space="0" w:color="auto"/>
        <w:left w:val="none" w:sz="0" w:space="0" w:color="auto"/>
        <w:bottom w:val="none" w:sz="0" w:space="0" w:color="auto"/>
        <w:right w:val="none" w:sz="0" w:space="0" w:color="auto"/>
      </w:divBdr>
    </w:div>
    <w:div w:id="1124930741">
      <w:marLeft w:val="0"/>
      <w:marRight w:val="0"/>
      <w:marTop w:val="180"/>
      <w:marBottom w:val="180"/>
      <w:divBdr>
        <w:top w:val="none" w:sz="0" w:space="0" w:color="auto"/>
        <w:left w:val="none" w:sz="0" w:space="0" w:color="auto"/>
        <w:bottom w:val="none" w:sz="0" w:space="0" w:color="auto"/>
        <w:right w:val="none" w:sz="0" w:space="0" w:color="auto"/>
      </w:divBdr>
    </w:div>
    <w:div w:id="1126047769">
      <w:marLeft w:val="0"/>
      <w:marRight w:val="0"/>
      <w:marTop w:val="180"/>
      <w:marBottom w:val="0"/>
      <w:divBdr>
        <w:top w:val="none" w:sz="0" w:space="0" w:color="auto"/>
        <w:left w:val="none" w:sz="0" w:space="0" w:color="auto"/>
        <w:bottom w:val="none" w:sz="0" w:space="0" w:color="auto"/>
        <w:right w:val="none" w:sz="0" w:space="0" w:color="auto"/>
      </w:divBdr>
    </w:div>
    <w:div w:id="1130901505">
      <w:marLeft w:val="0"/>
      <w:marRight w:val="0"/>
      <w:marTop w:val="0"/>
      <w:marBottom w:val="100"/>
      <w:divBdr>
        <w:top w:val="none" w:sz="0" w:space="0" w:color="auto"/>
        <w:left w:val="none" w:sz="0" w:space="0" w:color="auto"/>
        <w:bottom w:val="none" w:sz="0" w:space="0" w:color="auto"/>
        <w:right w:val="none" w:sz="0" w:space="0" w:color="auto"/>
      </w:divBdr>
    </w:div>
    <w:div w:id="1132290801">
      <w:marLeft w:val="0"/>
      <w:marRight w:val="0"/>
      <w:marTop w:val="0"/>
      <w:marBottom w:val="100"/>
      <w:divBdr>
        <w:top w:val="none" w:sz="0" w:space="0" w:color="auto"/>
        <w:left w:val="none" w:sz="0" w:space="0" w:color="auto"/>
        <w:bottom w:val="none" w:sz="0" w:space="0" w:color="auto"/>
        <w:right w:val="none" w:sz="0" w:space="0" w:color="auto"/>
      </w:divBdr>
    </w:div>
    <w:div w:id="1133016707">
      <w:marLeft w:val="0"/>
      <w:marRight w:val="0"/>
      <w:marTop w:val="180"/>
      <w:marBottom w:val="0"/>
      <w:divBdr>
        <w:top w:val="none" w:sz="0" w:space="0" w:color="auto"/>
        <w:left w:val="none" w:sz="0" w:space="0" w:color="auto"/>
        <w:bottom w:val="none" w:sz="0" w:space="0" w:color="auto"/>
        <w:right w:val="none" w:sz="0" w:space="0" w:color="auto"/>
      </w:divBdr>
    </w:div>
    <w:div w:id="1134367296">
      <w:marLeft w:val="0"/>
      <w:marRight w:val="0"/>
      <w:marTop w:val="0"/>
      <w:marBottom w:val="100"/>
      <w:divBdr>
        <w:top w:val="none" w:sz="0" w:space="0" w:color="auto"/>
        <w:left w:val="none" w:sz="0" w:space="0" w:color="auto"/>
        <w:bottom w:val="none" w:sz="0" w:space="0" w:color="auto"/>
        <w:right w:val="none" w:sz="0" w:space="0" w:color="auto"/>
      </w:divBdr>
    </w:div>
    <w:div w:id="1135759025">
      <w:marLeft w:val="0"/>
      <w:marRight w:val="0"/>
      <w:marTop w:val="180"/>
      <w:marBottom w:val="0"/>
      <w:divBdr>
        <w:top w:val="none" w:sz="0" w:space="0" w:color="auto"/>
        <w:left w:val="none" w:sz="0" w:space="0" w:color="auto"/>
        <w:bottom w:val="none" w:sz="0" w:space="0" w:color="auto"/>
        <w:right w:val="none" w:sz="0" w:space="0" w:color="auto"/>
      </w:divBdr>
    </w:div>
    <w:div w:id="1142044424">
      <w:marLeft w:val="0"/>
      <w:marRight w:val="0"/>
      <w:marTop w:val="180"/>
      <w:marBottom w:val="0"/>
      <w:divBdr>
        <w:top w:val="none" w:sz="0" w:space="0" w:color="auto"/>
        <w:left w:val="none" w:sz="0" w:space="0" w:color="auto"/>
        <w:bottom w:val="none" w:sz="0" w:space="0" w:color="auto"/>
        <w:right w:val="none" w:sz="0" w:space="0" w:color="auto"/>
      </w:divBdr>
    </w:div>
    <w:div w:id="1142620383">
      <w:marLeft w:val="0"/>
      <w:marRight w:val="0"/>
      <w:marTop w:val="100"/>
      <w:marBottom w:val="0"/>
      <w:divBdr>
        <w:top w:val="none" w:sz="0" w:space="0" w:color="auto"/>
        <w:left w:val="none" w:sz="0" w:space="0" w:color="auto"/>
        <w:bottom w:val="none" w:sz="0" w:space="0" w:color="auto"/>
        <w:right w:val="none" w:sz="0" w:space="0" w:color="auto"/>
      </w:divBdr>
    </w:div>
    <w:div w:id="1143621083">
      <w:marLeft w:val="0"/>
      <w:marRight w:val="0"/>
      <w:marTop w:val="180"/>
      <w:marBottom w:val="0"/>
      <w:divBdr>
        <w:top w:val="none" w:sz="0" w:space="0" w:color="auto"/>
        <w:left w:val="none" w:sz="0" w:space="0" w:color="auto"/>
        <w:bottom w:val="none" w:sz="0" w:space="0" w:color="auto"/>
        <w:right w:val="none" w:sz="0" w:space="0" w:color="auto"/>
      </w:divBdr>
      <w:divsChild>
        <w:div w:id="1856726471">
          <w:marLeft w:val="0"/>
          <w:marRight w:val="0"/>
          <w:marTop w:val="0"/>
          <w:marBottom w:val="0"/>
          <w:divBdr>
            <w:top w:val="none" w:sz="0" w:space="0" w:color="auto"/>
            <w:left w:val="none" w:sz="0" w:space="0" w:color="auto"/>
            <w:bottom w:val="none" w:sz="0" w:space="0" w:color="auto"/>
            <w:right w:val="none" w:sz="0" w:space="0" w:color="auto"/>
          </w:divBdr>
        </w:div>
        <w:div w:id="731468864">
          <w:marLeft w:val="0"/>
          <w:marRight w:val="0"/>
          <w:marTop w:val="0"/>
          <w:marBottom w:val="0"/>
          <w:divBdr>
            <w:top w:val="none" w:sz="0" w:space="0" w:color="auto"/>
            <w:left w:val="none" w:sz="0" w:space="0" w:color="auto"/>
            <w:bottom w:val="none" w:sz="0" w:space="0" w:color="auto"/>
            <w:right w:val="none" w:sz="0" w:space="0" w:color="auto"/>
          </w:divBdr>
        </w:div>
      </w:divsChild>
    </w:div>
    <w:div w:id="1144001913">
      <w:marLeft w:val="0"/>
      <w:marRight w:val="0"/>
      <w:marTop w:val="0"/>
      <w:marBottom w:val="100"/>
      <w:divBdr>
        <w:top w:val="none" w:sz="0" w:space="0" w:color="auto"/>
        <w:left w:val="none" w:sz="0" w:space="0" w:color="auto"/>
        <w:bottom w:val="none" w:sz="0" w:space="0" w:color="auto"/>
        <w:right w:val="none" w:sz="0" w:space="0" w:color="auto"/>
      </w:divBdr>
      <w:divsChild>
        <w:div w:id="1433626687">
          <w:marLeft w:val="0"/>
          <w:marRight w:val="0"/>
          <w:marTop w:val="0"/>
          <w:marBottom w:val="0"/>
          <w:divBdr>
            <w:top w:val="none" w:sz="0" w:space="0" w:color="auto"/>
            <w:left w:val="none" w:sz="0" w:space="0" w:color="auto"/>
            <w:bottom w:val="none" w:sz="0" w:space="0" w:color="auto"/>
            <w:right w:val="none" w:sz="0" w:space="0" w:color="auto"/>
          </w:divBdr>
        </w:div>
        <w:div w:id="1922137839">
          <w:marLeft w:val="0"/>
          <w:marRight w:val="0"/>
          <w:marTop w:val="0"/>
          <w:marBottom w:val="0"/>
          <w:divBdr>
            <w:top w:val="none" w:sz="0" w:space="0" w:color="auto"/>
            <w:left w:val="none" w:sz="0" w:space="0" w:color="auto"/>
            <w:bottom w:val="none" w:sz="0" w:space="0" w:color="auto"/>
            <w:right w:val="none" w:sz="0" w:space="0" w:color="auto"/>
          </w:divBdr>
        </w:div>
        <w:div w:id="1151947978">
          <w:marLeft w:val="0"/>
          <w:marRight w:val="0"/>
          <w:marTop w:val="0"/>
          <w:marBottom w:val="0"/>
          <w:divBdr>
            <w:top w:val="none" w:sz="0" w:space="0" w:color="auto"/>
            <w:left w:val="none" w:sz="0" w:space="0" w:color="auto"/>
            <w:bottom w:val="none" w:sz="0" w:space="0" w:color="auto"/>
            <w:right w:val="none" w:sz="0" w:space="0" w:color="auto"/>
          </w:divBdr>
        </w:div>
        <w:div w:id="1708528728">
          <w:marLeft w:val="0"/>
          <w:marRight w:val="0"/>
          <w:marTop w:val="0"/>
          <w:marBottom w:val="0"/>
          <w:divBdr>
            <w:top w:val="none" w:sz="0" w:space="0" w:color="auto"/>
            <w:left w:val="none" w:sz="0" w:space="0" w:color="auto"/>
            <w:bottom w:val="none" w:sz="0" w:space="0" w:color="auto"/>
            <w:right w:val="none" w:sz="0" w:space="0" w:color="auto"/>
          </w:divBdr>
        </w:div>
        <w:div w:id="27537330">
          <w:marLeft w:val="0"/>
          <w:marRight w:val="0"/>
          <w:marTop w:val="0"/>
          <w:marBottom w:val="0"/>
          <w:divBdr>
            <w:top w:val="none" w:sz="0" w:space="0" w:color="auto"/>
            <w:left w:val="none" w:sz="0" w:space="0" w:color="auto"/>
            <w:bottom w:val="none" w:sz="0" w:space="0" w:color="auto"/>
            <w:right w:val="none" w:sz="0" w:space="0" w:color="auto"/>
          </w:divBdr>
        </w:div>
      </w:divsChild>
    </w:div>
    <w:div w:id="1146240201">
      <w:marLeft w:val="0"/>
      <w:marRight w:val="0"/>
      <w:marTop w:val="0"/>
      <w:marBottom w:val="100"/>
      <w:divBdr>
        <w:top w:val="none" w:sz="0" w:space="0" w:color="auto"/>
        <w:left w:val="none" w:sz="0" w:space="0" w:color="auto"/>
        <w:bottom w:val="none" w:sz="0" w:space="0" w:color="auto"/>
        <w:right w:val="none" w:sz="0" w:space="0" w:color="auto"/>
      </w:divBdr>
    </w:div>
    <w:div w:id="1146583481">
      <w:marLeft w:val="0"/>
      <w:marRight w:val="0"/>
      <w:marTop w:val="180"/>
      <w:marBottom w:val="0"/>
      <w:divBdr>
        <w:top w:val="none" w:sz="0" w:space="0" w:color="auto"/>
        <w:left w:val="none" w:sz="0" w:space="0" w:color="auto"/>
        <w:bottom w:val="none" w:sz="0" w:space="0" w:color="auto"/>
        <w:right w:val="none" w:sz="0" w:space="0" w:color="auto"/>
      </w:divBdr>
    </w:div>
    <w:div w:id="1147092209">
      <w:marLeft w:val="0"/>
      <w:marRight w:val="0"/>
      <w:marTop w:val="0"/>
      <w:marBottom w:val="100"/>
      <w:divBdr>
        <w:top w:val="none" w:sz="0" w:space="0" w:color="auto"/>
        <w:left w:val="none" w:sz="0" w:space="0" w:color="auto"/>
        <w:bottom w:val="none" w:sz="0" w:space="0" w:color="auto"/>
        <w:right w:val="none" w:sz="0" w:space="0" w:color="auto"/>
      </w:divBdr>
    </w:div>
    <w:div w:id="1147211136">
      <w:marLeft w:val="0"/>
      <w:marRight w:val="0"/>
      <w:marTop w:val="0"/>
      <w:marBottom w:val="0"/>
      <w:divBdr>
        <w:top w:val="none" w:sz="0" w:space="0" w:color="auto"/>
        <w:left w:val="none" w:sz="0" w:space="0" w:color="auto"/>
        <w:bottom w:val="none" w:sz="0" w:space="0" w:color="auto"/>
        <w:right w:val="none" w:sz="0" w:space="0" w:color="auto"/>
      </w:divBdr>
    </w:div>
    <w:div w:id="1150563276">
      <w:marLeft w:val="0"/>
      <w:marRight w:val="0"/>
      <w:marTop w:val="180"/>
      <w:marBottom w:val="0"/>
      <w:divBdr>
        <w:top w:val="none" w:sz="0" w:space="0" w:color="auto"/>
        <w:left w:val="none" w:sz="0" w:space="0" w:color="auto"/>
        <w:bottom w:val="none" w:sz="0" w:space="0" w:color="auto"/>
        <w:right w:val="none" w:sz="0" w:space="0" w:color="auto"/>
      </w:divBdr>
    </w:div>
    <w:div w:id="1152067590">
      <w:marLeft w:val="0"/>
      <w:marRight w:val="0"/>
      <w:marTop w:val="100"/>
      <w:marBottom w:val="100"/>
      <w:divBdr>
        <w:top w:val="none" w:sz="0" w:space="0" w:color="auto"/>
        <w:left w:val="none" w:sz="0" w:space="0" w:color="auto"/>
        <w:bottom w:val="none" w:sz="0" w:space="0" w:color="auto"/>
        <w:right w:val="none" w:sz="0" w:space="0" w:color="auto"/>
      </w:divBdr>
    </w:div>
    <w:div w:id="1153520740">
      <w:marLeft w:val="0"/>
      <w:marRight w:val="0"/>
      <w:marTop w:val="100"/>
      <w:marBottom w:val="0"/>
      <w:divBdr>
        <w:top w:val="none" w:sz="0" w:space="0" w:color="auto"/>
        <w:left w:val="none" w:sz="0" w:space="0" w:color="auto"/>
        <w:bottom w:val="none" w:sz="0" w:space="0" w:color="auto"/>
        <w:right w:val="none" w:sz="0" w:space="0" w:color="auto"/>
      </w:divBdr>
    </w:div>
    <w:div w:id="1153908636">
      <w:marLeft w:val="0"/>
      <w:marRight w:val="0"/>
      <w:marTop w:val="0"/>
      <w:marBottom w:val="100"/>
      <w:divBdr>
        <w:top w:val="none" w:sz="0" w:space="0" w:color="auto"/>
        <w:left w:val="none" w:sz="0" w:space="0" w:color="auto"/>
        <w:bottom w:val="none" w:sz="0" w:space="0" w:color="auto"/>
        <w:right w:val="none" w:sz="0" w:space="0" w:color="auto"/>
      </w:divBdr>
    </w:div>
    <w:div w:id="1153915963">
      <w:marLeft w:val="0"/>
      <w:marRight w:val="0"/>
      <w:marTop w:val="0"/>
      <w:marBottom w:val="100"/>
      <w:divBdr>
        <w:top w:val="none" w:sz="0" w:space="0" w:color="auto"/>
        <w:left w:val="none" w:sz="0" w:space="0" w:color="auto"/>
        <w:bottom w:val="none" w:sz="0" w:space="0" w:color="auto"/>
        <w:right w:val="none" w:sz="0" w:space="0" w:color="auto"/>
      </w:divBdr>
    </w:div>
    <w:div w:id="1154882397">
      <w:marLeft w:val="0"/>
      <w:marRight w:val="0"/>
      <w:marTop w:val="0"/>
      <w:marBottom w:val="100"/>
      <w:divBdr>
        <w:top w:val="none" w:sz="0" w:space="0" w:color="auto"/>
        <w:left w:val="none" w:sz="0" w:space="0" w:color="auto"/>
        <w:bottom w:val="none" w:sz="0" w:space="0" w:color="auto"/>
        <w:right w:val="none" w:sz="0" w:space="0" w:color="auto"/>
      </w:divBdr>
    </w:div>
    <w:div w:id="1155998728">
      <w:marLeft w:val="0"/>
      <w:marRight w:val="0"/>
      <w:marTop w:val="0"/>
      <w:marBottom w:val="100"/>
      <w:divBdr>
        <w:top w:val="none" w:sz="0" w:space="0" w:color="auto"/>
        <w:left w:val="none" w:sz="0" w:space="0" w:color="auto"/>
        <w:bottom w:val="none" w:sz="0" w:space="0" w:color="auto"/>
        <w:right w:val="none" w:sz="0" w:space="0" w:color="auto"/>
      </w:divBdr>
    </w:div>
    <w:div w:id="1156452190">
      <w:marLeft w:val="0"/>
      <w:marRight w:val="0"/>
      <w:marTop w:val="180"/>
      <w:marBottom w:val="0"/>
      <w:divBdr>
        <w:top w:val="none" w:sz="0" w:space="0" w:color="auto"/>
        <w:left w:val="none" w:sz="0" w:space="0" w:color="auto"/>
        <w:bottom w:val="none" w:sz="0" w:space="0" w:color="auto"/>
        <w:right w:val="none" w:sz="0" w:space="0" w:color="auto"/>
      </w:divBdr>
      <w:divsChild>
        <w:div w:id="100076082">
          <w:marLeft w:val="0"/>
          <w:marRight w:val="0"/>
          <w:marTop w:val="0"/>
          <w:marBottom w:val="0"/>
          <w:divBdr>
            <w:top w:val="none" w:sz="0" w:space="0" w:color="auto"/>
            <w:left w:val="none" w:sz="0" w:space="0" w:color="auto"/>
            <w:bottom w:val="none" w:sz="0" w:space="0" w:color="auto"/>
            <w:right w:val="none" w:sz="0" w:space="0" w:color="auto"/>
          </w:divBdr>
        </w:div>
        <w:div w:id="987593037">
          <w:marLeft w:val="0"/>
          <w:marRight w:val="0"/>
          <w:marTop w:val="0"/>
          <w:marBottom w:val="0"/>
          <w:divBdr>
            <w:top w:val="none" w:sz="0" w:space="0" w:color="auto"/>
            <w:left w:val="none" w:sz="0" w:space="0" w:color="auto"/>
            <w:bottom w:val="none" w:sz="0" w:space="0" w:color="auto"/>
            <w:right w:val="none" w:sz="0" w:space="0" w:color="auto"/>
          </w:divBdr>
        </w:div>
        <w:div w:id="603538483">
          <w:marLeft w:val="0"/>
          <w:marRight w:val="0"/>
          <w:marTop w:val="0"/>
          <w:marBottom w:val="0"/>
          <w:divBdr>
            <w:top w:val="none" w:sz="0" w:space="0" w:color="auto"/>
            <w:left w:val="none" w:sz="0" w:space="0" w:color="auto"/>
            <w:bottom w:val="none" w:sz="0" w:space="0" w:color="auto"/>
            <w:right w:val="none" w:sz="0" w:space="0" w:color="auto"/>
          </w:divBdr>
        </w:div>
        <w:div w:id="2011447921">
          <w:marLeft w:val="0"/>
          <w:marRight w:val="0"/>
          <w:marTop w:val="0"/>
          <w:marBottom w:val="0"/>
          <w:divBdr>
            <w:top w:val="none" w:sz="0" w:space="0" w:color="auto"/>
            <w:left w:val="none" w:sz="0" w:space="0" w:color="auto"/>
            <w:bottom w:val="none" w:sz="0" w:space="0" w:color="auto"/>
            <w:right w:val="none" w:sz="0" w:space="0" w:color="auto"/>
          </w:divBdr>
        </w:div>
        <w:div w:id="2080669363">
          <w:marLeft w:val="0"/>
          <w:marRight w:val="0"/>
          <w:marTop w:val="0"/>
          <w:marBottom w:val="0"/>
          <w:divBdr>
            <w:top w:val="none" w:sz="0" w:space="0" w:color="auto"/>
            <w:left w:val="none" w:sz="0" w:space="0" w:color="auto"/>
            <w:bottom w:val="none" w:sz="0" w:space="0" w:color="auto"/>
            <w:right w:val="none" w:sz="0" w:space="0" w:color="auto"/>
          </w:divBdr>
        </w:div>
        <w:div w:id="1436746592">
          <w:marLeft w:val="0"/>
          <w:marRight w:val="0"/>
          <w:marTop w:val="0"/>
          <w:marBottom w:val="0"/>
          <w:divBdr>
            <w:top w:val="none" w:sz="0" w:space="0" w:color="auto"/>
            <w:left w:val="none" w:sz="0" w:space="0" w:color="auto"/>
            <w:bottom w:val="none" w:sz="0" w:space="0" w:color="auto"/>
            <w:right w:val="none" w:sz="0" w:space="0" w:color="auto"/>
          </w:divBdr>
        </w:div>
        <w:div w:id="2120564765">
          <w:marLeft w:val="0"/>
          <w:marRight w:val="0"/>
          <w:marTop w:val="0"/>
          <w:marBottom w:val="0"/>
          <w:divBdr>
            <w:top w:val="none" w:sz="0" w:space="0" w:color="auto"/>
            <w:left w:val="none" w:sz="0" w:space="0" w:color="auto"/>
            <w:bottom w:val="none" w:sz="0" w:space="0" w:color="auto"/>
            <w:right w:val="none" w:sz="0" w:space="0" w:color="auto"/>
          </w:divBdr>
        </w:div>
        <w:div w:id="584068718">
          <w:marLeft w:val="0"/>
          <w:marRight w:val="0"/>
          <w:marTop w:val="0"/>
          <w:marBottom w:val="0"/>
          <w:divBdr>
            <w:top w:val="none" w:sz="0" w:space="0" w:color="auto"/>
            <w:left w:val="none" w:sz="0" w:space="0" w:color="auto"/>
            <w:bottom w:val="none" w:sz="0" w:space="0" w:color="auto"/>
            <w:right w:val="none" w:sz="0" w:space="0" w:color="auto"/>
          </w:divBdr>
        </w:div>
        <w:div w:id="1398280938">
          <w:marLeft w:val="0"/>
          <w:marRight w:val="0"/>
          <w:marTop w:val="0"/>
          <w:marBottom w:val="0"/>
          <w:divBdr>
            <w:top w:val="none" w:sz="0" w:space="0" w:color="auto"/>
            <w:left w:val="none" w:sz="0" w:space="0" w:color="auto"/>
            <w:bottom w:val="none" w:sz="0" w:space="0" w:color="auto"/>
            <w:right w:val="none" w:sz="0" w:space="0" w:color="auto"/>
          </w:divBdr>
        </w:div>
        <w:div w:id="774709770">
          <w:marLeft w:val="0"/>
          <w:marRight w:val="0"/>
          <w:marTop w:val="0"/>
          <w:marBottom w:val="0"/>
          <w:divBdr>
            <w:top w:val="none" w:sz="0" w:space="0" w:color="auto"/>
            <w:left w:val="none" w:sz="0" w:space="0" w:color="auto"/>
            <w:bottom w:val="none" w:sz="0" w:space="0" w:color="auto"/>
            <w:right w:val="none" w:sz="0" w:space="0" w:color="auto"/>
          </w:divBdr>
        </w:div>
        <w:div w:id="2010794485">
          <w:marLeft w:val="0"/>
          <w:marRight w:val="0"/>
          <w:marTop w:val="0"/>
          <w:marBottom w:val="0"/>
          <w:divBdr>
            <w:top w:val="none" w:sz="0" w:space="0" w:color="auto"/>
            <w:left w:val="none" w:sz="0" w:space="0" w:color="auto"/>
            <w:bottom w:val="none" w:sz="0" w:space="0" w:color="auto"/>
            <w:right w:val="none" w:sz="0" w:space="0" w:color="auto"/>
          </w:divBdr>
        </w:div>
        <w:div w:id="1820420392">
          <w:marLeft w:val="0"/>
          <w:marRight w:val="0"/>
          <w:marTop w:val="0"/>
          <w:marBottom w:val="0"/>
          <w:divBdr>
            <w:top w:val="none" w:sz="0" w:space="0" w:color="auto"/>
            <w:left w:val="none" w:sz="0" w:space="0" w:color="auto"/>
            <w:bottom w:val="none" w:sz="0" w:space="0" w:color="auto"/>
            <w:right w:val="none" w:sz="0" w:space="0" w:color="auto"/>
          </w:divBdr>
        </w:div>
        <w:div w:id="996686774">
          <w:marLeft w:val="0"/>
          <w:marRight w:val="0"/>
          <w:marTop w:val="0"/>
          <w:marBottom w:val="0"/>
          <w:divBdr>
            <w:top w:val="none" w:sz="0" w:space="0" w:color="auto"/>
            <w:left w:val="none" w:sz="0" w:space="0" w:color="auto"/>
            <w:bottom w:val="none" w:sz="0" w:space="0" w:color="auto"/>
            <w:right w:val="none" w:sz="0" w:space="0" w:color="auto"/>
          </w:divBdr>
        </w:div>
      </w:divsChild>
    </w:div>
    <w:div w:id="1160269790">
      <w:marLeft w:val="0"/>
      <w:marRight w:val="0"/>
      <w:marTop w:val="0"/>
      <w:marBottom w:val="100"/>
      <w:divBdr>
        <w:top w:val="none" w:sz="0" w:space="0" w:color="auto"/>
        <w:left w:val="none" w:sz="0" w:space="0" w:color="auto"/>
        <w:bottom w:val="none" w:sz="0" w:space="0" w:color="auto"/>
        <w:right w:val="none" w:sz="0" w:space="0" w:color="auto"/>
      </w:divBdr>
    </w:div>
    <w:div w:id="1160543566">
      <w:marLeft w:val="0"/>
      <w:marRight w:val="0"/>
      <w:marTop w:val="180"/>
      <w:marBottom w:val="0"/>
      <w:divBdr>
        <w:top w:val="none" w:sz="0" w:space="0" w:color="auto"/>
        <w:left w:val="none" w:sz="0" w:space="0" w:color="auto"/>
        <w:bottom w:val="none" w:sz="0" w:space="0" w:color="auto"/>
        <w:right w:val="none" w:sz="0" w:space="0" w:color="auto"/>
      </w:divBdr>
    </w:div>
    <w:div w:id="1161654608">
      <w:marLeft w:val="0"/>
      <w:marRight w:val="0"/>
      <w:marTop w:val="0"/>
      <w:marBottom w:val="0"/>
      <w:divBdr>
        <w:top w:val="none" w:sz="0" w:space="0" w:color="auto"/>
        <w:left w:val="none" w:sz="0" w:space="0" w:color="auto"/>
        <w:bottom w:val="none" w:sz="0" w:space="0" w:color="auto"/>
        <w:right w:val="none" w:sz="0" w:space="0" w:color="auto"/>
      </w:divBdr>
      <w:divsChild>
        <w:div w:id="811288719">
          <w:marLeft w:val="0"/>
          <w:marRight w:val="0"/>
          <w:marTop w:val="0"/>
          <w:marBottom w:val="100"/>
          <w:divBdr>
            <w:top w:val="none" w:sz="0" w:space="0" w:color="auto"/>
            <w:left w:val="none" w:sz="0" w:space="0" w:color="auto"/>
            <w:bottom w:val="none" w:sz="0" w:space="0" w:color="auto"/>
            <w:right w:val="none" w:sz="0" w:space="0" w:color="auto"/>
          </w:divBdr>
        </w:div>
      </w:divsChild>
    </w:div>
    <w:div w:id="1164904771">
      <w:marLeft w:val="0"/>
      <w:marRight w:val="0"/>
      <w:marTop w:val="0"/>
      <w:marBottom w:val="0"/>
      <w:divBdr>
        <w:top w:val="none" w:sz="0" w:space="0" w:color="auto"/>
        <w:left w:val="none" w:sz="0" w:space="0" w:color="auto"/>
        <w:bottom w:val="none" w:sz="0" w:space="0" w:color="auto"/>
        <w:right w:val="none" w:sz="0" w:space="0" w:color="auto"/>
      </w:divBdr>
      <w:divsChild>
        <w:div w:id="741830489">
          <w:marLeft w:val="0"/>
          <w:marRight w:val="0"/>
          <w:marTop w:val="0"/>
          <w:marBottom w:val="100"/>
          <w:divBdr>
            <w:top w:val="none" w:sz="0" w:space="0" w:color="auto"/>
            <w:left w:val="none" w:sz="0" w:space="0" w:color="auto"/>
            <w:bottom w:val="none" w:sz="0" w:space="0" w:color="auto"/>
            <w:right w:val="none" w:sz="0" w:space="0" w:color="auto"/>
          </w:divBdr>
        </w:div>
      </w:divsChild>
    </w:div>
    <w:div w:id="1164932819">
      <w:marLeft w:val="0"/>
      <w:marRight w:val="0"/>
      <w:marTop w:val="0"/>
      <w:marBottom w:val="100"/>
      <w:divBdr>
        <w:top w:val="none" w:sz="0" w:space="0" w:color="auto"/>
        <w:left w:val="none" w:sz="0" w:space="0" w:color="auto"/>
        <w:bottom w:val="none" w:sz="0" w:space="0" w:color="auto"/>
        <w:right w:val="none" w:sz="0" w:space="0" w:color="auto"/>
      </w:divBdr>
    </w:div>
    <w:div w:id="1167137464">
      <w:marLeft w:val="0"/>
      <w:marRight w:val="0"/>
      <w:marTop w:val="0"/>
      <w:marBottom w:val="100"/>
      <w:divBdr>
        <w:top w:val="none" w:sz="0" w:space="0" w:color="auto"/>
        <w:left w:val="none" w:sz="0" w:space="0" w:color="auto"/>
        <w:bottom w:val="none" w:sz="0" w:space="0" w:color="auto"/>
        <w:right w:val="none" w:sz="0" w:space="0" w:color="auto"/>
      </w:divBdr>
    </w:div>
    <w:div w:id="1169560490">
      <w:marLeft w:val="0"/>
      <w:marRight w:val="0"/>
      <w:marTop w:val="0"/>
      <w:marBottom w:val="0"/>
      <w:divBdr>
        <w:top w:val="none" w:sz="0" w:space="0" w:color="auto"/>
        <w:left w:val="none" w:sz="0" w:space="0" w:color="auto"/>
        <w:bottom w:val="none" w:sz="0" w:space="0" w:color="auto"/>
        <w:right w:val="none" w:sz="0" w:space="0" w:color="auto"/>
      </w:divBdr>
      <w:divsChild>
        <w:div w:id="1127579425">
          <w:marLeft w:val="0"/>
          <w:marRight w:val="0"/>
          <w:marTop w:val="0"/>
          <w:marBottom w:val="100"/>
          <w:divBdr>
            <w:top w:val="none" w:sz="0" w:space="0" w:color="auto"/>
            <w:left w:val="none" w:sz="0" w:space="0" w:color="auto"/>
            <w:bottom w:val="none" w:sz="0" w:space="0" w:color="auto"/>
            <w:right w:val="none" w:sz="0" w:space="0" w:color="auto"/>
          </w:divBdr>
        </w:div>
      </w:divsChild>
    </w:div>
    <w:div w:id="1169638663">
      <w:marLeft w:val="0"/>
      <w:marRight w:val="0"/>
      <w:marTop w:val="180"/>
      <w:marBottom w:val="100"/>
      <w:divBdr>
        <w:top w:val="none" w:sz="0" w:space="0" w:color="auto"/>
        <w:left w:val="none" w:sz="0" w:space="0" w:color="auto"/>
        <w:bottom w:val="none" w:sz="0" w:space="0" w:color="auto"/>
        <w:right w:val="none" w:sz="0" w:space="0" w:color="auto"/>
      </w:divBdr>
    </w:div>
    <w:div w:id="1170292092">
      <w:marLeft w:val="0"/>
      <w:marRight w:val="0"/>
      <w:marTop w:val="0"/>
      <w:marBottom w:val="0"/>
      <w:divBdr>
        <w:top w:val="none" w:sz="0" w:space="0" w:color="auto"/>
        <w:left w:val="none" w:sz="0" w:space="0" w:color="auto"/>
        <w:bottom w:val="none" w:sz="0" w:space="0" w:color="auto"/>
        <w:right w:val="none" w:sz="0" w:space="0" w:color="auto"/>
      </w:divBdr>
      <w:divsChild>
        <w:div w:id="1985507164">
          <w:marLeft w:val="0"/>
          <w:marRight w:val="0"/>
          <w:marTop w:val="0"/>
          <w:marBottom w:val="100"/>
          <w:divBdr>
            <w:top w:val="none" w:sz="0" w:space="0" w:color="auto"/>
            <w:left w:val="none" w:sz="0" w:space="0" w:color="auto"/>
            <w:bottom w:val="none" w:sz="0" w:space="0" w:color="auto"/>
            <w:right w:val="none" w:sz="0" w:space="0" w:color="auto"/>
          </w:divBdr>
        </w:div>
      </w:divsChild>
    </w:div>
    <w:div w:id="1170369274">
      <w:marLeft w:val="0"/>
      <w:marRight w:val="0"/>
      <w:marTop w:val="0"/>
      <w:marBottom w:val="100"/>
      <w:divBdr>
        <w:top w:val="none" w:sz="0" w:space="0" w:color="auto"/>
        <w:left w:val="none" w:sz="0" w:space="0" w:color="auto"/>
        <w:bottom w:val="none" w:sz="0" w:space="0" w:color="auto"/>
        <w:right w:val="none" w:sz="0" w:space="0" w:color="auto"/>
      </w:divBdr>
    </w:div>
    <w:div w:id="1171020748">
      <w:marLeft w:val="0"/>
      <w:marRight w:val="0"/>
      <w:marTop w:val="0"/>
      <w:marBottom w:val="100"/>
      <w:divBdr>
        <w:top w:val="none" w:sz="0" w:space="0" w:color="auto"/>
        <w:left w:val="none" w:sz="0" w:space="0" w:color="auto"/>
        <w:bottom w:val="none" w:sz="0" w:space="0" w:color="auto"/>
        <w:right w:val="none" w:sz="0" w:space="0" w:color="auto"/>
      </w:divBdr>
    </w:div>
    <w:div w:id="1171532880">
      <w:marLeft w:val="0"/>
      <w:marRight w:val="0"/>
      <w:marTop w:val="180"/>
      <w:marBottom w:val="100"/>
      <w:divBdr>
        <w:top w:val="none" w:sz="0" w:space="0" w:color="auto"/>
        <w:left w:val="none" w:sz="0" w:space="0" w:color="auto"/>
        <w:bottom w:val="none" w:sz="0" w:space="0" w:color="auto"/>
        <w:right w:val="none" w:sz="0" w:space="0" w:color="auto"/>
      </w:divBdr>
    </w:div>
    <w:div w:id="1172993778">
      <w:marLeft w:val="0"/>
      <w:marRight w:val="0"/>
      <w:marTop w:val="0"/>
      <w:marBottom w:val="100"/>
      <w:divBdr>
        <w:top w:val="none" w:sz="0" w:space="0" w:color="auto"/>
        <w:left w:val="none" w:sz="0" w:space="0" w:color="auto"/>
        <w:bottom w:val="none" w:sz="0" w:space="0" w:color="auto"/>
        <w:right w:val="none" w:sz="0" w:space="0" w:color="auto"/>
      </w:divBdr>
    </w:div>
    <w:div w:id="1174151428">
      <w:marLeft w:val="0"/>
      <w:marRight w:val="0"/>
      <w:marTop w:val="0"/>
      <w:marBottom w:val="100"/>
      <w:divBdr>
        <w:top w:val="none" w:sz="0" w:space="0" w:color="auto"/>
        <w:left w:val="none" w:sz="0" w:space="0" w:color="auto"/>
        <w:bottom w:val="none" w:sz="0" w:space="0" w:color="auto"/>
        <w:right w:val="none" w:sz="0" w:space="0" w:color="auto"/>
      </w:divBdr>
    </w:div>
    <w:div w:id="1174613803">
      <w:marLeft w:val="0"/>
      <w:marRight w:val="0"/>
      <w:marTop w:val="0"/>
      <w:marBottom w:val="100"/>
      <w:divBdr>
        <w:top w:val="none" w:sz="0" w:space="0" w:color="auto"/>
        <w:left w:val="none" w:sz="0" w:space="0" w:color="auto"/>
        <w:bottom w:val="none" w:sz="0" w:space="0" w:color="auto"/>
        <w:right w:val="none" w:sz="0" w:space="0" w:color="auto"/>
      </w:divBdr>
    </w:div>
    <w:div w:id="1175654631">
      <w:marLeft w:val="0"/>
      <w:marRight w:val="0"/>
      <w:marTop w:val="0"/>
      <w:marBottom w:val="0"/>
      <w:divBdr>
        <w:top w:val="none" w:sz="0" w:space="0" w:color="auto"/>
        <w:left w:val="none" w:sz="0" w:space="0" w:color="auto"/>
        <w:bottom w:val="none" w:sz="0" w:space="0" w:color="auto"/>
        <w:right w:val="none" w:sz="0" w:space="0" w:color="auto"/>
      </w:divBdr>
    </w:div>
    <w:div w:id="1176267964">
      <w:marLeft w:val="0"/>
      <w:marRight w:val="0"/>
      <w:marTop w:val="0"/>
      <w:marBottom w:val="100"/>
      <w:divBdr>
        <w:top w:val="none" w:sz="0" w:space="0" w:color="auto"/>
        <w:left w:val="none" w:sz="0" w:space="0" w:color="auto"/>
        <w:bottom w:val="none" w:sz="0" w:space="0" w:color="auto"/>
        <w:right w:val="none" w:sz="0" w:space="0" w:color="auto"/>
      </w:divBdr>
    </w:div>
    <w:div w:id="1176379234">
      <w:marLeft w:val="0"/>
      <w:marRight w:val="0"/>
      <w:marTop w:val="180"/>
      <w:marBottom w:val="0"/>
      <w:divBdr>
        <w:top w:val="none" w:sz="0" w:space="0" w:color="auto"/>
        <w:left w:val="none" w:sz="0" w:space="0" w:color="auto"/>
        <w:bottom w:val="none" w:sz="0" w:space="0" w:color="auto"/>
        <w:right w:val="none" w:sz="0" w:space="0" w:color="auto"/>
      </w:divBdr>
    </w:div>
    <w:div w:id="1178035726">
      <w:marLeft w:val="0"/>
      <w:marRight w:val="0"/>
      <w:marTop w:val="0"/>
      <w:marBottom w:val="100"/>
      <w:divBdr>
        <w:top w:val="none" w:sz="0" w:space="0" w:color="auto"/>
        <w:left w:val="none" w:sz="0" w:space="0" w:color="auto"/>
        <w:bottom w:val="none" w:sz="0" w:space="0" w:color="auto"/>
        <w:right w:val="none" w:sz="0" w:space="0" w:color="auto"/>
      </w:divBdr>
    </w:div>
    <w:div w:id="1179469986">
      <w:marLeft w:val="0"/>
      <w:marRight w:val="0"/>
      <w:marTop w:val="100"/>
      <w:marBottom w:val="100"/>
      <w:divBdr>
        <w:top w:val="none" w:sz="0" w:space="0" w:color="auto"/>
        <w:left w:val="none" w:sz="0" w:space="0" w:color="auto"/>
        <w:bottom w:val="none" w:sz="0" w:space="0" w:color="auto"/>
        <w:right w:val="none" w:sz="0" w:space="0" w:color="auto"/>
      </w:divBdr>
    </w:div>
    <w:div w:id="1180047309">
      <w:marLeft w:val="0"/>
      <w:marRight w:val="0"/>
      <w:marTop w:val="0"/>
      <w:marBottom w:val="100"/>
      <w:divBdr>
        <w:top w:val="none" w:sz="0" w:space="0" w:color="auto"/>
        <w:left w:val="none" w:sz="0" w:space="0" w:color="auto"/>
        <w:bottom w:val="none" w:sz="0" w:space="0" w:color="auto"/>
        <w:right w:val="none" w:sz="0" w:space="0" w:color="auto"/>
      </w:divBdr>
    </w:div>
    <w:div w:id="1181777874">
      <w:marLeft w:val="0"/>
      <w:marRight w:val="0"/>
      <w:marTop w:val="90"/>
      <w:marBottom w:val="0"/>
      <w:divBdr>
        <w:top w:val="none" w:sz="0" w:space="0" w:color="auto"/>
        <w:left w:val="none" w:sz="0" w:space="0" w:color="auto"/>
        <w:bottom w:val="none" w:sz="0" w:space="0" w:color="auto"/>
        <w:right w:val="none" w:sz="0" w:space="0" w:color="auto"/>
      </w:divBdr>
    </w:div>
    <w:div w:id="1181967002">
      <w:marLeft w:val="0"/>
      <w:marRight w:val="0"/>
      <w:marTop w:val="0"/>
      <w:marBottom w:val="100"/>
      <w:divBdr>
        <w:top w:val="none" w:sz="0" w:space="0" w:color="auto"/>
        <w:left w:val="none" w:sz="0" w:space="0" w:color="auto"/>
        <w:bottom w:val="none" w:sz="0" w:space="0" w:color="auto"/>
        <w:right w:val="none" w:sz="0" w:space="0" w:color="auto"/>
      </w:divBdr>
    </w:div>
    <w:div w:id="1182550248">
      <w:marLeft w:val="0"/>
      <w:marRight w:val="0"/>
      <w:marTop w:val="0"/>
      <w:marBottom w:val="100"/>
      <w:divBdr>
        <w:top w:val="none" w:sz="0" w:space="0" w:color="auto"/>
        <w:left w:val="none" w:sz="0" w:space="0" w:color="auto"/>
        <w:bottom w:val="none" w:sz="0" w:space="0" w:color="auto"/>
        <w:right w:val="none" w:sz="0" w:space="0" w:color="auto"/>
      </w:divBdr>
    </w:div>
    <w:div w:id="1183475856">
      <w:marLeft w:val="0"/>
      <w:marRight w:val="0"/>
      <w:marTop w:val="0"/>
      <w:marBottom w:val="100"/>
      <w:divBdr>
        <w:top w:val="none" w:sz="0" w:space="0" w:color="auto"/>
        <w:left w:val="none" w:sz="0" w:space="0" w:color="auto"/>
        <w:bottom w:val="none" w:sz="0" w:space="0" w:color="auto"/>
        <w:right w:val="none" w:sz="0" w:space="0" w:color="auto"/>
      </w:divBdr>
    </w:div>
    <w:div w:id="1185555514">
      <w:marLeft w:val="0"/>
      <w:marRight w:val="0"/>
      <w:marTop w:val="180"/>
      <w:marBottom w:val="0"/>
      <w:divBdr>
        <w:top w:val="none" w:sz="0" w:space="0" w:color="auto"/>
        <w:left w:val="none" w:sz="0" w:space="0" w:color="auto"/>
        <w:bottom w:val="none" w:sz="0" w:space="0" w:color="auto"/>
        <w:right w:val="none" w:sz="0" w:space="0" w:color="auto"/>
      </w:divBdr>
      <w:divsChild>
        <w:div w:id="2143763820">
          <w:marLeft w:val="0"/>
          <w:marRight w:val="0"/>
          <w:marTop w:val="0"/>
          <w:marBottom w:val="0"/>
          <w:divBdr>
            <w:top w:val="none" w:sz="0" w:space="0" w:color="auto"/>
            <w:left w:val="none" w:sz="0" w:space="0" w:color="auto"/>
            <w:bottom w:val="none" w:sz="0" w:space="0" w:color="auto"/>
            <w:right w:val="none" w:sz="0" w:space="0" w:color="auto"/>
          </w:divBdr>
        </w:div>
        <w:div w:id="2074768323">
          <w:marLeft w:val="0"/>
          <w:marRight w:val="0"/>
          <w:marTop w:val="0"/>
          <w:marBottom w:val="0"/>
          <w:divBdr>
            <w:top w:val="none" w:sz="0" w:space="0" w:color="auto"/>
            <w:left w:val="none" w:sz="0" w:space="0" w:color="auto"/>
            <w:bottom w:val="none" w:sz="0" w:space="0" w:color="auto"/>
            <w:right w:val="none" w:sz="0" w:space="0" w:color="auto"/>
          </w:divBdr>
        </w:div>
        <w:div w:id="898637609">
          <w:marLeft w:val="0"/>
          <w:marRight w:val="0"/>
          <w:marTop w:val="0"/>
          <w:marBottom w:val="0"/>
          <w:divBdr>
            <w:top w:val="none" w:sz="0" w:space="0" w:color="auto"/>
            <w:left w:val="none" w:sz="0" w:space="0" w:color="auto"/>
            <w:bottom w:val="none" w:sz="0" w:space="0" w:color="auto"/>
            <w:right w:val="none" w:sz="0" w:space="0" w:color="auto"/>
          </w:divBdr>
        </w:div>
        <w:div w:id="1818262349">
          <w:marLeft w:val="0"/>
          <w:marRight w:val="0"/>
          <w:marTop w:val="0"/>
          <w:marBottom w:val="0"/>
          <w:divBdr>
            <w:top w:val="none" w:sz="0" w:space="0" w:color="auto"/>
            <w:left w:val="none" w:sz="0" w:space="0" w:color="auto"/>
            <w:bottom w:val="none" w:sz="0" w:space="0" w:color="auto"/>
            <w:right w:val="none" w:sz="0" w:space="0" w:color="auto"/>
          </w:divBdr>
        </w:div>
      </w:divsChild>
    </w:div>
    <w:div w:id="1185630453">
      <w:marLeft w:val="0"/>
      <w:marRight w:val="0"/>
      <w:marTop w:val="0"/>
      <w:marBottom w:val="100"/>
      <w:divBdr>
        <w:top w:val="none" w:sz="0" w:space="0" w:color="auto"/>
        <w:left w:val="none" w:sz="0" w:space="0" w:color="auto"/>
        <w:bottom w:val="none" w:sz="0" w:space="0" w:color="auto"/>
        <w:right w:val="none" w:sz="0" w:space="0" w:color="auto"/>
      </w:divBdr>
    </w:div>
    <w:div w:id="1186752604">
      <w:marLeft w:val="0"/>
      <w:marRight w:val="0"/>
      <w:marTop w:val="0"/>
      <w:marBottom w:val="100"/>
      <w:divBdr>
        <w:top w:val="none" w:sz="0" w:space="0" w:color="auto"/>
        <w:left w:val="none" w:sz="0" w:space="0" w:color="auto"/>
        <w:bottom w:val="none" w:sz="0" w:space="0" w:color="auto"/>
        <w:right w:val="none" w:sz="0" w:space="0" w:color="auto"/>
      </w:divBdr>
    </w:div>
    <w:div w:id="1187864151">
      <w:marLeft w:val="0"/>
      <w:marRight w:val="0"/>
      <w:marTop w:val="0"/>
      <w:marBottom w:val="100"/>
      <w:divBdr>
        <w:top w:val="none" w:sz="0" w:space="0" w:color="auto"/>
        <w:left w:val="none" w:sz="0" w:space="0" w:color="auto"/>
        <w:bottom w:val="none" w:sz="0" w:space="0" w:color="auto"/>
        <w:right w:val="none" w:sz="0" w:space="0" w:color="auto"/>
      </w:divBdr>
    </w:div>
    <w:div w:id="1188329269">
      <w:marLeft w:val="0"/>
      <w:marRight w:val="0"/>
      <w:marTop w:val="0"/>
      <w:marBottom w:val="100"/>
      <w:divBdr>
        <w:top w:val="none" w:sz="0" w:space="0" w:color="auto"/>
        <w:left w:val="none" w:sz="0" w:space="0" w:color="auto"/>
        <w:bottom w:val="none" w:sz="0" w:space="0" w:color="auto"/>
        <w:right w:val="none" w:sz="0" w:space="0" w:color="auto"/>
      </w:divBdr>
    </w:div>
    <w:div w:id="1189296719">
      <w:marLeft w:val="0"/>
      <w:marRight w:val="0"/>
      <w:marTop w:val="0"/>
      <w:marBottom w:val="0"/>
      <w:divBdr>
        <w:top w:val="none" w:sz="0" w:space="0" w:color="auto"/>
        <w:left w:val="none" w:sz="0" w:space="0" w:color="auto"/>
        <w:bottom w:val="none" w:sz="0" w:space="0" w:color="auto"/>
        <w:right w:val="none" w:sz="0" w:space="0" w:color="auto"/>
      </w:divBdr>
      <w:divsChild>
        <w:div w:id="1908609380">
          <w:marLeft w:val="0"/>
          <w:marRight w:val="0"/>
          <w:marTop w:val="0"/>
          <w:marBottom w:val="0"/>
          <w:divBdr>
            <w:top w:val="none" w:sz="0" w:space="0" w:color="auto"/>
            <w:left w:val="none" w:sz="0" w:space="0" w:color="auto"/>
            <w:bottom w:val="none" w:sz="0" w:space="0" w:color="auto"/>
            <w:right w:val="none" w:sz="0" w:space="0" w:color="auto"/>
          </w:divBdr>
          <w:divsChild>
            <w:div w:id="196681544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192380227">
      <w:marLeft w:val="0"/>
      <w:marRight w:val="0"/>
      <w:marTop w:val="0"/>
      <w:marBottom w:val="0"/>
      <w:divBdr>
        <w:top w:val="none" w:sz="0" w:space="0" w:color="auto"/>
        <w:left w:val="none" w:sz="0" w:space="0" w:color="auto"/>
        <w:bottom w:val="none" w:sz="0" w:space="0" w:color="auto"/>
        <w:right w:val="none" w:sz="0" w:space="0" w:color="auto"/>
      </w:divBdr>
      <w:divsChild>
        <w:div w:id="800076375">
          <w:marLeft w:val="0"/>
          <w:marRight w:val="0"/>
          <w:marTop w:val="0"/>
          <w:marBottom w:val="0"/>
          <w:divBdr>
            <w:top w:val="none" w:sz="0" w:space="0" w:color="auto"/>
            <w:left w:val="none" w:sz="0" w:space="0" w:color="auto"/>
            <w:bottom w:val="none" w:sz="0" w:space="0" w:color="auto"/>
            <w:right w:val="none" w:sz="0" w:space="0" w:color="auto"/>
          </w:divBdr>
          <w:divsChild>
            <w:div w:id="66532563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192844338">
      <w:marLeft w:val="0"/>
      <w:marRight w:val="0"/>
      <w:marTop w:val="0"/>
      <w:marBottom w:val="0"/>
      <w:divBdr>
        <w:top w:val="none" w:sz="0" w:space="0" w:color="auto"/>
        <w:left w:val="none" w:sz="0" w:space="0" w:color="auto"/>
        <w:bottom w:val="none" w:sz="0" w:space="0" w:color="auto"/>
        <w:right w:val="none" w:sz="0" w:space="0" w:color="auto"/>
      </w:divBdr>
    </w:div>
    <w:div w:id="1193153505">
      <w:marLeft w:val="0"/>
      <w:marRight w:val="0"/>
      <w:marTop w:val="0"/>
      <w:marBottom w:val="0"/>
      <w:divBdr>
        <w:top w:val="none" w:sz="0" w:space="0" w:color="auto"/>
        <w:left w:val="none" w:sz="0" w:space="0" w:color="auto"/>
        <w:bottom w:val="none" w:sz="0" w:space="0" w:color="auto"/>
        <w:right w:val="none" w:sz="0" w:space="0" w:color="auto"/>
      </w:divBdr>
    </w:div>
    <w:div w:id="1196499750">
      <w:marLeft w:val="0"/>
      <w:marRight w:val="0"/>
      <w:marTop w:val="0"/>
      <w:marBottom w:val="0"/>
      <w:divBdr>
        <w:top w:val="none" w:sz="0" w:space="0" w:color="auto"/>
        <w:left w:val="none" w:sz="0" w:space="0" w:color="auto"/>
        <w:bottom w:val="none" w:sz="0" w:space="0" w:color="auto"/>
        <w:right w:val="none" w:sz="0" w:space="0" w:color="auto"/>
      </w:divBdr>
      <w:divsChild>
        <w:div w:id="803817122">
          <w:marLeft w:val="0"/>
          <w:marRight w:val="0"/>
          <w:marTop w:val="0"/>
          <w:marBottom w:val="100"/>
          <w:divBdr>
            <w:top w:val="none" w:sz="0" w:space="0" w:color="auto"/>
            <w:left w:val="none" w:sz="0" w:space="0" w:color="auto"/>
            <w:bottom w:val="none" w:sz="0" w:space="0" w:color="auto"/>
            <w:right w:val="none" w:sz="0" w:space="0" w:color="auto"/>
          </w:divBdr>
        </w:div>
      </w:divsChild>
    </w:div>
    <w:div w:id="1199125272">
      <w:marLeft w:val="0"/>
      <w:marRight w:val="0"/>
      <w:marTop w:val="180"/>
      <w:marBottom w:val="0"/>
      <w:divBdr>
        <w:top w:val="none" w:sz="0" w:space="0" w:color="auto"/>
        <w:left w:val="none" w:sz="0" w:space="0" w:color="auto"/>
        <w:bottom w:val="none" w:sz="0" w:space="0" w:color="auto"/>
        <w:right w:val="none" w:sz="0" w:space="0" w:color="auto"/>
      </w:divBdr>
    </w:div>
    <w:div w:id="1199782551">
      <w:marLeft w:val="0"/>
      <w:marRight w:val="0"/>
      <w:marTop w:val="0"/>
      <w:marBottom w:val="100"/>
      <w:divBdr>
        <w:top w:val="none" w:sz="0" w:space="0" w:color="auto"/>
        <w:left w:val="none" w:sz="0" w:space="0" w:color="auto"/>
        <w:bottom w:val="none" w:sz="0" w:space="0" w:color="auto"/>
        <w:right w:val="none" w:sz="0" w:space="0" w:color="auto"/>
      </w:divBdr>
    </w:div>
    <w:div w:id="1201164259">
      <w:marLeft w:val="0"/>
      <w:marRight w:val="0"/>
      <w:marTop w:val="0"/>
      <w:marBottom w:val="100"/>
      <w:divBdr>
        <w:top w:val="none" w:sz="0" w:space="0" w:color="auto"/>
        <w:left w:val="none" w:sz="0" w:space="0" w:color="auto"/>
        <w:bottom w:val="none" w:sz="0" w:space="0" w:color="auto"/>
        <w:right w:val="none" w:sz="0" w:space="0" w:color="auto"/>
      </w:divBdr>
    </w:div>
    <w:div w:id="1201435767">
      <w:marLeft w:val="0"/>
      <w:marRight w:val="0"/>
      <w:marTop w:val="0"/>
      <w:marBottom w:val="100"/>
      <w:divBdr>
        <w:top w:val="none" w:sz="0" w:space="0" w:color="auto"/>
        <w:left w:val="none" w:sz="0" w:space="0" w:color="auto"/>
        <w:bottom w:val="none" w:sz="0" w:space="0" w:color="auto"/>
        <w:right w:val="none" w:sz="0" w:space="0" w:color="auto"/>
      </w:divBdr>
    </w:div>
    <w:div w:id="1205102189">
      <w:marLeft w:val="0"/>
      <w:marRight w:val="0"/>
      <w:marTop w:val="0"/>
      <w:marBottom w:val="100"/>
      <w:divBdr>
        <w:top w:val="none" w:sz="0" w:space="0" w:color="auto"/>
        <w:left w:val="none" w:sz="0" w:space="0" w:color="auto"/>
        <w:bottom w:val="none" w:sz="0" w:space="0" w:color="auto"/>
        <w:right w:val="none" w:sz="0" w:space="0" w:color="auto"/>
      </w:divBdr>
    </w:div>
    <w:div w:id="1207521668">
      <w:marLeft w:val="0"/>
      <w:marRight w:val="0"/>
      <w:marTop w:val="0"/>
      <w:marBottom w:val="100"/>
      <w:divBdr>
        <w:top w:val="none" w:sz="0" w:space="0" w:color="auto"/>
        <w:left w:val="none" w:sz="0" w:space="0" w:color="auto"/>
        <w:bottom w:val="none" w:sz="0" w:space="0" w:color="auto"/>
        <w:right w:val="none" w:sz="0" w:space="0" w:color="auto"/>
      </w:divBdr>
    </w:div>
    <w:div w:id="1207571145">
      <w:marLeft w:val="0"/>
      <w:marRight w:val="0"/>
      <w:marTop w:val="180"/>
      <w:marBottom w:val="0"/>
      <w:divBdr>
        <w:top w:val="none" w:sz="0" w:space="0" w:color="auto"/>
        <w:left w:val="none" w:sz="0" w:space="0" w:color="auto"/>
        <w:bottom w:val="none" w:sz="0" w:space="0" w:color="auto"/>
        <w:right w:val="none" w:sz="0" w:space="0" w:color="auto"/>
      </w:divBdr>
    </w:div>
    <w:div w:id="1209099844">
      <w:marLeft w:val="0"/>
      <w:marRight w:val="0"/>
      <w:marTop w:val="0"/>
      <w:marBottom w:val="100"/>
      <w:divBdr>
        <w:top w:val="none" w:sz="0" w:space="0" w:color="auto"/>
        <w:left w:val="none" w:sz="0" w:space="0" w:color="auto"/>
        <w:bottom w:val="none" w:sz="0" w:space="0" w:color="auto"/>
        <w:right w:val="none" w:sz="0" w:space="0" w:color="auto"/>
      </w:divBdr>
    </w:div>
    <w:div w:id="1212306157">
      <w:marLeft w:val="0"/>
      <w:marRight w:val="0"/>
      <w:marTop w:val="0"/>
      <w:marBottom w:val="0"/>
      <w:divBdr>
        <w:top w:val="none" w:sz="0" w:space="0" w:color="auto"/>
        <w:left w:val="none" w:sz="0" w:space="0" w:color="auto"/>
        <w:bottom w:val="none" w:sz="0" w:space="0" w:color="auto"/>
        <w:right w:val="none" w:sz="0" w:space="0" w:color="auto"/>
      </w:divBdr>
    </w:div>
    <w:div w:id="1213616686">
      <w:marLeft w:val="0"/>
      <w:marRight w:val="0"/>
      <w:marTop w:val="180"/>
      <w:marBottom w:val="0"/>
      <w:divBdr>
        <w:top w:val="none" w:sz="0" w:space="0" w:color="auto"/>
        <w:left w:val="none" w:sz="0" w:space="0" w:color="auto"/>
        <w:bottom w:val="none" w:sz="0" w:space="0" w:color="auto"/>
        <w:right w:val="none" w:sz="0" w:space="0" w:color="auto"/>
      </w:divBdr>
    </w:div>
    <w:div w:id="1214269235">
      <w:marLeft w:val="0"/>
      <w:marRight w:val="0"/>
      <w:marTop w:val="0"/>
      <w:marBottom w:val="100"/>
      <w:divBdr>
        <w:top w:val="none" w:sz="0" w:space="0" w:color="auto"/>
        <w:left w:val="none" w:sz="0" w:space="0" w:color="auto"/>
        <w:bottom w:val="none" w:sz="0" w:space="0" w:color="auto"/>
        <w:right w:val="none" w:sz="0" w:space="0" w:color="auto"/>
      </w:divBdr>
    </w:div>
    <w:div w:id="1214275036">
      <w:marLeft w:val="0"/>
      <w:marRight w:val="0"/>
      <w:marTop w:val="0"/>
      <w:marBottom w:val="0"/>
      <w:divBdr>
        <w:top w:val="none" w:sz="0" w:space="0" w:color="auto"/>
        <w:left w:val="none" w:sz="0" w:space="0" w:color="auto"/>
        <w:bottom w:val="none" w:sz="0" w:space="0" w:color="auto"/>
        <w:right w:val="none" w:sz="0" w:space="0" w:color="auto"/>
      </w:divBdr>
      <w:divsChild>
        <w:div w:id="1889103878">
          <w:marLeft w:val="0"/>
          <w:marRight w:val="0"/>
          <w:marTop w:val="0"/>
          <w:marBottom w:val="100"/>
          <w:divBdr>
            <w:top w:val="none" w:sz="0" w:space="0" w:color="auto"/>
            <w:left w:val="none" w:sz="0" w:space="0" w:color="auto"/>
            <w:bottom w:val="none" w:sz="0" w:space="0" w:color="auto"/>
            <w:right w:val="none" w:sz="0" w:space="0" w:color="auto"/>
          </w:divBdr>
        </w:div>
      </w:divsChild>
    </w:div>
    <w:div w:id="1214275607">
      <w:marLeft w:val="0"/>
      <w:marRight w:val="0"/>
      <w:marTop w:val="0"/>
      <w:marBottom w:val="100"/>
      <w:divBdr>
        <w:top w:val="none" w:sz="0" w:space="0" w:color="auto"/>
        <w:left w:val="none" w:sz="0" w:space="0" w:color="auto"/>
        <w:bottom w:val="none" w:sz="0" w:space="0" w:color="auto"/>
        <w:right w:val="none" w:sz="0" w:space="0" w:color="auto"/>
      </w:divBdr>
    </w:div>
    <w:div w:id="1214347216">
      <w:marLeft w:val="0"/>
      <w:marRight w:val="0"/>
      <w:marTop w:val="0"/>
      <w:marBottom w:val="100"/>
      <w:divBdr>
        <w:top w:val="none" w:sz="0" w:space="0" w:color="auto"/>
        <w:left w:val="none" w:sz="0" w:space="0" w:color="auto"/>
        <w:bottom w:val="none" w:sz="0" w:space="0" w:color="auto"/>
        <w:right w:val="none" w:sz="0" w:space="0" w:color="auto"/>
      </w:divBdr>
    </w:div>
    <w:div w:id="1215509503">
      <w:marLeft w:val="0"/>
      <w:marRight w:val="0"/>
      <w:marTop w:val="0"/>
      <w:marBottom w:val="100"/>
      <w:divBdr>
        <w:top w:val="none" w:sz="0" w:space="0" w:color="auto"/>
        <w:left w:val="none" w:sz="0" w:space="0" w:color="auto"/>
        <w:bottom w:val="none" w:sz="0" w:space="0" w:color="auto"/>
        <w:right w:val="none" w:sz="0" w:space="0" w:color="auto"/>
      </w:divBdr>
    </w:div>
    <w:div w:id="1216507721">
      <w:marLeft w:val="0"/>
      <w:marRight w:val="0"/>
      <w:marTop w:val="0"/>
      <w:marBottom w:val="100"/>
      <w:divBdr>
        <w:top w:val="none" w:sz="0" w:space="0" w:color="auto"/>
        <w:left w:val="none" w:sz="0" w:space="0" w:color="auto"/>
        <w:bottom w:val="none" w:sz="0" w:space="0" w:color="auto"/>
        <w:right w:val="none" w:sz="0" w:space="0" w:color="auto"/>
      </w:divBdr>
    </w:div>
    <w:div w:id="1216545649">
      <w:marLeft w:val="0"/>
      <w:marRight w:val="0"/>
      <w:marTop w:val="180"/>
      <w:marBottom w:val="0"/>
      <w:divBdr>
        <w:top w:val="none" w:sz="0" w:space="0" w:color="auto"/>
        <w:left w:val="none" w:sz="0" w:space="0" w:color="auto"/>
        <w:bottom w:val="none" w:sz="0" w:space="0" w:color="auto"/>
        <w:right w:val="none" w:sz="0" w:space="0" w:color="auto"/>
      </w:divBdr>
    </w:div>
    <w:div w:id="1216625278">
      <w:marLeft w:val="0"/>
      <w:marRight w:val="0"/>
      <w:marTop w:val="180"/>
      <w:marBottom w:val="0"/>
      <w:divBdr>
        <w:top w:val="none" w:sz="0" w:space="0" w:color="auto"/>
        <w:left w:val="none" w:sz="0" w:space="0" w:color="auto"/>
        <w:bottom w:val="none" w:sz="0" w:space="0" w:color="auto"/>
        <w:right w:val="none" w:sz="0" w:space="0" w:color="auto"/>
      </w:divBdr>
    </w:div>
    <w:div w:id="1217202368">
      <w:marLeft w:val="0"/>
      <w:marRight w:val="0"/>
      <w:marTop w:val="0"/>
      <w:marBottom w:val="100"/>
      <w:divBdr>
        <w:top w:val="none" w:sz="0" w:space="0" w:color="auto"/>
        <w:left w:val="none" w:sz="0" w:space="0" w:color="auto"/>
        <w:bottom w:val="none" w:sz="0" w:space="0" w:color="auto"/>
        <w:right w:val="none" w:sz="0" w:space="0" w:color="auto"/>
      </w:divBdr>
    </w:div>
    <w:div w:id="1217476865">
      <w:marLeft w:val="0"/>
      <w:marRight w:val="0"/>
      <w:marTop w:val="0"/>
      <w:marBottom w:val="100"/>
      <w:divBdr>
        <w:top w:val="none" w:sz="0" w:space="0" w:color="auto"/>
        <w:left w:val="none" w:sz="0" w:space="0" w:color="auto"/>
        <w:bottom w:val="none" w:sz="0" w:space="0" w:color="auto"/>
        <w:right w:val="none" w:sz="0" w:space="0" w:color="auto"/>
      </w:divBdr>
    </w:div>
    <w:div w:id="1217741096">
      <w:marLeft w:val="0"/>
      <w:marRight w:val="0"/>
      <w:marTop w:val="0"/>
      <w:marBottom w:val="100"/>
      <w:divBdr>
        <w:top w:val="none" w:sz="0" w:space="0" w:color="auto"/>
        <w:left w:val="none" w:sz="0" w:space="0" w:color="auto"/>
        <w:bottom w:val="none" w:sz="0" w:space="0" w:color="auto"/>
        <w:right w:val="none" w:sz="0" w:space="0" w:color="auto"/>
      </w:divBdr>
    </w:div>
    <w:div w:id="1218082524">
      <w:marLeft w:val="0"/>
      <w:marRight w:val="0"/>
      <w:marTop w:val="180"/>
      <w:marBottom w:val="0"/>
      <w:divBdr>
        <w:top w:val="none" w:sz="0" w:space="0" w:color="auto"/>
        <w:left w:val="none" w:sz="0" w:space="0" w:color="auto"/>
        <w:bottom w:val="none" w:sz="0" w:space="0" w:color="auto"/>
        <w:right w:val="none" w:sz="0" w:space="0" w:color="auto"/>
      </w:divBdr>
    </w:div>
    <w:div w:id="1218123692">
      <w:marLeft w:val="0"/>
      <w:marRight w:val="0"/>
      <w:marTop w:val="180"/>
      <w:marBottom w:val="0"/>
      <w:divBdr>
        <w:top w:val="none" w:sz="0" w:space="0" w:color="auto"/>
        <w:left w:val="none" w:sz="0" w:space="0" w:color="auto"/>
        <w:bottom w:val="none" w:sz="0" w:space="0" w:color="auto"/>
        <w:right w:val="none" w:sz="0" w:space="0" w:color="auto"/>
      </w:divBdr>
    </w:div>
    <w:div w:id="1218316832">
      <w:marLeft w:val="0"/>
      <w:marRight w:val="0"/>
      <w:marTop w:val="0"/>
      <w:marBottom w:val="0"/>
      <w:divBdr>
        <w:top w:val="none" w:sz="0" w:space="0" w:color="auto"/>
        <w:left w:val="none" w:sz="0" w:space="0" w:color="auto"/>
        <w:bottom w:val="none" w:sz="0" w:space="0" w:color="auto"/>
        <w:right w:val="none" w:sz="0" w:space="0" w:color="auto"/>
      </w:divBdr>
      <w:divsChild>
        <w:div w:id="969941016">
          <w:marLeft w:val="0"/>
          <w:marRight w:val="0"/>
          <w:marTop w:val="0"/>
          <w:marBottom w:val="100"/>
          <w:divBdr>
            <w:top w:val="none" w:sz="0" w:space="0" w:color="auto"/>
            <w:left w:val="none" w:sz="0" w:space="0" w:color="auto"/>
            <w:bottom w:val="none" w:sz="0" w:space="0" w:color="auto"/>
            <w:right w:val="none" w:sz="0" w:space="0" w:color="auto"/>
          </w:divBdr>
        </w:div>
      </w:divsChild>
    </w:div>
    <w:div w:id="1220554909">
      <w:marLeft w:val="0"/>
      <w:marRight w:val="0"/>
      <w:marTop w:val="0"/>
      <w:marBottom w:val="0"/>
      <w:divBdr>
        <w:top w:val="none" w:sz="0" w:space="0" w:color="auto"/>
        <w:left w:val="none" w:sz="0" w:space="0" w:color="auto"/>
        <w:bottom w:val="none" w:sz="0" w:space="0" w:color="auto"/>
        <w:right w:val="none" w:sz="0" w:space="0" w:color="auto"/>
      </w:divBdr>
      <w:divsChild>
        <w:div w:id="281502709">
          <w:marLeft w:val="0"/>
          <w:marRight w:val="0"/>
          <w:marTop w:val="0"/>
          <w:marBottom w:val="0"/>
          <w:divBdr>
            <w:top w:val="none" w:sz="0" w:space="0" w:color="auto"/>
            <w:left w:val="none" w:sz="0" w:space="0" w:color="auto"/>
            <w:bottom w:val="none" w:sz="0" w:space="0" w:color="auto"/>
            <w:right w:val="none" w:sz="0" w:space="0" w:color="auto"/>
          </w:divBdr>
          <w:divsChild>
            <w:div w:id="156421428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221601537">
      <w:marLeft w:val="0"/>
      <w:marRight w:val="0"/>
      <w:marTop w:val="0"/>
      <w:marBottom w:val="100"/>
      <w:divBdr>
        <w:top w:val="none" w:sz="0" w:space="0" w:color="auto"/>
        <w:left w:val="none" w:sz="0" w:space="0" w:color="auto"/>
        <w:bottom w:val="none" w:sz="0" w:space="0" w:color="auto"/>
        <w:right w:val="none" w:sz="0" w:space="0" w:color="auto"/>
      </w:divBdr>
    </w:div>
    <w:div w:id="1224025381">
      <w:marLeft w:val="0"/>
      <w:marRight w:val="0"/>
      <w:marTop w:val="0"/>
      <w:marBottom w:val="100"/>
      <w:divBdr>
        <w:top w:val="none" w:sz="0" w:space="0" w:color="auto"/>
        <w:left w:val="none" w:sz="0" w:space="0" w:color="auto"/>
        <w:bottom w:val="none" w:sz="0" w:space="0" w:color="auto"/>
        <w:right w:val="none" w:sz="0" w:space="0" w:color="auto"/>
      </w:divBdr>
    </w:div>
    <w:div w:id="1228952006">
      <w:marLeft w:val="0"/>
      <w:marRight w:val="0"/>
      <w:marTop w:val="0"/>
      <w:marBottom w:val="0"/>
      <w:divBdr>
        <w:top w:val="none" w:sz="0" w:space="0" w:color="auto"/>
        <w:left w:val="none" w:sz="0" w:space="0" w:color="auto"/>
        <w:bottom w:val="none" w:sz="0" w:space="0" w:color="auto"/>
        <w:right w:val="none" w:sz="0" w:space="0" w:color="auto"/>
      </w:divBdr>
    </w:div>
    <w:div w:id="1229194584">
      <w:marLeft w:val="0"/>
      <w:marRight w:val="0"/>
      <w:marTop w:val="0"/>
      <w:marBottom w:val="100"/>
      <w:divBdr>
        <w:top w:val="none" w:sz="0" w:space="0" w:color="auto"/>
        <w:left w:val="none" w:sz="0" w:space="0" w:color="auto"/>
        <w:bottom w:val="none" w:sz="0" w:space="0" w:color="auto"/>
        <w:right w:val="none" w:sz="0" w:space="0" w:color="auto"/>
      </w:divBdr>
    </w:div>
    <w:div w:id="1231231684">
      <w:marLeft w:val="0"/>
      <w:marRight w:val="0"/>
      <w:marTop w:val="0"/>
      <w:marBottom w:val="100"/>
      <w:divBdr>
        <w:top w:val="none" w:sz="0" w:space="0" w:color="auto"/>
        <w:left w:val="none" w:sz="0" w:space="0" w:color="auto"/>
        <w:bottom w:val="none" w:sz="0" w:space="0" w:color="auto"/>
        <w:right w:val="none" w:sz="0" w:space="0" w:color="auto"/>
      </w:divBdr>
    </w:div>
    <w:div w:id="1232691922">
      <w:marLeft w:val="0"/>
      <w:marRight w:val="0"/>
      <w:marTop w:val="180"/>
      <w:marBottom w:val="0"/>
      <w:divBdr>
        <w:top w:val="none" w:sz="0" w:space="0" w:color="auto"/>
        <w:left w:val="none" w:sz="0" w:space="0" w:color="auto"/>
        <w:bottom w:val="none" w:sz="0" w:space="0" w:color="auto"/>
        <w:right w:val="none" w:sz="0" w:space="0" w:color="auto"/>
      </w:divBdr>
    </w:div>
    <w:div w:id="1239167846">
      <w:marLeft w:val="0"/>
      <w:marRight w:val="0"/>
      <w:marTop w:val="180"/>
      <w:marBottom w:val="0"/>
      <w:divBdr>
        <w:top w:val="none" w:sz="0" w:space="0" w:color="auto"/>
        <w:left w:val="none" w:sz="0" w:space="0" w:color="auto"/>
        <w:bottom w:val="none" w:sz="0" w:space="0" w:color="auto"/>
        <w:right w:val="none" w:sz="0" w:space="0" w:color="auto"/>
      </w:divBdr>
    </w:div>
    <w:div w:id="1239438142">
      <w:marLeft w:val="0"/>
      <w:marRight w:val="0"/>
      <w:marTop w:val="0"/>
      <w:marBottom w:val="0"/>
      <w:divBdr>
        <w:top w:val="none" w:sz="0" w:space="0" w:color="auto"/>
        <w:left w:val="none" w:sz="0" w:space="0" w:color="auto"/>
        <w:bottom w:val="none" w:sz="0" w:space="0" w:color="auto"/>
        <w:right w:val="none" w:sz="0" w:space="0" w:color="auto"/>
      </w:divBdr>
    </w:div>
    <w:div w:id="1239826350">
      <w:marLeft w:val="0"/>
      <w:marRight w:val="0"/>
      <w:marTop w:val="0"/>
      <w:marBottom w:val="0"/>
      <w:divBdr>
        <w:top w:val="none" w:sz="0" w:space="0" w:color="auto"/>
        <w:left w:val="none" w:sz="0" w:space="0" w:color="auto"/>
        <w:bottom w:val="none" w:sz="0" w:space="0" w:color="auto"/>
        <w:right w:val="none" w:sz="0" w:space="0" w:color="auto"/>
      </w:divBdr>
    </w:div>
    <w:div w:id="1240285770">
      <w:marLeft w:val="0"/>
      <w:marRight w:val="0"/>
      <w:marTop w:val="0"/>
      <w:marBottom w:val="100"/>
      <w:divBdr>
        <w:top w:val="none" w:sz="0" w:space="0" w:color="auto"/>
        <w:left w:val="none" w:sz="0" w:space="0" w:color="auto"/>
        <w:bottom w:val="none" w:sz="0" w:space="0" w:color="auto"/>
        <w:right w:val="none" w:sz="0" w:space="0" w:color="auto"/>
      </w:divBdr>
    </w:div>
    <w:div w:id="1241331121">
      <w:marLeft w:val="0"/>
      <w:marRight w:val="0"/>
      <w:marTop w:val="0"/>
      <w:marBottom w:val="0"/>
      <w:divBdr>
        <w:top w:val="none" w:sz="0" w:space="0" w:color="auto"/>
        <w:left w:val="none" w:sz="0" w:space="0" w:color="auto"/>
        <w:bottom w:val="none" w:sz="0" w:space="0" w:color="auto"/>
        <w:right w:val="none" w:sz="0" w:space="0" w:color="auto"/>
      </w:divBdr>
      <w:divsChild>
        <w:div w:id="52120867">
          <w:marLeft w:val="0"/>
          <w:marRight w:val="0"/>
          <w:marTop w:val="0"/>
          <w:marBottom w:val="100"/>
          <w:divBdr>
            <w:top w:val="none" w:sz="0" w:space="0" w:color="auto"/>
            <w:left w:val="none" w:sz="0" w:space="0" w:color="auto"/>
            <w:bottom w:val="none" w:sz="0" w:space="0" w:color="auto"/>
            <w:right w:val="none" w:sz="0" w:space="0" w:color="auto"/>
          </w:divBdr>
        </w:div>
      </w:divsChild>
    </w:div>
    <w:div w:id="1241676326">
      <w:marLeft w:val="0"/>
      <w:marRight w:val="0"/>
      <w:marTop w:val="0"/>
      <w:marBottom w:val="0"/>
      <w:divBdr>
        <w:top w:val="none" w:sz="0" w:space="0" w:color="auto"/>
        <w:left w:val="none" w:sz="0" w:space="0" w:color="auto"/>
        <w:bottom w:val="none" w:sz="0" w:space="0" w:color="auto"/>
        <w:right w:val="none" w:sz="0" w:space="0" w:color="auto"/>
      </w:divBdr>
      <w:divsChild>
        <w:div w:id="698513185">
          <w:marLeft w:val="0"/>
          <w:marRight w:val="0"/>
          <w:marTop w:val="0"/>
          <w:marBottom w:val="100"/>
          <w:divBdr>
            <w:top w:val="none" w:sz="0" w:space="0" w:color="auto"/>
            <w:left w:val="none" w:sz="0" w:space="0" w:color="auto"/>
            <w:bottom w:val="none" w:sz="0" w:space="0" w:color="auto"/>
            <w:right w:val="none" w:sz="0" w:space="0" w:color="auto"/>
          </w:divBdr>
        </w:div>
      </w:divsChild>
    </w:div>
    <w:div w:id="1242328049">
      <w:marLeft w:val="0"/>
      <w:marRight w:val="0"/>
      <w:marTop w:val="0"/>
      <w:marBottom w:val="100"/>
      <w:divBdr>
        <w:top w:val="none" w:sz="0" w:space="0" w:color="auto"/>
        <w:left w:val="none" w:sz="0" w:space="0" w:color="auto"/>
        <w:bottom w:val="none" w:sz="0" w:space="0" w:color="auto"/>
        <w:right w:val="none" w:sz="0" w:space="0" w:color="auto"/>
      </w:divBdr>
    </w:div>
    <w:div w:id="1242644320">
      <w:marLeft w:val="0"/>
      <w:marRight w:val="0"/>
      <w:marTop w:val="180"/>
      <w:marBottom w:val="0"/>
      <w:divBdr>
        <w:top w:val="none" w:sz="0" w:space="0" w:color="auto"/>
        <w:left w:val="none" w:sz="0" w:space="0" w:color="auto"/>
        <w:bottom w:val="none" w:sz="0" w:space="0" w:color="auto"/>
        <w:right w:val="none" w:sz="0" w:space="0" w:color="auto"/>
      </w:divBdr>
    </w:div>
    <w:div w:id="1246845658">
      <w:marLeft w:val="0"/>
      <w:marRight w:val="0"/>
      <w:marTop w:val="0"/>
      <w:marBottom w:val="0"/>
      <w:divBdr>
        <w:top w:val="none" w:sz="0" w:space="0" w:color="auto"/>
        <w:left w:val="none" w:sz="0" w:space="0" w:color="auto"/>
        <w:bottom w:val="none" w:sz="0" w:space="0" w:color="auto"/>
        <w:right w:val="none" w:sz="0" w:space="0" w:color="auto"/>
      </w:divBdr>
    </w:div>
    <w:div w:id="1246913204">
      <w:marLeft w:val="0"/>
      <w:marRight w:val="0"/>
      <w:marTop w:val="0"/>
      <w:marBottom w:val="0"/>
      <w:divBdr>
        <w:top w:val="none" w:sz="0" w:space="0" w:color="auto"/>
        <w:left w:val="none" w:sz="0" w:space="0" w:color="auto"/>
        <w:bottom w:val="none" w:sz="0" w:space="0" w:color="auto"/>
        <w:right w:val="none" w:sz="0" w:space="0" w:color="auto"/>
      </w:divBdr>
    </w:div>
    <w:div w:id="1247617625">
      <w:marLeft w:val="0"/>
      <w:marRight w:val="0"/>
      <w:marTop w:val="0"/>
      <w:marBottom w:val="100"/>
      <w:divBdr>
        <w:top w:val="none" w:sz="0" w:space="0" w:color="auto"/>
        <w:left w:val="none" w:sz="0" w:space="0" w:color="auto"/>
        <w:bottom w:val="none" w:sz="0" w:space="0" w:color="auto"/>
        <w:right w:val="none" w:sz="0" w:space="0" w:color="auto"/>
      </w:divBdr>
    </w:div>
    <w:div w:id="1247837310">
      <w:marLeft w:val="0"/>
      <w:marRight w:val="0"/>
      <w:marTop w:val="0"/>
      <w:marBottom w:val="0"/>
      <w:divBdr>
        <w:top w:val="none" w:sz="0" w:space="0" w:color="auto"/>
        <w:left w:val="none" w:sz="0" w:space="0" w:color="auto"/>
        <w:bottom w:val="none" w:sz="0" w:space="0" w:color="auto"/>
        <w:right w:val="none" w:sz="0" w:space="0" w:color="auto"/>
      </w:divBdr>
      <w:divsChild>
        <w:div w:id="1553421033">
          <w:marLeft w:val="0"/>
          <w:marRight w:val="0"/>
          <w:marTop w:val="0"/>
          <w:marBottom w:val="100"/>
          <w:divBdr>
            <w:top w:val="none" w:sz="0" w:space="0" w:color="auto"/>
            <w:left w:val="none" w:sz="0" w:space="0" w:color="auto"/>
            <w:bottom w:val="none" w:sz="0" w:space="0" w:color="auto"/>
            <w:right w:val="none" w:sz="0" w:space="0" w:color="auto"/>
          </w:divBdr>
        </w:div>
      </w:divsChild>
    </w:div>
    <w:div w:id="1251962166">
      <w:marLeft w:val="0"/>
      <w:marRight w:val="0"/>
      <w:marTop w:val="0"/>
      <w:marBottom w:val="100"/>
      <w:divBdr>
        <w:top w:val="none" w:sz="0" w:space="0" w:color="auto"/>
        <w:left w:val="none" w:sz="0" w:space="0" w:color="auto"/>
        <w:bottom w:val="none" w:sz="0" w:space="0" w:color="auto"/>
        <w:right w:val="none" w:sz="0" w:space="0" w:color="auto"/>
      </w:divBdr>
    </w:div>
    <w:div w:id="1252201700">
      <w:marLeft w:val="0"/>
      <w:marRight w:val="0"/>
      <w:marTop w:val="0"/>
      <w:marBottom w:val="100"/>
      <w:divBdr>
        <w:top w:val="none" w:sz="0" w:space="0" w:color="auto"/>
        <w:left w:val="none" w:sz="0" w:space="0" w:color="auto"/>
        <w:bottom w:val="none" w:sz="0" w:space="0" w:color="auto"/>
        <w:right w:val="none" w:sz="0" w:space="0" w:color="auto"/>
      </w:divBdr>
    </w:div>
    <w:div w:id="1252546566">
      <w:marLeft w:val="0"/>
      <w:marRight w:val="0"/>
      <w:marTop w:val="0"/>
      <w:marBottom w:val="100"/>
      <w:divBdr>
        <w:top w:val="none" w:sz="0" w:space="0" w:color="auto"/>
        <w:left w:val="none" w:sz="0" w:space="0" w:color="auto"/>
        <w:bottom w:val="none" w:sz="0" w:space="0" w:color="auto"/>
        <w:right w:val="none" w:sz="0" w:space="0" w:color="auto"/>
      </w:divBdr>
    </w:div>
    <w:div w:id="1252549960">
      <w:marLeft w:val="0"/>
      <w:marRight w:val="0"/>
      <w:marTop w:val="180"/>
      <w:marBottom w:val="100"/>
      <w:divBdr>
        <w:top w:val="none" w:sz="0" w:space="0" w:color="auto"/>
        <w:left w:val="none" w:sz="0" w:space="0" w:color="auto"/>
        <w:bottom w:val="none" w:sz="0" w:space="0" w:color="auto"/>
        <w:right w:val="none" w:sz="0" w:space="0" w:color="auto"/>
      </w:divBdr>
    </w:div>
    <w:div w:id="1253051391">
      <w:marLeft w:val="0"/>
      <w:marRight w:val="0"/>
      <w:marTop w:val="0"/>
      <w:marBottom w:val="0"/>
      <w:divBdr>
        <w:top w:val="none" w:sz="0" w:space="0" w:color="auto"/>
        <w:left w:val="none" w:sz="0" w:space="0" w:color="auto"/>
        <w:bottom w:val="none" w:sz="0" w:space="0" w:color="auto"/>
        <w:right w:val="none" w:sz="0" w:space="0" w:color="auto"/>
      </w:divBdr>
      <w:divsChild>
        <w:div w:id="1818573807">
          <w:marLeft w:val="0"/>
          <w:marRight w:val="0"/>
          <w:marTop w:val="0"/>
          <w:marBottom w:val="100"/>
          <w:divBdr>
            <w:top w:val="none" w:sz="0" w:space="0" w:color="auto"/>
            <w:left w:val="none" w:sz="0" w:space="0" w:color="auto"/>
            <w:bottom w:val="none" w:sz="0" w:space="0" w:color="auto"/>
            <w:right w:val="none" w:sz="0" w:space="0" w:color="auto"/>
          </w:divBdr>
        </w:div>
      </w:divsChild>
    </w:div>
    <w:div w:id="1254164416">
      <w:marLeft w:val="0"/>
      <w:marRight w:val="0"/>
      <w:marTop w:val="0"/>
      <w:marBottom w:val="100"/>
      <w:divBdr>
        <w:top w:val="none" w:sz="0" w:space="0" w:color="auto"/>
        <w:left w:val="none" w:sz="0" w:space="0" w:color="auto"/>
        <w:bottom w:val="none" w:sz="0" w:space="0" w:color="auto"/>
        <w:right w:val="none" w:sz="0" w:space="0" w:color="auto"/>
      </w:divBdr>
    </w:div>
    <w:div w:id="1260064985">
      <w:marLeft w:val="0"/>
      <w:marRight w:val="0"/>
      <w:marTop w:val="0"/>
      <w:marBottom w:val="0"/>
      <w:divBdr>
        <w:top w:val="none" w:sz="0" w:space="0" w:color="auto"/>
        <w:left w:val="none" w:sz="0" w:space="0" w:color="auto"/>
        <w:bottom w:val="none" w:sz="0" w:space="0" w:color="auto"/>
        <w:right w:val="none" w:sz="0" w:space="0" w:color="auto"/>
      </w:divBdr>
      <w:divsChild>
        <w:div w:id="1004669908">
          <w:marLeft w:val="0"/>
          <w:marRight w:val="0"/>
          <w:marTop w:val="0"/>
          <w:marBottom w:val="0"/>
          <w:divBdr>
            <w:top w:val="none" w:sz="0" w:space="0" w:color="auto"/>
            <w:left w:val="none" w:sz="0" w:space="0" w:color="auto"/>
            <w:bottom w:val="none" w:sz="0" w:space="0" w:color="auto"/>
            <w:right w:val="none" w:sz="0" w:space="0" w:color="auto"/>
          </w:divBdr>
          <w:divsChild>
            <w:div w:id="67561950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261110451">
      <w:marLeft w:val="0"/>
      <w:marRight w:val="0"/>
      <w:marTop w:val="0"/>
      <w:marBottom w:val="100"/>
      <w:divBdr>
        <w:top w:val="none" w:sz="0" w:space="0" w:color="auto"/>
        <w:left w:val="none" w:sz="0" w:space="0" w:color="auto"/>
        <w:bottom w:val="none" w:sz="0" w:space="0" w:color="auto"/>
        <w:right w:val="none" w:sz="0" w:space="0" w:color="auto"/>
      </w:divBdr>
    </w:div>
    <w:div w:id="1263150709">
      <w:marLeft w:val="0"/>
      <w:marRight w:val="0"/>
      <w:marTop w:val="0"/>
      <w:marBottom w:val="100"/>
      <w:divBdr>
        <w:top w:val="none" w:sz="0" w:space="0" w:color="auto"/>
        <w:left w:val="none" w:sz="0" w:space="0" w:color="auto"/>
        <w:bottom w:val="none" w:sz="0" w:space="0" w:color="auto"/>
        <w:right w:val="none" w:sz="0" w:space="0" w:color="auto"/>
      </w:divBdr>
    </w:div>
    <w:div w:id="1263564041">
      <w:marLeft w:val="0"/>
      <w:marRight w:val="0"/>
      <w:marTop w:val="0"/>
      <w:marBottom w:val="0"/>
      <w:divBdr>
        <w:top w:val="none" w:sz="0" w:space="0" w:color="auto"/>
        <w:left w:val="none" w:sz="0" w:space="0" w:color="auto"/>
        <w:bottom w:val="none" w:sz="0" w:space="0" w:color="auto"/>
        <w:right w:val="none" w:sz="0" w:space="0" w:color="auto"/>
      </w:divBdr>
      <w:divsChild>
        <w:div w:id="1287615705">
          <w:marLeft w:val="0"/>
          <w:marRight w:val="0"/>
          <w:marTop w:val="0"/>
          <w:marBottom w:val="0"/>
          <w:divBdr>
            <w:top w:val="none" w:sz="0" w:space="0" w:color="auto"/>
            <w:left w:val="none" w:sz="0" w:space="0" w:color="auto"/>
            <w:bottom w:val="none" w:sz="0" w:space="0" w:color="auto"/>
            <w:right w:val="none" w:sz="0" w:space="0" w:color="auto"/>
          </w:divBdr>
          <w:divsChild>
            <w:div w:id="115614748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263761126">
      <w:marLeft w:val="0"/>
      <w:marRight w:val="0"/>
      <w:marTop w:val="100"/>
      <w:marBottom w:val="100"/>
      <w:divBdr>
        <w:top w:val="none" w:sz="0" w:space="0" w:color="auto"/>
        <w:left w:val="none" w:sz="0" w:space="0" w:color="auto"/>
        <w:bottom w:val="none" w:sz="0" w:space="0" w:color="auto"/>
        <w:right w:val="none" w:sz="0" w:space="0" w:color="auto"/>
      </w:divBdr>
    </w:div>
    <w:div w:id="1266419833">
      <w:marLeft w:val="0"/>
      <w:marRight w:val="0"/>
      <w:marTop w:val="180"/>
      <w:marBottom w:val="0"/>
      <w:divBdr>
        <w:top w:val="none" w:sz="0" w:space="0" w:color="auto"/>
        <w:left w:val="none" w:sz="0" w:space="0" w:color="auto"/>
        <w:bottom w:val="none" w:sz="0" w:space="0" w:color="auto"/>
        <w:right w:val="none" w:sz="0" w:space="0" w:color="auto"/>
      </w:divBdr>
    </w:div>
    <w:div w:id="1268198261">
      <w:marLeft w:val="0"/>
      <w:marRight w:val="0"/>
      <w:marTop w:val="0"/>
      <w:marBottom w:val="0"/>
      <w:divBdr>
        <w:top w:val="none" w:sz="0" w:space="0" w:color="auto"/>
        <w:left w:val="none" w:sz="0" w:space="0" w:color="auto"/>
        <w:bottom w:val="none" w:sz="0" w:space="0" w:color="auto"/>
        <w:right w:val="none" w:sz="0" w:space="0" w:color="auto"/>
      </w:divBdr>
    </w:div>
    <w:div w:id="1273056310">
      <w:marLeft w:val="0"/>
      <w:marRight w:val="0"/>
      <w:marTop w:val="180"/>
      <w:marBottom w:val="0"/>
      <w:divBdr>
        <w:top w:val="none" w:sz="0" w:space="0" w:color="auto"/>
        <w:left w:val="none" w:sz="0" w:space="0" w:color="auto"/>
        <w:bottom w:val="none" w:sz="0" w:space="0" w:color="auto"/>
        <w:right w:val="none" w:sz="0" w:space="0" w:color="auto"/>
      </w:divBdr>
    </w:div>
    <w:div w:id="1274096427">
      <w:marLeft w:val="0"/>
      <w:marRight w:val="0"/>
      <w:marTop w:val="0"/>
      <w:marBottom w:val="0"/>
      <w:divBdr>
        <w:top w:val="none" w:sz="0" w:space="0" w:color="auto"/>
        <w:left w:val="none" w:sz="0" w:space="0" w:color="auto"/>
        <w:bottom w:val="none" w:sz="0" w:space="0" w:color="auto"/>
        <w:right w:val="none" w:sz="0" w:space="0" w:color="auto"/>
      </w:divBdr>
    </w:div>
    <w:div w:id="1275594724">
      <w:marLeft w:val="0"/>
      <w:marRight w:val="0"/>
      <w:marTop w:val="0"/>
      <w:marBottom w:val="100"/>
      <w:divBdr>
        <w:top w:val="none" w:sz="0" w:space="0" w:color="auto"/>
        <w:left w:val="none" w:sz="0" w:space="0" w:color="auto"/>
        <w:bottom w:val="none" w:sz="0" w:space="0" w:color="auto"/>
        <w:right w:val="none" w:sz="0" w:space="0" w:color="auto"/>
      </w:divBdr>
    </w:div>
    <w:div w:id="1278372915">
      <w:marLeft w:val="0"/>
      <w:marRight w:val="0"/>
      <w:marTop w:val="0"/>
      <w:marBottom w:val="100"/>
      <w:divBdr>
        <w:top w:val="none" w:sz="0" w:space="0" w:color="auto"/>
        <w:left w:val="none" w:sz="0" w:space="0" w:color="auto"/>
        <w:bottom w:val="none" w:sz="0" w:space="0" w:color="auto"/>
        <w:right w:val="none" w:sz="0" w:space="0" w:color="auto"/>
      </w:divBdr>
    </w:div>
    <w:div w:id="1282031697">
      <w:marLeft w:val="0"/>
      <w:marRight w:val="0"/>
      <w:marTop w:val="0"/>
      <w:marBottom w:val="0"/>
      <w:divBdr>
        <w:top w:val="none" w:sz="0" w:space="0" w:color="auto"/>
        <w:left w:val="none" w:sz="0" w:space="0" w:color="auto"/>
        <w:bottom w:val="none" w:sz="0" w:space="0" w:color="auto"/>
        <w:right w:val="none" w:sz="0" w:space="0" w:color="auto"/>
      </w:divBdr>
      <w:divsChild>
        <w:div w:id="13699071">
          <w:marLeft w:val="0"/>
          <w:marRight w:val="0"/>
          <w:marTop w:val="0"/>
          <w:marBottom w:val="100"/>
          <w:divBdr>
            <w:top w:val="none" w:sz="0" w:space="0" w:color="auto"/>
            <w:left w:val="none" w:sz="0" w:space="0" w:color="auto"/>
            <w:bottom w:val="none" w:sz="0" w:space="0" w:color="auto"/>
            <w:right w:val="none" w:sz="0" w:space="0" w:color="auto"/>
          </w:divBdr>
        </w:div>
      </w:divsChild>
    </w:div>
    <w:div w:id="1282805478">
      <w:marLeft w:val="0"/>
      <w:marRight w:val="0"/>
      <w:marTop w:val="0"/>
      <w:marBottom w:val="0"/>
      <w:divBdr>
        <w:top w:val="none" w:sz="0" w:space="0" w:color="auto"/>
        <w:left w:val="none" w:sz="0" w:space="0" w:color="auto"/>
        <w:bottom w:val="none" w:sz="0" w:space="0" w:color="auto"/>
        <w:right w:val="none" w:sz="0" w:space="0" w:color="auto"/>
      </w:divBdr>
      <w:divsChild>
        <w:div w:id="527186056">
          <w:marLeft w:val="0"/>
          <w:marRight w:val="0"/>
          <w:marTop w:val="0"/>
          <w:marBottom w:val="0"/>
          <w:divBdr>
            <w:top w:val="none" w:sz="0" w:space="0" w:color="auto"/>
            <w:left w:val="none" w:sz="0" w:space="0" w:color="auto"/>
            <w:bottom w:val="none" w:sz="0" w:space="0" w:color="auto"/>
            <w:right w:val="none" w:sz="0" w:space="0" w:color="auto"/>
          </w:divBdr>
          <w:divsChild>
            <w:div w:id="93664098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283995850">
      <w:marLeft w:val="0"/>
      <w:marRight w:val="0"/>
      <w:marTop w:val="0"/>
      <w:marBottom w:val="0"/>
      <w:divBdr>
        <w:top w:val="none" w:sz="0" w:space="0" w:color="auto"/>
        <w:left w:val="none" w:sz="0" w:space="0" w:color="auto"/>
        <w:bottom w:val="none" w:sz="0" w:space="0" w:color="auto"/>
        <w:right w:val="none" w:sz="0" w:space="0" w:color="auto"/>
      </w:divBdr>
      <w:divsChild>
        <w:div w:id="2095852866">
          <w:marLeft w:val="0"/>
          <w:marRight w:val="0"/>
          <w:marTop w:val="0"/>
          <w:marBottom w:val="0"/>
          <w:divBdr>
            <w:top w:val="none" w:sz="0" w:space="0" w:color="auto"/>
            <w:left w:val="none" w:sz="0" w:space="0" w:color="auto"/>
            <w:bottom w:val="none" w:sz="0" w:space="0" w:color="auto"/>
            <w:right w:val="none" w:sz="0" w:space="0" w:color="auto"/>
          </w:divBdr>
          <w:divsChild>
            <w:div w:id="152536816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284536896">
      <w:marLeft w:val="0"/>
      <w:marRight w:val="0"/>
      <w:marTop w:val="0"/>
      <w:marBottom w:val="0"/>
      <w:divBdr>
        <w:top w:val="none" w:sz="0" w:space="0" w:color="auto"/>
        <w:left w:val="none" w:sz="0" w:space="0" w:color="auto"/>
        <w:bottom w:val="none" w:sz="0" w:space="0" w:color="auto"/>
        <w:right w:val="none" w:sz="0" w:space="0" w:color="auto"/>
      </w:divBdr>
    </w:div>
    <w:div w:id="1286623742">
      <w:marLeft w:val="0"/>
      <w:marRight w:val="0"/>
      <w:marTop w:val="0"/>
      <w:marBottom w:val="0"/>
      <w:divBdr>
        <w:top w:val="none" w:sz="0" w:space="0" w:color="auto"/>
        <w:left w:val="none" w:sz="0" w:space="0" w:color="auto"/>
        <w:bottom w:val="none" w:sz="0" w:space="0" w:color="auto"/>
        <w:right w:val="none" w:sz="0" w:space="0" w:color="auto"/>
      </w:divBdr>
    </w:div>
    <w:div w:id="1286693911">
      <w:marLeft w:val="0"/>
      <w:marRight w:val="0"/>
      <w:marTop w:val="0"/>
      <w:marBottom w:val="100"/>
      <w:divBdr>
        <w:top w:val="none" w:sz="0" w:space="0" w:color="auto"/>
        <w:left w:val="none" w:sz="0" w:space="0" w:color="auto"/>
        <w:bottom w:val="none" w:sz="0" w:space="0" w:color="auto"/>
        <w:right w:val="none" w:sz="0" w:space="0" w:color="auto"/>
      </w:divBdr>
    </w:div>
    <w:div w:id="1288656675">
      <w:marLeft w:val="0"/>
      <w:marRight w:val="0"/>
      <w:marTop w:val="0"/>
      <w:marBottom w:val="100"/>
      <w:divBdr>
        <w:top w:val="none" w:sz="0" w:space="0" w:color="auto"/>
        <w:left w:val="none" w:sz="0" w:space="0" w:color="auto"/>
        <w:bottom w:val="none" w:sz="0" w:space="0" w:color="auto"/>
        <w:right w:val="none" w:sz="0" w:space="0" w:color="auto"/>
      </w:divBdr>
    </w:div>
    <w:div w:id="1288898634">
      <w:marLeft w:val="0"/>
      <w:marRight w:val="0"/>
      <w:marTop w:val="0"/>
      <w:marBottom w:val="100"/>
      <w:divBdr>
        <w:top w:val="none" w:sz="0" w:space="0" w:color="auto"/>
        <w:left w:val="none" w:sz="0" w:space="0" w:color="auto"/>
        <w:bottom w:val="none" w:sz="0" w:space="0" w:color="auto"/>
        <w:right w:val="none" w:sz="0" w:space="0" w:color="auto"/>
      </w:divBdr>
    </w:div>
    <w:div w:id="1292052638">
      <w:marLeft w:val="0"/>
      <w:marRight w:val="0"/>
      <w:marTop w:val="0"/>
      <w:marBottom w:val="100"/>
      <w:divBdr>
        <w:top w:val="none" w:sz="0" w:space="0" w:color="auto"/>
        <w:left w:val="none" w:sz="0" w:space="0" w:color="auto"/>
        <w:bottom w:val="none" w:sz="0" w:space="0" w:color="auto"/>
        <w:right w:val="none" w:sz="0" w:space="0" w:color="auto"/>
      </w:divBdr>
    </w:div>
    <w:div w:id="1293632096">
      <w:marLeft w:val="0"/>
      <w:marRight w:val="0"/>
      <w:marTop w:val="0"/>
      <w:marBottom w:val="100"/>
      <w:divBdr>
        <w:top w:val="none" w:sz="0" w:space="0" w:color="auto"/>
        <w:left w:val="none" w:sz="0" w:space="0" w:color="auto"/>
        <w:bottom w:val="none" w:sz="0" w:space="0" w:color="auto"/>
        <w:right w:val="none" w:sz="0" w:space="0" w:color="auto"/>
      </w:divBdr>
    </w:div>
    <w:div w:id="1293751861">
      <w:marLeft w:val="0"/>
      <w:marRight w:val="0"/>
      <w:marTop w:val="0"/>
      <w:marBottom w:val="100"/>
      <w:divBdr>
        <w:top w:val="none" w:sz="0" w:space="0" w:color="auto"/>
        <w:left w:val="none" w:sz="0" w:space="0" w:color="auto"/>
        <w:bottom w:val="none" w:sz="0" w:space="0" w:color="auto"/>
        <w:right w:val="none" w:sz="0" w:space="0" w:color="auto"/>
      </w:divBdr>
    </w:div>
    <w:div w:id="1293973324">
      <w:marLeft w:val="0"/>
      <w:marRight w:val="0"/>
      <w:marTop w:val="0"/>
      <w:marBottom w:val="100"/>
      <w:divBdr>
        <w:top w:val="none" w:sz="0" w:space="0" w:color="auto"/>
        <w:left w:val="none" w:sz="0" w:space="0" w:color="auto"/>
        <w:bottom w:val="none" w:sz="0" w:space="0" w:color="auto"/>
        <w:right w:val="none" w:sz="0" w:space="0" w:color="auto"/>
      </w:divBdr>
    </w:div>
    <w:div w:id="1294556613">
      <w:marLeft w:val="0"/>
      <w:marRight w:val="0"/>
      <w:marTop w:val="0"/>
      <w:marBottom w:val="100"/>
      <w:divBdr>
        <w:top w:val="none" w:sz="0" w:space="0" w:color="auto"/>
        <w:left w:val="none" w:sz="0" w:space="0" w:color="auto"/>
        <w:bottom w:val="none" w:sz="0" w:space="0" w:color="auto"/>
        <w:right w:val="none" w:sz="0" w:space="0" w:color="auto"/>
      </w:divBdr>
    </w:div>
    <w:div w:id="1296176881">
      <w:marLeft w:val="0"/>
      <w:marRight w:val="0"/>
      <w:marTop w:val="0"/>
      <w:marBottom w:val="100"/>
      <w:divBdr>
        <w:top w:val="none" w:sz="0" w:space="0" w:color="auto"/>
        <w:left w:val="none" w:sz="0" w:space="0" w:color="auto"/>
        <w:bottom w:val="none" w:sz="0" w:space="0" w:color="auto"/>
        <w:right w:val="none" w:sz="0" w:space="0" w:color="auto"/>
      </w:divBdr>
    </w:div>
    <w:div w:id="1296259641">
      <w:marLeft w:val="0"/>
      <w:marRight w:val="0"/>
      <w:marTop w:val="0"/>
      <w:marBottom w:val="100"/>
      <w:divBdr>
        <w:top w:val="none" w:sz="0" w:space="0" w:color="auto"/>
        <w:left w:val="none" w:sz="0" w:space="0" w:color="auto"/>
        <w:bottom w:val="none" w:sz="0" w:space="0" w:color="auto"/>
        <w:right w:val="none" w:sz="0" w:space="0" w:color="auto"/>
      </w:divBdr>
    </w:div>
    <w:div w:id="1296329896">
      <w:marLeft w:val="0"/>
      <w:marRight w:val="0"/>
      <w:marTop w:val="0"/>
      <w:marBottom w:val="100"/>
      <w:divBdr>
        <w:top w:val="none" w:sz="0" w:space="0" w:color="auto"/>
        <w:left w:val="none" w:sz="0" w:space="0" w:color="auto"/>
        <w:bottom w:val="none" w:sz="0" w:space="0" w:color="auto"/>
        <w:right w:val="none" w:sz="0" w:space="0" w:color="auto"/>
      </w:divBdr>
    </w:div>
    <w:div w:id="1296596888">
      <w:marLeft w:val="0"/>
      <w:marRight w:val="0"/>
      <w:marTop w:val="0"/>
      <w:marBottom w:val="100"/>
      <w:divBdr>
        <w:top w:val="none" w:sz="0" w:space="0" w:color="auto"/>
        <w:left w:val="none" w:sz="0" w:space="0" w:color="auto"/>
        <w:bottom w:val="none" w:sz="0" w:space="0" w:color="auto"/>
        <w:right w:val="none" w:sz="0" w:space="0" w:color="auto"/>
      </w:divBdr>
    </w:div>
    <w:div w:id="1297757323">
      <w:marLeft w:val="0"/>
      <w:marRight w:val="0"/>
      <w:marTop w:val="0"/>
      <w:marBottom w:val="100"/>
      <w:divBdr>
        <w:top w:val="none" w:sz="0" w:space="0" w:color="auto"/>
        <w:left w:val="none" w:sz="0" w:space="0" w:color="auto"/>
        <w:bottom w:val="none" w:sz="0" w:space="0" w:color="auto"/>
        <w:right w:val="none" w:sz="0" w:space="0" w:color="auto"/>
      </w:divBdr>
    </w:div>
    <w:div w:id="1302349361">
      <w:marLeft w:val="0"/>
      <w:marRight w:val="0"/>
      <w:marTop w:val="0"/>
      <w:marBottom w:val="100"/>
      <w:divBdr>
        <w:top w:val="none" w:sz="0" w:space="0" w:color="auto"/>
        <w:left w:val="none" w:sz="0" w:space="0" w:color="auto"/>
        <w:bottom w:val="none" w:sz="0" w:space="0" w:color="auto"/>
        <w:right w:val="none" w:sz="0" w:space="0" w:color="auto"/>
      </w:divBdr>
    </w:div>
    <w:div w:id="1304039738">
      <w:marLeft w:val="0"/>
      <w:marRight w:val="0"/>
      <w:marTop w:val="0"/>
      <w:marBottom w:val="0"/>
      <w:divBdr>
        <w:top w:val="none" w:sz="0" w:space="0" w:color="auto"/>
        <w:left w:val="none" w:sz="0" w:space="0" w:color="auto"/>
        <w:bottom w:val="none" w:sz="0" w:space="0" w:color="auto"/>
        <w:right w:val="none" w:sz="0" w:space="0" w:color="auto"/>
      </w:divBdr>
    </w:div>
    <w:div w:id="1305895270">
      <w:marLeft w:val="0"/>
      <w:marRight w:val="0"/>
      <w:marTop w:val="0"/>
      <w:marBottom w:val="100"/>
      <w:divBdr>
        <w:top w:val="none" w:sz="0" w:space="0" w:color="auto"/>
        <w:left w:val="none" w:sz="0" w:space="0" w:color="auto"/>
        <w:bottom w:val="none" w:sz="0" w:space="0" w:color="auto"/>
        <w:right w:val="none" w:sz="0" w:space="0" w:color="auto"/>
      </w:divBdr>
    </w:div>
    <w:div w:id="1306423367">
      <w:marLeft w:val="0"/>
      <w:marRight w:val="0"/>
      <w:marTop w:val="0"/>
      <w:marBottom w:val="100"/>
      <w:divBdr>
        <w:top w:val="none" w:sz="0" w:space="0" w:color="auto"/>
        <w:left w:val="none" w:sz="0" w:space="0" w:color="auto"/>
        <w:bottom w:val="none" w:sz="0" w:space="0" w:color="auto"/>
        <w:right w:val="none" w:sz="0" w:space="0" w:color="auto"/>
      </w:divBdr>
    </w:div>
    <w:div w:id="1307784682">
      <w:marLeft w:val="0"/>
      <w:marRight w:val="0"/>
      <w:marTop w:val="0"/>
      <w:marBottom w:val="100"/>
      <w:divBdr>
        <w:top w:val="none" w:sz="0" w:space="0" w:color="auto"/>
        <w:left w:val="none" w:sz="0" w:space="0" w:color="auto"/>
        <w:bottom w:val="none" w:sz="0" w:space="0" w:color="auto"/>
        <w:right w:val="none" w:sz="0" w:space="0" w:color="auto"/>
      </w:divBdr>
    </w:div>
    <w:div w:id="1309435867">
      <w:marLeft w:val="0"/>
      <w:marRight w:val="0"/>
      <w:marTop w:val="0"/>
      <w:marBottom w:val="100"/>
      <w:divBdr>
        <w:top w:val="none" w:sz="0" w:space="0" w:color="auto"/>
        <w:left w:val="none" w:sz="0" w:space="0" w:color="auto"/>
        <w:bottom w:val="none" w:sz="0" w:space="0" w:color="auto"/>
        <w:right w:val="none" w:sz="0" w:space="0" w:color="auto"/>
      </w:divBdr>
    </w:div>
    <w:div w:id="1309749624">
      <w:marLeft w:val="0"/>
      <w:marRight w:val="0"/>
      <w:marTop w:val="0"/>
      <w:marBottom w:val="0"/>
      <w:divBdr>
        <w:top w:val="none" w:sz="0" w:space="0" w:color="auto"/>
        <w:left w:val="none" w:sz="0" w:space="0" w:color="auto"/>
        <w:bottom w:val="none" w:sz="0" w:space="0" w:color="auto"/>
        <w:right w:val="none" w:sz="0" w:space="0" w:color="auto"/>
      </w:divBdr>
      <w:divsChild>
        <w:div w:id="997535596">
          <w:marLeft w:val="0"/>
          <w:marRight w:val="0"/>
          <w:marTop w:val="0"/>
          <w:marBottom w:val="0"/>
          <w:divBdr>
            <w:top w:val="none" w:sz="0" w:space="0" w:color="auto"/>
            <w:left w:val="none" w:sz="0" w:space="0" w:color="auto"/>
            <w:bottom w:val="none" w:sz="0" w:space="0" w:color="auto"/>
            <w:right w:val="none" w:sz="0" w:space="0" w:color="auto"/>
          </w:divBdr>
          <w:divsChild>
            <w:div w:id="88086973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310743519">
      <w:marLeft w:val="0"/>
      <w:marRight w:val="0"/>
      <w:marTop w:val="0"/>
      <w:marBottom w:val="100"/>
      <w:divBdr>
        <w:top w:val="none" w:sz="0" w:space="0" w:color="auto"/>
        <w:left w:val="none" w:sz="0" w:space="0" w:color="auto"/>
        <w:bottom w:val="none" w:sz="0" w:space="0" w:color="auto"/>
        <w:right w:val="none" w:sz="0" w:space="0" w:color="auto"/>
      </w:divBdr>
    </w:div>
    <w:div w:id="1312246384">
      <w:marLeft w:val="0"/>
      <w:marRight w:val="0"/>
      <w:marTop w:val="0"/>
      <w:marBottom w:val="100"/>
      <w:divBdr>
        <w:top w:val="none" w:sz="0" w:space="0" w:color="auto"/>
        <w:left w:val="none" w:sz="0" w:space="0" w:color="auto"/>
        <w:bottom w:val="none" w:sz="0" w:space="0" w:color="auto"/>
        <w:right w:val="none" w:sz="0" w:space="0" w:color="auto"/>
      </w:divBdr>
    </w:div>
    <w:div w:id="1313025166">
      <w:marLeft w:val="0"/>
      <w:marRight w:val="0"/>
      <w:marTop w:val="180"/>
      <w:marBottom w:val="100"/>
      <w:divBdr>
        <w:top w:val="none" w:sz="0" w:space="0" w:color="auto"/>
        <w:left w:val="none" w:sz="0" w:space="0" w:color="auto"/>
        <w:bottom w:val="none" w:sz="0" w:space="0" w:color="auto"/>
        <w:right w:val="none" w:sz="0" w:space="0" w:color="auto"/>
      </w:divBdr>
    </w:div>
    <w:div w:id="1318607587">
      <w:marLeft w:val="0"/>
      <w:marRight w:val="0"/>
      <w:marTop w:val="0"/>
      <w:marBottom w:val="100"/>
      <w:divBdr>
        <w:top w:val="none" w:sz="0" w:space="0" w:color="auto"/>
        <w:left w:val="none" w:sz="0" w:space="0" w:color="auto"/>
        <w:bottom w:val="none" w:sz="0" w:space="0" w:color="auto"/>
        <w:right w:val="none" w:sz="0" w:space="0" w:color="auto"/>
      </w:divBdr>
    </w:div>
    <w:div w:id="1319381882">
      <w:marLeft w:val="0"/>
      <w:marRight w:val="0"/>
      <w:marTop w:val="0"/>
      <w:marBottom w:val="100"/>
      <w:divBdr>
        <w:top w:val="none" w:sz="0" w:space="0" w:color="auto"/>
        <w:left w:val="none" w:sz="0" w:space="0" w:color="auto"/>
        <w:bottom w:val="none" w:sz="0" w:space="0" w:color="auto"/>
        <w:right w:val="none" w:sz="0" w:space="0" w:color="auto"/>
      </w:divBdr>
    </w:div>
    <w:div w:id="1319575084">
      <w:marLeft w:val="0"/>
      <w:marRight w:val="0"/>
      <w:marTop w:val="0"/>
      <w:marBottom w:val="0"/>
      <w:divBdr>
        <w:top w:val="none" w:sz="0" w:space="0" w:color="auto"/>
        <w:left w:val="none" w:sz="0" w:space="0" w:color="auto"/>
        <w:bottom w:val="none" w:sz="0" w:space="0" w:color="auto"/>
        <w:right w:val="none" w:sz="0" w:space="0" w:color="auto"/>
      </w:divBdr>
    </w:div>
    <w:div w:id="1324236617">
      <w:marLeft w:val="0"/>
      <w:marRight w:val="0"/>
      <w:marTop w:val="0"/>
      <w:marBottom w:val="100"/>
      <w:divBdr>
        <w:top w:val="none" w:sz="0" w:space="0" w:color="auto"/>
        <w:left w:val="none" w:sz="0" w:space="0" w:color="auto"/>
        <w:bottom w:val="none" w:sz="0" w:space="0" w:color="auto"/>
        <w:right w:val="none" w:sz="0" w:space="0" w:color="auto"/>
      </w:divBdr>
    </w:div>
    <w:div w:id="1325352848">
      <w:marLeft w:val="0"/>
      <w:marRight w:val="0"/>
      <w:marTop w:val="0"/>
      <w:marBottom w:val="100"/>
      <w:divBdr>
        <w:top w:val="none" w:sz="0" w:space="0" w:color="auto"/>
        <w:left w:val="none" w:sz="0" w:space="0" w:color="auto"/>
        <w:bottom w:val="none" w:sz="0" w:space="0" w:color="auto"/>
        <w:right w:val="none" w:sz="0" w:space="0" w:color="auto"/>
      </w:divBdr>
    </w:div>
    <w:div w:id="1328290694">
      <w:marLeft w:val="0"/>
      <w:marRight w:val="0"/>
      <w:marTop w:val="0"/>
      <w:marBottom w:val="0"/>
      <w:divBdr>
        <w:top w:val="none" w:sz="0" w:space="0" w:color="auto"/>
        <w:left w:val="none" w:sz="0" w:space="0" w:color="auto"/>
        <w:bottom w:val="none" w:sz="0" w:space="0" w:color="auto"/>
        <w:right w:val="none" w:sz="0" w:space="0" w:color="auto"/>
      </w:divBdr>
      <w:divsChild>
        <w:div w:id="1350834456">
          <w:marLeft w:val="0"/>
          <w:marRight w:val="0"/>
          <w:marTop w:val="0"/>
          <w:marBottom w:val="0"/>
          <w:divBdr>
            <w:top w:val="none" w:sz="0" w:space="0" w:color="auto"/>
            <w:left w:val="none" w:sz="0" w:space="0" w:color="auto"/>
            <w:bottom w:val="none" w:sz="0" w:space="0" w:color="auto"/>
            <w:right w:val="none" w:sz="0" w:space="0" w:color="auto"/>
          </w:divBdr>
          <w:divsChild>
            <w:div w:id="201092112">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328360035">
      <w:marLeft w:val="0"/>
      <w:marRight w:val="0"/>
      <w:marTop w:val="0"/>
      <w:marBottom w:val="0"/>
      <w:divBdr>
        <w:top w:val="none" w:sz="0" w:space="0" w:color="auto"/>
        <w:left w:val="none" w:sz="0" w:space="0" w:color="auto"/>
        <w:bottom w:val="none" w:sz="0" w:space="0" w:color="auto"/>
        <w:right w:val="none" w:sz="0" w:space="0" w:color="auto"/>
      </w:divBdr>
    </w:div>
    <w:div w:id="1328365070">
      <w:marLeft w:val="0"/>
      <w:marRight w:val="0"/>
      <w:marTop w:val="0"/>
      <w:marBottom w:val="0"/>
      <w:divBdr>
        <w:top w:val="none" w:sz="0" w:space="0" w:color="auto"/>
        <w:left w:val="none" w:sz="0" w:space="0" w:color="auto"/>
        <w:bottom w:val="none" w:sz="0" w:space="0" w:color="auto"/>
        <w:right w:val="none" w:sz="0" w:space="0" w:color="auto"/>
      </w:divBdr>
    </w:div>
    <w:div w:id="1328510955">
      <w:marLeft w:val="0"/>
      <w:marRight w:val="0"/>
      <w:marTop w:val="0"/>
      <w:marBottom w:val="100"/>
      <w:divBdr>
        <w:top w:val="none" w:sz="0" w:space="0" w:color="auto"/>
        <w:left w:val="none" w:sz="0" w:space="0" w:color="auto"/>
        <w:bottom w:val="none" w:sz="0" w:space="0" w:color="auto"/>
        <w:right w:val="none" w:sz="0" w:space="0" w:color="auto"/>
      </w:divBdr>
    </w:div>
    <w:div w:id="1331061401">
      <w:marLeft w:val="0"/>
      <w:marRight w:val="0"/>
      <w:marTop w:val="0"/>
      <w:marBottom w:val="0"/>
      <w:divBdr>
        <w:top w:val="none" w:sz="0" w:space="0" w:color="auto"/>
        <w:left w:val="none" w:sz="0" w:space="0" w:color="auto"/>
        <w:bottom w:val="none" w:sz="0" w:space="0" w:color="auto"/>
        <w:right w:val="none" w:sz="0" w:space="0" w:color="auto"/>
      </w:divBdr>
    </w:div>
    <w:div w:id="1332099959">
      <w:marLeft w:val="0"/>
      <w:marRight w:val="0"/>
      <w:marTop w:val="100"/>
      <w:marBottom w:val="0"/>
      <w:divBdr>
        <w:top w:val="none" w:sz="0" w:space="0" w:color="auto"/>
        <w:left w:val="none" w:sz="0" w:space="0" w:color="auto"/>
        <w:bottom w:val="none" w:sz="0" w:space="0" w:color="auto"/>
        <w:right w:val="none" w:sz="0" w:space="0" w:color="auto"/>
      </w:divBdr>
    </w:div>
    <w:div w:id="1332181486">
      <w:marLeft w:val="0"/>
      <w:marRight w:val="0"/>
      <w:marTop w:val="0"/>
      <w:marBottom w:val="100"/>
      <w:divBdr>
        <w:top w:val="none" w:sz="0" w:space="0" w:color="auto"/>
        <w:left w:val="none" w:sz="0" w:space="0" w:color="auto"/>
        <w:bottom w:val="none" w:sz="0" w:space="0" w:color="auto"/>
        <w:right w:val="none" w:sz="0" w:space="0" w:color="auto"/>
      </w:divBdr>
    </w:div>
    <w:div w:id="1334603192">
      <w:marLeft w:val="0"/>
      <w:marRight w:val="0"/>
      <w:marTop w:val="0"/>
      <w:marBottom w:val="100"/>
      <w:divBdr>
        <w:top w:val="none" w:sz="0" w:space="0" w:color="auto"/>
        <w:left w:val="none" w:sz="0" w:space="0" w:color="auto"/>
        <w:bottom w:val="none" w:sz="0" w:space="0" w:color="auto"/>
        <w:right w:val="none" w:sz="0" w:space="0" w:color="auto"/>
      </w:divBdr>
    </w:div>
    <w:div w:id="1336031655">
      <w:marLeft w:val="0"/>
      <w:marRight w:val="0"/>
      <w:marTop w:val="0"/>
      <w:marBottom w:val="100"/>
      <w:divBdr>
        <w:top w:val="none" w:sz="0" w:space="0" w:color="auto"/>
        <w:left w:val="none" w:sz="0" w:space="0" w:color="auto"/>
        <w:bottom w:val="none" w:sz="0" w:space="0" w:color="auto"/>
        <w:right w:val="none" w:sz="0" w:space="0" w:color="auto"/>
      </w:divBdr>
    </w:div>
    <w:div w:id="1339885376">
      <w:marLeft w:val="0"/>
      <w:marRight w:val="0"/>
      <w:marTop w:val="0"/>
      <w:marBottom w:val="100"/>
      <w:divBdr>
        <w:top w:val="none" w:sz="0" w:space="0" w:color="auto"/>
        <w:left w:val="none" w:sz="0" w:space="0" w:color="auto"/>
        <w:bottom w:val="none" w:sz="0" w:space="0" w:color="auto"/>
        <w:right w:val="none" w:sz="0" w:space="0" w:color="auto"/>
      </w:divBdr>
    </w:div>
    <w:div w:id="1342243336">
      <w:marLeft w:val="0"/>
      <w:marRight w:val="0"/>
      <w:marTop w:val="180"/>
      <w:marBottom w:val="0"/>
      <w:divBdr>
        <w:top w:val="none" w:sz="0" w:space="0" w:color="auto"/>
        <w:left w:val="none" w:sz="0" w:space="0" w:color="auto"/>
        <w:bottom w:val="none" w:sz="0" w:space="0" w:color="auto"/>
        <w:right w:val="none" w:sz="0" w:space="0" w:color="auto"/>
      </w:divBdr>
    </w:div>
    <w:div w:id="1347095456">
      <w:marLeft w:val="0"/>
      <w:marRight w:val="0"/>
      <w:marTop w:val="180"/>
      <w:marBottom w:val="0"/>
      <w:divBdr>
        <w:top w:val="none" w:sz="0" w:space="0" w:color="auto"/>
        <w:left w:val="none" w:sz="0" w:space="0" w:color="auto"/>
        <w:bottom w:val="none" w:sz="0" w:space="0" w:color="auto"/>
        <w:right w:val="none" w:sz="0" w:space="0" w:color="auto"/>
      </w:divBdr>
    </w:div>
    <w:div w:id="1347367979">
      <w:marLeft w:val="0"/>
      <w:marRight w:val="0"/>
      <w:marTop w:val="0"/>
      <w:marBottom w:val="100"/>
      <w:divBdr>
        <w:top w:val="none" w:sz="0" w:space="0" w:color="auto"/>
        <w:left w:val="none" w:sz="0" w:space="0" w:color="auto"/>
        <w:bottom w:val="none" w:sz="0" w:space="0" w:color="auto"/>
        <w:right w:val="none" w:sz="0" w:space="0" w:color="auto"/>
      </w:divBdr>
    </w:div>
    <w:div w:id="1347637250">
      <w:marLeft w:val="0"/>
      <w:marRight w:val="0"/>
      <w:marTop w:val="0"/>
      <w:marBottom w:val="0"/>
      <w:divBdr>
        <w:top w:val="none" w:sz="0" w:space="0" w:color="auto"/>
        <w:left w:val="none" w:sz="0" w:space="0" w:color="auto"/>
        <w:bottom w:val="none" w:sz="0" w:space="0" w:color="auto"/>
        <w:right w:val="none" w:sz="0" w:space="0" w:color="auto"/>
      </w:divBdr>
      <w:divsChild>
        <w:div w:id="1988970076">
          <w:marLeft w:val="0"/>
          <w:marRight w:val="0"/>
          <w:marTop w:val="0"/>
          <w:marBottom w:val="100"/>
          <w:divBdr>
            <w:top w:val="none" w:sz="0" w:space="0" w:color="auto"/>
            <w:left w:val="none" w:sz="0" w:space="0" w:color="auto"/>
            <w:bottom w:val="none" w:sz="0" w:space="0" w:color="auto"/>
            <w:right w:val="none" w:sz="0" w:space="0" w:color="auto"/>
          </w:divBdr>
        </w:div>
      </w:divsChild>
    </w:div>
    <w:div w:id="1348629983">
      <w:marLeft w:val="0"/>
      <w:marRight w:val="0"/>
      <w:marTop w:val="0"/>
      <w:marBottom w:val="0"/>
      <w:divBdr>
        <w:top w:val="none" w:sz="0" w:space="0" w:color="auto"/>
        <w:left w:val="none" w:sz="0" w:space="0" w:color="auto"/>
        <w:bottom w:val="none" w:sz="0" w:space="0" w:color="auto"/>
        <w:right w:val="none" w:sz="0" w:space="0" w:color="auto"/>
      </w:divBdr>
    </w:div>
    <w:div w:id="1350525641">
      <w:marLeft w:val="0"/>
      <w:marRight w:val="0"/>
      <w:marTop w:val="180"/>
      <w:marBottom w:val="0"/>
      <w:divBdr>
        <w:top w:val="none" w:sz="0" w:space="0" w:color="auto"/>
        <w:left w:val="none" w:sz="0" w:space="0" w:color="auto"/>
        <w:bottom w:val="none" w:sz="0" w:space="0" w:color="auto"/>
        <w:right w:val="none" w:sz="0" w:space="0" w:color="auto"/>
      </w:divBdr>
    </w:div>
    <w:div w:id="1353218865">
      <w:marLeft w:val="0"/>
      <w:marRight w:val="0"/>
      <w:marTop w:val="0"/>
      <w:marBottom w:val="0"/>
      <w:divBdr>
        <w:top w:val="none" w:sz="0" w:space="0" w:color="auto"/>
        <w:left w:val="none" w:sz="0" w:space="0" w:color="auto"/>
        <w:bottom w:val="none" w:sz="0" w:space="0" w:color="auto"/>
        <w:right w:val="none" w:sz="0" w:space="0" w:color="auto"/>
      </w:divBdr>
      <w:divsChild>
        <w:div w:id="709452288">
          <w:marLeft w:val="0"/>
          <w:marRight w:val="0"/>
          <w:marTop w:val="0"/>
          <w:marBottom w:val="0"/>
          <w:divBdr>
            <w:top w:val="none" w:sz="0" w:space="0" w:color="auto"/>
            <w:left w:val="none" w:sz="0" w:space="0" w:color="auto"/>
            <w:bottom w:val="none" w:sz="0" w:space="0" w:color="auto"/>
            <w:right w:val="none" w:sz="0" w:space="0" w:color="auto"/>
          </w:divBdr>
          <w:divsChild>
            <w:div w:id="173003595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354115315">
      <w:marLeft w:val="0"/>
      <w:marRight w:val="0"/>
      <w:marTop w:val="0"/>
      <w:marBottom w:val="0"/>
      <w:divBdr>
        <w:top w:val="none" w:sz="0" w:space="0" w:color="auto"/>
        <w:left w:val="none" w:sz="0" w:space="0" w:color="auto"/>
        <w:bottom w:val="none" w:sz="0" w:space="0" w:color="auto"/>
        <w:right w:val="none" w:sz="0" w:space="0" w:color="auto"/>
      </w:divBdr>
      <w:divsChild>
        <w:div w:id="1160004021">
          <w:marLeft w:val="0"/>
          <w:marRight w:val="0"/>
          <w:marTop w:val="0"/>
          <w:marBottom w:val="0"/>
          <w:divBdr>
            <w:top w:val="none" w:sz="0" w:space="0" w:color="auto"/>
            <w:left w:val="none" w:sz="0" w:space="0" w:color="auto"/>
            <w:bottom w:val="none" w:sz="0" w:space="0" w:color="auto"/>
            <w:right w:val="none" w:sz="0" w:space="0" w:color="auto"/>
          </w:divBdr>
          <w:divsChild>
            <w:div w:id="4981665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355577675">
      <w:marLeft w:val="0"/>
      <w:marRight w:val="0"/>
      <w:marTop w:val="0"/>
      <w:marBottom w:val="100"/>
      <w:divBdr>
        <w:top w:val="none" w:sz="0" w:space="0" w:color="auto"/>
        <w:left w:val="none" w:sz="0" w:space="0" w:color="auto"/>
        <w:bottom w:val="none" w:sz="0" w:space="0" w:color="auto"/>
        <w:right w:val="none" w:sz="0" w:space="0" w:color="auto"/>
      </w:divBdr>
    </w:div>
    <w:div w:id="1357386622">
      <w:marLeft w:val="0"/>
      <w:marRight w:val="0"/>
      <w:marTop w:val="0"/>
      <w:marBottom w:val="100"/>
      <w:divBdr>
        <w:top w:val="none" w:sz="0" w:space="0" w:color="auto"/>
        <w:left w:val="none" w:sz="0" w:space="0" w:color="auto"/>
        <w:bottom w:val="none" w:sz="0" w:space="0" w:color="auto"/>
        <w:right w:val="none" w:sz="0" w:space="0" w:color="auto"/>
      </w:divBdr>
    </w:div>
    <w:div w:id="1358656568">
      <w:marLeft w:val="0"/>
      <w:marRight w:val="0"/>
      <w:marTop w:val="0"/>
      <w:marBottom w:val="0"/>
      <w:divBdr>
        <w:top w:val="none" w:sz="0" w:space="0" w:color="auto"/>
        <w:left w:val="none" w:sz="0" w:space="0" w:color="auto"/>
        <w:bottom w:val="none" w:sz="0" w:space="0" w:color="auto"/>
        <w:right w:val="none" w:sz="0" w:space="0" w:color="auto"/>
      </w:divBdr>
    </w:div>
    <w:div w:id="1359505119">
      <w:marLeft w:val="0"/>
      <w:marRight w:val="0"/>
      <w:marTop w:val="0"/>
      <w:marBottom w:val="100"/>
      <w:divBdr>
        <w:top w:val="none" w:sz="0" w:space="0" w:color="auto"/>
        <w:left w:val="none" w:sz="0" w:space="0" w:color="auto"/>
        <w:bottom w:val="none" w:sz="0" w:space="0" w:color="auto"/>
        <w:right w:val="none" w:sz="0" w:space="0" w:color="auto"/>
      </w:divBdr>
    </w:div>
    <w:div w:id="1361665875">
      <w:marLeft w:val="0"/>
      <w:marRight w:val="0"/>
      <w:marTop w:val="180"/>
      <w:marBottom w:val="0"/>
      <w:divBdr>
        <w:top w:val="none" w:sz="0" w:space="0" w:color="auto"/>
        <w:left w:val="none" w:sz="0" w:space="0" w:color="auto"/>
        <w:bottom w:val="none" w:sz="0" w:space="0" w:color="auto"/>
        <w:right w:val="none" w:sz="0" w:space="0" w:color="auto"/>
      </w:divBdr>
    </w:div>
    <w:div w:id="1361737996">
      <w:marLeft w:val="0"/>
      <w:marRight w:val="0"/>
      <w:marTop w:val="0"/>
      <w:marBottom w:val="100"/>
      <w:divBdr>
        <w:top w:val="none" w:sz="0" w:space="0" w:color="auto"/>
        <w:left w:val="none" w:sz="0" w:space="0" w:color="auto"/>
        <w:bottom w:val="none" w:sz="0" w:space="0" w:color="auto"/>
        <w:right w:val="none" w:sz="0" w:space="0" w:color="auto"/>
      </w:divBdr>
    </w:div>
    <w:div w:id="1361853560">
      <w:marLeft w:val="0"/>
      <w:marRight w:val="0"/>
      <w:marTop w:val="180"/>
      <w:marBottom w:val="100"/>
      <w:divBdr>
        <w:top w:val="none" w:sz="0" w:space="0" w:color="auto"/>
        <w:left w:val="none" w:sz="0" w:space="0" w:color="auto"/>
        <w:bottom w:val="none" w:sz="0" w:space="0" w:color="auto"/>
        <w:right w:val="none" w:sz="0" w:space="0" w:color="auto"/>
      </w:divBdr>
    </w:div>
    <w:div w:id="1361973826">
      <w:marLeft w:val="0"/>
      <w:marRight w:val="0"/>
      <w:marTop w:val="0"/>
      <w:marBottom w:val="0"/>
      <w:divBdr>
        <w:top w:val="none" w:sz="0" w:space="0" w:color="auto"/>
        <w:left w:val="none" w:sz="0" w:space="0" w:color="auto"/>
        <w:bottom w:val="none" w:sz="0" w:space="0" w:color="auto"/>
        <w:right w:val="none" w:sz="0" w:space="0" w:color="auto"/>
      </w:divBdr>
      <w:divsChild>
        <w:div w:id="1205672904">
          <w:marLeft w:val="0"/>
          <w:marRight w:val="0"/>
          <w:marTop w:val="0"/>
          <w:marBottom w:val="100"/>
          <w:divBdr>
            <w:top w:val="none" w:sz="0" w:space="0" w:color="auto"/>
            <w:left w:val="none" w:sz="0" w:space="0" w:color="auto"/>
            <w:bottom w:val="none" w:sz="0" w:space="0" w:color="auto"/>
            <w:right w:val="none" w:sz="0" w:space="0" w:color="auto"/>
          </w:divBdr>
        </w:div>
      </w:divsChild>
    </w:div>
    <w:div w:id="1366367267">
      <w:marLeft w:val="0"/>
      <w:marRight w:val="0"/>
      <w:marTop w:val="0"/>
      <w:marBottom w:val="100"/>
      <w:divBdr>
        <w:top w:val="none" w:sz="0" w:space="0" w:color="auto"/>
        <w:left w:val="none" w:sz="0" w:space="0" w:color="auto"/>
        <w:bottom w:val="none" w:sz="0" w:space="0" w:color="auto"/>
        <w:right w:val="none" w:sz="0" w:space="0" w:color="auto"/>
      </w:divBdr>
    </w:div>
    <w:div w:id="1366757952">
      <w:marLeft w:val="0"/>
      <w:marRight w:val="0"/>
      <w:marTop w:val="0"/>
      <w:marBottom w:val="100"/>
      <w:divBdr>
        <w:top w:val="none" w:sz="0" w:space="0" w:color="auto"/>
        <w:left w:val="none" w:sz="0" w:space="0" w:color="auto"/>
        <w:bottom w:val="none" w:sz="0" w:space="0" w:color="auto"/>
        <w:right w:val="none" w:sz="0" w:space="0" w:color="auto"/>
      </w:divBdr>
    </w:div>
    <w:div w:id="1368145713">
      <w:marLeft w:val="0"/>
      <w:marRight w:val="0"/>
      <w:marTop w:val="180"/>
      <w:marBottom w:val="0"/>
      <w:divBdr>
        <w:top w:val="none" w:sz="0" w:space="0" w:color="auto"/>
        <w:left w:val="none" w:sz="0" w:space="0" w:color="auto"/>
        <w:bottom w:val="none" w:sz="0" w:space="0" w:color="auto"/>
        <w:right w:val="none" w:sz="0" w:space="0" w:color="auto"/>
      </w:divBdr>
    </w:div>
    <w:div w:id="1368598515">
      <w:marLeft w:val="0"/>
      <w:marRight w:val="0"/>
      <w:marTop w:val="180"/>
      <w:marBottom w:val="0"/>
      <w:divBdr>
        <w:top w:val="none" w:sz="0" w:space="0" w:color="auto"/>
        <w:left w:val="none" w:sz="0" w:space="0" w:color="auto"/>
        <w:bottom w:val="none" w:sz="0" w:space="0" w:color="auto"/>
        <w:right w:val="none" w:sz="0" w:space="0" w:color="auto"/>
      </w:divBdr>
    </w:div>
    <w:div w:id="1371690558">
      <w:marLeft w:val="0"/>
      <w:marRight w:val="0"/>
      <w:marTop w:val="0"/>
      <w:marBottom w:val="0"/>
      <w:divBdr>
        <w:top w:val="none" w:sz="0" w:space="0" w:color="auto"/>
        <w:left w:val="none" w:sz="0" w:space="0" w:color="auto"/>
        <w:bottom w:val="none" w:sz="0" w:space="0" w:color="auto"/>
        <w:right w:val="none" w:sz="0" w:space="0" w:color="auto"/>
      </w:divBdr>
    </w:div>
    <w:div w:id="1372149176">
      <w:marLeft w:val="0"/>
      <w:marRight w:val="0"/>
      <w:marTop w:val="0"/>
      <w:marBottom w:val="100"/>
      <w:divBdr>
        <w:top w:val="none" w:sz="0" w:space="0" w:color="auto"/>
        <w:left w:val="none" w:sz="0" w:space="0" w:color="auto"/>
        <w:bottom w:val="none" w:sz="0" w:space="0" w:color="auto"/>
        <w:right w:val="none" w:sz="0" w:space="0" w:color="auto"/>
      </w:divBdr>
    </w:div>
    <w:div w:id="1372262176">
      <w:marLeft w:val="0"/>
      <w:marRight w:val="0"/>
      <w:marTop w:val="0"/>
      <w:marBottom w:val="100"/>
      <w:divBdr>
        <w:top w:val="none" w:sz="0" w:space="0" w:color="auto"/>
        <w:left w:val="none" w:sz="0" w:space="0" w:color="auto"/>
        <w:bottom w:val="none" w:sz="0" w:space="0" w:color="auto"/>
        <w:right w:val="none" w:sz="0" w:space="0" w:color="auto"/>
      </w:divBdr>
    </w:div>
    <w:div w:id="1373386264">
      <w:marLeft w:val="0"/>
      <w:marRight w:val="0"/>
      <w:marTop w:val="0"/>
      <w:marBottom w:val="0"/>
      <w:divBdr>
        <w:top w:val="none" w:sz="0" w:space="0" w:color="auto"/>
        <w:left w:val="none" w:sz="0" w:space="0" w:color="auto"/>
        <w:bottom w:val="none" w:sz="0" w:space="0" w:color="auto"/>
        <w:right w:val="none" w:sz="0" w:space="0" w:color="auto"/>
      </w:divBdr>
    </w:div>
    <w:div w:id="1374043238">
      <w:marLeft w:val="0"/>
      <w:marRight w:val="0"/>
      <w:marTop w:val="0"/>
      <w:marBottom w:val="100"/>
      <w:divBdr>
        <w:top w:val="none" w:sz="0" w:space="0" w:color="auto"/>
        <w:left w:val="none" w:sz="0" w:space="0" w:color="auto"/>
        <w:bottom w:val="none" w:sz="0" w:space="0" w:color="auto"/>
        <w:right w:val="none" w:sz="0" w:space="0" w:color="auto"/>
      </w:divBdr>
    </w:div>
    <w:div w:id="1377855284">
      <w:marLeft w:val="0"/>
      <w:marRight w:val="0"/>
      <w:marTop w:val="0"/>
      <w:marBottom w:val="0"/>
      <w:divBdr>
        <w:top w:val="none" w:sz="0" w:space="0" w:color="auto"/>
        <w:left w:val="none" w:sz="0" w:space="0" w:color="auto"/>
        <w:bottom w:val="none" w:sz="0" w:space="0" w:color="auto"/>
        <w:right w:val="none" w:sz="0" w:space="0" w:color="auto"/>
      </w:divBdr>
    </w:div>
    <w:div w:id="1379740483">
      <w:marLeft w:val="0"/>
      <w:marRight w:val="0"/>
      <w:marTop w:val="0"/>
      <w:marBottom w:val="100"/>
      <w:divBdr>
        <w:top w:val="none" w:sz="0" w:space="0" w:color="auto"/>
        <w:left w:val="none" w:sz="0" w:space="0" w:color="auto"/>
        <w:bottom w:val="none" w:sz="0" w:space="0" w:color="auto"/>
        <w:right w:val="none" w:sz="0" w:space="0" w:color="auto"/>
      </w:divBdr>
    </w:div>
    <w:div w:id="1381051107">
      <w:marLeft w:val="0"/>
      <w:marRight w:val="0"/>
      <w:marTop w:val="0"/>
      <w:marBottom w:val="100"/>
      <w:divBdr>
        <w:top w:val="none" w:sz="0" w:space="0" w:color="auto"/>
        <w:left w:val="none" w:sz="0" w:space="0" w:color="auto"/>
        <w:bottom w:val="none" w:sz="0" w:space="0" w:color="auto"/>
        <w:right w:val="none" w:sz="0" w:space="0" w:color="auto"/>
      </w:divBdr>
    </w:div>
    <w:div w:id="1382554426">
      <w:marLeft w:val="0"/>
      <w:marRight w:val="0"/>
      <w:marTop w:val="0"/>
      <w:marBottom w:val="100"/>
      <w:divBdr>
        <w:top w:val="none" w:sz="0" w:space="0" w:color="auto"/>
        <w:left w:val="none" w:sz="0" w:space="0" w:color="auto"/>
        <w:bottom w:val="none" w:sz="0" w:space="0" w:color="auto"/>
        <w:right w:val="none" w:sz="0" w:space="0" w:color="auto"/>
      </w:divBdr>
    </w:div>
    <w:div w:id="1382904790">
      <w:marLeft w:val="0"/>
      <w:marRight w:val="0"/>
      <w:marTop w:val="0"/>
      <w:marBottom w:val="0"/>
      <w:divBdr>
        <w:top w:val="none" w:sz="0" w:space="0" w:color="auto"/>
        <w:left w:val="none" w:sz="0" w:space="0" w:color="auto"/>
        <w:bottom w:val="none" w:sz="0" w:space="0" w:color="auto"/>
        <w:right w:val="none" w:sz="0" w:space="0" w:color="auto"/>
      </w:divBdr>
      <w:divsChild>
        <w:div w:id="1988437657">
          <w:marLeft w:val="0"/>
          <w:marRight w:val="0"/>
          <w:marTop w:val="0"/>
          <w:marBottom w:val="0"/>
          <w:divBdr>
            <w:top w:val="none" w:sz="0" w:space="0" w:color="auto"/>
            <w:left w:val="none" w:sz="0" w:space="0" w:color="auto"/>
            <w:bottom w:val="none" w:sz="0" w:space="0" w:color="auto"/>
            <w:right w:val="none" w:sz="0" w:space="0" w:color="auto"/>
          </w:divBdr>
          <w:divsChild>
            <w:div w:id="19034107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384132946">
      <w:marLeft w:val="0"/>
      <w:marRight w:val="0"/>
      <w:marTop w:val="100"/>
      <w:marBottom w:val="0"/>
      <w:divBdr>
        <w:top w:val="none" w:sz="0" w:space="0" w:color="auto"/>
        <w:left w:val="none" w:sz="0" w:space="0" w:color="auto"/>
        <w:bottom w:val="none" w:sz="0" w:space="0" w:color="auto"/>
        <w:right w:val="none" w:sz="0" w:space="0" w:color="auto"/>
      </w:divBdr>
    </w:div>
    <w:div w:id="1386174531">
      <w:marLeft w:val="0"/>
      <w:marRight w:val="0"/>
      <w:marTop w:val="100"/>
      <w:marBottom w:val="0"/>
      <w:divBdr>
        <w:top w:val="none" w:sz="0" w:space="0" w:color="auto"/>
        <w:left w:val="none" w:sz="0" w:space="0" w:color="auto"/>
        <w:bottom w:val="none" w:sz="0" w:space="0" w:color="auto"/>
        <w:right w:val="none" w:sz="0" w:space="0" w:color="auto"/>
      </w:divBdr>
    </w:div>
    <w:div w:id="1387333540">
      <w:marLeft w:val="0"/>
      <w:marRight w:val="0"/>
      <w:marTop w:val="0"/>
      <w:marBottom w:val="100"/>
      <w:divBdr>
        <w:top w:val="none" w:sz="0" w:space="0" w:color="auto"/>
        <w:left w:val="none" w:sz="0" w:space="0" w:color="auto"/>
        <w:bottom w:val="none" w:sz="0" w:space="0" w:color="auto"/>
        <w:right w:val="none" w:sz="0" w:space="0" w:color="auto"/>
      </w:divBdr>
    </w:div>
    <w:div w:id="1388147744">
      <w:marLeft w:val="0"/>
      <w:marRight w:val="0"/>
      <w:marTop w:val="0"/>
      <w:marBottom w:val="0"/>
      <w:divBdr>
        <w:top w:val="none" w:sz="0" w:space="0" w:color="auto"/>
        <w:left w:val="none" w:sz="0" w:space="0" w:color="auto"/>
        <w:bottom w:val="none" w:sz="0" w:space="0" w:color="auto"/>
        <w:right w:val="none" w:sz="0" w:space="0" w:color="auto"/>
      </w:divBdr>
    </w:div>
    <w:div w:id="1390348538">
      <w:marLeft w:val="0"/>
      <w:marRight w:val="0"/>
      <w:marTop w:val="0"/>
      <w:marBottom w:val="0"/>
      <w:divBdr>
        <w:top w:val="none" w:sz="0" w:space="0" w:color="auto"/>
        <w:left w:val="none" w:sz="0" w:space="0" w:color="auto"/>
        <w:bottom w:val="none" w:sz="0" w:space="0" w:color="auto"/>
        <w:right w:val="none" w:sz="0" w:space="0" w:color="auto"/>
      </w:divBdr>
      <w:divsChild>
        <w:div w:id="49307884">
          <w:marLeft w:val="0"/>
          <w:marRight w:val="0"/>
          <w:marTop w:val="0"/>
          <w:marBottom w:val="100"/>
          <w:divBdr>
            <w:top w:val="none" w:sz="0" w:space="0" w:color="auto"/>
            <w:left w:val="none" w:sz="0" w:space="0" w:color="auto"/>
            <w:bottom w:val="none" w:sz="0" w:space="0" w:color="auto"/>
            <w:right w:val="none" w:sz="0" w:space="0" w:color="auto"/>
          </w:divBdr>
        </w:div>
      </w:divsChild>
    </w:div>
    <w:div w:id="1391422082">
      <w:marLeft w:val="0"/>
      <w:marRight w:val="0"/>
      <w:marTop w:val="0"/>
      <w:marBottom w:val="100"/>
      <w:divBdr>
        <w:top w:val="none" w:sz="0" w:space="0" w:color="auto"/>
        <w:left w:val="none" w:sz="0" w:space="0" w:color="auto"/>
        <w:bottom w:val="none" w:sz="0" w:space="0" w:color="auto"/>
        <w:right w:val="none" w:sz="0" w:space="0" w:color="auto"/>
      </w:divBdr>
    </w:div>
    <w:div w:id="1391881769">
      <w:marLeft w:val="0"/>
      <w:marRight w:val="0"/>
      <w:marTop w:val="0"/>
      <w:marBottom w:val="0"/>
      <w:divBdr>
        <w:top w:val="none" w:sz="0" w:space="0" w:color="auto"/>
        <w:left w:val="none" w:sz="0" w:space="0" w:color="auto"/>
        <w:bottom w:val="none" w:sz="0" w:space="0" w:color="auto"/>
        <w:right w:val="none" w:sz="0" w:space="0" w:color="auto"/>
      </w:divBdr>
      <w:divsChild>
        <w:div w:id="780994899">
          <w:marLeft w:val="0"/>
          <w:marRight w:val="0"/>
          <w:marTop w:val="0"/>
          <w:marBottom w:val="0"/>
          <w:divBdr>
            <w:top w:val="none" w:sz="0" w:space="0" w:color="auto"/>
            <w:left w:val="none" w:sz="0" w:space="0" w:color="auto"/>
            <w:bottom w:val="none" w:sz="0" w:space="0" w:color="auto"/>
            <w:right w:val="none" w:sz="0" w:space="0" w:color="auto"/>
          </w:divBdr>
          <w:divsChild>
            <w:div w:id="1258637852">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392344314">
      <w:marLeft w:val="0"/>
      <w:marRight w:val="0"/>
      <w:marTop w:val="0"/>
      <w:marBottom w:val="100"/>
      <w:divBdr>
        <w:top w:val="none" w:sz="0" w:space="0" w:color="auto"/>
        <w:left w:val="none" w:sz="0" w:space="0" w:color="auto"/>
        <w:bottom w:val="none" w:sz="0" w:space="0" w:color="auto"/>
        <w:right w:val="none" w:sz="0" w:space="0" w:color="auto"/>
      </w:divBdr>
    </w:div>
    <w:div w:id="1393700801">
      <w:marLeft w:val="0"/>
      <w:marRight w:val="0"/>
      <w:marTop w:val="180"/>
      <w:marBottom w:val="0"/>
      <w:divBdr>
        <w:top w:val="none" w:sz="0" w:space="0" w:color="auto"/>
        <w:left w:val="none" w:sz="0" w:space="0" w:color="auto"/>
        <w:bottom w:val="none" w:sz="0" w:space="0" w:color="auto"/>
        <w:right w:val="none" w:sz="0" w:space="0" w:color="auto"/>
      </w:divBdr>
    </w:div>
    <w:div w:id="1395085060">
      <w:marLeft w:val="0"/>
      <w:marRight w:val="0"/>
      <w:marTop w:val="0"/>
      <w:marBottom w:val="0"/>
      <w:divBdr>
        <w:top w:val="none" w:sz="0" w:space="0" w:color="auto"/>
        <w:left w:val="none" w:sz="0" w:space="0" w:color="auto"/>
        <w:bottom w:val="none" w:sz="0" w:space="0" w:color="auto"/>
        <w:right w:val="none" w:sz="0" w:space="0" w:color="auto"/>
      </w:divBdr>
      <w:divsChild>
        <w:div w:id="725877692">
          <w:marLeft w:val="0"/>
          <w:marRight w:val="0"/>
          <w:marTop w:val="0"/>
          <w:marBottom w:val="100"/>
          <w:divBdr>
            <w:top w:val="none" w:sz="0" w:space="0" w:color="auto"/>
            <w:left w:val="none" w:sz="0" w:space="0" w:color="auto"/>
            <w:bottom w:val="none" w:sz="0" w:space="0" w:color="auto"/>
            <w:right w:val="none" w:sz="0" w:space="0" w:color="auto"/>
          </w:divBdr>
        </w:div>
      </w:divsChild>
    </w:div>
    <w:div w:id="1396397257">
      <w:marLeft w:val="0"/>
      <w:marRight w:val="0"/>
      <w:marTop w:val="0"/>
      <w:marBottom w:val="100"/>
      <w:divBdr>
        <w:top w:val="none" w:sz="0" w:space="0" w:color="auto"/>
        <w:left w:val="none" w:sz="0" w:space="0" w:color="auto"/>
        <w:bottom w:val="none" w:sz="0" w:space="0" w:color="auto"/>
        <w:right w:val="none" w:sz="0" w:space="0" w:color="auto"/>
      </w:divBdr>
    </w:div>
    <w:div w:id="1397163679">
      <w:marLeft w:val="0"/>
      <w:marRight w:val="0"/>
      <w:marTop w:val="0"/>
      <w:marBottom w:val="100"/>
      <w:divBdr>
        <w:top w:val="none" w:sz="0" w:space="0" w:color="auto"/>
        <w:left w:val="none" w:sz="0" w:space="0" w:color="auto"/>
        <w:bottom w:val="none" w:sz="0" w:space="0" w:color="auto"/>
        <w:right w:val="none" w:sz="0" w:space="0" w:color="auto"/>
      </w:divBdr>
    </w:div>
    <w:div w:id="1397627883">
      <w:marLeft w:val="0"/>
      <w:marRight w:val="0"/>
      <w:marTop w:val="0"/>
      <w:marBottom w:val="100"/>
      <w:divBdr>
        <w:top w:val="none" w:sz="0" w:space="0" w:color="auto"/>
        <w:left w:val="none" w:sz="0" w:space="0" w:color="auto"/>
        <w:bottom w:val="none" w:sz="0" w:space="0" w:color="auto"/>
        <w:right w:val="none" w:sz="0" w:space="0" w:color="auto"/>
      </w:divBdr>
    </w:div>
    <w:div w:id="1398087381">
      <w:marLeft w:val="0"/>
      <w:marRight w:val="0"/>
      <w:marTop w:val="0"/>
      <w:marBottom w:val="100"/>
      <w:divBdr>
        <w:top w:val="none" w:sz="0" w:space="0" w:color="auto"/>
        <w:left w:val="none" w:sz="0" w:space="0" w:color="auto"/>
        <w:bottom w:val="none" w:sz="0" w:space="0" w:color="auto"/>
        <w:right w:val="none" w:sz="0" w:space="0" w:color="auto"/>
      </w:divBdr>
    </w:div>
    <w:div w:id="1399396859">
      <w:marLeft w:val="0"/>
      <w:marRight w:val="0"/>
      <w:marTop w:val="0"/>
      <w:marBottom w:val="0"/>
      <w:divBdr>
        <w:top w:val="none" w:sz="0" w:space="0" w:color="auto"/>
        <w:left w:val="none" w:sz="0" w:space="0" w:color="auto"/>
        <w:bottom w:val="none" w:sz="0" w:space="0" w:color="auto"/>
        <w:right w:val="none" w:sz="0" w:space="0" w:color="auto"/>
      </w:divBdr>
      <w:divsChild>
        <w:div w:id="1196622186">
          <w:marLeft w:val="0"/>
          <w:marRight w:val="0"/>
          <w:marTop w:val="0"/>
          <w:marBottom w:val="100"/>
          <w:divBdr>
            <w:top w:val="none" w:sz="0" w:space="0" w:color="auto"/>
            <w:left w:val="none" w:sz="0" w:space="0" w:color="auto"/>
            <w:bottom w:val="none" w:sz="0" w:space="0" w:color="auto"/>
            <w:right w:val="none" w:sz="0" w:space="0" w:color="auto"/>
          </w:divBdr>
        </w:div>
      </w:divsChild>
    </w:div>
    <w:div w:id="1400208712">
      <w:marLeft w:val="0"/>
      <w:marRight w:val="0"/>
      <w:marTop w:val="180"/>
      <w:marBottom w:val="0"/>
      <w:divBdr>
        <w:top w:val="none" w:sz="0" w:space="0" w:color="auto"/>
        <w:left w:val="none" w:sz="0" w:space="0" w:color="auto"/>
        <w:bottom w:val="none" w:sz="0" w:space="0" w:color="auto"/>
        <w:right w:val="none" w:sz="0" w:space="0" w:color="auto"/>
      </w:divBdr>
    </w:div>
    <w:div w:id="1400513495">
      <w:marLeft w:val="0"/>
      <w:marRight w:val="0"/>
      <w:marTop w:val="0"/>
      <w:marBottom w:val="100"/>
      <w:divBdr>
        <w:top w:val="none" w:sz="0" w:space="0" w:color="auto"/>
        <w:left w:val="none" w:sz="0" w:space="0" w:color="auto"/>
        <w:bottom w:val="none" w:sz="0" w:space="0" w:color="auto"/>
        <w:right w:val="none" w:sz="0" w:space="0" w:color="auto"/>
      </w:divBdr>
    </w:div>
    <w:div w:id="1400907008">
      <w:marLeft w:val="0"/>
      <w:marRight w:val="0"/>
      <w:marTop w:val="0"/>
      <w:marBottom w:val="100"/>
      <w:divBdr>
        <w:top w:val="none" w:sz="0" w:space="0" w:color="auto"/>
        <w:left w:val="none" w:sz="0" w:space="0" w:color="auto"/>
        <w:bottom w:val="none" w:sz="0" w:space="0" w:color="auto"/>
        <w:right w:val="none" w:sz="0" w:space="0" w:color="auto"/>
      </w:divBdr>
    </w:div>
    <w:div w:id="1401370698">
      <w:marLeft w:val="0"/>
      <w:marRight w:val="0"/>
      <w:marTop w:val="0"/>
      <w:marBottom w:val="100"/>
      <w:divBdr>
        <w:top w:val="none" w:sz="0" w:space="0" w:color="auto"/>
        <w:left w:val="none" w:sz="0" w:space="0" w:color="auto"/>
        <w:bottom w:val="none" w:sz="0" w:space="0" w:color="auto"/>
        <w:right w:val="none" w:sz="0" w:space="0" w:color="auto"/>
      </w:divBdr>
    </w:div>
    <w:div w:id="1402408414">
      <w:marLeft w:val="0"/>
      <w:marRight w:val="0"/>
      <w:marTop w:val="0"/>
      <w:marBottom w:val="100"/>
      <w:divBdr>
        <w:top w:val="none" w:sz="0" w:space="0" w:color="auto"/>
        <w:left w:val="none" w:sz="0" w:space="0" w:color="auto"/>
        <w:bottom w:val="none" w:sz="0" w:space="0" w:color="auto"/>
        <w:right w:val="none" w:sz="0" w:space="0" w:color="auto"/>
      </w:divBdr>
    </w:div>
    <w:div w:id="1402630197">
      <w:marLeft w:val="0"/>
      <w:marRight w:val="0"/>
      <w:marTop w:val="0"/>
      <w:marBottom w:val="100"/>
      <w:divBdr>
        <w:top w:val="none" w:sz="0" w:space="0" w:color="auto"/>
        <w:left w:val="none" w:sz="0" w:space="0" w:color="auto"/>
        <w:bottom w:val="none" w:sz="0" w:space="0" w:color="auto"/>
        <w:right w:val="none" w:sz="0" w:space="0" w:color="auto"/>
      </w:divBdr>
    </w:div>
    <w:div w:id="1403143779">
      <w:marLeft w:val="0"/>
      <w:marRight w:val="0"/>
      <w:marTop w:val="180"/>
      <w:marBottom w:val="180"/>
      <w:divBdr>
        <w:top w:val="none" w:sz="0" w:space="0" w:color="auto"/>
        <w:left w:val="none" w:sz="0" w:space="0" w:color="auto"/>
        <w:bottom w:val="none" w:sz="0" w:space="0" w:color="auto"/>
        <w:right w:val="none" w:sz="0" w:space="0" w:color="auto"/>
      </w:divBdr>
    </w:div>
    <w:div w:id="1405252557">
      <w:marLeft w:val="0"/>
      <w:marRight w:val="0"/>
      <w:marTop w:val="0"/>
      <w:marBottom w:val="100"/>
      <w:divBdr>
        <w:top w:val="none" w:sz="0" w:space="0" w:color="auto"/>
        <w:left w:val="none" w:sz="0" w:space="0" w:color="auto"/>
        <w:bottom w:val="none" w:sz="0" w:space="0" w:color="auto"/>
        <w:right w:val="none" w:sz="0" w:space="0" w:color="auto"/>
      </w:divBdr>
    </w:div>
    <w:div w:id="1405910091">
      <w:marLeft w:val="0"/>
      <w:marRight w:val="0"/>
      <w:marTop w:val="0"/>
      <w:marBottom w:val="100"/>
      <w:divBdr>
        <w:top w:val="none" w:sz="0" w:space="0" w:color="auto"/>
        <w:left w:val="none" w:sz="0" w:space="0" w:color="auto"/>
        <w:bottom w:val="none" w:sz="0" w:space="0" w:color="auto"/>
        <w:right w:val="none" w:sz="0" w:space="0" w:color="auto"/>
      </w:divBdr>
    </w:div>
    <w:div w:id="1405952942">
      <w:marLeft w:val="0"/>
      <w:marRight w:val="0"/>
      <w:marTop w:val="0"/>
      <w:marBottom w:val="100"/>
      <w:divBdr>
        <w:top w:val="none" w:sz="0" w:space="0" w:color="auto"/>
        <w:left w:val="none" w:sz="0" w:space="0" w:color="auto"/>
        <w:bottom w:val="none" w:sz="0" w:space="0" w:color="auto"/>
        <w:right w:val="none" w:sz="0" w:space="0" w:color="auto"/>
      </w:divBdr>
    </w:div>
    <w:div w:id="1406299977">
      <w:marLeft w:val="0"/>
      <w:marRight w:val="0"/>
      <w:marTop w:val="0"/>
      <w:marBottom w:val="0"/>
      <w:divBdr>
        <w:top w:val="none" w:sz="0" w:space="0" w:color="auto"/>
        <w:left w:val="none" w:sz="0" w:space="0" w:color="auto"/>
        <w:bottom w:val="none" w:sz="0" w:space="0" w:color="auto"/>
        <w:right w:val="none" w:sz="0" w:space="0" w:color="auto"/>
      </w:divBdr>
      <w:divsChild>
        <w:div w:id="30424521">
          <w:marLeft w:val="0"/>
          <w:marRight w:val="0"/>
          <w:marTop w:val="0"/>
          <w:marBottom w:val="100"/>
          <w:divBdr>
            <w:top w:val="none" w:sz="0" w:space="0" w:color="auto"/>
            <w:left w:val="none" w:sz="0" w:space="0" w:color="auto"/>
            <w:bottom w:val="none" w:sz="0" w:space="0" w:color="auto"/>
            <w:right w:val="none" w:sz="0" w:space="0" w:color="auto"/>
          </w:divBdr>
        </w:div>
      </w:divsChild>
    </w:div>
    <w:div w:id="1407339906">
      <w:marLeft w:val="0"/>
      <w:marRight w:val="0"/>
      <w:marTop w:val="0"/>
      <w:marBottom w:val="100"/>
      <w:divBdr>
        <w:top w:val="none" w:sz="0" w:space="0" w:color="auto"/>
        <w:left w:val="none" w:sz="0" w:space="0" w:color="auto"/>
        <w:bottom w:val="none" w:sz="0" w:space="0" w:color="auto"/>
        <w:right w:val="none" w:sz="0" w:space="0" w:color="auto"/>
      </w:divBdr>
    </w:div>
    <w:div w:id="1408377797">
      <w:marLeft w:val="0"/>
      <w:marRight w:val="0"/>
      <w:marTop w:val="0"/>
      <w:marBottom w:val="0"/>
      <w:divBdr>
        <w:top w:val="none" w:sz="0" w:space="0" w:color="auto"/>
        <w:left w:val="none" w:sz="0" w:space="0" w:color="auto"/>
        <w:bottom w:val="none" w:sz="0" w:space="0" w:color="auto"/>
        <w:right w:val="none" w:sz="0" w:space="0" w:color="auto"/>
      </w:divBdr>
      <w:divsChild>
        <w:div w:id="1241479856">
          <w:marLeft w:val="0"/>
          <w:marRight w:val="0"/>
          <w:marTop w:val="0"/>
          <w:marBottom w:val="100"/>
          <w:divBdr>
            <w:top w:val="none" w:sz="0" w:space="0" w:color="auto"/>
            <w:left w:val="none" w:sz="0" w:space="0" w:color="auto"/>
            <w:bottom w:val="none" w:sz="0" w:space="0" w:color="auto"/>
            <w:right w:val="none" w:sz="0" w:space="0" w:color="auto"/>
          </w:divBdr>
        </w:div>
      </w:divsChild>
    </w:div>
    <w:div w:id="1410273229">
      <w:marLeft w:val="0"/>
      <w:marRight w:val="0"/>
      <w:marTop w:val="0"/>
      <w:marBottom w:val="100"/>
      <w:divBdr>
        <w:top w:val="none" w:sz="0" w:space="0" w:color="auto"/>
        <w:left w:val="none" w:sz="0" w:space="0" w:color="auto"/>
        <w:bottom w:val="none" w:sz="0" w:space="0" w:color="auto"/>
        <w:right w:val="none" w:sz="0" w:space="0" w:color="auto"/>
      </w:divBdr>
    </w:div>
    <w:div w:id="1413048423">
      <w:marLeft w:val="0"/>
      <w:marRight w:val="0"/>
      <w:marTop w:val="0"/>
      <w:marBottom w:val="100"/>
      <w:divBdr>
        <w:top w:val="none" w:sz="0" w:space="0" w:color="auto"/>
        <w:left w:val="none" w:sz="0" w:space="0" w:color="auto"/>
        <w:bottom w:val="none" w:sz="0" w:space="0" w:color="auto"/>
        <w:right w:val="none" w:sz="0" w:space="0" w:color="auto"/>
      </w:divBdr>
    </w:div>
    <w:div w:id="1413509818">
      <w:marLeft w:val="0"/>
      <w:marRight w:val="0"/>
      <w:marTop w:val="180"/>
      <w:marBottom w:val="0"/>
      <w:divBdr>
        <w:top w:val="none" w:sz="0" w:space="0" w:color="auto"/>
        <w:left w:val="none" w:sz="0" w:space="0" w:color="auto"/>
        <w:bottom w:val="none" w:sz="0" w:space="0" w:color="auto"/>
        <w:right w:val="none" w:sz="0" w:space="0" w:color="auto"/>
      </w:divBdr>
    </w:div>
    <w:div w:id="1414356565">
      <w:marLeft w:val="0"/>
      <w:marRight w:val="0"/>
      <w:marTop w:val="180"/>
      <w:marBottom w:val="0"/>
      <w:divBdr>
        <w:top w:val="none" w:sz="0" w:space="0" w:color="auto"/>
        <w:left w:val="none" w:sz="0" w:space="0" w:color="auto"/>
        <w:bottom w:val="none" w:sz="0" w:space="0" w:color="auto"/>
        <w:right w:val="none" w:sz="0" w:space="0" w:color="auto"/>
      </w:divBdr>
    </w:div>
    <w:div w:id="1415512367">
      <w:marLeft w:val="0"/>
      <w:marRight w:val="0"/>
      <w:marTop w:val="0"/>
      <w:marBottom w:val="100"/>
      <w:divBdr>
        <w:top w:val="none" w:sz="0" w:space="0" w:color="auto"/>
        <w:left w:val="none" w:sz="0" w:space="0" w:color="auto"/>
        <w:bottom w:val="none" w:sz="0" w:space="0" w:color="auto"/>
        <w:right w:val="none" w:sz="0" w:space="0" w:color="auto"/>
      </w:divBdr>
    </w:div>
    <w:div w:id="1416126883">
      <w:marLeft w:val="0"/>
      <w:marRight w:val="0"/>
      <w:marTop w:val="180"/>
      <w:marBottom w:val="0"/>
      <w:divBdr>
        <w:top w:val="none" w:sz="0" w:space="0" w:color="auto"/>
        <w:left w:val="none" w:sz="0" w:space="0" w:color="auto"/>
        <w:bottom w:val="none" w:sz="0" w:space="0" w:color="auto"/>
        <w:right w:val="none" w:sz="0" w:space="0" w:color="auto"/>
      </w:divBdr>
    </w:div>
    <w:div w:id="1416632161">
      <w:marLeft w:val="0"/>
      <w:marRight w:val="0"/>
      <w:marTop w:val="0"/>
      <w:marBottom w:val="100"/>
      <w:divBdr>
        <w:top w:val="none" w:sz="0" w:space="0" w:color="auto"/>
        <w:left w:val="none" w:sz="0" w:space="0" w:color="auto"/>
        <w:bottom w:val="none" w:sz="0" w:space="0" w:color="auto"/>
        <w:right w:val="none" w:sz="0" w:space="0" w:color="auto"/>
      </w:divBdr>
    </w:div>
    <w:div w:id="1419523328">
      <w:marLeft w:val="0"/>
      <w:marRight w:val="0"/>
      <w:marTop w:val="0"/>
      <w:marBottom w:val="100"/>
      <w:divBdr>
        <w:top w:val="none" w:sz="0" w:space="0" w:color="auto"/>
        <w:left w:val="none" w:sz="0" w:space="0" w:color="auto"/>
        <w:bottom w:val="none" w:sz="0" w:space="0" w:color="auto"/>
        <w:right w:val="none" w:sz="0" w:space="0" w:color="auto"/>
      </w:divBdr>
    </w:div>
    <w:div w:id="1419713222">
      <w:marLeft w:val="0"/>
      <w:marRight w:val="0"/>
      <w:marTop w:val="0"/>
      <w:marBottom w:val="100"/>
      <w:divBdr>
        <w:top w:val="none" w:sz="0" w:space="0" w:color="auto"/>
        <w:left w:val="none" w:sz="0" w:space="0" w:color="auto"/>
        <w:bottom w:val="none" w:sz="0" w:space="0" w:color="auto"/>
        <w:right w:val="none" w:sz="0" w:space="0" w:color="auto"/>
      </w:divBdr>
    </w:div>
    <w:div w:id="1421949597">
      <w:marLeft w:val="0"/>
      <w:marRight w:val="0"/>
      <w:marTop w:val="0"/>
      <w:marBottom w:val="0"/>
      <w:divBdr>
        <w:top w:val="none" w:sz="0" w:space="0" w:color="auto"/>
        <w:left w:val="none" w:sz="0" w:space="0" w:color="auto"/>
        <w:bottom w:val="none" w:sz="0" w:space="0" w:color="auto"/>
        <w:right w:val="none" w:sz="0" w:space="0" w:color="auto"/>
      </w:divBdr>
      <w:divsChild>
        <w:div w:id="158541802">
          <w:marLeft w:val="0"/>
          <w:marRight w:val="0"/>
          <w:marTop w:val="0"/>
          <w:marBottom w:val="0"/>
          <w:divBdr>
            <w:top w:val="none" w:sz="0" w:space="0" w:color="auto"/>
            <w:left w:val="none" w:sz="0" w:space="0" w:color="auto"/>
            <w:bottom w:val="none" w:sz="0" w:space="0" w:color="auto"/>
            <w:right w:val="none" w:sz="0" w:space="0" w:color="auto"/>
          </w:divBdr>
          <w:divsChild>
            <w:div w:id="205444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424566027">
      <w:marLeft w:val="0"/>
      <w:marRight w:val="0"/>
      <w:marTop w:val="0"/>
      <w:marBottom w:val="100"/>
      <w:divBdr>
        <w:top w:val="none" w:sz="0" w:space="0" w:color="auto"/>
        <w:left w:val="none" w:sz="0" w:space="0" w:color="auto"/>
        <w:bottom w:val="none" w:sz="0" w:space="0" w:color="auto"/>
        <w:right w:val="none" w:sz="0" w:space="0" w:color="auto"/>
      </w:divBdr>
    </w:div>
    <w:div w:id="1424689361">
      <w:marLeft w:val="0"/>
      <w:marRight w:val="0"/>
      <w:marTop w:val="0"/>
      <w:marBottom w:val="100"/>
      <w:divBdr>
        <w:top w:val="none" w:sz="0" w:space="0" w:color="auto"/>
        <w:left w:val="none" w:sz="0" w:space="0" w:color="auto"/>
        <w:bottom w:val="none" w:sz="0" w:space="0" w:color="auto"/>
        <w:right w:val="none" w:sz="0" w:space="0" w:color="auto"/>
      </w:divBdr>
    </w:div>
    <w:div w:id="1427113479">
      <w:marLeft w:val="0"/>
      <w:marRight w:val="0"/>
      <w:marTop w:val="0"/>
      <w:marBottom w:val="100"/>
      <w:divBdr>
        <w:top w:val="none" w:sz="0" w:space="0" w:color="auto"/>
        <w:left w:val="none" w:sz="0" w:space="0" w:color="auto"/>
        <w:bottom w:val="none" w:sz="0" w:space="0" w:color="auto"/>
        <w:right w:val="none" w:sz="0" w:space="0" w:color="auto"/>
      </w:divBdr>
    </w:div>
    <w:div w:id="1428306059">
      <w:marLeft w:val="0"/>
      <w:marRight w:val="0"/>
      <w:marTop w:val="0"/>
      <w:marBottom w:val="100"/>
      <w:divBdr>
        <w:top w:val="none" w:sz="0" w:space="0" w:color="auto"/>
        <w:left w:val="none" w:sz="0" w:space="0" w:color="auto"/>
        <w:bottom w:val="none" w:sz="0" w:space="0" w:color="auto"/>
        <w:right w:val="none" w:sz="0" w:space="0" w:color="auto"/>
      </w:divBdr>
    </w:div>
    <w:div w:id="1429302659">
      <w:marLeft w:val="0"/>
      <w:marRight w:val="0"/>
      <w:marTop w:val="180"/>
      <w:marBottom w:val="100"/>
      <w:divBdr>
        <w:top w:val="none" w:sz="0" w:space="0" w:color="auto"/>
        <w:left w:val="none" w:sz="0" w:space="0" w:color="auto"/>
        <w:bottom w:val="none" w:sz="0" w:space="0" w:color="auto"/>
        <w:right w:val="none" w:sz="0" w:space="0" w:color="auto"/>
      </w:divBdr>
    </w:div>
    <w:div w:id="1433087553">
      <w:marLeft w:val="0"/>
      <w:marRight w:val="0"/>
      <w:marTop w:val="0"/>
      <w:marBottom w:val="0"/>
      <w:divBdr>
        <w:top w:val="none" w:sz="0" w:space="0" w:color="auto"/>
        <w:left w:val="none" w:sz="0" w:space="0" w:color="auto"/>
        <w:bottom w:val="none" w:sz="0" w:space="0" w:color="auto"/>
        <w:right w:val="none" w:sz="0" w:space="0" w:color="auto"/>
      </w:divBdr>
      <w:divsChild>
        <w:div w:id="491408355">
          <w:marLeft w:val="0"/>
          <w:marRight w:val="0"/>
          <w:marTop w:val="0"/>
          <w:marBottom w:val="100"/>
          <w:divBdr>
            <w:top w:val="none" w:sz="0" w:space="0" w:color="auto"/>
            <w:left w:val="none" w:sz="0" w:space="0" w:color="auto"/>
            <w:bottom w:val="none" w:sz="0" w:space="0" w:color="auto"/>
            <w:right w:val="none" w:sz="0" w:space="0" w:color="auto"/>
          </w:divBdr>
        </w:div>
      </w:divsChild>
    </w:div>
    <w:div w:id="1433168040">
      <w:marLeft w:val="0"/>
      <w:marRight w:val="0"/>
      <w:marTop w:val="0"/>
      <w:marBottom w:val="100"/>
      <w:divBdr>
        <w:top w:val="none" w:sz="0" w:space="0" w:color="auto"/>
        <w:left w:val="none" w:sz="0" w:space="0" w:color="auto"/>
        <w:bottom w:val="none" w:sz="0" w:space="0" w:color="auto"/>
        <w:right w:val="none" w:sz="0" w:space="0" w:color="auto"/>
      </w:divBdr>
    </w:div>
    <w:div w:id="1433355979">
      <w:marLeft w:val="0"/>
      <w:marRight w:val="0"/>
      <w:marTop w:val="0"/>
      <w:marBottom w:val="100"/>
      <w:divBdr>
        <w:top w:val="none" w:sz="0" w:space="0" w:color="auto"/>
        <w:left w:val="none" w:sz="0" w:space="0" w:color="auto"/>
        <w:bottom w:val="none" w:sz="0" w:space="0" w:color="auto"/>
        <w:right w:val="none" w:sz="0" w:space="0" w:color="auto"/>
      </w:divBdr>
    </w:div>
    <w:div w:id="1433670990">
      <w:marLeft w:val="0"/>
      <w:marRight w:val="0"/>
      <w:marTop w:val="180"/>
      <w:marBottom w:val="100"/>
      <w:divBdr>
        <w:top w:val="none" w:sz="0" w:space="0" w:color="auto"/>
        <w:left w:val="none" w:sz="0" w:space="0" w:color="auto"/>
        <w:bottom w:val="none" w:sz="0" w:space="0" w:color="auto"/>
        <w:right w:val="none" w:sz="0" w:space="0" w:color="auto"/>
      </w:divBdr>
    </w:div>
    <w:div w:id="1438258726">
      <w:marLeft w:val="0"/>
      <w:marRight w:val="0"/>
      <w:marTop w:val="0"/>
      <w:marBottom w:val="0"/>
      <w:divBdr>
        <w:top w:val="none" w:sz="0" w:space="0" w:color="auto"/>
        <w:left w:val="none" w:sz="0" w:space="0" w:color="auto"/>
        <w:bottom w:val="none" w:sz="0" w:space="0" w:color="auto"/>
        <w:right w:val="none" w:sz="0" w:space="0" w:color="auto"/>
      </w:divBdr>
      <w:divsChild>
        <w:div w:id="125247642">
          <w:marLeft w:val="0"/>
          <w:marRight w:val="0"/>
          <w:marTop w:val="0"/>
          <w:marBottom w:val="100"/>
          <w:divBdr>
            <w:top w:val="none" w:sz="0" w:space="0" w:color="auto"/>
            <w:left w:val="none" w:sz="0" w:space="0" w:color="auto"/>
            <w:bottom w:val="none" w:sz="0" w:space="0" w:color="auto"/>
            <w:right w:val="none" w:sz="0" w:space="0" w:color="auto"/>
          </w:divBdr>
        </w:div>
      </w:divsChild>
    </w:div>
    <w:div w:id="1440250847">
      <w:marLeft w:val="0"/>
      <w:marRight w:val="0"/>
      <w:marTop w:val="0"/>
      <w:marBottom w:val="0"/>
      <w:divBdr>
        <w:top w:val="none" w:sz="0" w:space="0" w:color="auto"/>
        <w:left w:val="none" w:sz="0" w:space="0" w:color="auto"/>
        <w:bottom w:val="none" w:sz="0" w:space="0" w:color="auto"/>
        <w:right w:val="none" w:sz="0" w:space="0" w:color="auto"/>
      </w:divBdr>
      <w:divsChild>
        <w:div w:id="1908570042">
          <w:marLeft w:val="0"/>
          <w:marRight w:val="0"/>
          <w:marTop w:val="0"/>
          <w:marBottom w:val="100"/>
          <w:divBdr>
            <w:top w:val="none" w:sz="0" w:space="0" w:color="auto"/>
            <w:left w:val="none" w:sz="0" w:space="0" w:color="auto"/>
            <w:bottom w:val="none" w:sz="0" w:space="0" w:color="auto"/>
            <w:right w:val="none" w:sz="0" w:space="0" w:color="auto"/>
          </w:divBdr>
        </w:div>
      </w:divsChild>
    </w:div>
    <w:div w:id="1441486684">
      <w:marLeft w:val="0"/>
      <w:marRight w:val="0"/>
      <w:marTop w:val="0"/>
      <w:marBottom w:val="100"/>
      <w:divBdr>
        <w:top w:val="none" w:sz="0" w:space="0" w:color="auto"/>
        <w:left w:val="none" w:sz="0" w:space="0" w:color="auto"/>
        <w:bottom w:val="none" w:sz="0" w:space="0" w:color="auto"/>
        <w:right w:val="none" w:sz="0" w:space="0" w:color="auto"/>
      </w:divBdr>
    </w:div>
    <w:div w:id="1441802160">
      <w:marLeft w:val="0"/>
      <w:marRight w:val="0"/>
      <w:marTop w:val="0"/>
      <w:marBottom w:val="0"/>
      <w:divBdr>
        <w:top w:val="none" w:sz="0" w:space="0" w:color="auto"/>
        <w:left w:val="none" w:sz="0" w:space="0" w:color="auto"/>
        <w:bottom w:val="none" w:sz="0" w:space="0" w:color="auto"/>
        <w:right w:val="none" w:sz="0" w:space="0" w:color="auto"/>
      </w:divBdr>
      <w:divsChild>
        <w:div w:id="903757994">
          <w:marLeft w:val="0"/>
          <w:marRight w:val="0"/>
          <w:marTop w:val="0"/>
          <w:marBottom w:val="0"/>
          <w:divBdr>
            <w:top w:val="none" w:sz="0" w:space="0" w:color="auto"/>
            <w:left w:val="none" w:sz="0" w:space="0" w:color="auto"/>
            <w:bottom w:val="none" w:sz="0" w:space="0" w:color="auto"/>
            <w:right w:val="none" w:sz="0" w:space="0" w:color="auto"/>
          </w:divBdr>
          <w:divsChild>
            <w:div w:id="47749979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442216507">
      <w:marLeft w:val="0"/>
      <w:marRight w:val="0"/>
      <w:marTop w:val="0"/>
      <w:marBottom w:val="100"/>
      <w:divBdr>
        <w:top w:val="none" w:sz="0" w:space="0" w:color="auto"/>
        <w:left w:val="none" w:sz="0" w:space="0" w:color="auto"/>
        <w:bottom w:val="none" w:sz="0" w:space="0" w:color="auto"/>
        <w:right w:val="none" w:sz="0" w:space="0" w:color="auto"/>
      </w:divBdr>
    </w:div>
    <w:div w:id="1443106572">
      <w:marLeft w:val="0"/>
      <w:marRight w:val="0"/>
      <w:marTop w:val="0"/>
      <w:marBottom w:val="100"/>
      <w:divBdr>
        <w:top w:val="none" w:sz="0" w:space="0" w:color="auto"/>
        <w:left w:val="none" w:sz="0" w:space="0" w:color="auto"/>
        <w:bottom w:val="none" w:sz="0" w:space="0" w:color="auto"/>
        <w:right w:val="none" w:sz="0" w:space="0" w:color="auto"/>
      </w:divBdr>
    </w:div>
    <w:div w:id="1447457020">
      <w:marLeft w:val="0"/>
      <w:marRight w:val="0"/>
      <w:marTop w:val="0"/>
      <w:marBottom w:val="100"/>
      <w:divBdr>
        <w:top w:val="none" w:sz="0" w:space="0" w:color="auto"/>
        <w:left w:val="none" w:sz="0" w:space="0" w:color="auto"/>
        <w:bottom w:val="none" w:sz="0" w:space="0" w:color="auto"/>
        <w:right w:val="none" w:sz="0" w:space="0" w:color="auto"/>
      </w:divBdr>
    </w:div>
    <w:div w:id="1448309038">
      <w:marLeft w:val="0"/>
      <w:marRight w:val="0"/>
      <w:marTop w:val="0"/>
      <w:marBottom w:val="100"/>
      <w:divBdr>
        <w:top w:val="none" w:sz="0" w:space="0" w:color="auto"/>
        <w:left w:val="none" w:sz="0" w:space="0" w:color="auto"/>
        <w:bottom w:val="none" w:sz="0" w:space="0" w:color="auto"/>
        <w:right w:val="none" w:sz="0" w:space="0" w:color="auto"/>
      </w:divBdr>
    </w:div>
    <w:div w:id="1450120982">
      <w:marLeft w:val="0"/>
      <w:marRight w:val="0"/>
      <w:marTop w:val="0"/>
      <w:marBottom w:val="0"/>
      <w:divBdr>
        <w:top w:val="none" w:sz="0" w:space="0" w:color="auto"/>
        <w:left w:val="none" w:sz="0" w:space="0" w:color="auto"/>
        <w:bottom w:val="none" w:sz="0" w:space="0" w:color="auto"/>
        <w:right w:val="none" w:sz="0" w:space="0" w:color="auto"/>
      </w:divBdr>
    </w:div>
    <w:div w:id="1451053643">
      <w:marLeft w:val="0"/>
      <w:marRight w:val="0"/>
      <w:marTop w:val="0"/>
      <w:marBottom w:val="0"/>
      <w:divBdr>
        <w:top w:val="none" w:sz="0" w:space="0" w:color="auto"/>
        <w:left w:val="none" w:sz="0" w:space="0" w:color="auto"/>
        <w:bottom w:val="none" w:sz="0" w:space="0" w:color="auto"/>
        <w:right w:val="none" w:sz="0" w:space="0" w:color="auto"/>
      </w:divBdr>
      <w:divsChild>
        <w:div w:id="1747801406">
          <w:marLeft w:val="0"/>
          <w:marRight w:val="0"/>
          <w:marTop w:val="0"/>
          <w:marBottom w:val="100"/>
          <w:divBdr>
            <w:top w:val="none" w:sz="0" w:space="0" w:color="auto"/>
            <w:left w:val="none" w:sz="0" w:space="0" w:color="auto"/>
            <w:bottom w:val="none" w:sz="0" w:space="0" w:color="auto"/>
            <w:right w:val="none" w:sz="0" w:space="0" w:color="auto"/>
          </w:divBdr>
        </w:div>
      </w:divsChild>
    </w:div>
    <w:div w:id="1451319200">
      <w:marLeft w:val="0"/>
      <w:marRight w:val="0"/>
      <w:marTop w:val="0"/>
      <w:marBottom w:val="100"/>
      <w:divBdr>
        <w:top w:val="none" w:sz="0" w:space="0" w:color="auto"/>
        <w:left w:val="none" w:sz="0" w:space="0" w:color="auto"/>
        <w:bottom w:val="none" w:sz="0" w:space="0" w:color="auto"/>
        <w:right w:val="none" w:sz="0" w:space="0" w:color="auto"/>
      </w:divBdr>
    </w:div>
    <w:div w:id="1452016480">
      <w:marLeft w:val="0"/>
      <w:marRight w:val="0"/>
      <w:marTop w:val="0"/>
      <w:marBottom w:val="100"/>
      <w:divBdr>
        <w:top w:val="none" w:sz="0" w:space="0" w:color="auto"/>
        <w:left w:val="none" w:sz="0" w:space="0" w:color="auto"/>
        <w:bottom w:val="none" w:sz="0" w:space="0" w:color="auto"/>
        <w:right w:val="none" w:sz="0" w:space="0" w:color="auto"/>
      </w:divBdr>
    </w:div>
    <w:div w:id="1452824107">
      <w:marLeft w:val="0"/>
      <w:marRight w:val="0"/>
      <w:marTop w:val="0"/>
      <w:marBottom w:val="100"/>
      <w:divBdr>
        <w:top w:val="none" w:sz="0" w:space="0" w:color="auto"/>
        <w:left w:val="none" w:sz="0" w:space="0" w:color="auto"/>
        <w:bottom w:val="none" w:sz="0" w:space="0" w:color="auto"/>
        <w:right w:val="none" w:sz="0" w:space="0" w:color="auto"/>
      </w:divBdr>
    </w:div>
    <w:div w:id="1453597397">
      <w:marLeft w:val="0"/>
      <w:marRight w:val="0"/>
      <w:marTop w:val="0"/>
      <w:marBottom w:val="100"/>
      <w:divBdr>
        <w:top w:val="none" w:sz="0" w:space="0" w:color="auto"/>
        <w:left w:val="none" w:sz="0" w:space="0" w:color="auto"/>
        <w:bottom w:val="none" w:sz="0" w:space="0" w:color="auto"/>
        <w:right w:val="none" w:sz="0" w:space="0" w:color="auto"/>
      </w:divBdr>
    </w:div>
    <w:div w:id="1454327720">
      <w:marLeft w:val="0"/>
      <w:marRight w:val="0"/>
      <w:marTop w:val="0"/>
      <w:marBottom w:val="100"/>
      <w:divBdr>
        <w:top w:val="none" w:sz="0" w:space="0" w:color="auto"/>
        <w:left w:val="none" w:sz="0" w:space="0" w:color="auto"/>
        <w:bottom w:val="none" w:sz="0" w:space="0" w:color="auto"/>
        <w:right w:val="none" w:sz="0" w:space="0" w:color="auto"/>
      </w:divBdr>
    </w:div>
    <w:div w:id="1455489772">
      <w:marLeft w:val="0"/>
      <w:marRight w:val="0"/>
      <w:marTop w:val="0"/>
      <w:marBottom w:val="100"/>
      <w:divBdr>
        <w:top w:val="none" w:sz="0" w:space="0" w:color="auto"/>
        <w:left w:val="none" w:sz="0" w:space="0" w:color="auto"/>
        <w:bottom w:val="none" w:sz="0" w:space="0" w:color="auto"/>
        <w:right w:val="none" w:sz="0" w:space="0" w:color="auto"/>
      </w:divBdr>
    </w:div>
    <w:div w:id="1456365176">
      <w:marLeft w:val="0"/>
      <w:marRight w:val="0"/>
      <w:marTop w:val="0"/>
      <w:marBottom w:val="0"/>
      <w:divBdr>
        <w:top w:val="none" w:sz="0" w:space="0" w:color="auto"/>
        <w:left w:val="none" w:sz="0" w:space="0" w:color="auto"/>
        <w:bottom w:val="none" w:sz="0" w:space="0" w:color="auto"/>
        <w:right w:val="none" w:sz="0" w:space="0" w:color="auto"/>
      </w:divBdr>
    </w:div>
    <w:div w:id="1458455278">
      <w:marLeft w:val="0"/>
      <w:marRight w:val="0"/>
      <w:marTop w:val="0"/>
      <w:marBottom w:val="100"/>
      <w:divBdr>
        <w:top w:val="none" w:sz="0" w:space="0" w:color="auto"/>
        <w:left w:val="none" w:sz="0" w:space="0" w:color="auto"/>
        <w:bottom w:val="none" w:sz="0" w:space="0" w:color="auto"/>
        <w:right w:val="none" w:sz="0" w:space="0" w:color="auto"/>
      </w:divBdr>
    </w:div>
    <w:div w:id="1458572646">
      <w:marLeft w:val="0"/>
      <w:marRight w:val="0"/>
      <w:marTop w:val="0"/>
      <w:marBottom w:val="100"/>
      <w:divBdr>
        <w:top w:val="none" w:sz="0" w:space="0" w:color="auto"/>
        <w:left w:val="none" w:sz="0" w:space="0" w:color="auto"/>
        <w:bottom w:val="none" w:sz="0" w:space="0" w:color="auto"/>
        <w:right w:val="none" w:sz="0" w:space="0" w:color="auto"/>
      </w:divBdr>
    </w:div>
    <w:div w:id="1459299749">
      <w:marLeft w:val="0"/>
      <w:marRight w:val="0"/>
      <w:marTop w:val="0"/>
      <w:marBottom w:val="100"/>
      <w:divBdr>
        <w:top w:val="none" w:sz="0" w:space="0" w:color="auto"/>
        <w:left w:val="none" w:sz="0" w:space="0" w:color="auto"/>
        <w:bottom w:val="none" w:sz="0" w:space="0" w:color="auto"/>
        <w:right w:val="none" w:sz="0" w:space="0" w:color="auto"/>
      </w:divBdr>
    </w:div>
    <w:div w:id="1460683417">
      <w:marLeft w:val="0"/>
      <w:marRight w:val="0"/>
      <w:marTop w:val="0"/>
      <w:marBottom w:val="0"/>
      <w:divBdr>
        <w:top w:val="none" w:sz="0" w:space="0" w:color="auto"/>
        <w:left w:val="none" w:sz="0" w:space="0" w:color="auto"/>
        <w:bottom w:val="none" w:sz="0" w:space="0" w:color="auto"/>
        <w:right w:val="none" w:sz="0" w:space="0" w:color="auto"/>
      </w:divBdr>
      <w:divsChild>
        <w:div w:id="32116229">
          <w:marLeft w:val="0"/>
          <w:marRight w:val="0"/>
          <w:marTop w:val="0"/>
          <w:marBottom w:val="0"/>
          <w:divBdr>
            <w:top w:val="none" w:sz="0" w:space="0" w:color="auto"/>
            <w:left w:val="none" w:sz="0" w:space="0" w:color="auto"/>
            <w:bottom w:val="none" w:sz="0" w:space="0" w:color="auto"/>
            <w:right w:val="none" w:sz="0" w:space="0" w:color="auto"/>
          </w:divBdr>
          <w:divsChild>
            <w:div w:id="142464247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460882605">
      <w:marLeft w:val="0"/>
      <w:marRight w:val="0"/>
      <w:marTop w:val="180"/>
      <w:marBottom w:val="0"/>
      <w:divBdr>
        <w:top w:val="none" w:sz="0" w:space="0" w:color="auto"/>
        <w:left w:val="none" w:sz="0" w:space="0" w:color="auto"/>
        <w:bottom w:val="none" w:sz="0" w:space="0" w:color="auto"/>
        <w:right w:val="none" w:sz="0" w:space="0" w:color="auto"/>
      </w:divBdr>
    </w:div>
    <w:div w:id="1461800484">
      <w:marLeft w:val="0"/>
      <w:marRight w:val="0"/>
      <w:marTop w:val="0"/>
      <w:marBottom w:val="100"/>
      <w:divBdr>
        <w:top w:val="none" w:sz="0" w:space="0" w:color="auto"/>
        <w:left w:val="none" w:sz="0" w:space="0" w:color="auto"/>
        <w:bottom w:val="none" w:sz="0" w:space="0" w:color="auto"/>
        <w:right w:val="none" w:sz="0" w:space="0" w:color="auto"/>
      </w:divBdr>
    </w:div>
    <w:div w:id="1466655731">
      <w:marLeft w:val="0"/>
      <w:marRight w:val="0"/>
      <w:marTop w:val="0"/>
      <w:marBottom w:val="100"/>
      <w:divBdr>
        <w:top w:val="none" w:sz="0" w:space="0" w:color="auto"/>
        <w:left w:val="none" w:sz="0" w:space="0" w:color="auto"/>
        <w:bottom w:val="none" w:sz="0" w:space="0" w:color="auto"/>
        <w:right w:val="none" w:sz="0" w:space="0" w:color="auto"/>
      </w:divBdr>
    </w:div>
    <w:div w:id="1467626151">
      <w:marLeft w:val="0"/>
      <w:marRight w:val="0"/>
      <w:marTop w:val="0"/>
      <w:marBottom w:val="100"/>
      <w:divBdr>
        <w:top w:val="none" w:sz="0" w:space="0" w:color="auto"/>
        <w:left w:val="none" w:sz="0" w:space="0" w:color="auto"/>
        <w:bottom w:val="none" w:sz="0" w:space="0" w:color="auto"/>
        <w:right w:val="none" w:sz="0" w:space="0" w:color="auto"/>
      </w:divBdr>
    </w:div>
    <w:div w:id="1468206719">
      <w:marLeft w:val="0"/>
      <w:marRight w:val="0"/>
      <w:marTop w:val="0"/>
      <w:marBottom w:val="100"/>
      <w:divBdr>
        <w:top w:val="none" w:sz="0" w:space="0" w:color="auto"/>
        <w:left w:val="none" w:sz="0" w:space="0" w:color="auto"/>
        <w:bottom w:val="none" w:sz="0" w:space="0" w:color="auto"/>
        <w:right w:val="none" w:sz="0" w:space="0" w:color="auto"/>
      </w:divBdr>
    </w:div>
    <w:div w:id="1468279237">
      <w:marLeft w:val="0"/>
      <w:marRight w:val="0"/>
      <w:marTop w:val="0"/>
      <w:marBottom w:val="100"/>
      <w:divBdr>
        <w:top w:val="none" w:sz="0" w:space="0" w:color="auto"/>
        <w:left w:val="none" w:sz="0" w:space="0" w:color="auto"/>
        <w:bottom w:val="none" w:sz="0" w:space="0" w:color="auto"/>
        <w:right w:val="none" w:sz="0" w:space="0" w:color="auto"/>
      </w:divBdr>
    </w:div>
    <w:div w:id="1468356872">
      <w:marLeft w:val="0"/>
      <w:marRight w:val="0"/>
      <w:marTop w:val="180"/>
      <w:marBottom w:val="0"/>
      <w:divBdr>
        <w:top w:val="none" w:sz="0" w:space="0" w:color="auto"/>
        <w:left w:val="none" w:sz="0" w:space="0" w:color="auto"/>
        <w:bottom w:val="none" w:sz="0" w:space="0" w:color="auto"/>
        <w:right w:val="none" w:sz="0" w:space="0" w:color="auto"/>
      </w:divBdr>
      <w:divsChild>
        <w:div w:id="1191457994">
          <w:marLeft w:val="0"/>
          <w:marRight w:val="0"/>
          <w:marTop w:val="0"/>
          <w:marBottom w:val="0"/>
          <w:divBdr>
            <w:top w:val="none" w:sz="0" w:space="0" w:color="auto"/>
            <w:left w:val="none" w:sz="0" w:space="0" w:color="auto"/>
            <w:bottom w:val="none" w:sz="0" w:space="0" w:color="auto"/>
            <w:right w:val="none" w:sz="0" w:space="0" w:color="auto"/>
          </w:divBdr>
        </w:div>
      </w:divsChild>
    </w:div>
    <w:div w:id="1470900505">
      <w:marLeft w:val="0"/>
      <w:marRight w:val="0"/>
      <w:marTop w:val="100"/>
      <w:marBottom w:val="0"/>
      <w:divBdr>
        <w:top w:val="none" w:sz="0" w:space="0" w:color="auto"/>
        <w:left w:val="none" w:sz="0" w:space="0" w:color="auto"/>
        <w:bottom w:val="none" w:sz="0" w:space="0" w:color="auto"/>
        <w:right w:val="none" w:sz="0" w:space="0" w:color="auto"/>
      </w:divBdr>
    </w:div>
    <w:div w:id="1471097417">
      <w:marLeft w:val="0"/>
      <w:marRight w:val="0"/>
      <w:marTop w:val="0"/>
      <w:marBottom w:val="0"/>
      <w:divBdr>
        <w:top w:val="none" w:sz="0" w:space="0" w:color="auto"/>
        <w:left w:val="none" w:sz="0" w:space="0" w:color="auto"/>
        <w:bottom w:val="none" w:sz="0" w:space="0" w:color="auto"/>
        <w:right w:val="none" w:sz="0" w:space="0" w:color="auto"/>
      </w:divBdr>
      <w:divsChild>
        <w:div w:id="1937395690">
          <w:marLeft w:val="0"/>
          <w:marRight w:val="0"/>
          <w:marTop w:val="0"/>
          <w:marBottom w:val="0"/>
          <w:divBdr>
            <w:top w:val="none" w:sz="0" w:space="0" w:color="auto"/>
            <w:left w:val="none" w:sz="0" w:space="0" w:color="auto"/>
            <w:bottom w:val="none" w:sz="0" w:space="0" w:color="auto"/>
            <w:right w:val="none" w:sz="0" w:space="0" w:color="auto"/>
          </w:divBdr>
          <w:divsChild>
            <w:div w:id="33812468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473332589">
      <w:marLeft w:val="0"/>
      <w:marRight w:val="0"/>
      <w:marTop w:val="0"/>
      <w:marBottom w:val="0"/>
      <w:divBdr>
        <w:top w:val="none" w:sz="0" w:space="0" w:color="auto"/>
        <w:left w:val="none" w:sz="0" w:space="0" w:color="auto"/>
        <w:bottom w:val="none" w:sz="0" w:space="0" w:color="auto"/>
        <w:right w:val="none" w:sz="0" w:space="0" w:color="auto"/>
      </w:divBdr>
    </w:div>
    <w:div w:id="1474444507">
      <w:marLeft w:val="0"/>
      <w:marRight w:val="0"/>
      <w:marTop w:val="0"/>
      <w:marBottom w:val="100"/>
      <w:divBdr>
        <w:top w:val="none" w:sz="0" w:space="0" w:color="auto"/>
        <w:left w:val="none" w:sz="0" w:space="0" w:color="auto"/>
        <w:bottom w:val="none" w:sz="0" w:space="0" w:color="auto"/>
        <w:right w:val="none" w:sz="0" w:space="0" w:color="auto"/>
      </w:divBdr>
    </w:div>
    <w:div w:id="1476022012">
      <w:marLeft w:val="0"/>
      <w:marRight w:val="0"/>
      <w:marTop w:val="0"/>
      <w:marBottom w:val="100"/>
      <w:divBdr>
        <w:top w:val="none" w:sz="0" w:space="0" w:color="auto"/>
        <w:left w:val="none" w:sz="0" w:space="0" w:color="auto"/>
        <w:bottom w:val="none" w:sz="0" w:space="0" w:color="auto"/>
        <w:right w:val="none" w:sz="0" w:space="0" w:color="auto"/>
      </w:divBdr>
    </w:div>
    <w:div w:id="1478373334">
      <w:marLeft w:val="0"/>
      <w:marRight w:val="0"/>
      <w:marTop w:val="0"/>
      <w:marBottom w:val="100"/>
      <w:divBdr>
        <w:top w:val="none" w:sz="0" w:space="0" w:color="auto"/>
        <w:left w:val="none" w:sz="0" w:space="0" w:color="auto"/>
        <w:bottom w:val="none" w:sz="0" w:space="0" w:color="auto"/>
        <w:right w:val="none" w:sz="0" w:space="0" w:color="auto"/>
      </w:divBdr>
    </w:div>
    <w:div w:id="1481314583">
      <w:marLeft w:val="0"/>
      <w:marRight w:val="0"/>
      <w:marTop w:val="0"/>
      <w:marBottom w:val="100"/>
      <w:divBdr>
        <w:top w:val="none" w:sz="0" w:space="0" w:color="auto"/>
        <w:left w:val="none" w:sz="0" w:space="0" w:color="auto"/>
        <w:bottom w:val="none" w:sz="0" w:space="0" w:color="auto"/>
        <w:right w:val="none" w:sz="0" w:space="0" w:color="auto"/>
      </w:divBdr>
    </w:div>
    <w:div w:id="1483155221">
      <w:marLeft w:val="0"/>
      <w:marRight w:val="0"/>
      <w:marTop w:val="0"/>
      <w:marBottom w:val="100"/>
      <w:divBdr>
        <w:top w:val="none" w:sz="0" w:space="0" w:color="auto"/>
        <w:left w:val="none" w:sz="0" w:space="0" w:color="auto"/>
        <w:bottom w:val="none" w:sz="0" w:space="0" w:color="auto"/>
        <w:right w:val="none" w:sz="0" w:space="0" w:color="auto"/>
      </w:divBdr>
    </w:div>
    <w:div w:id="1486583487">
      <w:marLeft w:val="0"/>
      <w:marRight w:val="0"/>
      <w:marTop w:val="0"/>
      <w:marBottom w:val="100"/>
      <w:divBdr>
        <w:top w:val="none" w:sz="0" w:space="0" w:color="auto"/>
        <w:left w:val="none" w:sz="0" w:space="0" w:color="auto"/>
        <w:bottom w:val="none" w:sz="0" w:space="0" w:color="auto"/>
        <w:right w:val="none" w:sz="0" w:space="0" w:color="auto"/>
      </w:divBdr>
    </w:div>
    <w:div w:id="1489008242">
      <w:marLeft w:val="0"/>
      <w:marRight w:val="0"/>
      <w:marTop w:val="0"/>
      <w:marBottom w:val="100"/>
      <w:divBdr>
        <w:top w:val="none" w:sz="0" w:space="0" w:color="auto"/>
        <w:left w:val="none" w:sz="0" w:space="0" w:color="auto"/>
        <w:bottom w:val="none" w:sz="0" w:space="0" w:color="auto"/>
        <w:right w:val="none" w:sz="0" w:space="0" w:color="auto"/>
      </w:divBdr>
    </w:div>
    <w:div w:id="1489202953">
      <w:marLeft w:val="0"/>
      <w:marRight w:val="0"/>
      <w:marTop w:val="0"/>
      <w:marBottom w:val="100"/>
      <w:divBdr>
        <w:top w:val="none" w:sz="0" w:space="0" w:color="auto"/>
        <w:left w:val="none" w:sz="0" w:space="0" w:color="auto"/>
        <w:bottom w:val="none" w:sz="0" w:space="0" w:color="auto"/>
        <w:right w:val="none" w:sz="0" w:space="0" w:color="auto"/>
      </w:divBdr>
    </w:div>
    <w:div w:id="1491872779">
      <w:marLeft w:val="0"/>
      <w:marRight w:val="0"/>
      <w:marTop w:val="0"/>
      <w:marBottom w:val="100"/>
      <w:divBdr>
        <w:top w:val="none" w:sz="0" w:space="0" w:color="auto"/>
        <w:left w:val="none" w:sz="0" w:space="0" w:color="auto"/>
        <w:bottom w:val="none" w:sz="0" w:space="0" w:color="auto"/>
        <w:right w:val="none" w:sz="0" w:space="0" w:color="auto"/>
      </w:divBdr>
    </w:div>
    <w:div w:id="1494905011">
      <w:marLeft w:val="0"/>
      <w:marRight w:val="0"/>
      <w:marTop w:val="180"/>
      <w:marBottom w:val="0"/>
      <w:divBdr>
        <w:top w:val="none" w:sz="0" w:space="0" w:color="auto"/>
        <w:left w:val="none" w:sz="0" w:space="0" w:color="auto"/>
        <w:bottom w:val="none" w:sz="0" w:space="0" w:color="auto"/>
        <w:right w:val="none" w:sz="0" w:space="0" w:color="auto"/>
      </w:divBdr>
    </w:div>
    <w:div w:id="1495536741">
      <w:marLeft w:val="0"/>
      <w:marRight w:val="0"/>
      <w:marTop w:val="0"/>
      <w:marBottom w:val="100"/>
      <w:divBdr>
        <w:top w:val="none" w:sz="0" w:space="0" w:color="auto"/>
        <w:left w:val="none" w:sz="0" w:space="0" w:color="auto"/>
        <w:bottom w:val="none" w:sz="0" w:space="0" w:color="auto"/>
        <w:right w:val="none" w:sz="0" w:space="0" w:color="auto"/>
      </w:divBdr>
    </w:div>
    <w:div w:id="1498301345">
      <w:marLeft w:val="0"/>
      <w:marRight w:val="0"/>
      <w:marTop w:val="0"/>
      <w:marBottom w:val="100"/>
      <w:divBdr>
        <w:top w:val="none" w:sz="0" w:space="0" w:color="auto"/>
        <w:left w:val="none" w:sz="0" w:space="0" w:color="auto"/>
        <w:bottom w:val="none" w:sz="0" w:space="0" w:color="auto"/>
        <w:right w:val="none" w:sz="0" w:space="0" w:color="auto"/>
      </w:divBdr>
    </w:div>
    <w:div w:id="1498955233">
      <w:marLeft w:val="0"/>
      <w:marRight w:val="0"/>
      <w:marTop w:val="0"/>
      <w:marBottom w:val="100"/>
      <w:divBdr>
        <w:top w:val="none" w:sz="0" w:space="0" w:color="auto"/>
        <w:left w:val="none" w:sz="0" w:space="0" w:color="auto"/>
        <w:bottom w:val="none" w:sz="0" w:space="0" w:color="auto"/>
        <w:right w:val="none" w:sz="0" w:space="0" w:color="auto"/>
      </w:divBdr>
    </w:div>
    <w:div w:id="1499076674">
      <w:marLeft w:val="0"/>
      <w:marRight w:val="0"/>
      <w:marTop w:val="0"/>
      <w:marBottom w:val="100"/>
      <w:divBdr>
        <w:top w:val="none" w:sz="0" w:space="0" w:color="auto"/>
        <w:left w:val="none" w:sz="0" w:space="0" w:color="auto"/>
        <w:bottom w:val="none" w:sz="0" w:space="0" w:color="auto"/>
        <w:right w:val="none" w:sz="0" w:space="0" w:color="auto"/>
      </w:divBdr>
    </w:div>
    <w:div w:id="1499542581">
      <w:marLeft w:val="0"/>
      <w:marRight w:val="0"/>
      <w:marTop w:val="0"/>
      <w:marBottom w:val="100"/>
      <w:divBdr>
        <w:top w:val="none" w:sz="0" w:space="0" w:color="auto"/>
        <w:left w:val="none" w:sz="0" w:space="0" w:color="auto"/>
        <w:bottom w:val="none" w:sz="0" w:space="0" w:color="auto"/>
        <w:right w:val="none" w:sz="0" w:space="0" w:color="auto"/>
      </w:divBdr>
    </w:div>
    <w:div w:id="1499616798">
      <w:marLeft w:val="0"/>
      <w:marRight w:val="0"/>
      <w:marTop w:val="0"/>
      <w:marBottom w:val="100"/>
      <w:divBdr>
        <w:top w:val="none" w:sz="0" w:space="0" w:color="auto"/>
        <w:left w:val="none" w:sz="0" w:space="0" w:color="auto"/>
        <w:bottom w:val="none" w:sz="0" w:space="0" w:color="auto"/>
        <w:right w:val="none" w:sz="0" w:space="0" w:color="auto"/>
      </w:divBdr>
    </w:div>
    <w:div w:id="1500078078">
      <w:marLeft w:val="0"/>
      <w:marRight w:val="0"/>
      <w:marTop w:val="0"/>
      <w:marBottom w:val="0"/>
      <w:divBdr>
        <w:top w:val="none" w:sz="0" w:space="0" w:color="auto"/>
        <w:left w:val="none" w:sz="0" w:space="0" w:color="auto"/>
        <w:bottom w:val="none" w:sz="0" w:space="0" w:color="auto"/>
        <w:right w:val="none" w:sz="0" w:space="0" w:color="auto"/>
      </w:divBdr>
      <w:divsChild>
        <w:div w:id="559246356">
          <w:marLeft w:val="0"/>
          <w:marRight w:val="0"/>
          <w:marTop w:val="0"/>
          <w:marBottom w:val="0"/>
          <w:divBdr>
            <w:top w:val="none" w:sz="0" w:space="0" w:color="auto"/>
            <w:left w:val="none" w:sz="0" w:space="0" w:color="auto"/>
            <w:bottom w:val="none" w:sz="0" w:space="0" w:color="auto"/>
            <w:right w:val="none" w:sz="0" w:space="0" w:color="auto"/>
          </w:divBdr>
          <w:divsChild>
            <w:div w:id="79143966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501388973">
      <w:marLeft w:val="0"/>
      <w:marRight w:val="0"/>
      <w:marTop w:val="180"/>
      <w:marBottom w:val="0"/>
      <w:divBdr>
        <w:top w:val="none" w:sz="0" w:space="0" w:color="auto"/>
        <w:left w:val="none" w:sz="0" w:space="0" w:color="auto"/>
        <w:bottom w:val="none" w:sz="0" w:space="0" w:color="auto"/>
        <w:right w:val="none" w:sz="0" w:space="0" w:color="auto"/>
      </w:divBdr>
    </w:div>
    <w:div w:id="1501847822">
      <w:marLeft w:val="0"/>
      <w:marRight w:val="0"/>
      <w:marTop w:val="0"/>
      <w:marBottom w:val="100"/>
      <w:divBdr>
        <w:top w:val="none" w:sz="0" w:space="0" w:color="auto"/>
        <w:left w:val="none" w:sz="0" w:space="0" w:color="auto"/>
        <w:bottom w:val="none" w:sz="0" w:space="0" w:color="auto"/>
        <w:right w:val="none" w:sz="0" w:space="0" w:color="auto"/>
      </w:divBdr>
    </w:div>
    <w:div w:id="1502820444">
      <w:marLeft w:val="0"/>
      <w:marRight w:val="0"/>
      <w:marTop w:val="180"/>
      <w:marBottom w:val="0"/>
      <w:divBdr>
        <w:top w:val="none" w:sz="0" w:space="0" w:color="auto"/>
        <w:left w:val="none" w:sz="0" w:space="0" w:color="auto"/>
        <w:bottom w:val="none" w:sz="0" w:space="0" w:color="auto"/>
        <w:right w:val="none" w:sz="0" w:space="0" w:color="auto"/>
      </w:divBdr>
      <w:divsChild>
        <w:div w:id="169833557">
          <w:marLeft w:val="0"/>
          <w:marRight w:val="0"/>
          <w:marTop w:val="0"/>
          <w:marBottom w:val="0"/>
          <w:divBdr>
            <w:top w:val="none" w:sz="0" w:space="0" w:color="auto"/>
            <w:left w:val="none" w:sz="0" w:space="0" w:color="auto"/>
            <w:bottom w:val="none" w:sz="0" w:space="0" w:color="auto"/>
            <w:right w:val="none" w:sz="0" w:space="0" w:color="auto"/>
          </w:divBdr>
        </w:div>
        <w:div w:id="253513210">
          <w:marLeft w:val="0"/>
          <w:marRight w:val="0"/>
          <w:marTop w:val="0"/>
          <w:marBottom w:val="0"/>
          <w:divBdr>
            <w:top w:val="none" w:sz="0" w:space="0" w:color="auto"/>
            <w:left w:val="none" w:sz="0" w:space="0" w:color="auto"/>
            <w:bottom w:val="none" w:sz="0" w:space="0" w:color="auto"/>
            <w:right w:val="none" w:sz="0" w:space="0" w:color="auto"/>
          </w:divBdr>
        </w:div>
        <w:div w:id="251472935">
          <w:marLeft w:val="0"/>
          <w:marRight w:val="0"/>
          <w:marTop w:val="0"/>
          <w:marBottom w:val="0"/>
          <w:divBdr>
            <w:top w:val="none" w:sz="0" w:space="0" w:color="auto"/>
            <w:left w:val="none" w:sz="0" w:space="0" w:color="auto"/>
            <w:bottom w:val="none" w:sz="0" w:space="0" w:color="auto"/>
            <w:right w:val="none" w:sz="0" w:space="0" w:color="auto"/>
          </w:divBdr>
        </w:div>
        <w:div w:id="1554003131">
          <w:marLeft w:val="0"/>
          <w:marRight w:val="0"/>
          <w:marTop w:val="0"/>
          <w:marBottom w:val="0"/>
          <w:divBdr>
            <w:top w:val="none" w:sz="0" w:space="0" w:color="auto"/>
            <w:left w:val="none" w:sz="0" w:space="0" w:color="auto"/>
            <w:bottom w:val="none" w:sz="0" w:space="0" w:color="auto"/>
            <w:right w:val="none" w:sz="0" w:space="0" w:color="auto"/>
          </w:divBdr>
        </w:div>
        <w:div w:id="2009746473">
          <w:marLeft w:val="0"/>
          <w:marRight w:val="0"/>
          <w:marTop w:val="0"/>
          <w:marBottom w:val="0"/>
          <w:divBdr>
            <w:top w:val="none" w:sz="0" w:space="0" w:color="auto"/>
            <w:left w:val="none" w:sz="0" w:space="0" w:color="auto"/>
            <w:bottom w:val="none" w:sz="0" w:space="0" w:color="auto"/>
            <w:right w:val="none" w:sz="0" w:space="0" w:color="auto"/>
          </w:divBdr>
        </w:div>
      </w:divsChild>
    </w:div>
    <w:div w:id="1504858813">
      <w:marLeft w:val="0"/>
      <w:marRight w:val="0"/>
      <w:marTop w:val="0"/>
      <w:marBottom w:val="100"/>
      <w:divBdr>
        <w:top w:val="none" w:sz="0" w:space="0" w:color="auto"/>
        <w:left w:val="none" w:sz="0" w:space="0" w:color="auto"/>
        <w:bottom w:val="none" w:sz="0" w:space="0" w:color="auto"/>
        <w:right w:val="none" w:sz="0" w:space="0" w:color="auto"/>
      </w:divBdr>
    </w:div>
    <w:div w:id="1505853016">
      <w:marLeft w:val="0"/>
      <w:marRight w:val="0"/>
      <w:marTop w:val="180"/>
      <w:marBottom w:val="180"/>
      <w:divBdr>
        <w:top w:val="none" w:sz="0" w:space="0" w:color="auto"/>
        <w:left w:val="none" w:sz="0" w:space="0" w:color="auto"/>
        <w:bottom w:val="none" w:sz="0" w:space="0" w:color="auto"/>
        <w:right w:val="none" w:sz="0" w:space="0" w:color="auto"/>
      </w:divBdr>
    </w:div>
    <w:div w:id="1507287121">
      <w:marLeft w:val="0"/>
      <w:marRight w:val="0"/>
      <w:marTop w:val="0"/>
      <w:marBottom w:val="100"/>
      <w:divBdr>
        <w:top w:val="none" w:sz="0" w:space="0" w:color="auto"/>
        <w:left w:val="none" w:sz="0" w:space="0" w:color="auto"/>
        <w:bottom w:val="none" w:sz="0" w:space="0" w:color="auto"/>
        <w:right w:val="none" w:sz="0" w:space="0" w:color="auto"/>
      </w:divBdr>
    </w:div>
    <w:div w:id="1509635813">
      <w:marLeft w:val="0"/>
      <w:marRight w:val="0"/>
      <w:marTop w:val="0"/>
      <w:marBottom w:val="100"/>
      <w:divBdr>
        <w:top w:val="none" w:sz="0" w:space="0" w:color="auto"/>
        <w:left w:val="none" w:sz="0" w:space="0" w:color="auto"/>
        <w:bottom w:val="none" w:sz="0" w:space="0" w:color="auto"/>
        <w:right w:val="none" w:sz="0" w:space="0" w:color="auto"/>
      </w:divBdr>
    </w:div>
    <w:div w:id="1514344570">
      <w:marLeft w:val="0"/>
      <w:marRight w:val="0"/>
      <w:marTop w:val="0"/>
      <w:marBottom w:val="100"/>
      <w:divBdr>
        <w:top w:val="none" w:sz="0" w:space="0" w:color="auto"/>
        <w:left w:val="none" w:sz="0" w:space="0" w:color="auto"/>
        <w:bottom w:val="none" w:sz="0" w:space="0" w:color="auto"/>
        <w:right w:val="none" w:sz="0" w:space="0" w:color="auto"/>
      </w:divBdr>
    </w:div>
    <w:div w:id="1516189947">
      <w:marLeft w:val="0"/>
      <w:marRight w:val="0"/>
      <w:marTop w:val="180"/>
      <w:marBottom w:val="0"/>
      <w:divBdr>
        <w:top w:val="none" w:sz="0" w:space="0" w:color="auto"/>
        <w:left w:val="none" w:sz="0" w:space="0" w:color="auto"/>
        <w:bottom w:val="none" w:sz="0" w:space="0" w:color="auto"/>
        <w:right w:val="none" w:sz="0" w:space="0" w:color="auto"/>
      </w:divBdr>
    </w:div>
    <w:div w:id="1518231841">
      <w:marLeft w:val="0"/>
      <w:marRight w:val="0"/>
      <w:marTop w:val="0"/>
      <w:marBottom w:val="0"/>
      <w:divBdr>
        <w:top w:val="none" w:sz="0" w:space="0" w:color="auto"/>
        <w:left w:val="none" w:sz="0" w:space="0" w:color="auto"/>
        <w:bottom w:val="none" w:sz="0" w:space="0" w:color="auto"/>
        <w:right w:val="none" w:sz="0" w:space="0" w:color="auto"/>
      </w:divBdr>
      <w:divsChild>
        <w:div w:id="39325516">
          <w:marLeft w:val="0"/>
          <w:marRight w:val="0"/>
          <w:marTop w:val="0"/>
          <w:marBottom w:val="100"/>
          <w:divBdr>
            <w:top w:val="none" w:sz="0" w:space="0" w:color="auto"/>
            <w:left w:val="none" w:sz="0" w:space="0" w:color="auto"/>
            <w:bottom w:val="none" w:sz="0" w:space="0" w:color="auto"/>
            <w:right w:val="none" w:sz="0" w:space="0" w:color="auto"/>
          </w:divBdr>
        </w:div>
      </w:divsChild>
    </w:div>
    <w:div w:id="1519081060">
      <w:marLeft w:val="0"/>
      <w:marRight w:val="0"/>
      <w:marTop w:val="0"/>
      <w:marBottom w:val="100"/>
      <w:divBdr>
        <w:top w:val="none" w:sz="0" w:space="0" w:color="auto"/>
        <w:left w:val="none" w:sz="0" w:space="0" w:color="auto"/>
        <w:bottom w:val="none" w:sz="0" w:space="0" w:color="auto"/>
        <w:right w:val="none" w:sz="0" w:space="0" w:color="auto"/>
      </w:divBdr>
    </w:div>
    <w:div w:id="1520699761">
      <w:marLeft w:val="0"/>
      <w:marRight w:val="0"/>
      <w:marTop w:val="180"/>
      <w:marBottom w:val="100"/>
      <w:divBdr>
        <w:top w:val="none" w:sz="0" w:space="0" w:color="auto"/>
        <w:left w:val="none" w:sz="0" w:space="0" w:color="auto"/>
        <w:bottom w:val="none" w:sz="0" w:space="0" w:color="auto"/>
        <w:right w:val="none" w:sz="0" w:space="0" w:color="auto"/>
      </w:divBdr>
    </w:div>
    <w:div w:id="1524397057">
      <w:marLeft w:val="0"/>
      <w:marRight w:val="0"/>
      <w:marTop w:val="180"/>
      <w:marBottom w:val="0"/>
      <w:divBdr>
        <w:top w:val="none" w:sz="0" w:space="0" w:color="auto"/>
        <w:left w:val="none" w:sz="0" w:space="0" w:color="auto"/>
        <w:bottom w:val="none" w:sz="0" w:space="0" w:color="auto"/>
        <w:right w:val="none" w:sz="0" w:space="0" w:color="auto"/>
      </w:divBdr>
    </w:div>
    <w:div w:id="1524973926">
      <w:marLeft w:val="0"/>
      <w:marRight w:val="0"/>
      <w:marTop w:val="0"/>
      <w:marBottom w:val="100"/>
      <w:divBdr>
        <w:top w:val="none" w:sz="0" w:space="0" w:color="auto"/>
        <w:left w:val="none" w:sz="0" w:space="0" w:color="auto"/>
        <w:bottom w:val="none" w:sz="0" w:space="0" w:color="auto"/>
        <w:right w:val="none" w:sz="0" w:space="0" w:color="auto"/>
      </w:divBdr>
    </w:div>
    <w:div w:id="1527937243">
      <w:marLeft w:val="0"/>
      <w:marRight w:val="0"/>
      <w:marTop w:val="0"/>
      <w:marBottom w:val="0"/>
      <w:divBdr>
        <w:top w:val="none" w:sz="0" w:space="0" w:color="auto"/>
        <w:left w:val="none" w:sz="0" w:space="0" w:color="auto"/>
        <w:bottom w:val="none" w:sz="0" w:space="0" w:color="auto"/>
        <w:right w:val="none" w:sz="0" w:space="0" w:color="auto"/>
      </w:divBdr>
    </w:div>
    <w:div w:id="1530682562">
      <w:marLeft w:val="0"/>
      <w:marRight w:val="0"/>
      <w:marTop w:val="0"/>
      <w:marBottom w:val="0"/>
      <w:divBdr>
        <w:top w:val="none" w:sz="0" w:space="0" w:color="auto"/>
        <w:left w:val="none" w:sz="0" w:space="0" w:color="auto"/>
        <w:bottom w:val="none" w:sz="0" w:space="0" w:color="auto"/>
        <w:right w:val="none" w:sz="0" w:space="0" w:color="auto"/>
      </w:divBdr>
    </w:div>
    <w:div w:id="1530755645">
      <w:marLeft w:val="0"/>
      <w:marRight w:val="0"/>
      <w:marTop w:val="0"/>
      <w:marBottom w:val="0"/>
      <w:divBdr>
        <w:top w:val="none" w:sz="0" w:space="0" w:color="auto"/>
        <w:left w:val="none" w:sz="0" w:space="0" w:color="auto"/>
        <w:bottom w:val="none" w:sz="0" w:space="0" w:color="auto"/>
        <w:right w:val="none" w:sz="0" w:space="0" w:color="auto"/>
      </w:divBdr>
      <w:divsChild>
        <w:div w:id="756442123">
          <w:marLeft w:val="0"/>
          <w:marRight w:val="0"/>
          <w:marTop w:val="0"/>
          <w:marBottom w:val="100"/>
          <w:divBdr>
            <w:top w:val="none" w:sz="0" w:space="0" w:color="auto"/>
            <w:left w:val="none" w:sz="0" w:space="0" w:color="auto"/>
            <w:bottom w:val="none" w:sz="0" w:space="0" w:color="auto"/>
            <w:right w:val="none" w:sz="0" w:space="0" w:color="auto"/>
          </w:divBdr>
        </w:div>
        <w:div w:id="606427298">
          <w:marLeft w:val="0"/>
          <w:marRight w:val="0"/>
          <w:marTop w:val="0"/>
          <w:marBottom w:val="100"/>
          <w:divBdr>
            <w:top w:val="none" w:sz="0" w:space="0" w:color="auto"/>
            <w:left w:val="none" w:sz="0" w:space="0" w:color="auto"/>
            <w:bottom w:val="none" w:sz="0" w:space="0" w:color="auto"/>
            <w:right w:val="none" w:sz="0" w:space="0" w:color="auto"/>
          </w:divBdr>
        </w:div>
      </w:divsChild>
    </w:div>
    <w:div w:id="1531337980">
      <w:marLeft w:val="0"/>
      <w:marRight w:val="0"/>
      <w:marTop w:val="0"/>
      <w:marBottom w:val="100"/>
      <w:divBdr>
        <w:top w:val="none" w:sz="0" w:space="0" w:color="auto"/>
        <w:left w:val="none" w:sz="0" w:space="0" w:color="auto"/>
        <w:bottom w:val="none" w:sz="0" w:space="0" w:color="auto"/>
        <w:right w:val="none" w:sz="0" w:space="0" w:color="auto"/>
      </w:divBdr>
    </w:div>
    <w:div w:id="1531379794">
      <w:marLeft w:val="0"/>
      <w:marRight w:val="0"/>
      <w:marTop w:val="0"/>
      <w:marBottom w:val="100"/>
      <w:divBdr>
        <w:top w:val="none" w:sz="0" w:space="0" w:color="auto"/>
        <w:left w:val="none" w:sz="0" w:space="0" w:color="auto"/>
        <w:bottom w:val="none" w:sz="0" w:space="0" w:color="auto"/>
        <w:right w:val="none" w:sz="0" w:space="0" w:color="auto"/>
      </w:divBdr>
    </w:div>
    <w:div w:id="1536770562">
      <w:marLeft w:val="0"/>
      <w:marRight w:val="0"/>
      <w:marTop w:val="0"/>
      <w:marBottom w:val="0"/>
      <w:divBdr>
        <w:top w:val="none" w:sz="0" w:space="0" w:color="auto"/>
        <w:left w:val="none" w:sz="0" w:space="0" w:color="auto"/>
        <w:bottom w:val="none" w:sz="0" w:space="0" w:color="auto"/>
        <w:right w:val="none" w:sz="0" w:space="0" w:color="auto"/>
      </w:divBdr>
    </w:div>
    <w:div w:id="1539778068">
      <w:marLeft w:val="0"/>
      <w:marRight w:val="0"/>
      <w:marTop w:val="180"/>
      <w:marBottom w:val="0"/>
      <w:divBdr>
        <w:top w:val="none" w:sz="0" w:space="0" w:color="auto"/>
        <w:left w:val="none" w:sz="0" w:space="0" w:color="auto"/>
        <w:bottom w:val="none" w:sz="0" w:space="0" w:color="auto"/>
        <w:right w:val="none" w:sz="0" w:space="0" w:color="auto"/>
      </w:divBdr>
    </w:div>
    <w:div w:id="1540699796">
      <w:marLeft w:val="0"/>
      <w:marRight w:val="0"/>
      <w:marTop w:val="180"/>
      <w:marBottom w:val="0"/>
      <w:divBdr>
        <w:top w:val="none" w:sz="0" w:space="0" w:color="auto"/>
        <w:left w:val="none" w:sz="0" w:space="0" w:color="auto"/>
        <w:bottom w:val="none" w:sz="0" w:space="0" w:color="auto"/>
        <w:right w:val="none" w:sz="0" w:space="0" w:color="auto"/>
      </w:divBdr>
    </w:div>
    <w:div w:id="1540891911">
      <w:marLeft w:val="0"/>
      <w:marRight w:val="0"/>
      <w:marTop w:val="0"/>
      <w:marBottom w:val="0"/>
      <w:divBdr>
        <w:top w:val="none" w:sz="0" w:space="0" w:color="auto"/>
        <w:left w:val="none" w:sz="0" w:space="0" w:color="auto"/>
        <w:bottom w:val="none" w:sz="0" w:space="0" w:color="auto"/>
        <w:right w:val="none" w:sz="0" w:space="0" w:color="auto"/>
      </w:divBdr>
      <w:divsChild>
        <w:div w:id="812795037">
          <w:marLeft w:val="0"/>
          <w:marRight w:val="0"/>
          <w:marTop w:val="0"/>
          <w:marBottom w:val="0"/>
          <w:divBdr>
            <w:top w:val="none" w:sz="0" w:space="0" w:color="auto"/>
            <w:left w:val="none" w:sz="0" w:space="0" w:color="auto"/>
            <w:bottom w:val="none" w:sz="0" w:space="0" w:color="auto"/>
            <w:right w:val="none" w:sz="0" w:space="0" w:color="auto"/>
          </w:divBdr>
          <w:divsChild>
            <w:div w:id="107763367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544900044">
      <w:marLeft w:val="0"/>
      <w:marRight w:val="0"/>
      <w:marTop w:val="0"/>
      <w:marBottom w:val="100"/>
      <w:divBdr>
        <w:top w:val="none" w:sz="0" w:space="0" w:color="auto"/>
        <w:left w:val="none" w:sz="0" w:space="0" w:color="auto"/>
        <w:bottom w:val="none" w:sz="0" w:space="0" w:color="auto"/>
        <w:right w:val="none" w:sz="0" w:space="0" w:color="auto"/>
      </w:divBdr>
    </w:div>
    <w:div w:id="1545830164">
      <w:marLeft w:val="0"/>
      <w:marRight w:val="0"/>
      <w:marTop w:val="0"/>
      <w:marBottom w:val="100"/>
      <w:divBdr>
        <w:top w:val="none" w:sz="0" w:space="0" w:color="auto"/>
        <w:left w:val="none" w:sz="0" w:space="0" w:color="auto"/>
        <w:bottom w:val="none" w:sz="0" w:space="0" w:color="auto"/>
        <w:right w:val="none" w:sz="0" w:space="0" w:color="auto"/>
      </w:divBdr>
    </w:div>
    <w:div w:id="1547136846">
      <w:marLeft w:val="0"/>
      <w:marRight w:val="0"/>
      <w:marTop w:val="0"/>
      <w:marBottom w:val="100"/>
      <w:divBdr>
        <w:top w:val="none" w:sz="0" w:space="0" w:color="auto"/>
        <w:left w:val="none" w:sz="0" w:space="0" w:color="auto"/>
        <w:bottom w:val="none" w:sz="0" w:space="0" w:color="auto"/>
        <w:right w:val="none" w:sz="0" w:space="0" w:color="auto"/>
      </w:divBdr>
    </w:div>
    <w:div w:id="1548302042">
      <w:marLeft w:val="0"/>
      <w:marRight w:val="0"/>
      <w:marTop w:val="0"/>
      <w:marBottom w:val="100"/>
      <w:divBdr>
        <w:top w:val="none" w:sz="0" w:space="0" w:color="auto"/>
        <w:left w:val="none" w:sz="0" w:space="0" w:color="auto"/>
        <w:bottom w:val="none" w:sz="0" w:space="0" w:color="auto"/>
        <w:right w:val="none" w:sz="0" w:space="0" w:color="auto"/>
      </w:divBdr>
    </w:div>
    <w:div w:id="1549610510">
      <w:marLeft w:val="0"/>
      <w:marRight w:val="0"/>
      <w:marTop w:val="0"/>
      <w:marBottom w:val="100"/>
      <w:divBdr>
        <w:top w:val="none" w:sz="0" w:space="0" w:color="auto"/>
        <w:left w:val="none" w:sz="0" w:space="0" w:color="auto"/>
        <w:bottom w:val="none" w:sz="0" w:space="0" w:color="auto"/>
        <w:right w:val="none" w:sz="0" w:space="0" w:color="auto"/>
      </w:divBdr>
    </w:div>
    <w:div w:id="1550065931">
      <w:marLeft w:val="0"/>
      <w:marRight w:val="0"/>
      <w:marTop w:val="0"/>
      <w:marBottom w:val="0"/>
      <w:divBdr>
        <w:top w:val="none" w:sz="0" w:space="0" w:color="auto"/>
        <w:left w:val="none" w:sz="0" w:space="0" w:color="auto"/>
        <w:bottom w:val="none" w:sz="0" w:space="0" w:color="auto"/>
        <w:right w:val="none" w:sz="0" w:space="0" w:color="auto"/>
      </w:divBdr>
      <w:divsChild>
        <w:div w:id="1932002830">
          <w:marLeft w:val="0"/>
          <w:marRight w:val="0"/>
          <w:marTop w:val="0"/>
          <w:marBottom w:val="0"/>
          <w:divBdr>
            <w:top w:val="none" w:sz="0" w:space="0" w:color="auto"/>
            <w:left w:val="none" w:sz="0" w:space="0" w:color="auto"/>
            <w:bottom w:val="none" w:sz="0" w:space="0" w:color="auto"/>
            <w:right w:val="none" w:sz="0" w:space="0" w:color="auto"/>
          </w:divBdr>
          <w:divsChild>
            <w:div w:id="84254855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550148350">
      <w:marLeft w:val="0"/>
      <w:marRight w:val="0"/>
      <w:marTop w:val="0"/>
      <w:marBottom w:val="100"/>
      <w:divBdr>
        <w:top w:val="none" w:sz="0" w:space="0" w:color="auto"/>
        <w:left w:val="none" w:sz="0" w:space="0" w:color="auto"/>
        <w:bottom w:val="none" w:sz="0" w:space="0" w:color="auto"/>
        <w:right w:val="none" w:sz="0" w:space="0" w:color="auto"/>
      </w:divBdr>
    </w:div>
    <w:div w:id="1550606164">
      <w:marLeft w:val="0"/>
      <w:marRight w:val="0"/>
      <w:marTop w:val="0"/>
      <w:marBottom w:val="100"/>
      <w:divBdr>
        <w:top w:val="none" w:sz="0" w:space="0" w:color="auto"/>
        <w:left w:val="none" w:sz="0" w:space="0" w:color="auto"/>
        <w:bottom w:val="none" w:sz="0" w:space="0" w:color="auto"/>
        <w:right w:val="none" w:sz="0" w:space="0" w:color="auto"/>
      </w:divBdr>
    </w:div>
    <w:div w:id="1550728695">
      <w:marLeft w:val="0"/>
      <w:marRight w:val="0"/>
      <w:marTop w:val="0"/>
      <w:marBottom w:val="100"/>
      <w:divBdr>
        <w:top w:val="none" w:sz="0" w:space="0" w:color="auto"/>
        <w:left w:val="none" w:sz="0" w:space="0" w:color="auto"/>
        <w:bottom w:val="none" w:sz="0" w:space="0" w:color="auto"/>
        <w:right w:val="none" w:sz="0" w:space="0" w:color="auto"/>
      </w:divBdr>
    </w:div>
    <w:div w:id="1551765366">
      <w:marLeft w:val="0"/>
      <w:marRight w:val="0"/>
      <w:marTop w:val="0"/>
      <w:marBottom w:val="0"/>
      <w:divBdr>
        <w:top w:val="none" w:sz="0" w:space="0" w:color="auto"/>
        <w:left w:val="none" w:sz="0" w:space="0" w:color="auto"/>
        <w:bottom w:val="none" w:sz="0" w:space="0" w:color="auto"/>
        <w:right w:val="none" w:sz="0" w:space="0" w:color="auto"/>
      </w:divBdr>
      <w:divsChild>
        <w:div w:id="91360082">
          <w:marLeft w:val="0"/>
          <w:marRight w:val="0"/>
          <w:marTop w:val="0"/>
          <w:marBottom w:val="100"/>
          <w:divBdr>
            <w:top w:val="none" w:sz="0" w:space="0" w:color="auto"/>
            <w:left w:val="none" w:sz="0" w:space="0" w:color="auto"/>
            <w:bottom w:val="none" w:sz="0" w:space="0" w:color="auto"/>
            <w:right w:val="none" w:sz="0" w:space="0" w:color="auto"/>
          </w:divBdr>
        </w:div>
      </w:divsChild>
    </w:div>
    <w:div w:id="1554192501">
      <w:marLeft w:val="0"/>
      <w:marRight w:val="0"/>
      <w:marTop w:val="0"/>
      <w:marBottom w:val="100"/>
      <w:divBdr>
        <w:top w:val="none" w:sz="0" w:space="0" w:color="auto"/>
        <w:left w:val="none" w:sz="0" w:space="0" w:color="auto"/>
        <w:bottom w:val="none" w:sz="0" w:space="0" w:color="auto"/>
        <w:right w:val="none" w:sz="0" w:space="0" w:color="auto"/>
      </w:divBdr>
    </w:div>
    <w:div w:id="1555893330">
      <w:marLeft w:val="0"/>
      <w:marRight w:val="0"/>
      <w:marTop w:val="0"/>
      <w:marBottom w:val="0"/>
      <w:divBdr>
        <w:top w:val="none" w:sz="0" w:space="0" w:color="auto"/>
        <w:left w:val="none" w:sz="0" w:space="0" w:color="auto"/>
        <w:bottom w:val="none" w:sz="0" w:space="0" w:color="auto"/>
        <w:right w:val="none" w:sz="0" w:space="0" w:color="auto"/>
      </w:divBdr>
    </w:div>
    <w:div w:id="1556770790">
      <w:marLeft w:val="0"/>
      <w:marRight w:val="0"/>
      <w:marTop w:val="0"/>
      <w:marBottom w:val="100"/>
      <w:divBdr>
        <w:top w:val="none" w:sz="0" w:space="0" w:color="auto"/>
        <w:left w:val="none" w:sz="0" w:space="0" w:color="auto"/>
        <w:bottom w:val="none" w:sz="0" w:space="0" w:color="auto"/>
        <w:right w:val="none" w:sz="0" w:space="0" w:color="auto"/>
      </w:divBdr>
    </w:div>
    <w:div w:id="1560046479">
      <w:marLeft w:val="0"/>
      <w:marRight w:val="0"/>
      <w:marTop w:val="0"/>
      <w:marBottom w:val="100"/>
      <w:divBdr>
        <w:top w:val="none" w:sz="0" w:space="0" w:color="auto"/>
        <w:left w:val="none" w:sz="0" w:space="0" w:color="auto"/>
        <w:bottom w:val="none" w:sz="0" w:space="0" w:color="auto"/>
        <w:right w:val="none" w:sz="0" w:space="0" w:color="auto"/>
      </w:divBdr>
    </w:div>
    <w:div w:id="1560438431">
      <w:marLeft w:val="0"/>
      <w:marRight w:val="0"/>
      <w:marTop w:val="0"/>
      <w:marBottom w:val="100"/>
      <w:divBdr>
        <w:top w:val="none" w:sz="0" w:space="0" w:color="auto"/>
        <w:left w:val="none" w:sz="0" w:space="0" w:color="auto"/>
        <w:bottom w:val="none" w:sz="0" w:space="0" w:color="auto"/>
        <w:right w:val="none" w:sz="0" w:space="0" w:color="auto"/>
      </w:divBdr>
    </w:div>
    <w:div w:id="1560747209">
      <w:marLeft w:val="0"/>
      <w:marRight w:val="0"/>
      <w:marTop w:val="0"/>
      <w:marBottom w:val="100"/>
      <w:divBdr>
        <w:top w:val="none" w:sz="0" w:space="0" w:color="auto"/>
        <w:left w:val="none" w:sz="0" w:space="0" w:color="auto"/>
        <w:bottom w:val="none" w:sz="0" w:space="0" w:color="auto"/>
        <w:right w:val="none" w:sz="0" w:space="0" w:color="auto"/>
      </w:divBdr>
    </w:div>
    <w:div w:id="1562131416">
      <w:marLeft w:val="0"/>
      <w:marRight w:val="0"/>
      <w:marTop w:val="0"/>
      <w:marBottom w:val="0"/>
      <w:divBdr>
        <w:top w:val="none" w:sz="0" w:space="0" w:color="auto"/>
        <w:left w:val="none" w:sz="0" w:space="0" w:color="auto"/>
        <w:bottom w:val="none" w:sz="0" w:space="0" w:color="auto"/>
        <w:right w:val="none" w:sz="0" w:space="0" w:color="auto"/>
      </w:divBdr>
    </w:div>
    <w:div w:id="1564024646">
      <w:marLeft w:val="0"/>
      <w:marRight w:val="0"/>
      <w:marTop w:val="0"/>
      <w:marBottom w:val="0"/>
      <w:divBdr>
        <w:top w:val="none" w:sz="0" w:space="0" w:color="auto"/>
        <w:left w:val="none" w:sz="0" w:space="0" w:color="auto"/>
        <w:bottom w:val="none" w:sz="0" w:space="0" w:color="auto"/>
        <w:right w:val="none" w:sz="0" w:space="0" w:color="auto"/>
      </w:divBdr>
      <w:divsChild>
        <w:div w:id="1581256894">
          <w:marLeft w:val="0"/>
          <w:marRight w:val="0"/>
          <w:marTop w:val="0"/>
          <w:marBottom w:val="100"/>
          <w:divBdr>
            <w:top w:val="none" w:sz="0" w:space="0" w:color="auto"/>
            <w:left w:val="none" w:sz="0" w:space="0" w:color="auto"/>
            <w:bottom w:val="none" w:sz="0" w:space="0" w:color="auto"/>
            <w:right w:val="none" w:sz="0" w:space="0" w:color="auto"/>
          </w:divBdr>
        </w:div>
      </w:divsChild>
    </w:div>
    <w:div w:id="1564639213">
      <w:marLeft w:val="0"/>
      <w:marRight w:val="0"/>
      <w:marTop w:val="0"/>
      <w:marBottom w:val="100"/>
      <w:divBdr>
        <w:top w:val="none" w:sz="0" w:space="0" w:color="auto"/>
        <w:left w:val="none" w:sz="0" w:space="0" w:color="auto"/>
        <w:bottom w:val="none" w:sz="0" w:space="0" w:color="auto"/>
        <w:right w:val="none" w:sz="0" w:space="0" w:color="auto"/>
      </w:divBdr>
    </w:div>
    <w:div w:id="1565022686">
      <w:marLeft w:val="0"/>
      <w:marRight w:val="0"/>
      <w:marTop w:val="0"/>
      <w:marBottom w:val="0"/>
      <w:divBdr>
        <w:top w:val="none" w:sz="0" w:space="0" w:color="auto"/>
        <w:left w:val="none" w:sz="0" w:space="0" w:color="auto"/>
        <w:bottom w:val="none" w:sz="0" w:space="0" w:color="auto"/>
        <w:right w:val="none" w:sz="0" w:space="0" w:color="auto"/>
      </w:divBdr>
      <w:divsChild>
        <w:div w:id="727532778">
          <w:marLeft w:val="0"/>
          <w:marRight w:val="0"/>
          <w:marTop w:val="0"/>
          <w:marBottom w:val="0"/>
          <w:divBdr>
            <w:top w:val="none" w:sz="0" w:space="0" w:color="auto"/>
            <w:left w:val="none" w:sz="0" w:space="0" w:color="auto"/>
            <w:bottom w:val="none" w:sz="0" w:space="0" w:color="auto"/>
            <w:right w:val="none" w:sz="0" w:space="0" w:color="auto"/>
          </w:divBdr>
          <w:divsChild>
            <w:div w:id="100147128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565726229">
      <w:marLeft w:val="0"/>
      <w:marRight w:val="0"/>
      <w:marTop w:val="180"/>
      <w:marBottom w:val="0"/>
      <w:divBdr>
        <w:top w:val="none" w:sz="0" w:space="0" w:color="auto"/>
        <w:left w:val="none" w:sz="0" w:space="0" w:color="auto"/>
        <w:bottom w:val="none" w:sz="0" w:space="0" w:color="auto"/>
        <w:right w:val="none" w:sz="0" w:space="0" w:color="auto"/>
      </w:divBdr>
    </w:div>
    <w:div w:id="1565987953">
      <w:marLeft w:val="0"/>
      <w:marRight w:val="0"/>
      <w:marTop w:val="180"/>
      <w:marBottom w:val="180"/>
      <w:divBdr>
        <w:top w:val="none" w:sz="0" w:space="0" w:color="auto"/>
        <w:left w:val="none" w:sz="0" w:space="0" w:color="auto"/>
        <w:bottom w:val="none" w:sz="0" w:space="0" w:color="auto"/>
        <w:right w:val="none" w:sz="0" w:space="0" w:color="auto"/>
      </w:divBdr>
    </w:div>
    <w:div w:id="1569849653">
      <w:marLeft w:val="0"/>
      <w:marRight w:val="0"/>
      <w:marTop w:val="0"/>
      <w:marBottom w:val="0"/>
      <w:divBdr>
        <w:top w:val="none" w:sz="0" w:space="0" w:color="auto"/>
        <w:left w:val="none" w:sz="0" w:space="0" w:color="auto"/>
        <w:bottom w:val="none" w:sz="0" w:space="0" w:color="auto"/>
        <w:right w:val="none" w:sz="0" w:space="0" w:color="auto"/>
      </w:divBdr>
    </w:div>
    <w:div w:id="1569999261">
      <w:marLeft w:val="0"/>
      <w:marRight w:val="0"/>
      <w:marTop w:val="0"/>
      <w:marBottom w:val="100"/>
      <w:divBdr>
        <w:top w:val="none" w:sz="0" w:space="0" w:color="auto"/>
        <w:left w:val="none" w:sz="0" w:space="0" w:color="auto"/>
        <w:bottom w:val="none" w:sz="0" w:space="0" w:color="auto"/>
        <w:right w:val="none" w:sz="0" w:space="0" w:color="auto"/>
      </w:divBdr>
    </w:div>
    <w:div w:id="1571647176">
      <w:marLeft w:val="0"/>
      <w:marRight w:val="0"/>
      <w:marTop w:val="0"/>
      <w:marBottom w:val="100"/>
      <w:divBdr>
        <w:top w:val="none" w:sz="0" w:space="0" w:color="auto"/>
        <w:left w:val="none" w:sz="0" w:space="0" w:color="auto"/>
        <w:bottom w:val="none" w:sz="0" w:space="0" w:color="auto"/>
        <w:right w:val="none" w:sz="0" w:space="0" w:color="auto"/>
      </w:divBdr>
    </w:div>
    <w:div w:id="1574244740">
      <w:marLeft w:val="0"/>
      <w:marRight w:val="0"/>
      <w:marTop w:val="0"/>
      <w:marBottom w:val="0"/>
      <w:divBdr>
        <w:top w:val="none" w:sz="0" w:space="0" w:color="auto"/>
        <w:left w:val="none" w:sz="0" w:space="0" w:color="auto"/>
        <w:bottom w:val="none" w:sz="0" w:space="0" w:color="auto"/>
        <w:right w:val="none" w:sz="0" w:space="0" w:color="auto"/>
      </w:divBdr>
    </w:div>
    <w:div w:id="1576932031">
      <w:marLeft w:val="0"/>
      <w:marRight w:val="0"/>
      <w:marTop w:val="180"/>
      <w:marBottom w:val="0"/>
      <w:divBdr>
        <w:top w:val="none" w:sz="0" w:space="0" w:color="auto"/>
        <w:left w:val="none" w:sz="0" w:space="0" w:color="auto"/>
        <w:bottom w:val="none" w:sz="0" w:space="0" w:color="auto"/>
        <w:right w:val="none" w:sz="0" w:space="0" w:color="auto"/>
      </w:divBdr>
    </w:div>
    <w:div w:id="1579171749">
      <w:marLeft w:val="0"/>
      <w:marRight w:val="0"/>
      <w:marTop w:val="0"/>
      <w:marBottom w:val="100"/>
      <w:divBdr>
        <w:top w:val="none" w:sz="0" w:space="0" w:color="auto"/>
        <w:left w:val="none" w:sz="0" w:space="0" w:color="auto"/>
        <w:bottom w:val="none" w:sz="0" w:space="0" w:color="auto"/>
        <w:right w:val="none" w:sz="0" w:space="0" w:color="auto"/>
      </w:divBdr>
    </w:div>
    <w:div w:id="1581862702">
      <w:marLeft w:val="0"/>
      <w:marRight w:val="0"/>
      <w:marTop w:val="0"/>
      <w:marBottom w:val="0"/>
      <w:divBdr>
        <w:top w:val="none" w:sz="0" w:space="0" w:color="auto"/>
        <w:left w:val="none" w:sz="0" w:space="0" w:color="auto"/>
        <w:bottom w:val="none" w:sz="0" w:space="0" w:color="auto"/>
        <w:right w:val="none" w:sz="0" w:space="0" w:color="auto"/>
      </w:divBdr>
      <w:divsChild>
        <w:div w:id="1607738793">
          <w:marLeft w:val="0"/>
          <w:marRight w:val="0"/>
          <w:marTop w:val="0"/>
          <w:marBottom w:val="0"/>
          <w:divBdr>
            <w:top w:val="none" w:sz="0" w:space="0" w:color="auto"/>
            <w:left w:val="none" w:sz="0" w:space="0" w:color="auto"/>
            <w:bottom w:val="none" w:sz="0" w:space="0" w:color="auto"/>
            <w:right w:val="none" w:sz="0" w:space="0" w:color="auto"/>
          </w:divBdr>
          <w:divsChild>
            <w:div w:id="115194394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581983125">
      <w:marLeft w:val="0"/>
      <w:marRight w:val="0"/>
      <w:marTop w:val="180"/>
      <w:marBottom w:val="0"/>
      <w:divBdr>
        <w:top w:val="none" w:sz="0" w:space="0" w:color="auto"/>
        <w:left w:val="none" w:sz="0" w:space="0" w:color="auto"/>
        <w:bottom w:val="none" w:sz="0" w:space="0" w:color="auto"/>
        <w:right w:val="none" w:sz="0" w:space="0" w:color="auto"/>
      </w:divBdr>
    </w:div>
    <w:div w:id="1582132026">
      <w:marLeft w:val="0"/>
      <w:marRight w:val="0"/>
      <w:marTop w:val="0"/>
      <w:marBottom w:val="100"/>
      <w:divBdr>
        <w:top w:val="none" w:sz="0" w:space="0" w:color="auto"/>
        <w:left w:val="none" w:sz="0" w:space="0" w:color="auto"/>
        <w:bottom w:val="none" w:sz="0" w:space="0" w:color="auto"/>
        <w:right w:val="none" w:sz="0" w:space="0" w:color="auto"/>
      </w:divBdr>
    </w:div>
    <w:div w:id="1583683192">
      <w:marLeft w:val="0"/>
      <w:marRight w:val="0"/>
      <w:marTop w:val="0"/>
      <w:marBottom w:val="100"/>
      <w:divBdr>
        <w:top w:val="none" w:sz="0" w:space="0" w:color="auto"/>
        <w:left w:val="none" w:sz="0" w:space="0" w:color="auto"/>
        <w:bottom w:val="none" w:sz="0" w:space="0" w:color="auto"/>
        <w:right w:val="none" w:sz="0" w:space="0" w:color="auto"/>
      </w:divBdr>
    </w:div>
    <w:div w:id="1584949882">
      <w:marLeft w:val="0"/>
      <w:marRight w:val="0"/>
      <w:marTop w:val="0"/>
      <w:marBottom w:val="0"/>
      <w:divBdr>
        <w:top w:val="none" w:sz="0" w:space="0" w:color="auto"/>
        <w:left w:val="none" w:sz="0" w:space="0" w:color="auto"/>
        <w:bottom w:val="none" w:sz="0" w:space="0" w:color="auto"/>
        <w:right w:val="none" w:sz="0" w:space="0" w:color="auto"/>
      </w:divBdr>
      <w:divsChild>
        <w:div w:id="2084599161">
          <w:marLeft w:val="0"/>
          <w:marRight w:val="0"/>
          <w:marTop w:val="0"/>
          <w:marBottom w:val="0"/>
          <w:divBdr>
            <w:top w:val="none" w:sz="0" w:space="0" w:color="auto"/>
            <w:left w:val="none" w:sz="0" w:space="0" w:color="auto"/>
            <w:bottom w:val="none" w:sz="0" w:space="0" w:color="auto"/>
            <w:right w:val="none" w:sz="0" w:space="0" w:color="auto"/>
          </w:divBdr>
          <w:divsChild>
            <w:div w:id="102475138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588921629">
      <w:marLeft w:val="0"/>
      <w:marRight w:val="0"/>
      <w:marTop w:val="0"/>
      <w:marBottom w:val="100"/>
      <w:divBdr>
        <w:top w:val="none" w:sz="0" w:space="0" w:color="auto"/>
        <w:left w:val="none" w:sz="0" w:space="0" w:color="auto"/>
        <w:bottom w:val="none" w:sz="0" w:space="0" w:color="auto"/>
        <w:right w:val="none" w:sz="0" w:space="0" w:color="auto"/>
      </w:divBdr>
    </w:div>
    <w:div w:id="1590848844">
      <w:marLeft w:val="0"/>
      <w:marRight w:val="0"/>
      <w:marTop w:val="0"/>
      <w:marBottom w:val="0"/>
      <w:divBdr>
        <w:top w:val="none" w:sz="0" w:space="0" w:color="auto"/>
        <w:left w:val="none" w:sz="0" w:space="0" w:color="auto"/>
        <w:bottom w:val="none" w:sz="0" w:space="0" w:color="auto"/>
        <w:right w:val="none" w:sz="0" w:space="0" w:color="auto"/>
      </w:divBdr>
      <w:divsChild>
        <w:div w:id="84690117">
          <w:marLeft w:val="0"/>
          <w:marRight w:val="0"/>
          <w:marTop w:val="0"/>
          <w:marBottom w:val="100"/>
          <w:divBdr>
            <w:top w:val="none" w:sz="0" w:space="0" w:color="auto"/>
            <w:left w:val="none" w:sz="0" w:space="0" w:color="auto"/>
            <w:bottom w:val="none" w:sz="0" w:space="0" w:color="auto"/>
            <w:right w:val="none" w:sz="0" w:space="0" w:color="auto"/>
          </w:divBdr>
        </w:div>
      </w:divsChild>
    </w:div>
    <w:div w:id="1591237191">
      <w:marLeft w:val="0"/>
      <w:marRight w:val="0"/>
      <w:marTop w:val="0"/>
      <w:marBottom w:val="0"/>
      <w:divBdr>
        <w:top w:val="none" w:sz="0" w:space="0" w:color="auto"/>
        <w:left w:val="none" w:sz="0" w:space="0" w:color="auto"/>
        <w:bottom w:val="none" w:sz="0" w:space="0" w:color="auto"/>
        <w:right w:val="none" w:sz="0" w:space="0" w:color="auto"/>
      </w:divBdr>
      <w:divsChild>
        <w:div w:id="1631401853">
          <w:marLeft w:val="0"/>
          <w:marRight w:val="0"/>
          <w:marTop w:val="0"/>
          <w:marBottom w:val="0"/>
          <w:divBdr>
            <w:top w:val="none" w:sz="0" w:space="0" w:color="auto"/>
            <w:left w:val="none" w:sz="0" w:space="0" w:color="auto"/>
            <w:bottom w:val="none" w:sz="0" w:space="0" w:color="auto"/>
            <w:right w:val="none" w:sz="0" w:space="0" w:color="auto"/>
          </w:divBdr>
          <w:divsChild>
            <w:div w:id="12061512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593663570">
      <w:marLeft w:val="0"/>
      <w:marRight w:val="0"/>
      <w:marTop w:val="0"/>
      <w:marBottom w:val="0"/>
      <w:divBdr>
        <w:top w:val="none" w:sz="0" w:space="0" w:color="auto"/>
        <w:left w:val="none" w:sz="0" w:space="0" w:color="auto"/>
        <w:bottom w:val="none" w:sz="0" w:space="0" w:color="auto"/>
        <w:right w:val="none" w:sz="0" w:space="0" w:color="auto"/>
      </w:divBdr>
    </w:div>
    <w:div w:id="1597128730">
      <w:marLeft w:val="0"/>
      <w:marRight w:val="0"/>
      <w:marTop w:val="0"/>
      <w:marBottom w:val="100"/>
      <w:divBdr>
        <w:top w:val="none" w:sz="0" w:space="0" w:color="auto"/>
        <w:left w:val="none" w:sz="0" w:space="0" w:color="auto"/>
        <w:bottom w:val="none" w:sz="0" w:space="0" w:color="auto"/>
        <w:right w:val="none" w:sz="0" w:space="0" w:color="auto"/>
      </w:divBdr>
    </w:div>
    <w:div w:id="1598445568">
      <w:marLeft w:val="0"/>
      <w:marRight w:val="0"/>
      <w:marTop w:val="0"/>
      <w:marBottom w:val="100"/>
      <w:divBdr>
        <w:top w:val="none" w:sz="0" w:space="0" w:color="auto"/>
        <w:left w:val="none" w:sz="0" w:space="0" w:color="auto"/>
        <w:bottom w:val="none" w:sz="0" w:space="0" w:color="auto"/>
        <w:right w:val="none" w:sz="0" w:space="0" w:color="auto"/>
      </w:divBdr>
    </w:div>
    <w:div w:id="1601722388">
      <w:marLeft w:val="0"/>
      <w:marRight w:val="0"/>
      <w:marTop w:val="0"/>
      <w:marBottom w:val="100"/>
      <w:divBdr>
        <w:top w:val="none" w:sz="0" w:space="0" w:color="auto"/>
        <w:left w:val="none" w:sz="0" w:space="0" w:color="auto"/>
        <w:bottom w:val="none" w:sz="0" w:space="0" w:color="auto"/>
        <w:right w:val="none" w:sz="0" w:space="0" w:color="auto"/>
      </w:divBdr>
    </w:div>
    <w:div w:id="1605305172">
      <w:marLeft w:val="0"/>
      <w:marRight w:val="0"/>
      <w:marTop w:val="0"/>
      <w:marBottom w:val="100"/>
      <w:divBdr>
        <w:top w:val="none" w:sz="0" w:space="0" w:color="auto"/>
        <w:left w:val="none" w:sz="0" w:space="0" w:color="auto"/>
        <w:bottom w:val="none" w:sz="0" w:space="0" w:color="auto"/>
        <w:right w:val="none" w:sz="0" w:space="0" w:color="auto"/>
      </w:divBdr>
    </w:div>
    <w:div w:id="1609047252">
      <w:marLeft w:val="0"/>
      <w:marRight w:val="0"/>
      <w:marTop w:val="0"/>
      <w:marBottom w:val="0"/>
      <w:divBdr>
        <w:top w:val="none" w:sz="0" w:space="0" w:color="auto"/>
        <w:left w:val="none" w:sz="0" w:space="0" w:color="auto"/>
        <w:bottom w:val="none" w:sz="0" w:space="0" w:color="auto"/>
        <w:right w:val="none" w:sz="0" w:space="0" w:color="auto"/>
      </w:divBdr>
      <w:divsChild>
        <w:div w:id="1509246987">
          <w:marLeft w:val="0"/>
          <w:marRight w:val="0"/>
          <w:marTop w:val="0"/>
          <w:marBottom w:val="0"/>
          <w:divBdr>
            <w:top w:val="none" w:sz="0" w:space="0" w:color="auto"/>
            <w:left w:val="none" w:sz="0" w:space="0" w:color="auto"/>
            <w:bottom w:val="none" w:sz="0" w:space="0" w:color="auto"/>
            <w:right w:val="none" w:sz="0" w:space="0" w:color="auto"/>
          </w:divBdr>
          <w:divsChild>
            <w:div w:id="583705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610160584">
      <w:marLeft w:val="0"/>
      <w:marRight w:val="0"/>
      <w:marTop w:val="0"/>
      <w:marBottom w:val="100"/>
      <w:divBdr>
        <w:top w:val="none" w:sz="0" w:space="0" w:color="auto"/>
        <w:left w:val="none" w:sz="0" w:space="0" w:color="auto"/>
        <w:bottom w:val="none" w:sz="0" w:space="0" w:color="auto"/>
        <w:right w:val="none" w:sz="0" w:space="0" w:color="auto"/>
      </w:divBdr>
    </w:div>
    <w:div w:id="1611744233">
      <w:marLeft w:val="0"/>
      <w:marRight w:val="0"/>
      <w:marTop w:val="180"/>
      <w:marBottom w:val="100"/>
      <w:divBdr>
        <w:top w:val="none" w:sz="0" w:space="0" w:color="auto"/>
        <w:left w:val="none" w:sz="0" w:space="0" w:color="auto"/>
        <w:bottom w:val="none" w:sz="0" w:space="0" w:color="auto"/>
        <w:right w:val="none" w:sz="0" w:space="0" w:color="auto"/>
      </w:divBdr>
    </w:div>
    <w:div w:id="1611929827">
      <w:marLeft w:val="0"/>
      <w:marRight w:val="0"/>
      <w:marTop w:val="0"/>
      <w:marBottom w:val="100"/>
      <w:divBdr>
        <w:top w:val="none" w:sz="0" w:space="0" w:color="auto"/>
        <w:left w:val="none" w:sz="0" w:space="0" w:color="auto"/>
        <w:bottom w:val="none" w:sz="0" w:space="0" w:color="auto"/>
        <w:right w:val="none" w:sz="0" w:space="0" w:color="auto"/>
      </w:divBdr>
    </w:div>
    <w:div w:id="1612473632">
      <w:marLeft w:val="0"/>
      <w:marRight w:val="0"/>
      <w:marTop w:val="0"/>
      <w:marBottom w:val="100"/>
      <w:divBdr>
        <w:top w:val="none" w:sz="0" w:space="0" w:color="auto"/>
        <w:left w:val="none" w:sz="0" w:space="0" w:color="auto"/>
        <w:bottom w:val="none" w:sz="0" w:space="0" w:color="auto"/>
        <w:right w:val="none" w:sz="0" w:space="0" w:color="auto"/>
      </w:divBdr>
    </w:div>
    <w:div w:id="1614243192">
      <w:marLeft w:val="0"/>
      <w:marRight w:val="0"/>
      <w:marTop w:val="0"/>
      <w:marBottom w:val="100"/>
      <w:divBdr>
        <w:top w:val="none" w:sz="0" w:space="0" w:color="auto"/>
        <w:left w:val="none" w:sz="0" w:space="0" w:color="auto"/>
        <w:bottom w:val="none" w:sz="0" w:space="0" w:color="auto"/>
        <w:right w:val="none" w:sz="0" w:space="0" w:color="auto"/>
      </w:divBdr>
    </w:div>
    <w:div w:id="1616447533">
      <w:marLeft w:val="0"/>
      <w:marRight w:val="0"/>
      <w:marTop w:val="0"/>
      <w:marBottom w:val="100"/>
      <w:divBdr>
        <w:top w:val="none" w:sz="0" w:space="0" w:color="auto"/>
        <w:left w:val="none" w:sz="0" w:space="0" w:color="auto"/>
        <w:bottom w:val="none" w:sz="0" w:space="0" w:color="auto"/>
        <w:right w:val="none" w:sz="0" w:space="0" w:color="auto"/>
      </w:divBdr>
    </w:div>
    <w:div w:id="1616477987">
      <w:marLeft w:val="0"/>
      <w:marRight w:val="0"/>
      <w:marTop w:val="0"/>
      <w:marBottom w:val="100"/>
      <w:divBdr>
        <w:top w:val="none" w:sz="0" w:space="0" w:color="auto"/>
        <w:left w:val="none" w:sz="0" w:space="0" w:color="auto"/>
        <w:bottom w:val="none" w:sz="0" w:space="0" w:color="auto"/>
        <w:right w:val="none" w:sz="0" w:space="0" w:color="auto"/>
      </w:divBdr>
    </w:div>
    <w:div w:id="1618216531">
      <w:marLeft w:val="0"/>
      <w:marRight w:val="0"/>
      <w:marTop w:val="180"/>
      <w:marBottom w:val="0"/>
      <w:divBdr>
        <w:top w:val="none" w:sz="0" w:space="0" w:color="auto"/>
        <w:left w:val="none" w:sz="0" w:space="0" w:color="auto"/>
        <w:bottom w:val="none" w:sz="0" w:space="0" w:color="auto"/>
        <w:right w:val="none" w:sz="0" w:space="0" w:color="auto"/>
      </w:divBdr>
    </w:div>
    <w:div w:id="1620408837">
      <w:marLeft w:val="0"/>
      <w:marRight w:val="0"/>
      <w:marTop w:val="0"/>
      <w:marBottom w:val="100"/>
      <w:divBdr>
        <w:top w:val="none" w:sz="0" w:space="0" w:color="auto"/>
        <w:left w:val="none" w:sz="0" w:space="0" w:color="auto"/>
        <w:bottom w:val="none" w:sz="0" w:space="0" w:color="auto"/>
        <w:right w:val="none" w:sz="0" w:space="0" w:color="auto"/>
      </w:divBdr>
    </w:div>
    <w:div w:id="1621377577">
      <w:marLeft w:val="0"/>
      <w:marRight w:val="0"/>
      <w:marTop w:val="0"/>
      <w:marBottom w:val="100"/>
      <w:divBdr>
        <w:top w:val="none" w:sz="0" w:space="0" w:color="auto"/>
        <w:left w:val="none" w:sz="0" w:space="0" w:color="auto"/>
        <w:bottom w:val="none" w:sz="0" w:space="0" w:color="auto"/>
        <w:right w:val="none" w:sz="0" w:space="0" w:color="auto"/>
      </w:divBdr>
    </w:div>
    <w:div w:id="1621916930">
      <w:marLeft w:val="0"/>
      <w:marRight w:val="0"/>
      <w:marTop w:val="0"/>
      <w:marBottom w:val="0"/>
      <w:divBdr>
        <w:top w:val="none" w:sz="0" w:space="0" w:color="auto"/>
        <w:left w:val="none" w:sz="0" w:space="0" w:color="auto"/>
        <w:bottom w:val="none" w:sz="0" w:space="0" w:color="auto"/>
        <w:right w:val="none" w:sz="0" w:space="0" w:color="auto"/>
      </w:divBdr>
      <w:divsChild>
        <w:div w:id="300039728">
          <w:marLeft w:val="0"/>
          <w:marRight w:val="0"/>
          <w:marTop w:val="0"/>
          <w:marBottom w:val="0"/>
          <w:divBdr>
            <w:top w:val="none" w:sz="0" w:space="0" w:color="auto"/>
            <w:left w:val="none" w:sz="0" w:space="0" w:color="auto"/>
            <w:bottom w:val="none" w:sz="0" w:space="0" w:color="auto"/>
            <w:right w:val="none" w:sz="0" w:space="0" w:color="auto"/>
          </w:divBdr>
          <w:divsChild>
            <w:div w:id="51688814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622103892">
      <w:marLeft w:val="0"/>
      <w:marRight w:val="0"/>
      <w:marTop w:val="0"/>
      <w:marBottom w:val="0"/>
      <w:divBdr>
        <w:top w:val="none" w:sz="0" w:space="0" w:color="auto"/>
        <w:left w:val="none" w:sz="0" w:space="0" w:color="auto"/>
        <w:bottom w:val="none" w:sz="0" w:space="0" w:color="auto"/>
        <w:right w:val="none" w:sz="0" w:space="0" w:color="auto"/>
      </w:divBdr>
      <w:divsChild>
        <w:div w:id="1762867984">
          <w:marLeft w:val="0"/>
          <w:marRight w:val="0"/>
          <w:marTop w:val="0"/>
          <w:marBottom w:val="100"/>
          <w:divBdr>
            <w:top w:val="none" w:sz="0" w:space="0" w:color="auto"/>
            <w:left w:val="none" w:sz="0" w:space="0" w:color="auto"/>
            <w:bottom w:val="none" w:sz="0" w:space="0" w:color="auto"/>
            <w:right w:val="none" w:sz="0" w:space="0" w:color="auto"/>
          </w:divBdr>
        </w:div>
      </w:divsChild>
    </w:div>
    <w:div w:id="1622112234">
      <w:marLeft w:val="0"/>
      <w:marRight w:val="0"/>
      <w:marTop w:val="0"/>
      <w:marBottom w:val="100"/>
      <w:divBdr>
        <w:top w:val="none" w:sz="0" w:space="0" w:color="auto"/>
        <w:left w:val="none" w:sz="0" w:space="0" w:color="auto"/>
        <w:bottom w:val="none" w:sz="0" w:space="0" w:color="auto"/>
        <w:right w:val="none" w:sz="0" w:space="0" w:color="auto"/>
      </w:divBdr>
    </w:div>
    <w:div w:id="1623998353">
      <w:marLeft w:val="0"/>
      <w:marRight w:val="0"/>
      <w:marTop w:val="0"/>
      <w:marBottom w:val="100"/>
      <w:divBdr>
        <w:top w:val="none" w:sz="0" w:space="0" w:color="auto"/>
        <w:left w:val="none" w:sz="0" w:space="0" w:color="auto"/>
        <w:bottom w:val="none" w:sz="0" w:space="0" w:color="auto"/>
        <w:right w:val="none" w:sz="0" w:space="0" w:color="auto"/>
      </w:divBdr>
    </w:div>
    <w:div w:id="1624384912">
      <w:marLeft w:val="0"/>
      <w:marRight w:val="0"/>
      <w:marTop w:val="0"/>
      <w:marBottom w:val="100"/>
      <w:divBdr>
        <w:top w:val="none" w:sz="0" w:space="0" w:color="auto"/>
        <w:left w:val="none" w:sz="0" w:space="0" w:color="auto"/>
        <w:bottom w:val="none" w:sz="0" w:space="0" w:color="auto"/>
        <w:right w:val="none" w:sz="0" w:space="0" w:color="auto"/>
      </w:divBdr>
    </w:div>
    <w:div w:id="1625503428">
      <w:marLeft w:val="0"/>
      <w:marRight w:val="0"/>
      <w:marTop w:val="180"/>
      <w:marBottom w:val="0"/>
      <w:divBdr>
        <w:top w:val="none" w:sz="0" w:space="0" w:color="auto"/>
        <w:left w:val="none" w:sz="0" w:space="0" w:color="auto"/>
        <w:bottom w:val="none" w:sz="0" w:space="0" w:color="auto"/>
        <w:right w:val="none" w:sz="0" w:space="0" w:color="auto"/>
      </w:divBdr>
      <w:divsChild>
        <w:div w:id="235364243">
          <w:marLeft w:val="0"/>
          <w:marRight w:val="0"/>
          <w:marTop w:val="0"/>
          <w:marBottom w:val="0"/>
          <w:divBdr>
            <w:top w:val="none" w:sz="0" w:space="0" w:color="auto"/>
            <w:left w:val="none" w:sz="0" w:space="0" w:color="auto"/>
            <w:bottom w:val="none" w:sz="0" w:space="0" w:color="auto"/>
            <w:right w:val="none" w:sz="0" w:space="0" w:color="auto"/>
          </w:divBdr>
        </w:div>
        <w:div w:id="931279500">
          <w:marLeft w:val="0"/>
          <w:marRight w:val="0"/>
          <w:marTop w:val="0"/>
          <w:marBottom w:val="0"/>
          <w:divBdr>
            <w:top w:val="none" w:sz="0" w:space="0" w:color="auto"/>
            <w:left w:val="none" w:sz="0" w:space="0" w:color="auto"/>
            <w:bottom w:val="none" w:sz="0" w:space="0" w:color="auto"/>
            <w:right w:val="none" w:sz="0" w:space="0" w:color="auto"/>
          </w:divBdr>
        </w:div>
      </w:divsChild>
    </w:div>
    <w:div w:id="1625576162">
      <w:marLeft w:val="0"/>
      <w:marRight w:val="0"/>
      <w:marTop w:val="0"/>
      <w:marBottom w:val="100"/>
      <w:divBdr>
        <w:top w:val="none" w:sz="0" w:space="0" w:color="auto"/>
        <w:left w:val="none" w:sz="0" w:space="0" w:color="auto"/>
        <w:bottom w:val="none" w:sz="0" w:space="0" w:color="auto"/>
        <w:right w:val="none" w:sz="0" w:space="0" w:color="auto"/>
      </w:divBdr>
    </w:div>
    <w:div w:id="1626277451">
      <w:marLeft w:val="0"/>
      <w:marRight w:val="0"/>
      <w:marTop w:val="180"/>
      <w:marBottom w:val="0"/>
      <w:divBdr>
        <w:top w:val="none" w:sz="0" w:space="0" w:color="auto"/>
        <w:left w:val="none" w:sz="0" w:space="0" w:color="auto"/>
        <w:bottom w:val="none" w:sz="0" w:space="0" w:color="auto"/>
        <w:right w:val="none" w:sz="0" w:space="0" w:color="auto"/>
      </w:divBdr>
      <w:divsChild>
        <w:div w:id="271519689">
          <w:marLeft w:val="0"/>
          <w:marRight w:val="0"/>
          <w:marTop w:val="0"/>
          <w:marBottom w:val="0"/>
          <w:divBdr>
            <w:top w:val="none" w:sz="0" w:space="0" w:color="auto"/>
            <w:left w:val="none" w:sz="0" w:space="0" w:color="auto"/>
            <w:bottom w:val="none" w:sz="0" w:space="0" w:color="auto"/>
            <w:right w:val="none" w:sz="0" w:space="0" w:color="auto"/>
          </w:divBdr>
        </w:div>
        <w:div w:id="233518260">
          <w:marLeft w:val="0"/>
          <w:marRight w:val="0"/>
          <w:marTop w:val="0"/>
          <w:marBottom w:val="0"/>
          <w:divBdr>
            <w:top w:val="none" w:sz="0" w:space="0" w:color="auto"/>
            <w:left w:val="none" w:sz="0" w:space="0" w:color="auto"/>
            <w:bottom w:val="none" w:sz="0" w:space="0" w:color="auto"/>
            <w:right w:val="none" w:sz="0" w:space="0" w:color="auto"/>
          </w:divBdr>
        </w:div>
        <w:div w:id="1903638061">
          <w:marLeft w:val="0"/>
          <w:marRight w:val="0"/>
          <w:marTop w:val="0"/>
          <w:marBottom w:val="0"/>
          <w:divBdr>
            <w:top w:val="none" w:sz="0" w:space="0" w:color="auto"/>
            <w:left w:val="none" w:sz="0" w:space="0" w:color="auto"/>
            <w:bottom w:val="none" w:sz="0" w:space="0" w:color="auto"/>
            <w:right w:val="none" w:sz="0" w:space="0" w:color="auto"/>
          </w:divBdr>
        </w:div>
      </w:divsChild>
    </w:div>
    <w:div w:id="1628900172">
      <w:marLeft w:val="0"/>
      <w:marRight w:val="0"/>
      <w:marTop w:val="0"/>
      <w:marBottom w:val="100"/>
      <w:divBdr>
        <w:top w:val="none" w:sz="0" w:space="0" w:color="auto"/>
        <w:left w:val="none" w:sz="0" w:space="0" w:color="auto"/>
        <w:bottom w:val="none" w:sz="0" w:space="0" w:color="auto"/>
        <w:right w:val="none" w:sz="0" w:space="0" w:color="auto"/>
      </w:divBdr>
    </w:div>
    <w:div w:id="1634477528">
      <w:marLeft w:val="0"/>
      <w:marRight w:val="0"/>
      <w:marTop w:val="180"/>
      <w:marBottom w:val="0"/>
      <w:divBdr>
        <w:top w:val="none" w:sz="0" w:space="0" w:color="auto"/>
        <w:left w:val="none" w:sz="0" w:space="0" w:color="auto"/>
        <w:bottom w:val="none" w:sz="0" w:space="0" w:color="auto"/>
        <w:right w:val="none" w:sz="0" w:space="0" w:color="auto"/>
      </w:divBdr>
    </w:div>
    <w:div w:id="1635141288">
      <w:marLeft w:val="0"/>
      <w:marRight w:val="0"/>
      <w:marTop w:val="0"/>
      <w:marBottom w:val="0"/>
      <w:divBdr>
        <w:top w:val="none" w:sz="0" w:space="0" w:color="auto"/>
        <w:left w:val="none" w:sz="0" w:space="0" w:color="auto"/>
        <w:bottom w:val="none" w:sz="0" w:space="0" w:color="auto"/>
        <w:right w:val="none" w:sz="0" w:space="0" w:color="auto"/>
      </w:divBdr>
      <w:divsChild>
        <w:div w:id="1340347159">
          <w:marLeft w:val="0"/>
          <w:marRight w:val="0"/>
          <w:marTop w:val="0"/>
          <w:marBottom w:val="0"/>
          <w:divBdr>
            <w:top w:val="none" w:sz="0" w:space="0" w:color="auto"/>
            <w:left w:val="none" w:sz="0" w:space="0" w:color="auto"/>
            <w:bottom w:val="none" w:sz="0" w:space="0" w:color="auto"/>
            <w:right w:val="none" w:sz="0" w:space="0" w:color="auto"/>
          </w:divBdr>
          <w:divsChild>
            <w:div w:id="50216394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635520691">
      <w:marLeft w:val="0"/>
      <w:marRight w:val="0"/>
      <w:marTop w:val="180"/>
      <w:marBottom w:val="0"/>
      <w:divBdr>
        <w:top w:val="none" w:sz="0" w:space="0" w:color="auto"/>
        <w:left w:val="none" w:sz="0" w:space="0" w:color="auto"/>
        <w:bottom w:val="none" w:sz="0" w:space="0" w:color="auto"/>
        <w:right w:val="none" w:sz="0" w:space="0" w:color="auto"/>
      </w:divBdr>
    </w:div>
    <w:div w:id="1635715895">
      <w:marLeft w:val="0"/>
      <w:marRight w:val="0"/>
      <w:marTop w:val="180"/>
      <w:marBottom w:val="100"/>
      <w:divBdr>
        <w:top w:val="none" w:sz="0" w:space="0" w:color="auto"/>
        <w:left w:val="none" w:sz="0" w:space="0" w:color="auto"/>
        <w:bottom w:val="none" w:sz="0" w:space="0" w:color="auto"/>
        <w:right w:val="none" w:sz="0" w:space="0" w:color="auto"/>
      </w:divBdr>
    </w:div>
    <w:div w:id="1635941898">
      <w:marLeft w:val="0"/>
      <w:marRight w:val="0"/>
      <w:marTop w:val="180"/>
      <w:marBottom w:val="100"/>
      <w:divBdr>
        <w:top w:val="none" w:sz="0" w:space="0" w:color="auto"/>
        <w:left w:val="none" w:sz="0" w:space="0" w:color="auto"/>
        <w:bottom w:val="none" w:sz="0" w:space="0" w:color="auto"/>
        <w:right w:val="none" w:sz="0" w:space="0" w:color="auto"/>
      </w:divBdr>
    </w:div>
    <w:div w:id="1636519137">
      <w:marLeft w:val="0"/>
      <w:marRight w:val="0"/>
      <w:marTop w:val="0"/>
      <w:marBottom w:val="100"/>
      <w:divBdr>
        <w:top w:val="none" w:sz="0" w:space="0" w:color="auto"/>
        <w:left w:val="none" w:sz="0" w:space="0" w:color="auto"/>
        <w:bottom w:val="none" w:sz="0" w:space="0" w:color="auto"/>
        <w:right w:val="none" w:sz="0" w:space="0" w:color="auto"/>
      </w:divBdr>
    </w:div>
    <w:div w:id="1638220183">
      <w:marLeft w:val="0"/>
      <w:marRight w:val="0"/>
      <w:marTop w:val="180"/>
      <w:marBottom w:val="0"/>
      <w:divBdr>
        <w:top w:val="none" w:sz="0" w:space="0" w:color="auto"/>
        <w:left w:val="none" w:sz="0" w:space="0" w:color="auto"/>
        <w:bottom w:val="none" w:sz="0" w:space="0" w:color="auto"/>
        <w:right w:val="none" w:sz="0" w:space="0" w:color="auto"/>
      </w:divBdr>
    </w:div>
    <w:div w:id="1639917722">
      <w:marLeft w:val="0"/>
      <w:marRight w:val="0"/>
      <w:marTop w:val="0"/>
      <w:marBottom w:val="0"/>
      <w:divBdr>
        <w:top w:val="none" w:sz="0" w:space="0" w:color="auto"/>
        <w:left w:val="none" w:sz="0" w:space="0" w:color="auto"/>
        <w:bottom w:val="none" w:sz="0" w:space="0" w:color="auto"/>
        <w:right w:val="none" w:sz="0" w:space="0" w:color="auto"/>
      </w:divBdr>
      <w:divsChild>
        <w:div w:id="1375808407">
          <w:marLeft w:val="0"/>
          <w:marRight w:val="0"/>
          <w:marTop w:val="0"/>
          <w:marBottom w:val="0"/>
          <w:divBdr>
            <w:top w:val="none" w:sz="0" w:space="0" w:color="auto"/>
            <w:left w:val="none" w:sz="0" w:space="0" w:color="auto"/>
            <w:bottom w:val="none" w:sz="0" w:space="0" w:color="auto"/>
            <w:right w:val="none" w:sz="0" w:space="0" w:color="auto"/>
          </w:divBdr>
          <w:divsChild>
            <w:div w:id="1106461422">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642029598">
      <w:marLeft w:val="0"/>
      <w:marRight w:val="0"/>
      <w:marTop w:val="0"/>
      <w:marBottom w:val="0"/>
      <w:divBdr>
        <w:top w:val="none" w:sz="0" w:space="0" w:color="auto"/>
        <w:left w:val="none" w:sz="0" w:space="0" w:color="auto"/>
        <w:bottom w:val="none" w:sz="0" w:space="0" w:color="auto"/>
        <w:right w:val="none" w:sz="0" w:space="0" w:color="auto"/>
      </w:divBdr>
      <w:divsChild>
        <w:div w:id="881795437">
          <w:marLeft w:val="0"/>
          <w:marRight w:val="0"/>
          <w:marTop w:val="0"/>
          <w:marBottom w:val="100"/>
          <w:divBdr>
            <w:top w:val="none" w:sz="0" w:space="0" w:color="auto"/>
            <w:left w:val="none" w:sz="0" w:space="0" w:color="auto"/>
            <w:bottom w:val="none" w:sz="0" w:space="0" w:color="auto"/>
            <w:right w:val="none" w:sz="0" w:space="0" w:color="auto"/>
          </w:divBdr>
        </w:div>
      </w:divsChild>
    </w:div>
    <w:div w:id="1643078446">
      <w:marLeft w:val="0"/>
      <w:marRight w:val="0"/>
      <w:marTop w:val="0"/>
      <w:marBottom w:val="100"/>
      <w:divBdr>
        <w:top w:val="none" w:sz="0" w:space="0" w:color="auto"/>
        <w:left w:val="none" w:sz="0" w:space="0" w:color="auto"/>
        <w:bottom w:val="none" w:sz="0" w:space="0" w:color="auto"/>
        <w:right w:val="none" w:sz="0" w:space="0" w:color="auto"/>
      </w:divBdr>
    </w:div>
    <w:div w:id="1645159947">
      <w:marLeft w:val="0"/>
      <w:marRight w:val="0"/>
      <w:marTop w:val="0"/>
      <w:marBottom w:val="100"/>
      <w:divBdr>
        <w:top w:val="none" w:sz="0" w:space="0" w:color="auto"/>
        <w:left w:val="none" w:sz="0" w:space="0" w:color="auto"/>
        <w:bottom w:val="none" w:sz="0" w:space="0" w:color="auto"/>
        <w:right w:val="none" w:sz="0" w:space="0" w:color="auto"/>
      </w:divBdr>
    </w:div>
    <w:div w:id="1646813798">
      <w:marLeft w:val="0"/>
      <w:marRight w:val="0"/>
      <w:marTop w:val="0"/>
      <w:marBottom w:val="100"/>
      <w:divBdr>
        <w:top w:val="none" w:sz="0" w:space="0" w:color="auto"/>
        <w:left w:val="none" w:sz="0" w:space="0" w:color="auto"/>
        <w:bottom w:val="none" w:sz="0" w:space="0" w:color="auto"/>
        <w:right w:val="none" w:sz="0" w:space="0" w:color="auto"/>
      </w:divBdr>
    </w:div>
    <w:div w:id="1648315434">
      <w:marLeft w:val="0"/>
      <w:marRight w:val="0"/>
      <w:marTop w:val="0"/>
      <w:marBottom w:val="100"/>
      <w:divBdr>
        <w:top w:val="none" w:sz="0" w:space="0" w:color="auto"/>
        <w:left w:val="none" w:sz="0" w:space="0" w:color="auto"/>
        <w:bottom w:val="none" w:sz="0" w:space="0" w:color="auto"/>
        <w:right w:val="none" w:sz="0" w:space="0" w:color="auto"/>
      </w:divBdr>
    </w:div>
    <w:div w:id="1648702020">
      <w:marLeft w:val="0"/>
      <w:marRight w:val="0"/>
      <w:marTop w:val="180"/>
      <w:marBottom w:val="0"/>
      <w:divBdr>
        <w:top w:val="none" w:sz="0" w:space="0" w:color="auto"/>
        <w:left w:val="none" w:sz="0" w:space="0" w:color="auto"/>
        <w:bottom w:val="none" w:sz="0" w:space="0" w:color="auto"/>
        <w:right w:val="none" w:sz="0" w:space="0" w:color="auto"/>
      </w:divBdr>
    </w:div>
    <w:div w:id="1648820225">
      <w:marLeft w:val="0"/>
      <w:marRight w:val="0"/>
      <w:marTop w:val="100"/>
      <w:marBottom w:val="100"/>
      <w:divBdr>
        <w:top w:val="none" w:sz="0" w:space="0" w:color="auto"/>
        <w:left w:val="none" w:sz="0" w:space="0" w:color="auto"/>
        <w:bottom w:val="none" w:sz="0" w:space="0" w:color="auto"/>
        <w:right w:val="none" w:sz="0" w:space="0" w:color="auto"/>
      </w:divBdr>
    </w:div>
    <w:div w:id="1649358236">
      <w:marLeft w:val="0"/>
      <w:marRight w:val="0"/>
      <w:marTop w:val="0"/>
      <w:marBottom w:val="100"/>
      <w:divBdr>
        <w:top w:val="none" w:sz="0" w:space="0" w:color="auto"/>
        <w:left w:val="none" w:sz="0" w:space="0" w:color="auto"/>
        <w:bottom w:val="none" w:sz="0" w:space="0" w:color="auto"/>
        <w:right w:val="none" w:sz="0" w:space="0" w:color="auto"/>
      </w:divBdr>
    </w:div>
    <w:div w:id="1649938021">
      <w:marLeft w:val="0"/>
      <w:marRight w:val="0"/>
      <w:marTop w:val="0"/>
      <w:marBottom w:val="100"/>
      <w:divBdr>
        <w:top w:val="none" w:sz="0" w:space="0" w:color="auto"/>
        <w:left w:val="none" w:sz="0" w:space="0" w:color="auto"/>
        <w:bottom w:val="none" w:sz="0" w:space="0" w:color="auto"/>
        <w:right w:val="none" w:sz="0" w:space="0" w:color="auto"/>
      </w:divBdr>
    </w:div>
    <w:div w:id="1651442505">
      <w:marLeft w:val="0"/>
      <w:marRight w:val="0"/>
      <w:marTop w:val="0"/>
      <w:marBottom w:val="100"/>
      <w:divBdr>
        <w:top w:val="none" w:sz="0" w:space="0" w:color="auto"/>
        <w:left w:val="none" w:sz="0" w:space="0" w:color="auto"/>
        <w:bottom w:val="none" w:sz="0" w:space="0" w:color="auto"/>
        <w:right w:val="none" w:sz="0" w:space="0" w:color="auto"/>
      </w:divBdr>
    </w:div>
    <w:div w:id="1653367319">
      <w:marLeft w:val="0"/>
      <w:marRight w:val="0"/>
      <w:marTop w:val="0"/>
      <w:marBottom w:val="100"/>
      <w:divBdr>
        <w:top w:val="none" w:sz="0" w:space="0" w:color="auto"/>
        <w:left w:val="none" w:sz="0" w:space="0" w:color="auto"/>
        <w:bottom w:val="none" w:sz="0" w:space="0" w:color="auto"/>
        <w:right w:val="none" w:sz="0" w:space="0" w:color="auto"/>
      </w:divBdr>
    </w:div>
    <w:div w:id="1658916762">
      <w:marLeft w:val="0"/>
      <w:marRight w:val="0"/>
      <w:marTop w:val="0"/>
      <w:marBottom w:val="100"/>
      <w:divBdr>
        <w:top w:val="none" w:sz="0" w:space="0" w:color="auto"/>
        <w:left w:val="none" w:sz="0" w:space="0" w:color="auto"/>
        <w:bottom w:val="none" w:sz="0" w:space="0" w:color="auto"/>
        <w:right w:val="none" w:sz="0" w:space="0" w:color="auto"/>
      </w:divBdr>
    </w:div>
    <w:div w:id="1658920122">
      <w:marLeft w:val="0"/>
      <w:marRight w:val="0"/>
      <w:marTop w:val="0"/>
      <w:marBottom w:val="100"/>
      <w:divBdr>
        <w:top w:val="none" w:sz="0" w:space="0" w:color="auto"/>
        <w:left w:val="none" w:sz="0" w:space="0" w:color="auto"/>
        <w:bottom w:val="none" w:sz="0" w:space="0" w:color="auto"/>
        <w:right w:val="none" w:sz="0" w:space="0" w:color="auto"/>
      </w:divBdr>
    </w:div>
    <w:div w:id="1660959797">
      <w:marLeft w:val="0"/>
      <w:marRight w:val="0"/>
      <w:marTop w:val="0"/>
      <w:marBottom w:val="100"/>
      <w:divBdr>
        <w:top w:val="none" w:sz="0" w:space="0" w:color="auto"/>
        <w:left w:val="none" w:sz="0" w:space="0" w:color="auto"/>
        <w:bottom w:val="none" w:sz="0" w:space="0" w:color="auto"/>
        <w:right w:val="none" w:sz="0" w:space="0" w:color="auto"/>
      </w:divBdr>
    </w:div>
    <w:div w:id="1662654867">
      <w:marLeft w:val="0"/>
      <w:marRight w:val="0"/>
      <w:marTop w:val="180"/>
      <w:marBottom w:val="0"/>
      <w:divBdr>
        <w:top w:val="none" w:sz="0" w:space="0" w:color="auto"/>
        <w:left w:val="none" w:sz="0" w:space="0" w:color="auto"/>
        <w:bottom w:val="none" w:sz="0" w:space="0" w:color="auto"/>
        <w:right w:val="none" w:sz="0" w:space="0" w:color="auto"/>
      </w:divBdr>
    </w:div>
    <w:div w:id="1664318026">
      <w:marLeft w:val="0"/>
      <w:marRight w:val="0"/>
      <w:marTop w:val="0"/>
      <w:marBottom w:val="100"/>
      <w:divBdr>
        <w:top w:val="none" w:sz="0" w:space="0" w:color="auto"/>
        <w:left w:val="none" w:sz="0" w:space="0" w:color="auto"/>
        <w:bottom w:val="none" w:sz="0" w:space="0" w:color="auto"/>
        <w:right w:val="none" w:sz="0" w:space="0" w:color="auto"/>
      </w:divBdr>
    </w:div>
    <w:div w:id="1665669240">
      <w:marLeft w:val="0"/>
      <w:marRight w:val="0"/>
      <w:marTop w:val="0"/>
      <w:marBottom w:val="0"/>
      <w:divBdr>
        <w:top w:val="none" w:sz="0" w:space="0" w:color="auto"/>
        <w:left w:val="none" w:sz="0" w:space="0" w:color="auto"/>
        <w:bottom w:val="none" w:sz="0" w:space="0" w:color="auto"/>
        <w:right w:val="none" w:sz="0" w:space="0" w:color="auto"/>
      </w:divBdr>
    </w:div>
    <w:div w:id="1666784475">
      <w:marLeft w:val="0"/>
      <w:marRight w:val="0"/>
      <w:marTop w:val="0"/>
      <w:marBottom w:val="0"/>
      <w:divBdr>
        <w:top w:val="none" w:sz="0" w:space="0" w:color="auto"/>
        <w:left w:val="none" w:sz="0" w:space="0" w:color="auto"/>
        <w:bottom w:val="none" w:sz="0" w:space="0" w:color="auto"/>
        <w:right w:val="none" w:sz="0" w:space="0" w:color="auto"/>
      </w:divBdr>
    </w:div>
    <w:div w:id="1669864060">
      <w:marLeft w:val="0"/>
      <w:marRight w:val="0"/>
      <w:marTop w:val="180"/>
      <w:marBottom w:val="0"/>
      <w:divBdr>
        <w:top w:val="none" w:sz="0" w:space="0" w:color="auto"/>
        <w:left w:val="none" w:sz="0" w:space="0" w:color="auto"/>
        <w:bottom w:val="none" w:sz="0" w:space="0" w:color="auto"/>
        <w:right w:val="none" w:sz="0" w:space="0" w:color="auto"/>
      </w:divBdr>
    </w:div>
    <w:div w:id="1671174101">
      <w:marLeft w:val="0"/>
      <w:marRight w:val="0"/>
      <w:marTop w:val="180"/>
      <w:marBottom w:val="0"/>
      <w:divBdr>
        <w:top w:val="none" w:sz="0" w:space="0" w:color="auto"/>
        <w:left w:val="none" w:sz="0" w:space="0" w:color="auto"/>
        <w:bottom w:val="none" w:sz="0" w:space="0" w:color="auto"/>
        <w:right w:val="none" w:sz="0" w:space="0" w:color="auto"/>
      </w:divBdr>
    </w:div>
    <w:div w:id="1672876746">
      <w:marLeft w:val="0"/>
      <w:marRight w:val="0"/>
      <w:marTop w:val="0"/>
      <w:marBottom w:val="100"/>
      <w:divBdr>
        <w:top w:val="none" w:sz="0" w:space="0" w:color="auto"/>
        <w:left w:val="none" w:sz="0" w:space="0" w:color="auto"/>
        <w:bottom w:val="none" w:sz="0" w:space="0" w:color="auto"/>
        <w:right w:val="none" w:sz="0" w:space="0" w:color="auto"/>
      </w:divBdr>
    </w:div>
    <w:div w:id="1674528753">
      <w:marLeft w:val="0"/>
      <w:marRight w:val="0"/>
      <w:marTop w:val="0"/>
      <w:marBottom w:val="100"/>
      <w:divBdr>
        <w:top w:val="none" w:sz="0" w:space="0" w:color="auto"/>
        <w:left w:val="none" w:sz="0" w:space="0" w:color="auto"/>
        <w:bottom w:val="none" w:sz="0" w:space="0" w:color="auto"/>
        <w:right w:val="none" w:sz="0" w:space="0" w:color="auto"/>
      </w:divBdr>
    </w:div>
    <w:div w:id="1675574312">
      <w:marLeft w:val="0"/>
      <w:marRight w:val="0"/>
      <w:marTop w:val="0"/>
      <w:marBottom w:val="0"/>
      <w:divBdr>
        <w:top w:val="none" w:sz="0" w:space="0" w:color="auto"/>
        <w:left w:val="none" w:sz="0" w:space="0" w:color="auto"/>
        <w:bottom w:val="none" w:sz="0" w:space="0" w:color="auto"/>
        <w:right w:val="none" w:sz="0" w:space="0" w:color="auto"/>
      </w:divBdr>
      <w:divsChild>
        <w:div w:id="873083320">
          <w:marLeft w:val="0"/>
          <w:marRight w:val="0"/>
          <w:marTop w:val="0"/>
          <w:marBottom w:val="0"/>
          <w:divBdr>
            <w:top w:val="none" w:sz="0" w:space="0" w:color="auto"/>
            <w:left w:val="none" w:sz="0" w:space="0" w:color="auto"/>
            <w:bottom w:val="none" w:sz="0" w:space="0" w:color="auto"/>
            <w:right w:val="none" w:sz="0" w:space="0" w:color="auto"/>
          </w:divBdr>
          <w:divsChild>
            <w:div w:id="188810839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678540581">
      <w:marLeft w:val="0"/>
      <w:marRight w:val="0"/>
      <w:marTop w:val="180"/>
      <w:marBottom w:val="0"/>
      <w:divBdr>
        <w:top w:val="none" w:sz="0" w:space="0" w:color="auto"/>
        <w:left w:val="none" w:sz="0" w:space="0" w:color="auto"/>
        <w:bottom w:val="none" w:sz="0" w:space="0" w:color="auto"/>
        <w:right w:val="none" w:sz="0" w:space="0" w:color="auto"/>
      </w:divBdr>
    </w:div>
    <w:div w:id="1678924772">
      <w:marLeft w:val="0"/>
      <w:marRight w:val="0"/>
      <w:marTop w:val="0"/>
      <w:marBottom w:val="0"/>
      <w:divBdr>
        <w:top w:val="none" w:sz="0" w:space="0" w:color="auto"/>
        <w:left w:val="none" w:sz="0" w:space="0" w:color="auto"/>
        <w:bottom w:val="none" w:sz="0" w:space="0" w:color="auto"/>
        <w:right w:val="none" w:sz="0" w:space="0" w:color="auto"/>
      </w:divBdr>
      <w:divsChild>
        <w:div w:id="514269879">
          <w:marLeft w:val="0"/>
          <w:marRight w:val="0"/>
          <w:marTop w:val="0"/>
          <w:marBottom w:val="0"/>
          <w:divBdr>
            <w:top w:val="none" w:sz="0" w:space="0" w:color="auto"/>
            <w:left w:val="none" w:sz="0" w:space="0" w:color="auto"/>
            <w:bottom w:val="none" w:sz="0" w:space="0" w:color="auto"/>
            <w:right w:val="none" w:sz="0" w:space="0" w:color="auto"/>
          </w:divBdr>
          <w:divsChild>
            <w:div w:id="61139938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682393728">
      <w:marLeft w:val="0"/>
      <w:marRight w:val="0"/>
      <w:marTop w:val="0"/>
      <w:marBottom w:val="100"/>
      <w:divBdr>
        <w:top w:val="none" w:sz="0" w:space="0" w:color="auto"/>
        <w:left w:val="none" w:sz="0" w:space="0" w:color="auto"/>
        <w:bottom w:val="none" w:sz="0" w:space="0" w:color="auto"/>
        <w:right w:val="none" w:sz="0" w:space="0" w:color="auto"/>
      </w:divBdr>
    </w:div>
    <w:div w:id="1682778744">
      <w:marLeft w:val="0"/>
      <w:marRight w:val="0"/>
      <w:marTop w:val="0"/>
      <w:marBottom w:val="100"/>
      <w:divBdr>
        <w:top w:val="none" w:sz="0" w:space="0" w:color="auto"/>
        <w:left w:val="none" w:sz="0" w:space="0" w:color="auto"/>
        <w:bottom w:val="none" w:sz="0" w:space="0" w:color="auto"/>
        <w:right w:val="none" w:sz="0" w:space="0" w:color="auto"/>
      </w:divBdr>
    </w:div>
    <w:div w:id="1684549696">
      <w:marLeft w:val="0"/>
      <w:marRight w:val="0"/>
      <w:marTop w:val="0"/>
      <w:marBottom w:val="100"/>
      <w:divBdr>
        <w:top w:val="none" w:sz="0" w:space="0" w:color="auto"/>
        <w:left w:val="none" w:sz="0" w:space="0" w:color="auto"/>
        <w:bottom w:val="none" w:sz="0" w:space="0" w:color="auto"/>
        <w:right w:val="none" w:sz="0" w:space="0" w:color="auto"/>
      </w:divBdr>
    </w:div>
    <w:div w:id="1684866426">
      <w:marLeft w:val="0"/>
      <w:marRight w:val="0"/>
      <w:marTop w:val="0"/>
      <w:marBottom w:val="100"/>
      <w:divBdr>
        <w:top w:val="none" w:sz="0" w:space="0" w:color="auto"/>
        <w:left w:val="none" w:sz="0" w:space="0" w:color="auto"/>
        <w:bottom w:val="none" w:sz="0" w:space="0" w:color="auto"/>
        <w:right w:val="none" w:sz="0" w:space="0" w:color="auto"/>
      </w:divBdr>
    </w:div>
    <w:div w:id="1686201231">
      <w:marLeft w:val="0"/>
      <w:marRight w:val="0"/>
      <w:marTop w:val="0"/>
      <w:marBottom w:val="0"/>
      <w:divBdr>
        <w:top w:val="none" w:sz="0" w:space="0" w:color="auto"/>
        <w:left w:val="none" w:sz="0" w:space="0" w:color="auto"/>
        <w:bottom w:val="none" w:sz="0" w:space="0" w:color="auto"/>
        <w:right w:val="none" w:sz="0" w:space="0" w:color="auto"/>
      </w:divBdr>
      <w:divsChild>
        <w:div w:id="1936016641">
          <w:marLeft w:val="0"/>
          <w:marRight w:val="0"/>
          <w:marTop w:val="0"/>
          <w:marBottom w:val="100"/>
          <w:divBdr>
            <w:top w:val="none" w:sz="0" w:space="0" w:color="auto"/>
            <w:left w:val="none" w:sz="0" w:space="0" w:color="auto"/>
            <w:bottom w:val="none" w:sz="0" w:space="0" w:color="auto"/>
            <w:right w:val="none" w:sz="0" w:space="0" w:color="auto"/>
          </w:divBdr>
        </w:div>
      </w:divsChild>
    </w:div>
    <w:div w:id="1686401231">
      <w:marLeft w:val="0"/>
      <w:marRight w:val="0"/>
      <w:marTop w:val="0"/>
      <w:marBottom w:val="100"/>
      <w:divBdr>
        <w:top w:val="none" w:sz="0" w:space="0" w:color="auto"/>
        <w:left w:val="none" w:sz="0" w:space="0" w:color="auto"/>
        <w:bottom w:val="none" w:sz="0" w:space="0" w:color="auto"/>
        <w:right w:val="none" w:sz="0" w:space="0" w:color="auto"/>
      </w:divBdr>
    </w:div>
    <w:div w:id="1686711046">
      <w:marLeft w:val="0"/>
      <w:marRight w:val="0"/>
      <w:marTop w:val="0"/>
      <w:marBottom w:val="0"/>
      <w:divBdr>
        <w:top w:val="none" w:sz="0" w:space="0" w:color="auto"/>
        <w:left w:val="none" w:sz="0" w:space="0" w:color="auto"/>
        <w:bottom w:val="none" w:sz="0" w:space="0" w:color="auto"/>
        <w:right w:val="none" w:sz="0" w:space="0" w:color="auto"/>
      </w:divBdr>
    </w:div>
    <w:div w:id="1687901805">
      <w:marLeft w:val="0"/>
      <w:marRight w:val="0"/>
      <w:marTop w:val="180"/>
      <w:marBottom w:val="0"/>
      <w:divBdr>
        <w:top w:val="none" w:sz="0" w:space="0" w:color="auto"/>
        <w:left w:val="none" w:sz="0" w:space="0" w:color="auto"/>
        <w:bottom w:val="none" w:sz="0" w:space="0" w:color="auto"/>
        <w:right w:val="none" w:sz="0" w:space="0" w:color="auto"/>
      </w:divBdr>
    </w:div>
    <w:div w:id="1693142379">
      <w:marLeft w:val="0"/>
      <w:marRight w:val="0"/>
      <w:marTop w:val="0"/>
      <w:marBottom w:val="100"/>
      <w:divBdr>
        <w:top w:val="none" w:sz="0" w:space="0" w:color="auto"/>
        <w:left w:val="none" w:sz="0" w:space="0" w:color="auto"/>
        <w:bottom w:val="none" w:sz="0" w:space="0" w:color="auto"/>
        <w:right w:val="none" w:sz="0" w:space="0" w:color="auto"/>
      </w:divBdr>
    </w:div>
    <w:div w:id="1696805015">
      <w:marLeft w:val="0"/>
      <w:marRight w:val="0"/>
      <w:marTop w:val="0"/>
      <w:marBottom w:val="100"/>
      <w:divBdr>
        <w:top w:val="none" w:sz="0" w:space="0" w:color="auto"/>
        <w:left w:val="none" w:sz="0" w:space="0" w:color="auto"/>
        <w:bottom w:val="none" w:sz="0" w:space="0" w:color="auto"/>
        <w:right w:val="none" w:sz="0" w:space="0" w:color="auto"/>
      </w:divBdr>
    </w:div>
    <w:div w:id="1696879728">
      <w:marLeft w:val="0"/>
      <w:marRight w:val="0"/>
      <w:marTop w:val="180"/>
      <w:marBottom w:val="0"/>
      <w:divBdr>
        <w:top w:val="none" w:sz="0" w:space="0" w:color="auto"/>
        <w:left w:val="none" w:sz="0" w:space="0" w:color="auto"/>
        <w:bottom w:val="none" w:sz="0" w:space="0" w:color="auto"/>
        <w:right w:val="none" w:sz="0" w:space="0" w:color="auto"/>
      </w:divBdr>
    </w:div>
    <w:div w:id="1697075995">
      <w:marLeft w:val="0"/>
      <w:marRight w:val="0"/>
      <w:marTop w:val="0"/>
      <w:marBottom w:val="100"/>
      <w:divBdr>
        <w:top w:val="none" w:sz="0" w:space="0" w:color="auto"/>
        <w:left w:val="none" w:sz="0" w:space="0" w:color="auto"/>
        <w:bottom w:val="none" w:sz="0" w:space="0" w:color="auto"/>
        <w:right w:val="none" w:sz="0" w:space="0" w:color="auto"/>
      </w:divBdr>
    </w:div>
    <w:div w:id="1699744414">
      <w:marLeft w:val="0"/>
      <w:marRight w:val="0"/>
      <w:marTop w:val="0"/>
      <w:marBottom w:val="100"/>
      <w:divBdr>
        <w:top w:val="none" w:sz="0" w:space="0" w:color="auto"/>
        <w:left w:val="none" w:sz="0" w:space="0" w:color="auto"/>
        <w:bottom w:val="none" w:sz="0" w:space="0" w:color="auto"/>
        <w:right w:val="none" w:sz="0" w:space="0" w:color="auto"/>
      </w:divBdr>
    </w:div>
    <w:div w:id="1701079037">
      <w:marLeft w:val="0"/>
      <w:marRight w:val="0"/>
      <w:marTop w:val="0"/>
      <w:marBottom w:val="0"/>
      <w:divBdr>
        <w:top w:val="none" w:sz="0" w:space="0" w:color="auto"/>
        <w:left w:val="none" w:sz="0" w:space="0" w:color="auto"/>
        <w:bottom w:val="none" w:sz="0" w:space="0" w:color="auto"/>
        <w:right w:val="none" w:sz="0" w:space="0" w:color="auto"/>
      </w:divBdr>
    </w:div>
    <w:div w:id="1701277589">
      <w:marLeft w:val="0"/>
      <w:marRight w:val="0"/>
      <w:marTop w:val="0"/>
      <w:marBottom w:val="0"/>
      <w:divBdr>
        <w:top w:val="none" w:sz="0" w:space="0" w:color="auto"/>
        <w:left w:val="none" w:sz="0" w:space="0" w:color="auto"/>
        <w:bottom w:val="none" w:sz="0" w:space="0" w:color="auto"/>
        <w:right w:val="none" w:sz="0" w:space="0" w:color="auto"/>
      </w:divBdr>
      <w:divsChild>
        <w:div w:id="35546045">
          <w:marLeft w:val="0"/>
          <w:marRight w:val="0"/>
          <w:marTop w:val="0"/>
          <w:marBottom w:val="0"/>
          <w:divBdr>
            <w:top w:val="none" w:sz="0" w:space="0" w:color="auto"/>
            <w:left w:val="none" w:sz="0" w:space="0" w:color="auto"/>
            <w:bottom w:val="none" w:sz="0" w:space="0" w:color="auto"/>
            <w:right w:val="none" w:sz="0" w:space="0" w:color="auto"/>
          </w:divBdr>
          <w:divsChild>
            <w:div w:id="155138419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704667556">
      <w:marLeft w:val="0"/>
      <w:marRight w:val="0"/>
      <w:marTop w:val="0"/>
      <w:marBottom w:val="100"/>
      <w:divBdr>
        <w:top w:val="none" w:sz="0" w:space="0" w:color="auto"/>
        <w:left w:val="none" w:sz="0" w:space="0" w:color="auto"/>
        <w:bottom w:val="none" w:sz="0" w:space="0" w:color="auto"/>
        <w:right w:val="none" w:sz="0" w:space="0" w:color="auto"/>
      </w:divBdr>
    </w:div>
    <w:div w:id="1706716765">
      <w:marLeft w:val="0"/>
      <w:marRight w:val="0"/>
      <w:marTop w:val="0"/>
      <w:marBottom w:val="0"/>
      <w:divBdr>
        <w:top w:val="none" w:sz="0" w:space="0" w:color="auto"/>
        <w:left w:val="none" w:sz="0" w:space="0" w:color="auto"/>
        <w:bottom w:val="none" w:sz="0" w:space="0" w:color="auto"/>
        <w:right w:val="none" w:sz="0" w:space="0" w:color="auto"/>
      </w:divBdr>
    </w:div>
    <w:div w:id="1707563143">
      <w:marLeft w:val="0"/>
      <w:marRight w:val="0"/>
      <w:marTop w:val="0"/>
      <w:marBottom w:val="100"/>
      <w:divBdr>
        <w:top w:val="none" w:sz="0" w:space="0" w:color="auto"/>
        <w:left w:val="none" w:sz="0" w:space="0" w:color="auto"/>
        <w:bottom w:val="none" w:sz="0" w:space="0" w:color="auto"/>
        <w:right w:val="none" w:sz="0" w:space="0" w:color="auto"/>
      </w:divBdr>
    </w:div>
    <w:div w:id="1708721315">
      <w:marLeft w:val="0"/>
      <w:marRight w:val="0"/>
      <w:marTop w:val="0"/>
      <w:marBottom w:val="0"/>
      <w:divBdr>
        <w:top w:val="none" w:sz="0" w:space="0" w:color="auto"/>
        <w:left w:val="none" w:sz="0" w:space="0" w:color="auto"/>
        <w:bottom w:val="none" w:sz="0" w:space="0" w:color="auto"/>
        <w:right w:val="none" w:sz="0" w:space="0" w:color="auto"/>
      </w:divBdr>
    </w:div>
    <w:div w:id="1709987396">
      <w:marLeft w:val="0"/>
      <w:marRight w:val="0"/>
      <w:marTop w:val="0"/>
      <w:marBottom w:val="0"/>
      <w:divBdr>
        <w:top w:val="none" w:sz="0" w:space="0" w:color="auto"/>
        <w:left w:val="none" w:sz="0" w:space="0" w:color="auto"/>
        <w:bottom w:val="none" w:sz="0" w:space="0" w:color="auto"/>
        <w:right w:val="none" w:sz="0" w:space="0" w:color="auto"/>
      </w:divBdr>
      <w:divsChild>
        <w:div w:id="2058049371">
          <w:marLeft w:val="0"/>
          <w:marRight w:val="0"/>
          <w:marTop w:val="0"/>
          <w:marBottom w:val="0"/>
          <w:divBdr>
            <w:top w:val="none" w:sz="0" w:space="0" w:color="auto"/>
            <w:left w:val="none" w:sz="0" w:space="0" w:color="auto"/>
            <w:bottom w:val="none" w:sz="0" w:space="0" w:color="auto"/>
            <w:right w:val="none" w:sz="0" w:space="0" w:color="auto"/>
          </w:divBdr>
          <w:divsChild>
            <w:div w:id="167814676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711107111">
      <w:marLeft w:val="0"/>
      <w:marRight w:val="0"/>
      <w:marTop w:val="0"/>
      <w:marBottom w:val="100"/>
      <w:divBdr>
        <w:top w:val="none" w:sz="0" w:space="0" w:color="auto"/>
        <w:left w:val="none" w:sz="0" w:space="0" w:color="auto"/>
        <w:bottom w:val="none" w:sz="0" w:space="0" w:color="auto"/>
        <w:right w:val="none" w:sz="0" w:space="0" w:color="auto"/>
      </w:divBdr>
    </w:div>
    <w:div w:id="1712534294">
      <w:marLeft w:val="0"/>
      <w:marRight w:val="0"/>
      <w:marTop w:val="0"/>
      <w:marBottom w:val="100"/>
      <w:divBdr>
        <w:top w:val="none" w:sz="0" w:space="0" w:color="auto"/>
        <w:left w:val="none" w:sz="0" w:space="0" w:color="auto"/>
        <w:bottom w:val="none" w:sz="0" w:space="0" w:color="auto"/>
        <w:right w:val="none" w:sz="0" w:space="0" w:color="auto"/>
      </w:divBdr>
    </w:div>
    <w:div w:id="1712919058">
      <w:marLeft w:val="0"/>
      <w:marRight w:val="0"/>
      <w:marTop w:val="0"/>
      <w:marBottom w:val="0"/>
      <w:divBdr>
        <w:top w:val="none" w:sz="0" w:space="0" w:color="auto"/>
        <w:left w:val="none" w:sz="0" w:space="0" w:color="auto"/>
        <w:bottom w:val="none" w:sz="0" w:space="0" w:color="auto"/>
        <w:right w:val="none" w:sz="0" w:space="0" w:color="auto"/>
      </w:divBdr>
      <w:divsChild>
        <w:div w:id="983461174">
          <w:marLeft w:val="0"/>
          <w:marRight w:val="0"/>
          <w:marTop w:val="0"/>
          <w:marBottom w:val="100"/>
          <w:divBdr>
            <w:top w:val="none" w:sz="0" w:space="0" w:color="auto"/>
            <w:left w:val="none" w:sz="0" w:space="0" w:color="auto"/>
            <w:bottom w:val="none" w:sz="0" w:space="0" w:color="auto"/>
            <w:right w:val="none" w:sz="0" w:space="0" w:color="auto"/>
          </w:divBdr>
        </w:div>
      </w:divsChild>
    </w:div>
    <w:div w:id="1713768411">
      <w:marLeft w:val="0"/>
      <w:marRight w:val="0"/>
      <w:marTop w:val="0"/>
      <w:marBottom w:val="100"/>
      <w:divBdr>
        <w:top w:val="none" w:sz="0" w:space="0" w:color="auto"/>
        <w:left w:val="none" w:sz="0" w:space="0" w:color="auto"/>
        <w:bottom w:val="none" w:sz="0" w:space="0" w:color="auto"/>
        <w:right w:val="none" w:sz="0" w:space="0" w:color="auto"/>
      </w:divBdr>
    </w:div>
    <w:div w:id="1714227056">
      <w:marLeft w:val="0"/>
      <w:marRight w:val="0"/>
      <w:marTop w:val="0"/>
      <w:marBottom w:val="100"/>
      <w:divBdr>
        <w:top w:val="none" w:sz="0" w:space="0" w:color="auto"/>
        <w:left w:val="none" w:sz="0" w:space="0" w:color="auto"/>
        <w:bottom w:val="none" w:sz="0" w:space="0" w:color="auto"/>
        <w:right w:val="none" w:sz="0" w:space="0" w:color="auto"/>
      </w:divBdr>
    </w:div>
    <w:div w:id="1714619464">
      <w:marLeft w:val="0"/>
      <w:marRight w:val="0"/>
      <w:marTop w:val="0"/>
      <w:marBottom w:val="0"/>
      <w:divBdr>
        <w:top w:val="none" w:sz="0" w:space="0" w:color="auto"/>
        <w:left w:val="none" w:sz="0" w:space="0" w:color="auto"/>
        <w:bottom w:val="none" w:sz="0" w:space="0" w:color="auto"/>
        <w:right w:val="none" w:sz="0" w:space="0" w:color="auto"/>
      </w:divBdr>
      <w:divsChild>
        <w:div w:id="954756393">
          <w:marLeft w:val="0"/>
          <w:marRight w:val="0"/>
          <w:marTop w:val="0"/>
          <w:marBottom w:val="100"/>
          <w:divBdr>
            <w:top w:val="none" w:sz="0" w:space="0" w:color="auto"/>
            <w:left w:val="none" w:sz="0" w:space="0" w:color="auto"/>
            <w:bottom w:val="none" w:sz="0" w:space="0" w:color="auto"/>
            <w:right w:val="none" w:sz="0" w:space="0" w:color="auto"/>
          </w:divBdr>
        </w:div>
      </w:divsChild>
    </w:div>
    <w:div w:id="1714771289">
      <w:marLeft w:val="0"/>
      <w:marRight w:val="0"/>
      <w:marTop w:val="0"/>
      <w:marBottom w:val="0"/>
      <w:divBdr>
        <w:top w:val="none" w:sz="0" w:space="0" w:color="auto"/>
        <w:left w:val="none" w:sz="0" w:space="0" w:color="auto"/>
        <w:bottom w:val="none" w:sz="0" w:space="0" w:color="auto"/>
        <w:right w:val="none" w:sz="0" w:space="0" w:color="auto"/>
      </w:divBdr>
      <w:divsChild>
        <w:div w:id="444151537">
          <w:marLeft w:val="0"/>
          <w:marRight w:val="0"/>
          <w:marTop w:val="0"/>
          <w:marBottom w:val="100"/>
          <w:divBdr>
            <w:top w:val="none" w:sz="0" w:space="0" w:color="auto"/>
            <w:left w:val="none" w:sz="0" w:space="0" w:color="auto"/>
            <w:bottom w:val="none" w:sz="0" w:space="0" w:color="auto"/>
            <w:right w:val="none" w:sz="0" w:space="0" w:color="auto"/>
          </w:divBdr>
        </w:div>
      </w:divsChild>
    </w:div>
    <w:div w:id="1714845023">
      <w:marLeft w:val="0"/>
      <w:marRight w:val="0"/>
      <w:marTop w:val="0"/>
      <w:marBottom w:val="100"/>
      <w:divBdr>
        <w:top w:val="none" w:sz="0" w:space="0" w:color="auto"/>
        <w:left w:val="none" w:sz="0" w:space="0" w:color="auto"/>
        <w:bottom w:val="none" w:sz="0" w:space="0" w:color="auto"/>
        <w:right w:val="none" w:sz="0" w:space="0" w:color="auto"/>
      </w:divBdr>
    </w:div>
    <w:div w:id="1715157641">
      <w:marLeft w:val="0"/>
      <w:marRight w:val="0"/>
      <w:marTop w:val="0"/>
      <w:marBottom w:val="100"/>
      <w:divBdr>
        <w:top w:val="none" w:sz="0" w:space="0" w:color="auto"/>
        <w:left w:val="none" w:sz="0" w:space="0" w:color="auto"/>
        <w:bottom w:val="none" w:sz="0" w:space="0" w:color="auto"/>
        <w:right w:val="none" w:sz="0" w:space="0" w:color="auto"/>
      </w:divBdr>
    </w:div>
    <w:div w:id="1721323300">
      <w:marLeft w:val="0"/>
      <w:marRight w:val="0"/>
      <w:marTop w:val="0"/>
      <w:marBottom w:val="0"/>
      <w:divBdr>
        <w:top w:val="none" w:sz="0" w:space="0" w:color="auto"/>
        <w:left w:val="none" w:sz="0" w:space="0" w:color="auto"/>
        <w:bottom w:val="none" w:sz="0" w:space="0" w:color="auto"/>
        <w:right w:val="none" w:sz="0" w:space="0" w:color="auto"/>
      </w:divBdr>
      <w:divsChild>
        <w:div w:id="2117098909">
          <w:marLeft w:val="0"/>
          <w:marRight w:val="0"/>
          <w:marTop w:val="0"/>
          <w:marBottom w:val="100"/>
          <w:divBdr>
            <w:top w:val="none" w:sz="0" w:space="0" w:color="auto"/>
            <w:left w:val="none" w:sz="0" w:space="0" w:color="auto"/>
            <w:bottom w:val="none" w:sz="0" w:space="0" w:color="auto"/>
            <w:right w:val="none" w:sz="0" w:space="0" w:color="auto"/>
          </w:divBdr>
        </w:div>
      </w:divsChild>
    </w:div>
    <w:div w:id="1724404087">
      <w:marLeft w:val="0"/>
      <w:marRight w:val="0"/>
      <w:marTop w:val="0"/>
      <w:marBottom w:val="0"/>
      <w:divBdr>
        <w:top w:val="none" w:sz="0" w:space="0" w:color="auto"/>
        <w:left w:val="none" w:sz="0" w:space="0" w:color="auto"/>
        <w:bottom w:val="none" w:sz="0" w:space="0" w:color="auto"/>
        <w:right w:val="none" w:sz="0" w:space="0" w:color="auto"/>
      </w:divBdr>
      <w:divsChild>
        <w:div w:id="1177694824">
          <w:marLeft w:val="0"/>
          <w:marRight w:val="0"/>
          <w:marTop w:val="0"/>
          <w:marBottom w:val="100"/>
          <w:divBdr>
            <w:top w:val="none" w:sz="0" w:space="0" w:color="auto"/>
            <w:left w:val="none" w:sz="0" w:space="0" w:color="auto"/>
            <w:bottom w:val="none" w:sz="0" w:space="0" w:color="auto"/>
            <w:right w:val="none" w:sz="0" w:space="0" w:color="auto"/>
          </w:divBdr>
        </w:div>
      </w:divsChild>
    </w:div>
    <w:div w:id="1724908879">
      <w:marLeft w:val="0"/>
      <w:marRight w:val="0"/>
      <w:marTop w:val="180"/>
      <w:marBottom w:val="0"/>
      <w:divBdr>
        <w:top w:val="none" w:sz="0" w:space="0" w:color="auto"/>
        <w:left w:val="none" w:sz="0" w:space="0" w:color="auto"/>
        <w:bottom w:val="none" w:sz="0" w:space="0" w:color="auto"/>
        <w:right w:val="none" w:sz="0" w:space="0" w:color="auto"/>
      </w:divBdr>
    </w:div>
    <w:div w:id="1727484671">
      <w:marLeft w:val="0"/>
      <w:marRight w:val="0"/>
      <w:marTop w:val="0"/>
      <w:marBottom w:val="0"/>
      <w:divBdr>
        <w:top w:val="none" w:sz="0" w:space="0" w:color="auto"/>
        <w:left w:val="none" w:sz="0" w:space="0" w:color="auto"/>
        <w:bottom w:val="none" w:sz="0" w:space="0" w:color="auto"/>
        <w:right w:val="none" w:sz="0" w:space="0" w:color="auto"/>
      </w:divBdr>
    </w:div>
    <w:div w:id="1727677784">
      <w:marLeft w:val="0"/>
      <w:marRight w:val="0"/>
      <w:marTop w:val="0"/>
      <w:marBottom w:val="100"/>
      <w:divBdr>
        <w:top w:val="none" w:sz="0" w:space="0" w:color="auto"/>
        <w:left w:val="none" w:sz="0" w:space="0" w:color="auto"/>
        <w:bottom w:val="none" w:sz="0" w:space="0" w:color="auto"/>
        <w:right w:val="none" w:sz="0" w:space="0" w:color="auto"/>
      </w:divBdr>
    </w:div>
    <w:div w:id="1728649773">
      <w:marLeft w:val="0"/>
      <w:marRight w:val="0"/>
      <w:marTop w:val="0"/>
      <w:marBottom w:val="0"/>
      <w:divBdr>
        <w:top w:val="none" w:sz="0" w:space="0" w:color="auto"/>
        <w:left w:val="none" w:sz="0" w:space="0" w:color="auto"/>
        <w:bottom w:val="none" w:sz="0" w:space="0" w:color="auto"/>
        <w:right w:val="none" w:sz="0" w:space="0" w:color="auto"/>
      </w:divBdr>
      <w:divsChild>
        <w:div w:id="1905796348">
          <w:marLeft w:val="0"/>
          <w:marRight w:val="0"/>
          <w:marTop w:val="0"/>
          <w:marBottom w:val="100"/>
          <w:divBdr>
            <w:top w:val="none" w:sz="0" w:space="0" w:color="auto"/>
            <w:left w:val="none" w:sz="0" w:space="0" w:color="auto"/>
            <w:bottom w:val="none" w:sz="0" w:space="0" w:color="auto"/>
            <w:right w:val="none" w:sz="0" w:space="0" w:color="auto"/>
          </w:divBdr>
        </w:div>
      </w:divsChild>
    </w:div>
    <w:div w:id="1730836477">
      <w:marLeft w:val="0"/>
      <w:marRight w:val="0"/>
      <w:marTop w:val="0"/>
      <w:marBottom w:val="100"/>
      <w:divBdr>
        <w:top w:val="none" w:sz="0" w:space="0" w:color="auto"/>
        <w:left w:val="none" w:sz="0" w:space="0" w:color="auto"/>
        <w:bottom w:val="none" w:sz="0" w:space="0" w:color="auto"/>
        <w:right w:val="none" w:sz="0" w:space="0" w:color="auto"/>
      </w:divBdr>
    </w:div>
    <w:div w:id="1731658890">
      <w:marLeft w:val="0"/>
      <w:marRight w:val="0"/>
      <w:marTop w:val="0"/>
      <w:marBottom w:val="100"/>
      <w:divBdr>
        <w:top w:val="none" w:sz="0" w:space="0" w:color="auto"/>
        <w:left w:val="none" w:sz="0" w:space="0" w:color="auto"/>
        <w:bottom w:val="none" w:sz="0" w:space="0" w:color="auto"/>
        <w:right w:val="none" w:sz="0" w:space="0" w:color="auto"/>
      </w:divBdr>
    </w:div>
    <w:div w:id="1732581684">
      <w:marLeft w:val="0"/>
      <w:marRight w:val="0"/>
      <w:marTop w:val="0"/>
      <w:marBottom w:val="0"/>
      <w:divBdr>
        <w:top w:val="none" w:sz="0" w:space="0" w:color="auto"/>
        <w:left w:val="none" w:sz="0" w:space="0" w:color="auto"/>
        <w:bottom w:val="none" w:sz="0" w:space="0" w:color="auto"/>
        <w:right w:val="none" w:sz="0" w:space="0" w:color="auto"/>
      </w:divBdr>
      <w:divsChild>
        <w:div w:id="260069355">
          <w:marLeft w:val="0"/>
          <w:marRight w:val="0"/>
          <w:marTop w:val="0"/>
          <w:marBottom w:val="100"/>
          <w:divBdr>
            <w:top w:val="none" w:sz="0" w:space="0" w:color="auto"/>
            <w:left w:val="none" w:sz="0" w:space="0" w:color="auto"/>
            <w:bottom w:val="none" w:sz="0" w:space="0" w:color="auto"/>
            <w:right w:val="none" w:sz="0" w:space="0" w:color="auto"/>
          </w:divBdr>
        </w:div>
      </w:divsChild>
    </w:div>
    <w:div w:id="1734770302">
      <w:marLeft w:val="0"/>
      <w:marRight w:val="0"/>
      <w:marTop w:val="0"/>
      <w:marBottom w:val="0"/>
      <w:divBdr>
        <w:top w:val="none" w:sz="0" w:space="0" w:color="auto"/>
        <w:left w:val="none" w:sz="0" w:space="0" w:color="auto"/>
        <w:bottom w:val="none" w:sz="0" w:space="0" w:color="auto"/>
        <w:right w:val="none" w:sz="0" w:space="0" w:color="auto"/>
      </w:divBdr>
    </w:div>
    <w:div w:id="1735814067">
      <w:marLeft w:val="0"/>
      <w:marRight w:val="0"/>
      <w:marTop w:val="0"/>
      <w:marBottom w:val="0"/>
      <w:divBdr>
        <w:top w:val="none" w:sz="0" w:space="0" w:color="auto"/>
        <w:left w:val="none" w:sz="0" w:space="0" w:color="auto"/>
        <w:bottom w:val="none" w:sz="0" w:space="0" w:color="auto"/>
        <w:right w:val="none" w:sz="0" w:space="0" w:color="auto"/>
      </w:divBdr>
    </w:div>
    <w:div w:id="1738091241">
      <w:marLeft w:val="0"/>
      <w:marRight w:val="0"/>
      <w:marTop w:val="0"/>
      <w:marBottom w:val="0"/>
      <w:divBdr>
        <w:top w:val="none" w:sz="0" w:space="0" w:color="auto"/>
        <w:left w:val="none" w:sz="0" w:space="0" w:color="auto"/>
        <w:bottom w:val="none" w:sz="0" w:space="0" w:color="auto"/>
        <w:right w:val="none" w:sz="0" w:space="0" w:color="auto"/>
      </w:divBdr>
    </w:div>
    <w:div w:id="1744598948">
      <w:marLeft w:val="0"/>
      <w:marRight w:val="0"/>
      <w:marTop w:val="0"/>
      <w:marBottom w:val="0"/>
      <w:divBdr>
        <w:top w:val="none" w:sz="0" w:space="0" w:color="auto"/>
        <w:left w:val="none" w:sz="0" w:space="0" w:color="auto"/>
        <w:bottom w:val="none" w:sz="0" w:space="0" w:color="auto"/>
        <w:right w:val="none" w:sz="0" w:space="0" w:color="auto"/>
      </w:divBdr>
      <w:divsChild>
        <w:div w:id="1224441397">
          <w:marLeft w:val="0"/>
          <w:marRight w:val="0"/>
          <w:marTop w:val="0"/>
          <w:marBottom w:val="100"/>
          <w:divBdr>
            <w:top w:val="none" w:sz="0" w:space="0" w:color="auto"/>
            <w:left w:val="none" w:sz="0" w:space="0" w:color="auto"/>
            <w:bottom w:val="none" w:sz="0" w:space="0" w:color="auto"/>
            <w:right w:val="none" w:sz="0" w:space="0" w:color="auto"/>
          </w:divBdr>
        </w:div>
      </w:divsChild>
    </w:div>
    <w:div w:id="1745028594">
      <w:marLeft w:val="0"/>
      <w:marRight w:val="0"/>
      <w:marTop w:val="0"/>
      <w:marBottom w:val="100"/>
      <w:divBdr>
        <w:top w:val="none" w:sz="0" w:space="0" w:color="auto"/>
        <w:left w:val="none" w:sz="0" w:space="0" w:color="auto"/>
        <w:bottom w:val="none" w:sz="0" w:space="0" w:color="auto"/>
        <w:right w:val="none" w:sz="0" w:space="0" w:color="auto"/>
      </w:divBdr>
    </w:div>
    <w:div w:id="1746566023">
      <w:marLeft w:val="0"/>
      <w:marRight w:val="0"/>
      <w:marTop w:val="0"/>
      <w:marBottom w:val="100"/>
      <w:divBdr>
        <w:top w:val="none" w:sz="0" w:space="0" w:color="auto"/>
        <w:left w:val="none" w:sz="0" w:space="0" w:color="auto"/>
        <w:bottom w:val="none" w:sz="0" w:space="0" w:color="auto"/>
        <w:right w:val="none" w:sz="0" w:space="0" w:color="auto"/>
      </w:divBdr>
    </w:div>
    <w:div w:id="1747074010">
      <w:marLeft w:val="0"/>
      <w:marRight w:val="0"/>
      <w:marTop w:val="0"/>
      <w:marBottom w:val="0"/>
      <w:divBdr>
        <w:top w:val="none" w:sz="0" w:space="0" w:color="auto"/>
        <w:left w:val="none" w:sz="0" w:space="0" w:color="auto"/>
        <w:bottom w:val="none" w:sz="0" w:space="0" w:color="auto"/>
        <w:right w:val="none" w:sz="0" w:space="0" w:color="auto"/>
      </w:divBdr>
    </w:div>
    <w:div w:id="1750543131">
      <w:marLeft w:val="0"/>
      <w:marRight w:val="0"/>
      <w:marTop w:val="100"/>
      <w:marBottom w:val="0"/>
      <w:divBdr>
        <w:top w:val="none" w:sz="0" w:space="0" w:color="auto"/>
        <w:left w:val="none" w:sz="0" w:space="0" w:color="auto"/>
        <w:bottom w:val="none" w:sz="0" w:space="0" w:color="auto"/>
        <w:right w:val="none" w:sz="0" w:space="0" w:color="auto"/>
      </w:divBdr>
      <w:divsChild>
        <w:div w:id="740641444">
          <w:marLeft w:val="0"/>
          <w:marRight w:val="0"/>
          <w:marTop w:val="0"/>
          <w:marBottom w:val="0"/>
          <w:divBdr>
            <w:top w:val="none" w:sz="0" w:space="0" w:color="auto"/>
            <w:left w:val="none" w:sz="0" w:space="0" w:color="auto"/>
            <w:bottom w:val="none" w:sz="0" w:space="0" w:color="auto"/>
            <w:right w:val="none" w:sz="0" w:space="0" w:color="auto"/>
          </w:divBdr>
        </w:div>
        <w:div w:id="395052269">
          <w:marLeft w:val="0"/>
          <w:marRight w:val="0"/>
          <w:marTop w:val="0"/>
          <w:marBottom w:val="0"/>
          <w:divBdr>
            <w:top w:val="none" w:sz="0" w:space="0" w:color="auto"/>
            <w:left w:val="none" w:sz="0" w:space="0" w:color="auto"/>
            <w:bottom w:val="none" w:sz="0" w:space="0" w:color="auto"/>
            <w:right w:val="none" w:sz="0" w:space="0" w:color="auto"/>
          </w:divBdr>
        </w:div>
        <w:div w:id="63643612">
          <w:marLeft w:val="0"/>
          <w:marRight w:val="0"/>
          <w:marTop w:val="0"/>
          <w:marBottom w:val="0"/>
          <w:divBdr>
            <w:top w:val="none" w:sz="0" w:space="0" w:color="auto"/>
            <w:left w:val="none" w:sz="0" w:space="0" w:color="auto"/>
            <w:bottom w:val="none" w:sz="0" w:space="0" w:color="auto"/>
            <w:right w:val="none" w:sz="0" w:space="0" w:color="auto"/>
          </w:divBdr>
        </w:div>
      </w:divsChild>
    </w:div>
    <w:div w:id="1751582927">
      <w:marLeft w:val="0"/>
      <w:marRight w:val="0"/>
      <w:marTop w:val="0"/>
      <w:marBottom w:val="100"/>
      <w:divBdr>
        <w:top w:val="none" w:sz="0" w:space="0" w:color="auto"/>
        <w:left w:val="none" w:sz="0" w:space="0" w:color="auto"/>
        <w:bottom w:val="none" w:sz="0" w:space="0" w:color="auto"/>
        <w:right w:val="none" w:sz="0" w:space="0" w:color="auto"/>
      </w:divBdr>
    </w:div>
    <w:div w:id="1753551445">
      <w:marLeft w:val="0"/>
      <w:marRight w:val="0"/>
      <w:marTop w:val="0"/>
      <w:marBottom w:val="100"/>
      <w:divBdr>
        <w:top w:val="none" w:sz="0" w:space="0" w:color="auto"/>
        <w:left w:val="none" w:sz="0" w:space="0" w:color="auto"/>
        <w:bottom w:val="none" w:sz="0" w:space="0" w:color="auto"/>
        <w:right w:val="none" w:sz="0" w:space="0" w:color="auto"/>
      </w:divBdr>
    </w:div>
    <w:div w:id="1753624613">
      <w:marLeft w:val="0"/>
      <w:marRight w:val="0"/>
      <w:marTop w:val="0"/>
      <w:marBottom w:val="100"/>
      <w:divBdr>
        <w:top w:val="none" w:sz="0" w:space="0" w:color="auto"/>
        <w:left w:val="none" w:sz="0" w:space="0" w:color="auto"/>
        <w:bottom w:val="none" w:sz="0" w:space="0" w:color="auto"/>
        <w:right w:val="none" w:sz="0" w:space="0" w:color="auto"/>
      </w:divBdr>
    </w:div>
    <w:div w:id="1760370596">
      <w:marLeft w:val="0"/>
      <w:marRight w:val="0"/>
      <w:marTop w:val="0"/>
      <w:marBottom w:val="100"/>
      <w:divBdr>
        <w:top w:val="none" w:sz="0" w:space="0" w:color="auto"/>
        <w:left w:val="none" w:sz="0" w:space="0" w:color="auto"/>
        <w:bottom w:val="none" w:sz="0" w:space="0" w:color="auto"/>
        <w:right w:val="none" w:sz="0" w:space="0" w:color="auto"/>
      </w:divBdr>
    </w:div>
    <w:div w:id="1760523287">
      <w:marLeft w:val="0"/>
      <w:marRight w:val="0"/>
      <w:marTop w:val="180"/>
      <w:marBottom w:val="180"/>
      <w:divBdr>
        <w:top w:val="none" w:sz="0" w:space="0" w:color="auto"/>
        <w:left w:val="none" w:sz="0" w:space="0" w:color="auto"/>
        <w:bottom w:val="none" w:sz="0" w:space="0" w:color="auto"/>
        <w:right w:val="none" w:sz="0" w:space="0" w:color="auto"/>
      </w:divBdr>
    </w:div>
    <w:div w:id="1761102598">
      <w:marLeft w:val="0"/>
      <w:marRight w:val="0"/>
      <w:marTop w:val="0"/>
      <w:marBottom w:val="100"/>
      <w:divBdr>
        <w:top w:val="none" w:sz="0" w:space="0" w:color="auto"/>
        <w:left w:val="none" w:sz="0" w:space="0" w:color="auto"/>
        <w:bottom w:val="none" w:sz="0" w:space="0" w:color="auto"/>
        <w:right w:val="none" w:sz="0" w:space="0" w:color="auto"/>
      </w:divBdr>
    </w:div>
    <w:div w:id="1762026483">
      <w:marLeft w:val="0"/>
      <w:marRight w:val="0"/>
      <w:marTop w:val="0"/>
      <w:marBottom w:val="100"/>
      <w:divBdr>
        <w:top w:val="none" w:sz="0" w:space="0" w:color="auto"/>
        <w:left w:val="none" w:sz="0" w:space="0" w:color="auto"/>
        <w:bottom w:val="none" w:sz="0" w:space="0" w:color="auto"/>
        <w:right w:val="none" w:sz="0" w:space="0" w:color="auto"/>
      </w:divBdr>
    </w:div>
    <w:div w:id="1764033807">
      <w:marLeft w:val="0"/>
      <w:marRight w:val="0"/>
      <w:marTop w:val="0"/>
      <w:marBottom w:val="100"/>
      <w:divBdr>
        <w:top w:val="none" w:sz="0" w:space="0" w:color="auto"/>
        <w:left w:val="none" w:sz="0" w:space="0" w:color="auto"/>
        <w:bottom w:val="none" w:sz="0" w:space="0" w:color="auto"/>
        <w:right w:val="none" w:sz="0" w:space="0" w:color="auto"/>
      </w:divBdr>
    </w:div>
    <w:div w:id="1764568993">
      <w:marLeft w:val="0"/>
      <w:marRight w:val="0"/>
      <w:marTop w:val="0"/>
      <w:marBottom w:val="100"/>
      <w:divBdr>
        <w:top w:val="none" w:sz="0" w:space="0" w:color="auto"/>
        <w:left w:val="none" w:sz="0" w:space="0" w:color="auto"/>
        <w:bottom w:val="none" w:sz="0" w:space="0" w:color="auto"/>
        <w:right w:val="none" w:sz="0" w:space="0" w:color="auto"/>
      </w:divBdr>
    </w:div>
    <w:div w:id="1766535533">
      <w:marLeft w:val="0"/>
      <w:marRight w:val="0"/>
      <w:marTop w:val="0"/>
      <w:marBottom w:val="100"/>
      <w:divBdr>
        <w:top w:val="none" w:sz="0" w:space="0" w:color="auto"/>
        <w:left w:val="none" w:sz="0" w:space="0" w:color="auto"/>
        <w:bottom w:val="none" w:sz="0" w:space="0" w:color="auto"/>
        <w:right w:val="none" w:sz="0" w:space="0" w:color="auto"/>
      </w:divBdr>
    </w:div>
    <w:div w:id="1766922229">
      <w:marLeft w:val="0"/>
      <w:marRight w:val="0"/>
      <w:marTop w:val="0"/>
      <w:marBottom w:val="100"/>
      <w:divBdr>
        <w:top w:val="none" w:sz="0" w:space="0" w:color="auto"/>
        <w:left w:val="none" w:sz="0" w:space="0" w:color="auto"/>
        <w:bottom w:val="none" w:sz="0" w:space="0" w:color="auto"/>
        <w:right w:val="none" w:sz="0" w:space="0" w:color="auto"/>
      </w:divBdr>
    </w:div>
    <w:div w:id="1768964050">
      <w:marLeft w:val="0"/>
      <w:marRight w:val="0"/>
      <w:marTop w:val="180"/>
      <w:marBottom w:val="180"/>
      <w:divBdr>
        <w:top w:val="none" w:sz="0" w:space="0" w:color="auto"/>
        <w:left w:val="none" w:sz="0" w:space="0" w:color="auto"/>
        <w:bottom w:val="none" w:sz="0" w:space="0" w:color="auto"/>
        <w:right w:val="none" w:sz="0" w:space="0" w:color="auto"/>
      </w:divBdr>
    </w:div>
    <w:div w:id="1770350615">
      <w:marLeft w:val="0"/>
      <w:marRight w:val="0"/>
      <w:marTop w:val="0"/>
      <w:marBottom w:val="100"/>
      <w:divBdr>
        <w:top w:val="none" w:sz="0" w:space="0" w:color="auto"/>
        <w:left w:val="none" w:sz="0" w:space="0" w:color="auto"/>
        <w:bottom w:val="none" w:sz="0" w:space="0" w:color="auto"/>
        <w:right w:val="none" w:sz="0" w:space="0" w:color="auto"/>
      </w:divBdr>
    </w:div>
    <w:div w:id="1771848026">
      <w:marLeft w:val="0"/>
      <w:marRight w:val="0"/>
      <w:marTop w:val="180"/>
      <w:marBottom w:val="180"/>
      <w:divBdr>
        <w:top w:val="none" w:sz="0" w:space="0" w:color="auto"/>
        <w:left w:val="none" w:sz="0" w:space="0" w:color="auto"/>
        <w:bottom w:val="none" w:sz="0" w:space="0" w:color="auto"/>
        <w:right w:val="none" w:sz="0" w:space="0" w:color="auto"/>
      </w:divBdr>
    </w:div>
    <w:div w:id="1772050679">
      <w:marLeft w:val="0"/>
      <w:marRight w:val="0"/>
      <w:marTop w:val="0"/>
      <w:marBottom w:val="100"/>
      <w:divBdr>
        <w:top w:val="none" w:sz="0" w:space="0" w:color="auto"/>
        <w:left w:val="none" w:sz="0" w:space="0" w:color="auto"/>
        <w:bottom w:val="none" w:sz="0" w:space="0" w:color="auto"/>
        <w:right w:val="none" w:sz="0" w:space="0" w:color="auto"/>
      </w:divBdr>
    </w:div>
    <w:div w:id="1773696441">
      <w:marLeft w:val="0"/>
      <w:marRight w:val="0"/>
      <w:marTop w:val="0"/>
      <w:marBottom w:val="0"/>
      <w:divBdr>
        <w:top w:val="none" w:sz="0" w:space="0" w:color="auto"/>
        <w:left w:val="none" w:sz="0" w:space="0" w:color="auto"/>
        <w:bottom w:val="none" w:sz="0" w:space="0" w:color="auto"/>
        <w:right w:val="none" w:sz="0" w:space="0" w:color="auto"/>
      </w:divBdr>
    </w:div>
    <w:div w:id="1776293653">
      <w:marLeft w:val="0"/>
      <w:marRight w:val="0"/>
      <w:marTop w:val="0"/>
      <w:marBottom w:val="100"/>
      <w:divBdr>
        <w:top w:val="none" w:sz="0" w:space="0" w:color="auto"/>
        <w:left w:val="none" w:sz="0" w:space="0" w:color="auto"/>
        <w:bottom w:val="none" w:sz="0" w:space="0" w:color="auto"/>
        <w:right w:val="none" w:sz="0" w:space="0" w:color="auto"/>
      </w:divBdr>
    </w:div>
    <w:div w:id="1777287026">
      <w:marLeft w:val="0"/>
      <w:marRight w:val="0"/>
      <w:marTop w:val="0"/>
      <w:marBottom w:val="0"/>
      <w:divBdr>
        <w:top w:val="none" w:sz="0" w:space="0" w:color="auto"/>
        <w:left w:val="none" w:sz="0" w:space="0" w:color="auto"/>
        <w:bottom w:val="none" w:sz="0" w:space="0" w:color="auto"/>
        <w:right w:val="none" w:sz="0" w:space="0" w:color="auto"/>
      </w:divBdr>
    </w:div>
    <w:div w:id="1778134960">
      <w:marLeft w:val="0"/>
      <w:marRight w:val="0"/>
      <w:marTop w:val="0"/>
      <w:marBottom w:val="100"/>
      <w:divBdr>
        <w:top w:val="none" w:sz="0" w:space="0" w:color="auto"/>
        <w:left w:val="none" w:sz="0" w:space="0" w:color="auto"/>
        <w:bottom w:val="none" w:sz="0" w:space="0" w:color="auto"/>
        <w:right w:val="none" w:sz="0" w:space="0" w:color="auto"/>
      </w:divBdr>
    </w:div>
    <w:div w:id="1778745141">
      <w:marLeft w:val="0"/>
      <w:marRight w:val="0"/>
      <w:marTop w:val="0"/>
      <w:marBottom w:val="0"/>
      <w:divBdr>
        <w:top w:val="none" w:sz="0" w:space="0" w:color="auto"/>
        <w:left w:val="none" w:sz="0" w:space="0" w:color="auto"/>
        <w:bottom w:val="none" w:sz="0" w:space="0" w:color="auto"/>
        <w:right w:val="none" w:sz="0" w:space="0" w:color="auto"/>
      </w:divBdr>
      <w:divsChild>
        <w:div w:id="1740059357">
          <w:marLeft w:val="0"/>
          <w:marRight w:val="0"/>
          <w:marTop w:val="0"/>
          <w:marBottom w:val="100"/>
          <w:divBdr>
            <w:top w:val="none" w:sz="0" w:space="0" w:color="auto"/>
            <w:left w:val="none" w:sz="0" w:space="0" w:color="auto"/>
            <w:bottom w:val="none" w:sz="0" w:space="0" w:color="auto"/>
            <w:right w:val="none" w:sz="0" w:space="0" w:color="auto"/>
          </w:divBdr>
        </w:div>
      </w:divsChild>
    </w:div>
    <w:div w:id="1780828348">
      <w:marLeft w:val="0"/>
      <w:marRight w:val="0"/>
      <w:marTop w:val="0"/>
      <w:marBottom w:val="100"/>
      <w:divBdr>
        <w:top w:val="none" w:sz="0" w:space="0" w:color="auto"/>
        <w:left w:val="none" w:sz="0" w:space="0" w:color="auto"/>
        <w:bottom w:val="none" w:sz="0" w:space="0" w:color="auto"/>
        <w:right w:val="none" w:sz="0" w:space="0" w:color="auto"/>
      </w:divBdr>
    </w:div>
    <w:div w:id="1781796859">
      <w:marLeft w:val="0"/>
      <w:marRight w:val="0"/>
      <w:marTop w:val="0"/>
      <w:marBottom w:val="100"/>
      <w:divBdr>
        <w:top w:val="none" w:sz="0" w:space="0" w:color="auto"/>
        <w:left w:val="none" w:sz="0" w:space="0" w:color="auto"/>
        <w:bottom w:val="none" w:sz="0" w:space="0" w:color="auto"/>
        <w:right w:val="none" w:sz="0" w:space="0" w:color="auto"/>
      </w:divBdr>
    </w:div>
    <w:div w:id="1782602367">
      <w:marLeft w:val="0"/>
      <w:marRight w:val="0"/>
      <w:marTop w:val="0"/>
      <w:marBottom w:val="100"/>
      <w:divBdr>
        <w:top w:val="none" w:sz="0" w:space="0" w:color="auto"/>
        <w:left w:val="none" w:sz="0" w:space="0" w:color="auto"/>
        <w:bottom w:val="none" w:sz="0" w:space="0" w:color="auto"/>
        <w:right w:val="none" w:sz="0" w:space="0" w:color="auto"/>
      </w:divBdr>
    </w:div>
    <w:div w:id="1785225596">
      <w:marLeft w:val="0"/>
      <w:marRight w:val="0"/>
      <w:marTop w:val="0"/>
      <w:marBottom w:val="0"/>
      <w:divBdr>
        <w:top w:val="none" w:sz="0" w:space="0" w:color="auto"/>
        <w:left w:val="none" w:sz="0" w:space="0" w:color="auto"/>
        <w:bottom w:val="none" w:sz="0" w:space="0" w:color="auto"/>
        <w:right w:val="none" w:sz="0" w:space="0" w:color="auto"/>
      </w:divBdr>
      <w:divsChild>
        <w:div w:id="91048895">
          <w:marLeft w:val="0"/>
          <w:marRight w:val="0"/>
          <w:marTop w:val="0"/>
          <w:marBottom w:val="100"/>
          <w:divBdr>
            <w:top w:val="none" w:sz="0" w:space="0" w:color="auto"/>
            <w:left w:val="none" w:sz="0" w:space="0" w:color="auto"/>
            <w:bottom w:val="none" w:sz="0" w:space="0" w:color="auto"/>
            <w:right w:val="none" w:sz="0" w:space="0" w:color="auto"/>
          </w:divBdr>
        </w:div>
      </w:divsChild>
    </w:div>
    <w:div w:id="1785346535">
      <w:marLeft w:val="0"/>
      <w:marRight w:val="0"/>
      <w:marTop w:val="0"/>
      <w:marBottom w:val="100"/>
      <w:divBdr>
        <w:top w:val="none" w:sz="0" w:space="0" w:color="auto"/>
        <w:left w:val="none" w:sz="0" w:space="0" w:color="auto"/>
        <w:bottom w:val="none" w:sz="0" w:space="0" w:color="auto"/>
        <w:right w:val="none" w:sz="0" w:space="0" w:color="auto"/>
      </w:divBdr>
    </w:div>
    <w:div w:id="1793279437">
      <w:marLeft w:val="0"/>
      <w:marRight w:val="0"/>
      <w:marTop w:val="0"/>
      <w:marBottom w:val="0"/>
      <w:divBdr>
        <w:top w:val="none" w:sz="0" w:space="0" w:color="auto"/>
        <w:left w:val="none" w:sz="0" w:space="0" w:color="auto"/>
        <w:bottom w:val="none" w:sz="0" w:space="0" w:color="auto"/>
        <w:right w:val="none" w:sz="0" w:space="0" w:color="auto"/>
      </w:divBdr>
    </w:div>
    <w:div w:id="1793982678">
      <w:marLeft w:val="0"/>
      <w:marRight w:val="0"/>
      <w:marTop w:val="0"/>
      <w:marBottom w:val="100"/>
      <w:divBdr>
        <w:top w:val="none" w:sz="0" w:space="0" w:color="auto"/>
        <w:left w:val="none" w:sz="0" w:space="0" w:color="auto"/>
        <w:bottom w:val="none" w:sz="0" w:space="0" w:color="auto"/>
        <w:right w:val="none" w:sz="0" w:space="0" w:color="auto"/>
      </w:divBdr>
    </w:div>
    <w:div w:id="1793985612">
      <w:marLeft w:val="0"/>
      <w:marRight w:val="0"/>
      <w:marTop w:val="0"/>
      <w:marBottom w:val="100"/>
      <w:divBdr>
        <w:top w:val="none" w:sz="0" w:space="0" w:color="auto"/>
        <w:left w:val="none" w:sz="0" w:space="0" w:color="auto"/>
        <w:bottom w:val="none" w:sz="0" w:space="0" w:color="auto"/>
        <w:right w:val="none" w:sz="0" w:space="0" w:color="auto"/>
      </w:divBdr>
    </w:div>
    <w:div w:id="1796606787">
      <w:marLeft w:val="0"/>
      <w:marRight w:val="0"/>
      <w:marTop w:val="0"/>
      <w:marBottom w:val="0"/>
      <w:divBdr>
        <w:top w:val="none" w:sz="0" w:space="0" w:color="auto"/>
        <w:left w:val="none" w:sz="0" w:space="0" w:color="auto"/>
        <w:bottom w:val="none" w:sz="0" w:space="0" w:color="auto"/>
        <w:right w:val="none" w:sz="0" w:space="0" w:color="auto"/>
      </w:divBdr>
      <w:divsChild>
        <w:div w:id="799760840">
          <w:marLeft w:val="0"/>
          <w:marRight w:val="0"/>
          <w:marTop w:val="0"/>
          <w:marBottom w:val="100"/>
          <w:divBdr>
            <w:top w:val="none" w:sz="0" w:space="0" w:color="auto"/>
            <w:left w:val="none" w:sz="0" w:space="0" w:color="auto"/>
            <w:bottom w:val="none" w:sz="0" w:space="0" w:color="auto"/>
            <w:right w:val="none" w:sz="0" w:space="0" w:color="auto"/>
          </w:divBdr>
        </w:div>
      </w:divsChild>
    </w:div>
    <w:div w:id="1797986570">
      <w:marLeft w:val="0"/>
      <w:marRight w:val="0"/>
      <w:marTop w:val="0"/>
      <w:marBottom w:val="100"/>
      <w:divBdr>
        <w:top w:val="none" w:sz="0" w:space="0" w:color="auto"/>
        <w:left w:val="none" w:sz="0" w:space="0" w:color="auto"/>
        <w:bottom w:val="none" w:sz="0" w:space="0" w:color="auto"/>
        <w:right w:val="none" w:sz="0" w:space="0" w:color="auto"/>
      </w:divBdr>
    </w:div>
    <w:div w:id="1800412595">
      <w:marLeft w:val="0"/>
      <w:marRight w:val="0"/>
      <w:marTop w:val="0"/>
      <w:marBottom w:val="0"/>
      <w:divBdr>
        <w:top w:val="none" w:sz="0" w:space="0" w:color="auto"/>
        <w:left w:val="none" w:sz="0" w:space="0" w:color="auto"/>
        <w:bottom w:val="none" w:sz="0" w:space="0" w:color="auto"/>
        <w:right w:val="none" w:sz="0" w:space="0" w:color="auto"/>
      </w:divBdr>
    </w:div>
    <w:div w:id="1800682435">
      <w:marLeft w:val="0"/>
      <w:marRight w:val="0"/>
      <w:marTop w:val="0"/>
      <w:marBottom w:val="100"/>
      <w:divBdr>
        <w:top w:val="none" w:sz="0" w:space="0" w:color="auto"/>
        <w:left w:val="none" w:sz="0" w:space="0" w:color="auto"/>
        <w:bottom w:val="none" w:sz="0" w:space="0" w:color="auto"/>
        <w:right w:val="none" w:sz="0" w:space="0" w:color="auto"/>
      </w:divBdr>
    </w:div>
    <w:div w:id="1801337059">
      <w:marLeft w:val="0"/>
      <w:marRight w:val="0"/>
      <w:marTop w:val="0"/>
      <w:marBottom w:val="0"/>
      <w:divBdr>
        <w:top w:val="none" w:sz="0" w:space="0" w:color="auto"/>
        <w:left w:val="none" w:sz="0" w:space="0" w:color="auto"/>
        <w:bottom w:val="none" w:sz="0" w:space="0" w:color="auto"/>
        <w:right w:val="none" w:sz="0" w:space="0" w:color="auto"/>
      </w:divBdr>
      <w:divsChild>
        <w:div w:id="1704942841">
          <w:marLeft w:val="0"/>
          <w:marRight w:val="0"/>
          <w:marTop w:val="0"/>
          <w:marBottom w:val="0"/>
          <w:divBdr>
            <w:top w:val="none" w:sz="0" w:space="0" w:color="auto"/>
            <w:left w:val="none" w:sz="0" w:space="0" w:color="auto"/>
            <w:bottom w:val="none" w:sz="0" w:space="0" w:color="auto"/>
            <w:right w:val="none" w:sz="0" w:space="0" w:color="auto"/>
          </w:divBdr>
          <w:divsChild>
            <w:div w:id="35897161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801532873">
      <w:marLeft w:val="0"/>
      <w:marRight w:val="0"/>
      <w:marTop w:val="0"/>
      <w:marBottom w:val="100"/>
      <w:divBdr>
        <w:top w:val="none" w:sz="0" w:space="0" w:color="auto"/>
        <w:left w:val="none" w:sz="0" w:space="0" w:color="auto"/>
        <w:bottom w:val="none" w:sz="0" w:space="0" w:color="auto"/>
        <w:right w:val="none" w:sz="0" w:space="0" w:color="auto"/>
      </w:divBdr>
    </w:div>
    <w:div w:id="1809206677">
      <w:marLeft w:val="0"/>
      <w:marRight w:val="0"/>
      <w:marTop w:val="0"/>
      <w:marBottom w:val="100"/>
      <w:divBdr>
        <w:top w:val="none" w:sz="0" w:space="0" w:color="auto"/>
        <w:left w:val="none" w:sz="0" w:space="0" w:color="auto"/>
        <w:bottom w:val="none" w:sz="0" w:space="0" w:color="auto"/>
        <w:right w:val="none" w:sz="0" w:space="0" w:color="auto"/>
      </w:divBdr>
    </w:div>
    <w:div w:id="1814715385">
      <w:marLeft w:val="0"/>
      <w:marRight w:val="0"/>
      <w:marTop w:val="0"/>
      <w:marBottom w:val="100"/>
      <w:divBdr>
        <w:top w:val="none" w:sz="0" w:space="0" w:color="auto"/>
        <w:left w:val="none" w:sz="0" w:space="0" w:color="auto"/>
        <w:bottom w:val="none" w:sz="0" w:space="0" w:color="auto"/>
        <w:right w:val="none" w:sz="0" w:space="0" w:color="auto"/>
      </w:divBdr>
    </w:div>
    <w:div w:id="1815176965">
      <w:marLeft w:val="0"/>
      <w:marRight w:val="0"/>
      <w:marTop w:val="0"/>
      <w:marBottom w:val="0"/>
      <w:divBdr>
        <w:top w:val="none" w:sz="0" w:space="0" w:color="auto"/>
        <w:left w:val="none" w:sz="0" w:space="0" w:color="auto"/>
        <w:bottom w:val="none" w:sz="0" w:space="0" w:color="auto"/>
        <w:right w:val="none" w:sz="0" w:space="0" w:color="auto"/>
      </w:divBdr>
    </w:div>
    <w:div w:id="1816020914">
      <w:marLeft w:val="0"/>
      <w:marRight w:val="0"/>
      <w:marTop w:val="0"/>
      <w:marBottom w:val="0"/>
      <w:divBdr>
        <w:top w:val="none" w:sz="0" w:space="0" w:color="auto"/>
        <w:left w:val="none" w:sz="0" w:space="0" w:color="auto"/>
        <w:bottom w:val="none" w:sz="0" w:space="0" w:color="auto"/>
        <w:right w:val="none" w:sz="0" w:space="0" w:color="auto"/>
      </w:divBdr>
      <w:divsChild>
        <w:div w:id="1356494082">
          <w:marLeft w:val="0"/>
          <w:marRight w:val="0"/>
          <w:marTop w:val="0"/>
          <w:marBottom w:val="0"/>
          <w:divBdr>
            <w:top w:val="none" w:sz="0" w:space="0" w:color="auto"/>
            <w:left w:val="none" w:sz="0" w:space="0" w:color="auto"/>
            <w:bottom w:val="none" w:sz="0" w:space="0" w:color="auto"/>
            <w:right w:val="none" w:sz="0" w:space="0" w:color="auto"/>
          </w:divBdr>
          <w:divsChild>
            <w:div w:id="56761668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816027123">
      <w:marLeft w:val="0"/>
      <w:marRight w:val="0"/>
      <w:marTop w:val="0"/>
      <w:marBottom w:val="0"/>
      <w:divBdr>
        <w:top w:val="none" w:sz="0" w:space="0" w:color="auto"/>
        <w:left w:val="none" w:sz="0" w:space="0" w:color="auto"/>
        <w:bottom w:val="none" w:sz="0" w:space="0" w:color="auto"/>
        <w:right w:val="none" w:sz="0" w:space="0" w:color="auto"/>
      </w:divBdr>
    </w:div>
    <w:div w:id="1816989669">
      <w:marLeft w:val="0"/>
      <w:marRight w:val="0"/>
      <w:marTop w:val="0"/>
      <w:marBottom w:val="0"/>
      <w:divBdr>
        <w:top w:val="none" w:sz="0" w:space="0" w:color="auto"/>
        <w:left w:val="none" w:sz="0" w:space="0" w:color="auto"/>
        <w:bottom w:val="none" w:sz="0" w:space="0" w:color="auto"/>
        <w:right w:val="none" w:sz="0" w:space="0" w:color="auto"/>
      </w:divBdr>
    </w:div>
    <w:div w:id="1817410336">
      <w:marLeft w:val="0"/>
      <w:marRight w:val="0"/>
      <w:marTop w:val="180"/>
      <w:marBottom w:val="0"/>
      <w:divBdr>
        <w:top w:val="none" w:sz="0" w:space="0" w:color="auto"/>
        <w:left w:val="none" w:sz="0" w:space="0" w:color="auto"/>
        <w:bottom w:val="none" w:sz="0" w:space="0" w:color="auto"/>
        <w:right w:val="none" w:sz="0" w:space="0" w:color="auto"/>
      </w:divBdr>
    </w:div>
    <w:div w:id="1822310017">
      <w:marLeft w:val="0"/>
      <w:marRight w:val="0"/>
      <w:marTop w:val="0"/>
      <w:marBottom w:val="100"/>
      <w:divBdr>
        <w:top w:val="none" w:sz="0" w:space="0" w:color="auto"/>
        <w:left w:val="none" w:sz="0" w:space="0" w:color="auto"/>
        <w:bottom w:val="none" w:sz="0" w:space="0" w:color="auto"/>
        <w:right w:val="none" w:sz="0" w:space="0" w:color="auto"/>
      </w:divBdr>
    </w:div>
    <w:div w:id="1822580699">
      <w:marLeft w:val="0"/>
      <w:marRight w:val="0"/>
      <w:marTop w:val="0"/>
      <w:marBottom w:val="0"/>
      <w:divBdr>
        <w:top w:val="none" w:sz="0" w:space="0" w:color="auto"/>
        <w:left w:val="none" w:sz="0" w:space="0" w:color="auto"/>
        <w:bottom w:val="none" w:sz="0" w:space="0" w:color="auto"/>
        <w:right w:val="none" w:sz="0" w:space="0" w:color="auto"/>
      </w:divBdr>
    </w:div>
    <w:div w:id="1826435087">
      <w:marLeft w:val="0"/>
      <w:marRight w:val="0"/>
      <w:marTop w:val="180"/>
      <w:marBottom w:val="0"/>
      <w:divBdr>
        <w:top w:val="none" w:sz="0" w:space="0" w:color="auto"/>
        <w:left w:val="none" w:sz="0" w:space="0" w:color="auto"/>
        <w:bottom w:val="none" w:sz="0" w:space="0" w:color="auto"/>
        <w:right w:val="none" w:sz="0" w:space="0" w:color="auto"/>
      </w:divBdr>
    </w:div>
    <w:div w:id="1828014471">
      <w:marLeft w:val="0"/>
      <w:marRight w:val="0"/>
      <w:marTop w:val="0"/>
      <w:marBottom w:val="0"/>
      <w:divBdr>
        <w:top w:val="none" w:sz="0" w:space="0" w:color="auto"/>
        <w:left w:val="none" w:sz="0" w:space="0" w:color="auto"/>
        <w:bottom w:val="none" w:sz="0" w:space="0" w:color="auto"/>
        <w:right w:val="none" w:sz="0" w:space="0" w:color="auto"/>
      </w:divBdr>
    </w:div>
    <w:div w:id="1829055939">
      <w:marLeft w:val="0"/>
      <w:marRight w:val="0"/>
      <w:marTop w:val="0"/>
      <w:marBottom w:val="100"/>
      <w:divBdr>
        <w:top w:val="none" w:sz="0" w:space="0" w:color="auto"/>
        <w:left w:val="none" w:sz="0" w:space="0" w:color="auto"/>
        <w:bottom w:val="none" w:sz="0" w:space="0" w:color="auto"/>
        <w:right w:val="none" w:sz="0" w:space="0" w:color="auto"/>
      </w:divBdr>
    </w:div>
    <w:div w:id="1829326977">
      <w:marLeft w:val="0"/>
      <w:marRight w:val="0"/>
      <w:marTop w:val="0"/>
      <w:marBottom w:val="0"/>
      <w:divBdr>
        <w:top w:val="none" w:sz="0" w:space="0" w:color="auto"/>
        <w:left w:val="none" w:sz="0" w:space="0" w:color="auto"/>
        <w:bottom w:val="none" w:sz="0" w:space="0" w:color="auto"/>
        <w:right w:val="none" w:sz="0" w:space="0" w:color="auto"/>
      </w:divBdr>
      <w:divsChild>
        <w:div w:id="1216622094">
          <w:marLeft w:val="0"/>
          <w:marRight w:val="0"/>
          <w:marTop w:val="0"/>
          <w:marBottom w:val="100"/>
          <w:divBdr>
            <w:top w:val="none" w:sz="0" w:space="0" w:color="auto"/>
            <w:left w:val="none" w:sz="0" w:space="0" w:color="auto"/>
            <w:bottom w:val="none" w:sz="0" w:space="0" w:color="auto"/>
            <w:right w:val="none" w:sz="0" w:space="0" w:color="auto"/>
          </w:divBdr>
        </w:div>
      </w:divsChild>
    </w:div>
    <w:div w:id="1829902440">
      <w:marLeft w:val="0"/>
      <w:marRight w:val="0"/>
      <w:marTop w:val="0"/>
      <w:marBottom w:val="100"/>
      <w:divBdr>
        <w:top w:val="none" w:sz="0" w:space="0" w:color="auto"/>
        <w:left w:val="none" w:sz="0" w:space="0" w:color="auto"/>
        <w:bottom w:val="none" w:sz="0" w:space="0" w:color="auto"/>
        <w:right w:val="none" w:sz="0" w:space="0" w:color="auto"/>
      </w:divBdr>
    </w:div>
    <w:div w:id="1830294001">
      <w:marLeft w:val="0"/>
      <w:marRight w:val="0"/>
      <w:marTop w:val="0"/>
      <w:marBottom w:val="100"/>
      <w:divBdr>
        <w:top w:val="none" w:sz="0" w:space="0" w:color="auto"/>
        <w:left w:val="none" w:sz="0" w:space="0" w:color="auto"/>
        <w:bottom w:val="none" w:sz="0" w:space="0" w:color="auto"/>
        <w:right w:val="none" w:sz="0" w:space="0" w:color="auto"/>
      </w:divBdr>
    </w:div>
    <w:div w:id="1830294475">
      <w:marLeft w:val="0"/>
      <w:marRight w:val="0"/>
      <w:marTop w:val="0"/>
      <w:marBottom w:val="100"/>
      <w:divBdr>
        <w:top w:val="none" w:sz="0" w:space="0" w:color="auto"/>
        <w:left w:val="none" w:sz="0" w:space="0" w:color="auto"/>
        <w:bottom w:val="none" w:sz="0" w:space="0" w:color="auto"/>
        <w:right w:val="none" w:sz="0" w:space="0" w:color="auto"/>
      </w:divBdr>
    </w:div>
    <w:div w:id="1831142726">
      <w:marLeft w:val="0"/>
      <w:marRight w:val="0"/>
      <w:marTop w:val="0"/>
      <w:marBottom w:val="100"/>
      <w:divBdr>
        <w:top w:val="none" w:sz="0" w:space="0" w:color="auto"/>
        <w:left w:val="none" w:sz="0" w:space="0" w:color="auto"/>
        <w:bottom w:val="none" w:sz="0" w:space="0" w:color="auto"/>
        <w:right w:val="none" w:sz="0" w:space="0" w:color="auto"/>
      </w:divBdr>
    </w:div>
    <w:div w:id="1833059754">
      <w:marLeft w:val="0"/>
      <w:marRight w:val="0"/>
      <w:marTop w:val="0"/>
      <w:marBottom w:val="100"/>
      <w:divBdr>
        <w:top w:val="none" w:sz="0" w:space="0" w:color="auto"/>
        <w:left w:val="none" w:sz="0" w:space="0" w:color="auto"/>
        <w:bottom w:val="none" w:sz="0" w:space="0" w:color="auto"/>
        <w:right w:val="none" w:sz="0" w:space="0" w:color="auto"/>
      </w:divBdr>
    </w:div>
    <w:div w:id="1833180337">
      <w:marLeft w:val="0"/>
      <w:marRight w:val="0"/>
      <w:marTop w:val="0"/>
      <w:marBottom w:val="0"/>
      <w:divBdr>
        <w:top w:val="none" w:sz="0" w:space="0" w:color="auto"/>
        <w:left w:val="none" w:sz="0" w:space="0" w:color="auto"/>
        <w:bottom w:val="none" w:sz="0" w:space="0" w:color="auto"/>
        <w:right w:val="none" w:sz="0" w:space="0" w:color="auto"/>
      </w:divBdr>
      <w:divsChild>
        <w:div w:id="2006930344">
          <w:marLeft w:val="0"/>
          <w:marRight w:val="0"/>
          <w:marTop w:val="0"/>
          <w:marBottom w:val="100"/>
          <w:divBdr>
            <w:top w:val="none" w:sz="0" w:space="0" w:color="auto"/>
            <w:left w:val="none" w:sz="0" w:space="0" w:color="auto"/>
            <w:bottom w:val="none" w:sz="0" w:space="0" w:color="auto"/>
            <w:right w:val="none" w:sz="0" w:space="0" w:color="auto"/>
          </w:divBdr>
        </w:div>
      </w:divsChild>
    </w:div>
    <w:div w:id="1833519403">
      <w:marLeft w:val="0"/>
      <w:marRight w:val="0"/>
      <w:marTop w:val="180"/>
      <w:marBottom w:val="0"/>
      <w:divBdr>
        <w:top w:val="none" w:sz="0" w:space="0" w:color="auto"/>
        <w:left w:val="none" w:sz="0" w:space="0" w:color="auto"/>
        <w:bottom w:val="none" w:sz="0" w:space="0" w:color="auto"/>
        <w:right w:val="none" w:sz="0" w:space="0" w:color="auto"/>
      </w:divBdr>
    </w:div>
    <w:div w:id="1834835775">
      <w:marLeft w:val="0"/>
      <w:marRight w:val="0"/>
      <w:marTop w:val="0"/>
      <w:marBottom w:val="0"/>
      <w:divBdr>
        <w:top w:val="none" w:sz="0" w:space="0" w:color="auto"/>
        <w:left w:val="none" w:sz="0" w:space="0" w:color="auto"/>
        <w:bottom w:val="none" w:sz="0" w:space="0" w:color="auto"/>
        <w:right w:val="none" w:sz="0" w:space="0" w:color="auto"/>
      </w:divBdr>
    </w:div>
    <w:div w:id="1836071323">
      <w:marLeft w:val="0"/>
      <w:marRight w:val="0"/>
      <w:marTop w:val="180"/>
      <w:marBottom w:val="0"/>
      <w:divBdr>
        <w:top w:val="none" w:sz="0" w:space="0" w:color="auto"/>
        <w:left w:val="none" w:sz="0" w:space="0" w:color="auto"/>
        <w:bottom w:val="none" w:sz="0" w:space="0" w:color="auto"/>
        <w:right w:val="none" w:sz="0" w:space="0" w:color="auto"/>
      </w:divBdr>
    </w:div>
    <w:div w:id="1837916213">
      <w:marLeft w:val="0"/>
      <w:marRight w:val="0"/>
      <w:marTop w:val="0"/>
      <w:marBottom w:val="100"/>
      <w:divBdr>
        <w:top w:val="none" w:sz="0" w:space="0" w:color="auto"/>
        <w:left w:val="none" w:sz="0" w:space="0" w:color="auto"/>
        <w:bottom w:val="none" w:sz="0" w:space="0" w:color="auto"/>
        <w:right w:val="none" w:sz="0" w:space="0" w:color="auto"/>
      </w:divBdr>
    </w:div>
    <w:div w:id="1838379939">
      <w:marLeft w:val="0"/>
      <w:marRight w:val="0"/>
      <w:marTop w:val="0"/>
      <w:marBottom w:val="0"/>
      <w:divBdr>
        <w:top w:val="none" w:sz="0" w:space="0" w:color="auto"/>
        <w:left w:val="none" w:sz="0" w:space="0" w:color="auto"/>
        <w:bottom w:val="none" w:sz="0" w:space="0" w:color="auto"/>
        <w:right w:val="none" w:sz="0" w:space="0" w:color="auto"/>
      </w:divBdr>
      <w:divsChild>
        <w:div w:id="1808352620">
          <w:marLeft w:val="0"/>
          <w:marRight w:val="0"/>
          <w:marTop w:val="0"/>
          <w:marBottom w:val="100"/>
          <w:divBdr>
            <w:top w:val="none" w:sz="0" w:space="0" w:color="auto"/>
            <w:left w:val="none" w:sz="0" w:space="0" w:color="auto"/>
            <w:bottom w:val="none" w:sz="0" w:space="0" w:color="auto"/>
            <w:right w:val="none" w:sz="0" w:space="0" w:color="auto"/>
          </w:divBdr>
        </w:div>
      </w:divsChild>
    </w:div>
    <w:div w:id="1839491297">
      <w:marLeft w:val="0"/>
      <w:marRight w:val="0"/>
      <w:marTop w:val="0"/>
      <w:marBottom w:val="100"/>
      <w:divBdr>
        <w:top w:val="none" w:sz="0" w:space="0" w:color="auto"/>
        <w:left w:val="none" w:sz="0" w:space="0" w:color="auto"/>
        <w:bottom w:val="none" w:sz="0" w:space="0" w:color="auto"/>
        <w:right w:val="none" w:sz="0" w:space="0" w:color="auto"/>
      </w:divBdr>
    </w:div>
    <w:div w:id="1841771418">
      <w:marLeft w:val="0"/>
      <w:marRight w:val="0"/>
      <w:marTop w:val="0"/>
      <w:marBottom w:val="100"/>
      <w:divBdr>
        <w:top w:val="none" w:sz="0" w:space="0" w:color="auto"/>
        <w:left w:val="none" w:sz="0" w:space="0" w:color="auto"/>
        <w:bottom w:val="none" w:sz="0" w:space="0" w:color="auto"/>
        <w:right w:val="none" w:sz="0" w:space="0" w:color="auto"/>
      </w:divBdr>
    </w:div>
    <w:div w:id="1844780441">
      <w:marLeft w:val="0"/>
      <w:marRight w:val="0"/>
      <w:marTop w:val="0"/>
      <w:marBottom w:val="100"/>
      <w:divBdr>
        <w:top w:val="none" w:sz="0" w:space="0" w:color="auto"/>
        <w:left w:val="none" w:sz="0" w:space="0" w:color="auto"/>
        <w:bottom w:val="none" w:sz="0" w:space="0" w:color="auto"/>
        <w:right w:val="none" w:sz="0" w:space="0" w:color="auto"/>
      </w:divBdr>
    </w:div>
    <w:div w:id="1846169174">
      <w:marLeft w:val="0"/>
      <w:marRight w:val="0"/>
      <w:marTop w:val="0"/>
      <w:marBottom w:val="100"/>
      <w:divBdr>
        <w:top w:val="none" w:sz="0" w:space="0" w:color="auto"/>
        <w:left w:val="none" w:sz="0" w:space="0" w:color="auto"/>
        <w:bottom w:val="none" w:sz="0" w:space="0" w:color="auto"/>
        <w:right w:val="none" w:sz="0" w:space="0" w:color="auto"/>
      </w:divBdr>
    </w:div>
    <w:div w:id="1847818571">
      <w:marLeft w:val="0"/>
      <w:marRight w:val="0"/>
      <w:marTop w:val="0"/>
      <w:marBottom w:val="100"/>
      <w:divBdr>
        <w:top w:val="none" w:sz="0" w:space="0" w:color="auto"/>
        <w:left w:val="none" w:sz="0" w:space="0" w:color="auto"/>
        <w:bottom w:val="none" w:sz="0" w:space="0" w:color="auto"/>
        <w:right w:val="none" w:sz="0" w:space="0" w:color="auto"/>
      </w:divBdr>
    </w:div>
    <w:div w:id="1850482898">
      <w:marLeft w:val="0"/>
      <w:marRight w:val="0"/>
      <w:marTop w:val="0"/>
      <w:marBottom w:val="0"/>
      <w:divBdr>
        <w:top w:val="none" w:sz="0" w:space="0" w:color="auto"/>
        <w:left w:val="none" w:sz="0" w:space="0" w:color="auto"/>
        <w:bottom w:val="none" w:sz="0" w:space="0" w:color="auto"/>
        <w:right w:val="none" w:sz="0" w:space="0" w:color="auto"/>
      </w:divBdr>
      <w:divsChild>
        <w:div w:id="619338337">
          <w:marLeft w:val="0"/>
          <w:marRight w:val="0"/>
          <w:marTop w:val="0"/>
          <w:marBottom w:val="100"/>
          <w:divBdr>
            <w:top w:val="none" w:sz="0" w:space="0" w:color="auto"/>
            <w:left w:val="none" w:sz="0" w:space="0" w:color="auto"/>
            <w:bottom w:val="none" w:sz="0" w:space="0" w:color="auto"/>
            <w:right w:val="none" w:sz="0" w:space="0" w:color="auto"/>
          </w:divBdr>
        </w:div>
      </w:divsChild>
    </w:div>
    <w:div w:id="1850488885">
      <w:marLeft w:val="0"/>
      <w:marRight w:val="0"/>
      <w:marTop w:val="0"/>
      <w:marBottom w:val="100"/>
      <w:divBdr>
        <w:top w:val="none" w:sz="0" w:space="0" w:color="auto"/>
        <w:left w:val="none" w:sz="0" w:space="0" w:color="auto"/>
        <w:bottom w:val="none" w:sz="0" w:space="0" w:color="auto"/>
        <w:right w:val="none" w:sz="0" w:space="0" w:color="auto"/>
      </w:divBdr>
      <w:divsChild>
        <w:div w:id="1610428981">
          <w:marLeft w:val="0"/>
          <w:marRight w:val="0"/>
          <w:marTop w:val="0"/>
          <w:marBottom w:val="0"/>
          <w:divBdr>
            <w:top w:val="none" w:sz="0" w:space="0" w:color="auto"/>
            <w:left w:val="none" w:sz="0" w:space="0" w:color="auto"/>
            <w:bottom w:val="none" w:sz="0" w:space="0" w:color="auto"/>
            <w:right w:val="none" w:sz="0" w:space="0" w:color="auto"/>
          </w:divBdr>
        </w:div>
        <w:div w:id="575867767">
          <w:marLeft w:val="0"/>
          <w:marRight w:val="0"/>
          <w:marTop w:val="0"/>
          <w:marBottom w:val="0"/>
          <w:divBdr>
            <w:top w:val="none" w:sz="0" w:space="0" w:color="auto"/>
            <w:left w:val="none" w:sz="0" w:space="0" w:color="auto"/>
            <w:bottom w:val="none" w:sz="0" w:space="0" w:color="auto"/>
            <w:right w:val="none" w:sz="0" w:space="0" w:color="auto"/>
          </w:divBdr>
        </w:div>
      </w:divsChild>
    </w:div>
    <w:div w:id="1851984842">
      <w:marLeft w:val="0"/>
      <w:marRight w:val="0"/>
      <w:marTop w:val="0"/>
      <w:marBottom w:val="100"/>
      <w:divBdr>
        <w:top w:val="none" w:sz="0" w:space="0" w:color="auto"/>
        <w:left w:val="none" w:sz="0" w:space="0" w:color="auto"/>
        <w:bottom w:val="none" w:sz="0" w:space="0" w:color="auto"/>
        <w:right w:val="none" w:sz="0" w:space="0" w:color="auto"/>
      </w:divBdr>
    </w:div>
    <w:div w:id="1852842054">
      <w:marLeft w:val="0"/>
      <w:marRight w:val="0"/>
      <w:marTop w:val="0"/>
      <w:marBottom w:val="0"/>
      <w:divBdr>
        <w:top w:val="none" w:sz="0" w:space="0" w:color="auto"/>
        <w:left w:val="none" w:sz="0" w:space="0" w:color="auto"/>
        <w:bottom w:val="none" w:sz="0" w:space="0" w:color="auto"/>
        <w:right w:val="none" w:sz="0" w:space="0" w:color="auto"/>
      </w:divBdr>
    </w:div>
    <w:div w:id="1853758410">
      <w:marLeft w:val="0"/>
      <w:marRight w:val="0"/>
      <w:marTop w:val="0"/>
      <w:marBottom w:val="100"/>
      <w:divBdr>
        <w:top w:val="none" w:sz="0" w:space="0" w:color="auto"/>
        <w:left w:val="none" w:sz="0" w:space="0" w:color="auto"/>
        <w:bottom w:val="none" w:sz="0" w:space="0" w:color="auto"/>
        <w:right w:val="none" w:sz="0" w:space="0" w:color="auto"/>
      </w:divBdr>
    </w:div>
    <w:div w:id="1854761577">
      <w:marLeft w:val="0"/>
      <w:marRight w:val="0"/>
      <w:marTop w:val="0"/>
      <w:marBottom w:val="0"/>
      <w:divBdr>
        <w:top w:val="none" w:sz="0" w:space="0" w:color="auto"/>
        <w:left w:val="none" w:sz="0" w:space="0" w:color="auto"/>
        <w:bottom w:val="none" w:sz="0" w:space="0" w:color="auto"/>
        <w:right w:val="none" w:sz="0" w:space="0" w:color="auto"/>
      </w:divBdr>
      <w:divsChild>
        <w:div w:id="2031371211">
          <w:marLeft w:val="0"/>
          <w:marRight w:val="0"/>
          <w:marTop w:val="0"/>
          <w:marBottom w:val="0"/>
          <w:divBdr>
            <w:top w:val="none" w:sz="0" w:space="0" w:color="auto"/>
            <w:left w:val="none" w:sz="0" w:space="0" w:color="auto"/>
            <w:bottom w:val="none" w:sz="0" w:space="0" w:color="auto"/>
            <w:right w:val="none" w:sz="0" w:space="0" w:color="auto"/>
          </w:divBdr>
          <w:divsChild>
            <w:div w:id="76684909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855806290">
      <w:marLeft w:val="0"/>
      <w:marRight w:val="0"/>
      <w:marTop w:val="0"/>
      <w:marBottom w:val="100"/>
      <w:divBdr>
        <w:top w:val="none" w:sz="0" w:space="0" w:color="auto"/>
        <w:left w:val="none" w:sz="0" w:space="0" w:color="auto"/>
        <w:bottom w:val="none" w:sz="0" w:space="0" w:color="auto"/>
        <w:right w:val="none" w:sz="0" w:space="0" w:color="auto"/>
      </w:divBdr>
    </w:div>
    <w:div w:id="1856068745">
      <w:marLeft w:val="0"/>
      <w:marRight w:val="0"/>
      <w:marTop w:val="180"/>
      <w:marBottom w:val="0"/>
      <w:divBdr>
        <w:top w:val="none" w:sz="0" w:space="0" w:color="auto"/>
        <w:left w:val="none" w:sz="0" w:space="0" w:color="auto"/>
        <w:bottom w:val="none" w:sz="0" w:space="0" w:color="auto"/>
        <w:right w:val="none" w:sz="0" w:space="0" w:color="auto"/>
      </w:divBdr>
    </w:div>
    <w:div w:id="1856309691">
      <w:marLeft w:val="0"/>
      <w:marRight w:val="0"/>
      <w:marTop w:val="100"/>
      <w:marBottom w:val="100"/>
      <w:divBdr>
        <w:top w:val="none" w:sz="0" w:space="0" w:color="auto"/>
        <w:left w:val="none" w:sz="0" w:space="0" w:color="auto"/>
        <w:bottom w:val="none" w:sz="0" w:space="0" w:color="auto"/>
        <w:right w:val="none" w:sz="0" w:space="0" w:color="auto"/>
      </w:divBdr>
    </w:div>
    <w:div w:id="1856337199">
      <w:marLeft w:val="0"/>
      <w:marRight w:val="0"/>
      <w:marTop w:val="0"/>
      <w:marBottom w:val="0"/>
      <w:divBdr>
        <w:top w:val="none" w:sz="0" w:space="0" w:color="auto"/>
        <w:left w:val="none" w:sz="0" w:space="0" w:color="auto"/>
        <w:bottom w:val="none" w:sz="0" w:space="0" w:color="auto"/>
        <w:right w:val="none" w:sz="0" w:space="0" w:color="auto"/>
      </w:divBdr>
      <w:divsChild>
        <w:div w:id="219168945">
          <w:marLeft w:val="0"/>
          <w:marRight w:val="0"/>
          <w:marTop w:val="0"/>
          <w:marBottom w:val="100"/>
          <w:divBdr>
            <w:top w:val="none" w:sz="0" w:space="0" w:color="auto"/>
            <w:left w:val="none" w:sz="0" w:space="0" w:color="auto"/>
            <w:bottom w:val="none" w:sz="0" w:space="0" w:color="auto"/>
            <w:right w:val="none" w:sz="0" w:space="0" w:color="auto"/>
          </w:divBdr>
        </w:div>
      </w:divsChild>
    </w:div>
    <w:div w:id="1859389955">
      <w:marLeft w:val="0"/>
      <w:marRight w:val="0"/>
      <w:marTop w:val="0"/>
      <w:marBottom w:val="100"/>
      <w:divBdr>
        <w:top w:val="none" w:sz="0" w:space="0" w:color="auto"/>
        <w:left w:val="none" w:sz="0" w:space="0" w:color="auto"/>
        <w:bottom w:val="none" w:sz="0" w:space="0" w:color="auto"/>
        <w:right w:val="none" w:sz="0" w:space="0" w:color="auto"/>
      </w:divBdr>
    </w:div>
    <w:div w:id="1860313540">
      <w:marLeft w:val="0"/>
      <w:marRight w:val="0"/>
      <w:marTop w:val="0"/>
      <w:marBottom w:val="0"/>
      <w:divBdr>
        <w:top w:val="none" w:sz="0" w:space="0" w:color="auto"/>
        <w:left w:val="none" w:sz="0" w:space="0" w:color="auto"/>
        <w:bottom w:val="none" w:sz="0" w:space="0" w:color="auto"/>
        <w:right w:val="none" w:sz="0" w:space="0" w:color="auto"/>
      </w:divBdr>
      <w:divsChild>
        <w:div w:id="563103945">
          <w:marLeft w:val="0"/>
          <w:marRight w:val="0"/>
          <w:marTop w:val="0"/>
          <w:marBottom w:val="0"/>
          <w:divBdr>
            <w:top w:val="none" w:sz="0" w:space="0" w:color="auto"/>
            <w:left w:val="none" w:sz="0" w:space="0" w:color="auto"/>
            <w:bottom w:val="none" w:sz="0" w:space="0" w:color="auto"/>
            <w:right w:val="none" w:sz="0" w:space="0" w:color="auto"/>
          </w:divBdr>
          <w:divsChild>
            <w:div w:id="204926199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861309349">
      <w:marLeft w:val="0"/>
      <w:marRight w:val="0"/>
      <w:marTop w:val="180"/>
      <w:marBottom w:val="180"/>
      <w:divBdr>
        <w:top w:val="none" w:sz="0" w:space="0" w:color="auto"/>
        <w:left w:val="none" w:sz="0" w:space="0" w:color="auto"/>
        <w:bottom w:val="none" w:sz="0" w:space="0" w:color="auto"/>
        <w:right w:val="none" w:sz="0" w:space="0" w:color="auto"/>
      </w:divBdr>
    </w:div>
    <w:div w:id="1861315937">
      <w:marLeft w:val="0"/>
      <w:marRight w:val="0"/>
      <w:marTop w:val="0"/>
      <w:marBottom w:val="100"/>
      <w:divBdr>
        <w:top w:val="none" w:sz="0" w:space="0" w:color="auto"/>
        <w:left w:val="none" w:sz="0" w:space="0" w:color="auto"/>
        <w:bottom w:val="none" w:sz="0" w:space="0" w:color="auto"/>
        <w:right w:val="none" w:sz="0" w:space="0" w:color="auto"/>
      </w:divBdr>
    </w:div>
    <w:div w:id="1861964056">
      <w:marLeft w:val="0"/>
      <w:marRight w:val="0"/>
      <w:marTop w:val="0"/>
      <w:marBottom w:val="0"/>
      <w:divBdr>
        <w:top w:val="none" w:sz="0" w:space="0" w:color="auto"/>
        <w:left w:val="none" w:sz="0" w:space="0" w:color="auto"/>
        <w:bottom w:val="none" w:sz="0" w:space="0" w:color="auto"/>
        <w:right w:val="none" w:sz="0" w:space="0" w:color="auto"/>
      </w:divBdr>
      <w:divsChild>
        <w:div w:id="1510438813">
          <w:marLeft w:val="0"/>
          <w:marRight w:val="0"/>
          <w:marTop w:val="0"/>
          <w:marBottom w:val="100"/>
          <w:divBdr>
            <w:top w:val="none" w:sz="0" w:space="0" w:color="auto"/>
            <w:left w:val="none" w:sz="0" w:space="0" w:color="auto"/>
            <w:bottom w:val="none" w:sz="0" w:space="0" w:color="auto"/>
            <w:right w:val="none" w:sz="0" w:space="0" w:color="auto"/>
          </w:divBdr>
        </w:div>
      </w:divsChild>
    </w:div>
    <w:div w:id="1863588759">
      <w:marLeft w:val="0"/>
      <w:marRight w:val="0"/>
      <w:marTop w:val="180"/>
      <w:marBottom w:val="0"/>
      <w:divBdr>
        <w:top w:val="none" w:sz="0" w:space="0" w:color="auto"/>
        <w:left w:val="none" w:sz="0" w:space="0" w:color="auto"/>
        <w:bottom w:val="none" w:sz="0" w:space="0" w:color="auto"/>
        <w:right w:val="none" w:sz="0" w:space="0" w:color="auto"/>
      </w:divBdr>
    </w:div>
    <w:div w:id="1865165392">
      <w:marLeft w:val="0"/>
      <w:marRight w:val="0"/>
      <w:marTop w:val="0"/>
      <w:marBottom w:val="100"/>
      <w:divBdr>
        <w:top w:val="none" w:sz="0" w:space="0" w:color="auto"/>
        <w:left w:val="none" w:sz="0" w:space="0" w:color="auto"/>
        <w:bottom w:val="none" w:sz="0" w:space="0" w:color="auto"/>
        <w:right w:val="none" w:sz="0" w:space="0" w:color="auto"/>
      </w:divBdr>
    </w:div>
    <w:div w:id="1866363626">
      <w:marLeft w:val="0"/>
      <w:marRight w:val="0"/>
      <w:marTop w:val="0"/>
      <w:marBottom w:val="0"/>
      <w:divBdr>
        <w:top w:val="none" w:sz="0" w:space="0" w:color="auto"/>
        <w:left w:val="none" w:sz="0" w:space="0" w:color="auto"/>
        <w:bottom w:val="none" w:sz="0" w:space="0" w:color="auto"/>
        <w:right w:val="none" w:sz="0" w:space="0" w:color="auto"/>
      </w:divBdr>
    </w:div>
    <w:div w:id="1866483054">
      <w:marLeft w:val="0"/>
      <w:marRight w:val="0"/>
      <w:marTop w:val="0"/>
      <w:marBottom w:val="100"/>
      <w:divBdr>
        <w:top w:val="none" w:sz="0" w:space="0" w:color="auto"/>
        <w:left w:val="none" w:sz="0" w:space="0" w:color="auto"/>
        <w:bottom w:val="none" w:sz="0" w:space="0" w:color="auto"/>
        <w:right w:val="none" w:sz="0" w:space="0" w:color="auto"/>
      </w:divBdr>
    </w:div>
    <w:div w:id="1868325040">
      <w:marLeft w:val="0"/>
      <w:marRight w:val="0"/>
      <w:marTop w:val="0"/>
      <w:marBottom w:val="0"/>
      <w:divBdr>
        <w:top w:val="none" w:sz="0" w:space="0" w:color="auto"/>
        <w:left w:val="none" w:sz="0" w:space="0" w:color="auto"/>
        <w:bottom w:val="none" w:sz="0" w:space="0" w:color="auto"/>
        <w:right w:val="none" w:sz="0" w:space="0" w:color="auto"/>
      </w:divBdr>
      <w:divsChild>
        <w:div w:id="1767845794">
          <w:marLeft w:val="0"/>
          <w:marRight w:val="0"/>
          <w:marTop w:val="0"/>
          <w:marBottom w:val="0"/>
          <w:divBdr>
            <w:top w:val="none" w:sz="0" w:space="0" w:color="auto"/>
            <w:left w:val="none" w:sz="0" w:space="0" w:color="auto"/>
            <w:bottom w:val="none" w:sz="0" w:space="0" w:color="auto"/>
            <w:right w:val="none" w:sz="0" w:space="0" w:color="auto"/>
          </w:divBdr>
          <w:divsChild>
            <w:div w:id="18652710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869684790">
      <w:marLeft w:val="0"/>
      <w:marRight w:val="0"/>
      <w:marTop w:val="0"/>
      <w:marBottom w:val="100"/>
      <w:divBdr>
        <w:top w:val="none" w:sz="0" w:space="0" w:color="auto"/>
        <w:left w:val="none" w:sz="0" w:space="0" w:color="auto"/>
        <w:bottom w:val="none" w:sz="0" w:space="0" w:color="auto"/>
        <w:right w:val="none" w:sz="0" w:space="0" w:color="auto"/>
      </w:divBdr>
    </w:div>
    <w:div w:id="1869754584">
      <w:marLeft w:val="0"/>
      <w:marRight w:val="0"/>
      <w:marTop w:val="0"/>
      <w:marBottom w:val="100"/>
      <w:divBdr>
        <w:top w:val="none" w:sz="0" w:space="0" w:color="auto"/>
        <w:left w:val="none" w:sz="0" w:space="0" w:color="auto"/>
        <w:bottom w:val="none" w:sz="0" w:space="0" w:color="auto"/>
        <w:right w:val="none" w:sz="0" w:space="0" w:color="auto"/>
      </w:divBdr>
    </w:div>
    <w:div w:id="1871991896">
      <w:marLeft w:val="0"/>
      <w:marRight w:val="0"/>
      <w:marTop w:val="0"/>
      <w:marBottom w:val="0"/>
      <w:divBdr>
        <w:top w:val="none" w:sz="0" w:space="0" w:color="auto"/>
        <w:left w:val="none" w:sz="0" w:space="0" w:color="auto"/>
        <w:bottom w:val="none" w:sz="0" w:space="0" w:color="auto"/>
        <w:right w:val="none" w:sz="0" w:space="0" w:color="auto"/>
      </w:divBdr>
    </w:div>
    <w:div w:id="1873614064">
      <w:marLeft w:val="0"/>
      <w:marRight w:val="0"/>
      <w:marTop w:val="0"/>
      <w:marBottom w:val="100"/>
      <w:divBdr>
        <w:top w:val="none" w:sz="0" w:space="0" w:color="auto"/>
        <w:left w:val="none" w:sz="0" w:space="0" w:color="auto"/>
        <w:bottom w:val="none" w:sz="0" w:space="0" w:color="auto"/>
        <w:right w:val="none" w:sz="0" w:space="0" w:color="auto"/>
      </w:divBdr>
    </w:div>
    <w:div w:id="1884167812">
      <w:marLeft w:val="0"/>
      <w:marRight w:val="0"/>
      <w:marTop w:val="0"/>
      <w:marBottom w:val="100"/>
      <w:divBdr>
        <w:top w:val="none" w:sz="0" w:space="0" w:color="auto"/>
        <w:left w:val="none" w:sz="0" w:space="0" w:color="auto"/>
        <w:bottom w:val="none" w:sz="0" w:space="0" w:color="auto"/>
        <w:right w:val="none" w:sz="0" w:space="0" w:color="auto"/>
      </w:divBdr>
    </w:div>
    <w:div w:id="1887446411">
      <w:marLeft w:val="0"/>
      <w:marRight w:val="0"/>
      <w:marTop w:val="0"/>
      <w:marBottom w:val="0"/>
      <w:divBdr>
        <w:top w:val="none" w:sz="0" w:space="0" w:color="auto"/>
        <w:left w:val="none" w:sz="0" w:space="0" w:color="auto"/>
        <w:bottom w:val="none" w:sz="0" w:space="0" w:color="auto"/>
        <w:right w:val="none" w:sz="0" w:space="0" w:color="auto"/>
      </w:divBdr>
      <w:divsChild>
        <w:div w:id="2078166097">
          <w:marLeft w:val="0"/>
          <w:marRight w:val="0"/>
          <w:marTop w:val="0"/>
          <w:marBottom w:val="100"/>
          <w:divBdr>
            <w:top w:val="none" w:sz="0" w:space="0" w:color="auto"/>
            <w:left w:val="none" w:sz="0" w:space="0" w:color="auto"/>
            <w:bottom w:val="none" w:sz="0" w:space="0" w:color="auto"/>
            <w:right w:val="none" w:sz="0" w:space="0" w:color="auto"/>
          </w:divBdr>
        </w:div>
      </w:divsChild>
    </w:div>
    <w:div w:id="1888831814">
      <w:marLeft w:val="0"/>
      <w:marRight w:val="0"/>
      <w:marTop w:val="0"/>
      <w:marBottom w:val="100"/>
      <w:divBdr>
        <w:top w:val="none" w:sz="0" w:space="0" w:color="auto"/>
        <w:left w:val="none" w:sz="0" w:space="0" w:color="auto"/>
        <w:bottom w:val="none" w:sz="0" w:space="0" w:color="auto"/>
        <w:right w:val="none" w:sz="0" w:space="0" w:color="auto"/>
      </w:divBdr>
    </w:div>
    <w:div w:id="1890418467">
      <w:marLeft w:val="0"/>
      <w:marRight w:val="0"/>
      <w:marTop w:val="0"/>
      <w:marBottom w:val="0"/>
      <w:divBdr>
        <w:top w:val="none" w:sz="0" w:space="0" w:color="auto"/>
        <w:left w:val="none" w:sz="0" w:space="0" w:color="auto"/>
        <w:bottom w:val="none" w:sz="0" w:space="0" w:color="auto"/>
        <w:right w:val="none" w:sz="0" w:space="0" w:color="auto"/>
      </w:divBdr>
      <w:divsChild>
        <w:div w:id="209076815">
          <w:marLeft w:val="0"/>
          <w:marRight w:val="0"/>
          <w:marTop w:val="0"/>
          <w:marBottom w:val="0"/>
          <w:divBdr>
            <w:top w:val="none" w:sz="0" w:space="0" w:color="auto"/>
            <w:left w:val="none" w:sz="0" w:space="0" w:color="auto"/>
            <w:bottom w:val="none" w:sz="0" w:space="0" w:color="auto"/>
            <w:right w:val="none" w:sz="0" w:space="0" w:color="auto"/>
          </w:divBdr>
          <w:divsChild>
            <w:div w:id="48775101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891187884">
      <w:marLeft w:val="0"/>
      <w:marRight w:val="0"/>
      <w:marTop w:val="0"/>
      <w:marBottom w:val="100"/>
      <w:divBdr>
        <w:top w:val="none" w:sz="0" w:space="0" w:color="auto"/>
        <w:left w:val="none" w:sz="0" w:space="0" w:color="auto"/>
        <w:bottom w:val="none" w:sz="0" w:space="0" w:color="auto"/>
        <w:right w:val="none" w:sz="0" w:space="0" w:color="auto"/>
      </w:divBdr>
    </w:div>
    <w:div w:id="1893880300">
      <w:marLeft w:val="0"/>
      <w:marRight w:val="0"/>
      <w:marTop w:val="0"/>
      <w:marBottom w:val="100"/>
      <w:divBdr>
        <w:top w:val="none" w:sz="0" w:space="0" w:color="auto"/>
        <w:left w:val="none" w:sz="0" w:space="0" w:color="auto"/>
        <w:bottom w:val="none" w:sz="0" w:space="0" w:color="auto"/>
        <w:right w:val="none" w:sz="0" w:space="0" w:color="auto"/>
      </w:divBdr>
    </w:div>
    <w:div w:id="1893883626">
      <w:marLeft w:val="0"/>
      <w:marRight w:val="0"/>
      <w:marTop w:val="180"/>
      <w:marBottom w:val="0"/>
      <w:divBdr>
        <w:top w:val="none" w:sz="0" w:space="0" w:color="auto"/>
        <w:left w:val="none" w:sz="0" w:space="0" w:color="auto"/>
        <w:bottom w:val="none" w:sz="0" w:space="0" w:color="auto"/>
        <w:right w:val="none" w:sz="0" w:space="0" w:color="auto"/>
      </w:divBdr>
    </w:div>
    <w:div w:id="1894848569">
      <w:marLeft w:val="0"/>
      <w:marRight w:val="0"/>
      <w:marTop w:val="0"/>
      <w:marBottom w:val="100"/>
      <w:divBdr>
        <w:top w:val="none" w:sz="0" w:space="0" w:color="auto"/>
        <w:left w:val="none" w:sz="0" w:space="0" w:color="auto"/>
        <w:bottom w:val="none" w:sz="0" w:space="0" w:color="auto"/>
        <w:right w:val="none" w:sz="0" w:space="0" w:color="auto"/>
      </w:divBdr>
    </w:div>
    <w:div w:id="1894922949">
      <w:marLeft w:val="0"/>
      <w:marRight w:val="0"/>
      <w:marTop w:val="180"/>
      <w:marBottom w:val="180"/>
      <w:divBdr>
        <w:top w:val="none" w:sz="0" w:space="0" w:color="auto"/>
        <w:left w:val="none" w:sz="0" w:space="0" w:color="auto"/>
        <w:bottom w:val="none" w:sz="0" w:space="0" w:color="auto"/>
        <w:right w:val="none" w:sz="0" w:space="0" w:color="auto"/>
      </w:divBdr>
    </w:div>
    <w:div w:id="1896352653">
      <w:marLeft w:val="0"/>
      <w:marRight w:val="0"/>
      <w:marTop w:val="180"/>
      <w:marBottom w:val="0"/>
      <w:divBdr>
        <w:top w:val="none" w:sz="0" w:space="0" w:color="auto"/>
        <w:left w:val="none" w:sz="0" w:space="0" w:color="auto"/>
        <w:bottom w:val="none" w:sz="0" w:space="0" w:color="auto"/>
        <w:right w:val="none" w:sz="0" w:space="0" w:color="auto"/>
      </w:divBdr>
    </w:div>
    <w:div w:id="1897623699">
      <w:marLeft w:val="0"/>
      <w:marRight w:val="0"/>
      <w:marTop w:val="0"/>
      <w:marBottom w:val="100"/>
      <w:divBdr>
        <w:top w:val="none" w:sz="0" w:space="0" w:color="auto"/>
        <w:left w:val="none" w:sz="0" w:space="0" w:color="auto"/>
        <w:bottom w:val="none" w:sz="0" w:space="0" w:color="auto"/>
        <w:right w:val="none" w:sz="0" w:space="0" w:color="auto"/>
      </w:divBdr>
    </w:div>
    <w:div w:id="1898276639">
      <w:marLeft w:val="0"/>
      <w:marRight w:val="0"/>
      <w:marTop w:val="0"/>
      <w:marBottom w:val="0"/>
      <w:divBdr>
        <w:top w:val="none" w:sz="0" w:space="0" w:color="auto"/>
        <w:left w:val="none" w:sz="0" w:space="0" w:color="auto"/>
        <w:bottom w:val="none" w:sz="0" w:space="0" w:color="auto"/>
        <w:right w:val="none" w:sz="0" w:space="0" w:color="auto"/>
      </w:divBdr>
    </w:div>
    <w:div w:id="1898709817">
      <w:marLeft w:val="0"/>
      <w:marRight w:val="0"/>
      <w:marTop w:val="0"/>
      <w:marBottom w:val="100"/>
      <w:divBdr>
        <w:top w:val="none" w:sz="0" w:space="0" w:color="auto"/>
        <w:left w:val="none" w:sz="0" w:space="0" w:color="auto"/>
        <w:bottom w:val="none" w:sz="0" w:space="0" w:color="auto"/>
        <w:right w:val="none" w:sz="0" w:space="0" w:color="auto"/>
      </w:divBdr>
    </w:div>
    <w:div w:id="1900246145">
      <w:marLeft w:val="0"/>
      <w:marRight w:val="0"/>
      <w:marTop w:val="0"/>
      <w:marBottom w:val="100"/>
      <w:divBdr>
        <w:top w:val="none" w:sz="0" w:space="0" w:color="auto"/>
        <w:left w:val="none" w:sz="0" w:space="0" w:color="auto"/>
        <w:bottom w:val="none" w:sz="0" w:space="0" w:color="auto"/>
        <w:right w:val="none" w:sz="0" w:space="0" w:color="auto"/>
      </w:divBdr>
    </w:div>
    <w:div w:id="1902712452">
      <w:marLeft w:val="0"/>
      <w:marRight w:val="0"/>
      <w:marTop w:val="0"/>
      <w:marBottom w:val="0"/>
      <w:divBdr>
        <w:top w:val="none" w:sz="0" w:space="0" w:color="auto"/>
        <w:left w:val="none" w:sz="0" w:space="0" w:color="auto"/>
        <w:bottom w:val="none" w:sz="0" w:space="0" w:color="auto"/>
        <w:right w:val="none" w:sz="0" w:space="0" w:color="auto"/>
      </w:divBdr>
      <w:divsChild>
        <w:div w:id="1109740135">
          <w:marLeft w:val="0"/>
          <w:marRight w:val="0"/>
          <w:marTop w:val="0"/>
          <w:marBottom w:val="0"/>
          <w:divBdr>
            <w:top w:val="none" w:sz="0" w:space="0" w:color="auto"/>
            <w:left w:val="none" w:sz="0" w:space="0" w:color="auto"/>
            <w:bottom w:val="none" w:sz="0" w:space="0" w:color="auto"/>
            <w:right w:val="none" w:sz="0" w:space="0" w:color="auto"/>
          </w:divBdr>
          <w:divsChild>
            <w:div w:id="26503910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902783757">
      <w:marLeft w:val="0"/>
      <w:marRight w:val="0"/>
      <w:marTop w:val="0"/>
      <w:marBottom w:val="100"/>
      <w:divBdr>
        <w:top w:val="none" w:sz="0" w:space="0" w:color="auto"/>
        <w:left w:val="none" w:sz="0" w:space="0" w:color="auto"/>
        <w:bottom w:val="none" w:sz="0" w:space="0" w:color="auto"/>
        <w:right w:val="none" w:sz="0" w:space="0" w:color="auto"/>
      </w:divBdr>
    </w:div>
    <w:div w:id="1903446977">
      <w:marLeft w:val="0"/>
      <w:marRight w:val="0"/>
      <w:marTop w:val="0"/>
      <w:marBottom w:val="0"/>
      <w:divBdr>
        <w:top w:val="none" w:sz="0" w:space="0" w:color="auto"/>
        <w:left w:val="none" w:sz="0" w:space="0" w:color="auto"/>
        <w:bottom w:val="none" w:sz="0" w:space="0" w:color="auto"/>
        <w:right w:val="none" w:sz="0" w:space="0" w:color="auto"/>
      </w:divBdr>
      <w:divsChild>
        <w:div w:id="859050999">
          <w:marLeft w:val="0"/>
          <w:marRight w:val="0"/>
          <w:marTop w:val="0"/>
          <w:marBottom w:val="100"/>
          <w:divBdr>
            <w:top w:val="none" w:sz="0" w:space="0" w:color="auto"/>
            <w:left w:val="none" w:sz="0" w:space="0" w:color="auto"/>
            <w:bottom w:val="none" w:sz="0" w:space="0" w:color="auto"/>
            <w:right w:val="none" w:sz="0" w:space="0" w:color="auto"/>
          </w:divBdr>
        </w:div>
      </w:divsChild>
    </w:div>
    <w:div w:id="1904287699">
      <w:marLeft w:val="0"/>
      <w:marRight w:val="0"/>
      <w:marTop w:val="0"/>
      <w:marBottom w:val="0"/>
      <w:divBdr>
        <w:top w:val="none" w:sz="0" w:space="0" w:color="auto"/>
        <w:left w:val="none" w:sz="0" w:space="0" w:color="auto"/>
        <w:bottom w:val="none" w:sz="0" w:space="0" w:color="auto"/>
        <w:right w:val="none" w:sz="0" w:space="0" w:color="auto"/>
      </w:divBdr>
    </w:div>
    <w:div w:id="1905068311">
      <w:marLeft w:val="0"/>
      <w:marRight w:val="0"/>
      <w:marTop w:val="0"/>
      <w:marBottom w:val="0"/>
      <w:divBdr>
        <w:top w:val="none" w:sz="0" w:space="0" w:color="auto"/>
        <w:left w:val="none" w:sz="0" w:space="0" w:color="auto"/>
        <w:bottom w:val="none" w:sz="0" w:space="0" w:color="auto"/>
        <w:right w:val="none" w:sz="0" w:space="0" w:color="auto"/>
      </w:divBdr>
    </w:div>
    <w:div w:id="1906064036">
      <w:marLeft w:val="0"/>
      <w:marRight w:val="0"/>
      <w:marTop w:val="0"/>
      <w:marBottom w:val="0"/>
      <w:divBdr>
        <w:top w:val="none" w:sz="0" w:space="0" w:color="auto"/>
        <w:left w:val="none" w:sz="0" w:space="0" w:color="auto"/>
        <w:bottom w:val="none" w:sz="0" w:space="0" w:color="auto"/>
        <w:right w:val="none" w:sz="0" w:space="0" w:color="auto"/>
      </w:divBdr>
    </w:div>
    <w:div w:id="1907181067">
      <w:marLeft w:val="0"/>
      <w:marRight w:val="0"/>
      <w:marTop w:val="0"/>
      <w:marBottom w:val="100"/>
      <w:divBdr>
        <w:top w:val="none" w:sz="0" w:space="0" w:color="auto"/>
        <w:left w:val="none" w:sz="0" w:space="0" w:color="auto"/>
        <w:bottom w:val="none" w:sz="0" w:space="0" w:color="auto"/>
        <w:right w:val="none" w:sz="0" w:space="0" w:color="auto"/>
      </w:divBdr>
    </w:div>
    <w:div w:id="1909000530">
      <w:marLeft w:val="0"/>
      <w:marRight w:val="0"/>
      <w:marTop w:val="0"/>
      <w:marBottom w:val="100"/>
      <w:divBdr>
        <w:top w:val="none" w:sz="0" w:space="0" w:color="auto"/>
        <w:left w:val="none" w:sz="0" w:space="0" w:color="auto"/>
        <w:bottom w:val="none" w:sz="0" w:space="0" w:color="auto"/>
        <w:right w:val="none" w:sz="0" w:space="0" w:color="auto"/>
      </w:divBdr>
    </w:div>
    <w:div w:id="1909458838">
      <w:marLeft w:val="0"/>
      <w:marRight w:val="0"/>
      <w:marTop w:val="0"/>
      <w:marBottom w:val="0"/>
      <w:divBdr>
        <w:top w:val="none" w:sz="0" w:space="0" w:color="auto"/>
        <w:left w:val="none" w:sz="0" w:space="0" w:color="auto"/>
        <w:bottom w:val="none" w:sz="0" w:space="0" w:color="auto"/>
        <w:right w:val="none" w:sz="0" w:space="0" w:color="auto"/>
      </w:divBdr>
      <w:divsChild>
        <w:div w:id="203175416">
          <w:marLeft w:val="0"/>
          <w:marRight w:val="0"/>
          <w:marTop w:val="0"/>
          <w:marBottom w:val="100"/>
          <w:divBdr>
            <w:top w:val="none" w:sz="0" w:space="0" w:color="auto"/>
            <w:left w:val="none" w:sz="0" w:space="0" w:color="auto"/>
            <w:bottom w:val="none" w:sz="0" w:space="0" w:color="auto"/>
            <w:right w:val="none" w:sz="0" w:space="0" w:color="auto"/>
          </w:divBdr>
        </w:div>
      </w:divsChild>
    </w:div>
    <w:div w:id="1910143631">
      <w:marLeft w:val="0"/>
      <w:marRight w:val="0"/>
      <w:marTop w:val="0"/>
      <w:marBottom w:val="100"/>
      <w:divBdr>
        <w:top w:val="none" w:sz="0" w:space="0" w:color="auto"/>
        <w:left w:val="none" w:sz="0" w:space="0" w:color="auto"/>
        <w:bottom w:val="none" w:sz="0" w:space="0" w:color="auto"/>
        <w:right w:val="none" w:sz="0" w:space="0" w:color="auto"/>
      </w:divBdr>
    </w:div>
    <w:div w:id="1910728671">
      <w:marLeft w:val="0"/>
      <w:marRight w:val="0"/>
      <w:marTop w:val="0"/>
      <w:marBottom w:val="100"/>
      <w:divBdr>
        <w:top w:val="none" w:sz="0" w:space="0" w:color="auto"/>
        <w:left w:val="none" w:sz="0" w:space="0" w:color="auto"/>
        <w:bottom w:val="none" w:sz="0" w:space="0" w:color="auto"/>
        <w:right w:val="none" w:sz="0" w:space="0" w:color="auto"/>
      </w:divBdr>
    </w:div>
    <w:div w:id="1912619578">
      <w:marLeft w:val="0"/>
      <w:marRight w:val="0"/>
      <w:marTop w:val="0"/>
      <w:marBottom w:val="100"/>
      <w:divBdr>
        <w:top w:val="none" w:sz="0" w:space="0" w:color="auto"/>
        <w:left w:val="none" w:sz="0" w:space="0" w:color="auto"/>
        <w:bottom w:val="none" w:sz="0" w:space="0" w:color="auto"/>
        <w:right w:val="none" w:sz="0" w:space="0" w:color="auto"/>
      </w:divBdr>
    </w:div>
    <w:div w:id="1912961941">
      <w:marLeft w:val="0"/>
      <w:marRight w:val="0"/>
      <w:marTop w:val="0"/>
      <w:marBottom w:val="100"/>
      <w:divBdr>
        <w:top w:val="none" w:sz="0" w:space="0" w:color="auto"/>
        <w:left w:val="none" w:sz="0" w:space="0" w:color="auto"/>
        <w:bottom w:val="none" w:sz="0" w:space="0" w:color="auto"/>
        <w:right w:val="none" w:sz="0" w:space="0" w:color="auto"/>
      </w:divBdr>
    </w:div>
    <w:div w:id="1913158411">
      <w:marLeft w:val="0"/>
      <w:marRight w:val="0"/>
      <w:marTop w:val="0"/>
      <w:marBottom w:val="0"/>
      <w:divBdr>
        <w:top w:val="none" w:sz="0" w:space="0" w:color="auto"/>
        <w:left w:val="none" w:sz="0" w:space="0" w:color="auto"/>
        <w:bottom w:val="none" w:sz="0" w:space="0" w:color="auto"/>
        <w:right w:val="none" w:sz="0" w:space="0" w:color="auto"/>
      </w:divBdr>
    </w:div>
    <w:div w:id="1913731185">
      <w:marLeft w:val="0"/>
      <w:marRight w:val="0"/>
      <w:marTop w:val="180"/>
      <w:marBottom w:val="0"/>
      <w:divBdr>
        <w:top w:val="none" w:sz="0" w:space="0" w:color="auto"/>
        <w:left w:val="none" w:sz="0" w:space="0" w:color="auto"/>
        <w:bottom w:val="none" w:sz="0" w:space="0" w:color="auto"/>
        <w:right w:val="none" w:sz="0" w:space="0" w:color="auto"/>
      </w:divBdr>
    </w:div>
    <w:div w:id="1914311812">
      <w:marLeft w:val="0"/>
      <w:marRight w:val="0"/>
      <w:marTop w:val="0"/>
      <w:marBottom w:val="100"/>
      <w:divBdr>
        <w:top w:val="none" w:sz="0" w:space="0" w:color="auto"/>
        <w:left w:val="none" w:sz="0" w:space="0" w:color="auto"/>
        <w:bottom w:val="none" w:sz="0" w:space="0" w:color="auto"/>
        <w:right w:val="none" w:sz="0" w:space="0" w:color="auto"/>
      </w:divBdr>
    </w:div>
    <w:div w:id="1915384539">
      <w:marLeft w:val="0"/>
      <w:marRight w:val="0"/>
      <w:marTop w:val="0"/>
      <w:marBottom w:val="100"/>
      <w:divBdr>
        <w:top w:val="none" w:sz="0" w:space="0" w:color="auto"/>
        <w:left w:val="none" w:sz="0" w:space="0" w:color="auto"/>
        <w:bottom w:val="none" w:sz="0" w:space="0" w:color="auto"/>
        <w:right w:val="none" w:sz="0" w:space="0" w:color="auto"/>
      </w:divBdr>
    </w:div>
    <w:div w:id="1917277948">
      <w:marLeft w:val="0"/>
      <w:marRight w:val="0"/>
      <w:marTop w:val="180"/>
      <w:marBottom w:val="0"/>
      <w:divBdr>
        <w:top w:val="none" w:sz="0" w:space="0" w:color="auto"/>
        <w:left w:val="none" w:sz="0" w:space="0" w:color="auto"/>
        <w:bottom w:val="none" w:sz="0" w:space="0" w:color="auto"/>
        <w:right w:val="none" w:sz="0" w:space="0" w:color="auto"/>
      </w:divBdr>
    </w:div>
    <w:div w:id="1917932973">
      <w:marLeft w:val="0"/>
      <w:marRight w:val="0"/>
      <w:marTop w:val="180"/>
      <w:marBottom w:val="0"/>
      <w:divBdr>
        <w:top w:val="none" w:sz="0" w:space="0" w:color="auto"/>
        <w:left w:val="none" w:sz="0" w:space="0" w:color="auto"/>
        <w:bottom w:val="none" w:sz="0" w:space="0" w:color="auto"/>
        <w:right w:val="none" w:sz="0" w:space="0" w:color="auto"/>
      </w:divBdr>
      <w:divsChild>
        <w:div w:id="1584993884">
          <w:marLeft w:val="0"/>
          <w:marRight w:val="0"/>
          <w:marTop w:val="0"/>
          <w:marBottom w:val="0"/>
          <w:divBdr>
            <w:top w:val="none" w:sz="0" w:space="0" w:color="auto"/>
            <w:left w:val="none" w:sz="0" w:space="0" w:color="auto"/>
            <w:bottom w:val="none" w:sz="0" w:space="0" w:color="auto"/>
            <w:right w:val="none" w:sz="0" w:space="0" w:color="auto"/>
          </w:divBdr>
        </w:div>
      </w:divsChild>
    </w:div>
    <w:div w:id="1920868869">
      <w:marLeft w:val="0"/>
      <w:marRight w:val="0"/>
      <w:marTop w:val="0"/>
      <w:marBottom w:val="0"/>
      <w:divBdr>
        <w:top w:val="none" w:sz="0" w:space="0" w:color="auto"/>
        <w:left w:val="none" w:sz="0" w:space="0" w:color="auto"/>
        <w:bottom w:val="none" w:sz="0" w:space="0" w:color="auto"/>
        <w:right w:val="none" w:sz="0" w:space="0" w:color="auto"/>
      </w:divBdr>
      <w:divsChild>
        <w:div w:id="1786541147">
          <w:marLeft w:val="0"/>
          <w:marRight w:val="0"/>
          <w:marTop w:val="0"/>
          <w:marBottom w:val="100"/>
          <w:divBdr>
            <w:top w:val="none" w:sz="0" w:space="0" w:color="auto"/>
            <w:left w:val="none" w:sz="0" w:space="0" w:color="auto"/>
            <w:bottom w:val="none" w:sz="0" w:space="0" w:color="auto"/>
            <w:right w:val="none" w:sz="0" w:space="0" w:color="auto"/>
          </w:divBdr>
        </w:div>
      </w:divsChild>
    </w:div>
    <w:div w:id="1921864739">
      <w:marLeft w:val="0"/>
      <w:marRight w:val="0"/>
      <w:marTop w:val="0"/>
      <w:marBottom w:val="100"/>
      <w:divBdr>
        <w:top w:val="none" w:sz="0" w:space="0" w:color="auto"/>
        <w:left w:val="none" w:sz="0" w:space="0" w:color="auto"/>
        <w:bottom w:val="none" w:sz="0" w:space="0" w:color="auto"/>
        <w:right w:val="none" w:sz="0" w:space="0" w:color="auto"/>
      </w:divBdr>
    </w:div>
    <w:div w:id="1924220461">
      <w:marLeft w:val="0"/>
      <w:marRight w:val="0"/>
      <w:marTop w:val="180"/>
      <w:marBottom w:val="0"/>
      <w:divBdr>
        <w:top w:val="none" w:sz="0" w:space="0" w:color="auto"/>
        <w:left w:val="none" w:sz="0" w:space="0" w:color="auto"/>
        <w:bottom w:val="none" w:sz="0" w:space="0" w:color="auto"/>
        <w:right w:val="none" w:sz="0" w:space="0" w:color="auto"/>
      </w:divBdr>
    </w:div>
    <w:div w:id="1927491287">
      <w:marLeft w:val="0"/>
      <w:marRight w:val="0"/>
      <w:marTop w:val="0"/>
      <w:marBottom w:val="100"/>
      <w:divBdr>
        <w:top w:val="none" w:sz="0" w:space="0" w:color="auto"/>
        <w:left w:val="none" w:sz="0" w:space="0" w:color="auto"/>
        <w:bottom w:val="none" w:sz="0" w:space="0" w:color="auto"/>
        <w:right w:val="none" w:sz="0" w:space="0" w:color="auto"/>
      </w:divBdr>
    </w:div>
    <w:div w:id="1929774598">
      <w:marLeft w:val="0"/>
      <w:marRight w:val="0"/>
      <w:marTop w:val="0"/>
      <w:marBottom w:val="100"/>
      <w:divBdr>
        <w:top w:val="none" w:sz="0" w:space="0" w:color="auto"/>
        <w:left w:val="none" w:sz="0" w:space="0" w:color="auto"/>
        <w:bottom w:val="none" w:sz="0" w:space="0" w:color="auto"/>
        <w:right w:val="none" w:sz="0" w:space="0" w:color="auto"/>
      </w:divBdr>
    </w:div>
    <w:div w:id="1929844940">
      <w:marLeft w:val="0"/>
      <w:marRight w:val="0"/>
      <w:marTop w:val="180"/>
      <w:marBottom w:val="0"/>
      <w:divBdr>
        <w:top w:val="none" w:sz="0" w:space="0" w:color="auto"/>
        <w:left w:val="none" w:sz="0" w:space="0" w:color="auto"/>
        <w:bottom w:val="none" w:sz="0" w:space="0" w:color="auto"/>
        <w:right w:val="none" w:sz="0" w:space="0" w:color="auto"/>
      </w:divBdr>
      <w:divsChild>
        <w:div w:id="825821089">
          <w:marLeft w:val="0"/>
          <w:marRight w:val="0"/>
          <w:marTop w:val="0"/>
          <w:marBottom w:val="0"/>
          <w:divBdr>
            <w:top w:val="none" w:sz="0" w:space="0" w:color="auto"/>
            <w:left w:val="none" w:sz="0" w:space="0" w:color="auto"/>
            <w:bottom w:val="none" w:sz="0" w:space="0" w:color="auto"/>
            <w:right w:val="none" w:sz="0" w:space="0" w:color="auto"/>
          </w:divBdr>
        </w:div>
      </w:divsChild>
    </w:div>
    <w:div w:id="1931623197">
      <w:marLeft w:val="0"/>
      <w:marRight w:val="0"/>
      <w:marTop w:val="0"/>
      <w:marBottom w:val="100"/>
      <w:divBdr>
        <w:top w:val="none" w:sz="0" w:space="0" w:color="auto"/>
        <w:left w:val="none" w:sz="0" w:space="0" w:color="auto"/>
        <w:bottom w:val="none" w:sz="0" w:space="0" w:color="auto"/>
        <w:right w:val="none" w:sz="0" w:space="0" w:color="auto"/>
      </w:divBdr>
    </w:div>
    <w:div w:id="1932813492">
      <w:marLeft w:val="0"/>
      <w:marRight w:val="0"/>
      <w:marTop w:val="0"/>
      <w:marBottom w:val="100"/>
      <w:divBdr>
        <w:top w:val="none" w:sz="0" w:space="0" w:color="auto"/>
        <w:left w:val="none" w:sz="0" w:space="0" w:color="auto"/>
        <w:bottom w:val="none" w:sz="0" w:space="0" w:color="auto"/>
        <w:right w:val="none" w:sz="0" w:space="0" w:color="auto"/>
      </w:divBdr>
    </w:div>
    <w:div w:id="1933276374">
      <w:marLeft w:val="0"/>
      <w:marRight w:val="0"/>
      <w:marTop w:val="0"/>
      <w:marBottom w:val="100"/>
      <w:divBdr>
        <w:top w:val="none" w:sz="0" w:space="0" w:color="auto"/>
        <w:left w:val="none" w:sz="0" w:space="0" w:color="auto"/>
        <w:bottom w:val="none" w:sz="0" w:space="0" w:color="auto"/>
        <w:right w:val="none" w:sz="0" w:space="0" w:color="auto"/>
      </w:divBdr>
    </w:div>
    <w:div w:id="1934120523">
      <w:marLeft w:val="0"/>
      <w:marRight w:val="0"/>
      <w:marTop w:val="0"/>
      <w:marBottom w:val="100"/>
      <w:divBdr>
        <w:top w:val="none" w:sz="0" w:space="0" w:color="auto"/>
        <w:left w:val="none" w:sz="0" w:space="0" w:color="auto"/>
        <w:bottom w:val="none" w:sz="0" w:space="0" w:color="auto"/>
        <w:right w:val="none" w:sz="0" w:space="0" w:color="auto"/>
      </w:divBdr>
    </w:div>
    <w:div w:id="1934824783">
      <w:marLeft w:val="0"/>
      <w:marRight w:val="0"/>
      <w:marTop w:val="0"/>
      <w:marBottom w:val="0"/>
      <w:divBdr>
        <w:top w:val="none" w:sz="0" w:space="0" w:color="auto"/>
        <w:left w:val="none" w:sz="0" w:space="0" w:color="auto"/>
        <w:bottom w:val="none" w:sz="0" w:space="0" w:color="auto"/>
        <w:right w:val="none" w:sz="0" w:space="0" w:color="auto"/>
      </w:divBdr>
    </w:div>
    <w:div w:id="1935161564">
      <w:marLeft w:val="0"/>
      <w:marRight w:val="0"/>
      <w:marTop w:val="0"/>
      <w:marBottom w:val="100"/>
      <w:divBdr>
        <w:top w:val="none" w:sz="0" w:space="0" w:color="auto"/>
        <w:left w:val="none" w:sz="0" w:space="0" w:color="auto"/>
        <w:bottom w:val="none" w:sz="0" w:space="0" w:color="auto"/>
        <w:right w:val="none" w:sz="0" w:space="0" w:color="auto"/>
      </w:divBdr>
    </w:div>
    <w:div w:id="1935822169">
      <w:marLeft w:val="0"/>
      <w:marRight w:val="0"/>
      <w:marTop w:val="0"/>
      <w:marBottom w:val="200"/>
      <w:divBdr>
        <w:top w:val="none" w:sz="0" w:space="0" w:color="auto"/>
        <w:left w:val="none" w:sz="0" w:space="0" w:color="auto"/>
        <w:bottom w:val="none" w:sz="0" w:space="0" w:color="auto"/>
        <w:right w:val="none" w:sz="0" w:space="0" w:color="auto"/>
      </w:divBdr>
    </w:div>
    <w:div w:id="1936084751">
      <w:marLeft w:val="0"/>
      <w:marRight w:val="0"/>
      <w:marTop w:val="0"/>
      <w:marBottom w:val="0"/>
      <w:divBdr>
        <w:top w:val="none" w:sz="0" w:space="0" w:color="auto"/>
        <w:left w:val="none" w:sz="0" w:space="0" w:color="auto"/>
        <w:bottom w:val="none" w:sz="0" w:space="0" w:color="auto"/>
        <w:right w:val="none" w:sz="0" w:space="0" w:color="auto"/>
      </w:divBdr>
    </w:div>
    <w:div w:id="1936085160">
      <w:marLeft w:val="0"/>
      <w:marRight w:val="0"/>
      <w:marTop w:val="0"/>
      <w:marBottom w:val="0"/>
      <w:divBdr>
        <w:top w:val="none" w:sz="0" w:space="0" w:color="auto"/>
        <w:left w:val="none" w:sz="0" w:space="0" w:color="auto"/>
        <w:bottom w:val="none" w:sz="0" w:space="0" w:color="auto"/>
        <w:right w:val="none" w:sz="0" w:space="0" w:color="auto"/>
      </w:divBdr>
      <w:divsChild>
        <w:div w:id="239565238">
          <w:marLeft w:val="0"/>
          <w:marRight w:val="0"/>
          <w:marTop w:val="0"/>
          <w:marBottom w:val="0"/>
          <w:divBdr>
            <w:top w:val="none" w:sz="0" w:space="0" w:color="auto"/>
            <w:left w:val="none" w:sz="0" w:space="0" w:color="auto"/>
            <w:bottom w:val="none" w:sz="0" w:space="0" w:color="auto"/>
            <w:right w:val="none" w:sz="0" w:space="0" w:color="auto"/>
          </w:divBdr>
          <w:divsChild>
            <w:div w:id="188425113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936280968">
      <w:marLeft w:val="0"/>
      <w:marRight w:val="0"/>
      <w:marTop w:val="0"/>
      <w:marBottom w:val="100"/>
      <w:divBdr>
        <w:top w:val="none" w:sz="0" w:space="0" w:color="auto"/>
        <w:left w:val="none" w:sz="0" w:space="0" w:color="auto"/>
        <w:bottom w:val="none" w:sz="0" w:space="0" w:color="auto"/>
        <w:right w:val="none" w:sz="0" w:space="0" w:color="auto"/>
      </w:divBdr>
    </w:div>
    <w:div w:id="1936329128">
      <w:marLeft w:val="0"/>
      <w:marRight w:val="0"/>
      <w:marTop w:val="0"/>
      <w:marBottom w:val="100"/>
      <w:divBdr>
        <w:top w:val="none" w:sz="0" w:space="0" w:color="auto"/>
        <w:left w:val="none" w:sz="0" w:space="0" w:color="auto"/>
        <w:bottom w:val="none" w:sz="0" w:space="0" w:color="auto"/>
        <w:right w:val="none" w:sz="0" w:space="0" w:color="auto"/>
      </w:divBdr>
    </w:div>
    <w:div w:id="1936669070">
      <w:marLeft w:val="0"/>
      <w:marRight w:val="0"/>
      <w:marTop w:val="180"/>
      <w:marBottom w:val="0"/>
      <w:divBdr>
        <w:top w:val="none" w:sz="0" w:space="0" w:color="auto"/>
        <w:left w:val="none" w:sz="0" w:space="0" w:color="auto"/>
        <w:bottom w:val="none" w:sz="0" w:space="0" w:color="auto"/>
        <w:right w:val="none" w:sz="0" w:space="0" w:color="auto"/>
      </w:divBdr>
    </w:div>
    <w:div w:id="1936789910">
      <w:marLeft w:val="0"/>
      <w:marRight w:val="0"/>
      <w:marTop w:val="0"/>
      <w:marBottom w:val="100"/>
      <w:divBdr>
        <w:top w:val="none" w:sz="0" w:space="0" w:color="auto"/>
        <w:left w:val="none" w:sz="0" w:space="0" w:color="auto"/>
        <w:bottom w:val="none" w:sz="0" w:space="0" w:color="auto"/>
        <w:right w:val="none" w:sz="0" w:space="0" w:color="auto"/>
      </w:divBdr>
    </w:div>
    <w:div w:id="1939412823">
      <w:marLeft w:val="0"/>
      <w:marRight w:val="0"/>
      <w:marTop w:val="0"/>
      <w:marBottom w:val="0"/>
      <w:divBdr>
        <w:top w:val="none" w:sz="0" w:space="0" w:color="auto"/>
        <w:left w:val="none" w:sz="0" w:space="0" w:color="auto"/>
        <w:bottom w:val="none" w:sz="0" w:space="0" w:color="auto"/>
        <w:right w:val="none" w:sz="0" w:space="0" w:color="auto"/>
      </w:divBdr>
    </w:div>
    <w:div w:id="1940135182">
      <w:marLeft w:val="0"/>
      <w:marRight w:val="0"/>
      <w:marTop w:val="0"/>
      <w:marBottom w:val="100"/>
      <w:divBdr>
        <w:top w:val="none" w:sz="0" w:space="0" w:color="auto"/>
        <w:left w:val="none" w:sz="0" w:space="0" w:color="auto"/>
        <w:bottom w:val="none" w:sz="0" w:space="0" w:color="auto"/>
        <w:right w:val="none" w:sz="0" w:space="0" w:color="auto"/>
      </w:divBdr>
    </w:div>
    <w:div w:id="1940597122">
      <w:marLeft w:val="0"/>
      <w:marRight w:val="0"/>
      <w:marTop w:val="0"/>
      <w:marBottom w:val="100"/>
      <w:divBdr>
        <w:top w:val="none" w:sz="0" w:space="0" w:color="auto"/>
        <w:left w:val="none" w:sz="0" w:space="0" w:color="auto"/>
        <w:bottom w:val="none" w:sz="0" w:space="0" w:color="auto"/>
        <w:right w:val="none" w:sz="0" w:space="0" w:color="auto"/>
      </w:divBdr>
    </w:div>
    <w:div w:id="1942031599">
      <w:marLeft w:val="0"/>
      <w:marRight w:val="0"/>
      <w:marTop w:val="180"/>
      <w:marBottom w:val="0"/>
      <w:divBdr>
        <w:top w:val="none" w:sz="0" w:space="0" w:color="auto"/>
        <w:left w:val="none" w:sz="0" w:space="0" w:color="auto"/>
        <w:bottom w:val="none" w:sz="0" w:space="0" w:color="auto"/>
        <w:right w:val="none" w:sz="0" w:space="0" w:color="auto"/>
      </w:divBdr>
    </w:div>
    <w:div w:id="1943416296">
      <w:marLeft w:val="0"/>
      <w:marRight w:val="0"/>
      <w:marTop w:val="0"/>
      <w:marBottom w:val="100"/>
      <w:divBdr>
        <w:top w:val="none" w:sz="0" w:space="0" w:color="auto"/>
        <w:left w:val="none" w:sz="0" w:space="0" w:color="auto"/>
        <w:bottom w:val="none" w:sz="0" w:space="0" w:color="auto"/>
        <w:right w:val="none" w:sz="0" w:space="0" w:color="auto"/>
      </w:divBdr>
    </w:div>
    <w:div w:id="1947535762">
      <w:marLeft w:val="0"/>
      <w:marRight w:val="0"/>
      <w:marTop w:val="0"/>
      <w:marBottom w:val="100"/>
      <w:divBdr>
        <w:top w:val="none" w:sz="0" w:space="0" w:color="auto"/>
        <w:left w:val="none" w:sz="0" w:space="0" w:color="auto"/>
        <w:bottom w:val="none" w:sz="0" w:space="0" w:color="auto"/>
        <w:right w:val="none" w:sz="0" w:space="0" w:color="auto"/>
      </w:divBdr>
    </w:div>
    <w:div w:id="1947888649">
      <w:marLeft w:val="0"/>
      <w:marRight w:val="0"/>
      <w:marTop w:val="0"/>
      <w:marBottom w:val="100"/>
      <w:divBdr>
        <w:top w:val="none" w:sz="0" w:space="0" w:color="auto"/>
        <w:left w:val="none" w:sz="0" w:space="0" w:color="auto"/>
        <w:bottom w:val="none" w:sz="0" w:space="0" w:color="auto"/>
        <w:right w:val="none" w:sz="0" w:space="0" w:color="auto"/>
      </w:divBdr>
    </w:div>
    <w:div w:id="1948849812">
      <w:marLeft w:val="0"/>
      <w:marRight w:val="0"/>
      <w:marTop w:val="0"/>
      <w:marBottom w:val="100"/>
      <w:divBdr>
        <w:top w:val="none" w:sz="0" w:space="0" w:color="auto"/>
        <w:left w:val="none" w:sz="0" w:space="0" w:color="auto"/>
        <w:bottom w:val="none" w:sz="0" w:space="0" w:color="auto"/>
        <w:right w:val="none" w:sz="0" w:space="0" w:color="auto"/>
      </w:divBdr>
    </w:div>
    <w:div w:id="1950550755">
      <w:marLeft w:val="0"/>
      <w:marRight w:val="0"/>
      <w:marTop w:val="0"/>
      <w:marBottom w:val="100"/>
      <w:divBdr>
        <w:top w:val="none" w:sz="0" w:space="0" w:color="auto"/>
        <w:left w:val="none" w:sz="0" w:space="0" w:color="auto"/>
        <w:bottom w:val="none" w:sz="0" w:space="0" w:color="auto"/>
        <w:right w:val="none" w:sz="0" w:space="0" w:color="auto"/>
      </w:divBdr>
    </w:div>
    <w:div w:id="1951430791">
      <w:marLeft w:val="0"/>
      <w:marRight w:val="0"/>
      <w:marTop w:val="0"/>
      <w:marBottom w:val="0"/>
      <w:divBdr>
        <w:top w:val="none" w:sz="0" w:space="0" w:color="auto"/>
        <w:left w:val="none" w:sz="0" w:space="0" w:color="auto"/>
        <w:bottom w:val="none" w:sz="0" w:space="0" w:color="auto"/>
        <w:right w:val="none" w:sz="0" w:space="0" w:color="auto"/>
      </w:divBdr>
      <w:divsChild>
        <w:div w:id="1498110788">
          <w:marLeft w:val="0"/>
          <w:marRight w:val="0"/>
          <w:marTop w:val="0"/>
          <w:marBottom w:val="100"/>
          <w:divBdr>
            <w:top w:val="none" w:sz="0" w:space="0" w:color="auto"/>
            <w:left w:val="none" w:sz="0" w:space="0" w:color="auto"/>
            <w:bottom w:val="none" w:sz="0" w:space="0" w:color="auto"/>
            <w:right w:val="none" w:sz="0" w:space="0" w:color="auto"/>
          </w:divBdr>
        </w:div>
      </w:divsChild>
    </w:div>
    <w:div w:id="1953441813">
      <w:marLeft w:val="0"/>
      <w:marRight w:val="0"/>
      <w:marTop w:val="180"/>
      <w:marBottom w:val="100"/>
      <w:divBdr>
        <w:top w:val="none" w:sz="0" w:space="0" w:color="auto"/>
        <w:left w:val="none" w:sz="0" w:space="0" w:color="auto"/>
        <w:bottom w:val="none" w:sz="0" w:space="0" w:color="auto"/>
        <w:right w:val="none" w:sz="0" w:space="0" w:color="auto"/>
      </w:divBdr>
    </w:div>
    <w:div w:id="1957373136">
      <w:marLeft w:val="0"/>
      <w:marRight w:val="0"/>
      <w:marTop w:val="0"/>
      <w:marBottom w:val="0"/>
      <w:divBdr>
        <w:top w:val="none" w:sz="0" w:space="0" w:color="auto"/>
        <w:left w:val="none" w:sz="0" w:space="0" w:color="auto"/>
        <w:bottom w:val="none" w:sz="0" w:space="0" w:color="auto"/>
        <w:right w:val="none" w:sz="0" w:space="0" w:color="auto"/>
      </w:divBdr>
    </w:div>
    <w:div w:id="1958562889">
      <w:marLeft w:val="0"/>
      <w:marRight w:val="0"/>
      <w:marTop w:val="180"/>
      <w:marBottom w:val="180"/>
      <w:divBdr>
        <w:top w:val="none" w:sz="0" w:space="0" w:color="auto"/>
        <w:left w:val="none" w:sz="0" w:space="0" w:color="auto"/>
        <w:bottom w:val="none" w:sz="0" w:space="0" w:color="auto"/>
        <w:right w:val="none" w:sz="0" w:space="0" w:color="auto"/>
      </w:divBdr>
    </w:div>
    <w:div w:id="1958944504">
      <w:marLeft w:val="0"/>
      <w:marRight w:val="0"/>
      <w:marTop w:val="0"/>
      <w:marBottom w:val="100"/>
      <w:divBdr>
        <w:top w:val="none" w:sz="0" w:space="0" w:color="auto"/>
        <w:left w:val="none" w:sz="0" w:space="0" w:color="auto"/>
        <w:bottom w:val="none" w:sz="0" w:space="0" w:color="auto"/>
        <w:right w:val="none" w:sz="0" w:space="0" w:color="auto"/>
      </w:divBdr>
    </w:div>
    <w:div w:id="1961523857">
      <w:marLeft w:val="0"/>
      <w:marRight w:val="0"/>
      <w:marTop w:val="0"/>
      <w:marBottom w:val="0"/>
      <w:divBdr>
        <w:top w:val="none" w:sz="0" w:space="0" w:color="auto"/>
        <w:left w:val="none" w:sz="0" w:space="0" w:color="auto"/>
        <w:bottom w:val="none" w:sz="0" w:space="0" w:color="auto"/>
        <w:right w:val="none" w:sz="0" w:space="0" w:color="auto"/>
      </w:divBdr>
    </w:div>
    <w:div w:id="1961690063">
      <w:marLeft w:val="0"/>
      <w:marRight w:val="0"/>
      <w:marTop w:val="0"/>
      <w:marBottom w:val="0"/>
      <w:divBdr>
        <w:top w:val="none" w:sz="0" w:space="0" w:color="auto"/>
        <w:left w:val="none" w:sz="0" w:space="0" w:color="auto"/>
        <w:bottom w:val="none" w:sz="0" w:space="0" w:color="auto"/>
        <w:right w:val="none" w:sz="0" w:space="0" w:color="auto"/>
      </w:divBdr>
      <w:divsChild>
        <w:div w:id="1909219181">
          <w:marLeft w:val="0"/>
          <w:marRight w:val="0"/>
          <w:marTop w:val="0"/>
          <w:marBottom w:val="0"/>
          <w:divBdr>
            <w:top w:val="none" w:sz="0" w:space="0" w:color="auto"/>
            <w:left w:val="none" w:sz="0" w:space="0" w:color="auto"/>
            <w:bottom w:val="none" w:sz="0" w:space="0" w:color="auto"/>
            <w:right w:val="none" w:sz="0" w:space="0" w:color="auto"/>
          </w:divBdr>
          <w:divsChild>
            <w:div w:id="181371648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962228653">
      <w:marLeft w:val="0"/>
      <w:marRight w:val="0"/>
      <w:marTop w:val="0"/>
      <w:marBottom w:val="0"/>
      <w:divBdr>
        <w:top w:val="none" w:sz="0" w:space="0" w:color="auto"/>
        <w:left w:val="none" w:sz="0" w:space="0" w:color="auto"/>
        <w:bottom w:val="none" w:sz="0" w:space="0" w:color="auto"/>
        <w:right w:val="none" w:sz="0" w:space="0" w:color="auto"/>
      </w:divBdr>
    </w:div>
    <w:div w:id="1962420366">
      <w:marLeft w:val="0"/>
      <w:marRight w:val="0"/>
      <w:marTop w:val="0"/>
      <w:marBottom w:val="0"/>
      <w:divBdr>
        <w:top w:val="none" w:sz="0" w:space="0" w:color="auto"/>
        <w:left w:val="none" w:sz="0" w:space="0" w:color="auto"/>
        <w:bottom w:val="none" w:sz="0" w:space="0" w:color="auto"/>
        <w:right w:val="none" w:sz="0" w:space="0" w:color="auto"/>
      </w:divBdr>
      <w:divsChild>
        <w:div w:id="1487092373">
          <w:marLeft w:val="0"/>
          <w:marRight w:val="0"/>
          <w:marTop w:val="0"/>
          <w:marBottom w:val="0"/>
          <w:divBdr>
            <w:top w:val="none" w:sz="0" w:space="0" w:color="auto"/>
            <w:left w:val="none" w:sz="0" w:space="0" w:color="auto"/>
            <w:bottom w:val="none" w:sz="0" w:space="0" w:color="auto"/>
            <w:right w:val="none" w:sz="0" w:space="0" w:color="auto"/>
          </w:divBdr>
          <w:divsChild>
            <w:div w:id="153334926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963151621">
      <w:marLeft w:val="0"/>
      <w:marRight w:val="0"/>
      <w:marTop w:val="100"/>
      <w:marBottom w:val="0"/>
      <w:divBdr>
        <w:top w:val="none" w:sz="0" w:space="0" w:color="auto"/>
        <w:left w:val="none" w:sz="0" w:space="0" w:color="auto"/>
        <w:bottom w:val="none" w:sz="0" w:space="0" w:color="auto"/>
        <w:right w:val="none" w:sz="0" w:space="0" w:color="auto"/>
      </w:divBdr>
    </w:div>
    <w:div w:id="1963488403">
      <w:marLeft w:val="0"/>
      <w:marRight w:val="0"/>
      <w:marTop w:val="0"/>
      <w:marBottom w:val="0"/>
      <w:divBdr>
        <w:top w:val="none" w:sz="0" w:space="0" w:color="auto"/>
        <w:left w:val="none" w:sz="0" w:space="0" w:color="auto"/>
        <w:bottom w:val="none" w:sz="0" w:space="0" w:color="auto"/>
        <w:right w:val="none" w:sz="0" w:space="0" w:color="auto"/>
      </w:divBdr>
    </w:div>
    <w:div w:id="1963880319">
      <w:marLeft w:val="0"/>
      <w:marRight w:val="0"/>
      <w:marTop w:val="0"/>
      <w:marBottom w:val="100"/>
      <w:divBdr>
        <w:top w:val="none" w:sz="0" w:space="0" w:color="auto"/>
        <w:left w:val="none" w:sz="0" w:space="0" w:color="auto"/>
        <w:bottom w:val="none" w:sz="0" w:space="0" w:color="auto"/>
        <w:right w:val="none" w:sz="0" w:space="0" w:color="auto"/>
      </w:divBdr>
    </w:div>
    <w:div w:id="1967153595">
      <w:marLeft w:val="0"/>
      <w:marRight w:val="0"/>
      <w:marTop w:val="0"/>
      <w:marBottom w:val="0"/>
      <w:divBdr>
        <w:top w:val="none" w:sz="0" w:space="0" w:color="auto"/>
        <w:left w:val="none" w:sz="0" w:space="0" w:color="auto"/>
        <w:bottom w:val="none" w:sz="0" w:space="0" w:color="auto"/>
        <w:right w:val="none" w:sz="0" w:space="0" w:color="auto"/>
      </w:divBdr>
    </w:div>
    <w:div w:id="1968850778">
      <w:marLeft w:val="0"/>
      <w:marRight w:val="0"/>
      <w:marTop w:val="0"/>
      <w:marBottom w:val="100"/>
      <w:divBdr>
        <w:top w:val="none" w:sz="0" w:space="0" w:color="auto"/>
        <w:left w:val="none" w:sz="0" w:space="0" w:color="auto"/>
        <w:bottom w:val="none" w:sz="0" w:space="0" w:color="auto"/>
        <w:right w:val="none" w:sz="0" w:space="0" w:color="auto"/>
      </w:divBdr>
    </w:div>
    <w:div w:id="1969357814">
      <w:marLeft w:val="0"/>
      <w:marRight w:val="0"/>
      <w:marTop w:val="0"/>
      <w:marBottom w:val="100"/>
      <w:divBdr>
        <w:top w:val="none" w:sz="0" w:space="0" w:color="auto"/>
        <w:left w:val="none" w:sz="0" w:space="0" w:color="auto"/>
        <w:bottom w:val="none" w:sz="0" w:space="0" w:color="auto"/>
        <w:right w:val="none" w:sz="0" w:space="0" w:color="auto"/>
      </w:divBdr>
    </w:div>
    <w:div w:id="1971934997">
      <w:marLeft w:val="0"/>
      <w:marRight w:val="0"/>
      <w:marTop w:val="0"/>
      <w:marBottom w:val="100"/>
      <w:divBdr>
        <w:top w:val="none" w:sz="0" w:space="0" w:color="auto"/>
        <w:left w:val="none" w:sz="0" w:space="0" w:color="auto"/>
        <w:bottom w:val="none" w:sz="0" w:space="0" w:color="auto"/>
        <w:right w:val="none" w:sz="0" w:space="0" w:color="auto"/>
      </w:divBdr>
    </w:div>
    <w:div w:id="1973438740">
      <w:marLeft w:val="0"/>
      <w:marRight w:val="0"/>
      <w:marTop w:val="180"/>
      <w:marBottom w:val="0"/>
      <w:divBdr>
        <w:top w:val="none" w:sz="0" w:space="0" w:color="auto"/>
        <w:left w:val="none" w:sz="0" w:space="0" w:color="auto"/>
        <w:bottom w:val="none" w:sz="0" w:space="0" w:color="auto"/>
        <w:right w:val="none" w:sz="0" w:space="0" w:color="auto"/>
      </w:divBdr>
    </w:div>
    <w:div w:id="1974284661">
      <w:marLeft w:val="0"/>
      <w:marRight w:val="0"/>
      <w:marTop w:val="0"/>
      <w:marBottom w:val="100"/>
      <w:divBdr>
        <w:top w:val="none" w:sz="0" w:space="0" w:color="auto"/>
        <w:left w:val="none" w:sz="0" w:space="0" w:color="auto"/>
        <w:bottom w:val="none" w:sz="0" w:space="0" w:color="auto"/>
        <w:right w:val="none" w:sz="0" w:space="0" w:color="auto"/>
      </w:divBdr>
    </w:div>
    <w:div w:id="1977100098">
      <w:marLeft w:val="0"/>
      <w:marRight w:val="0"/>
      <w:marTop w:val="100"/>
      <w:marBottom w:val="0"/>
      <w:divBdr>
        <w:top w:val="none" w:sz="0" w:space="0" w:color="auto"/>
        <w:left w:val="none" w:sz="0" w:space="0" w:color="auto"/>
        <w:bottom w:val="none" w:sz="0" w:space="0" w:color="auto"/>
        <w:right w:val="none" w:sz="0" w:space="0" w:color="auto"/>
      </w:divBdr>
    </w:div>
    <w:div w:id="1978602446">
      <w:marLeft w:val="0"/>
      <w:marRight w:val="0"/>
      <w:marTop w:val="0"/>
      <w:marBottom w:val="100"/>
      <w:divBdr>
        <w:top w:val="none" w:sz="0" w:space="0" w:color="auto"/>
        <w:left w:val="none" w:sz="0" w:space="0" w:color="auto"/>
        <w:bottom w:val="none" w:sz="0" w:space="0" w:color="auto"/>
        <w:right w:val="none" w:sz="0" w:space="0" w:color="auto"/>
      </w:divBdr>
    </w:div>
    <w:div w:id="1978876563">
      <w:marLeft w:val="0"/>
      <w:marRight w:val="0"/>
      <w:marTop w:val="0"/>
      <w:marBottom w:val="0"/>
      <w:divBdr>
        <w:top w:val="none" w:sz="0" w:space="0" w:color="auto"/>
        <w:left w:val="none" w:sz="0" w:space="0" w:color="auto"/>
        <w:bottom w:val="none" w:sz="0" w:space="0" w:color="auto"/>
        <w:right w:val="none" w:sz="0" w:space="0" w:color="auto"/>
      </w:divBdr>
      <w:divsChild>
        <w:div w:id="37363023">
          <w:marLeft w:val="0"/>
          <w:marRight w:val="0"/>
          <w:marTop w:val="0"/>
          <w:marBottom w:val="100"/>
          <w:divBdr>
            <w:top w:val="none" w:sz="0" w:space="0" w:color="auto"/>
            <w:left w:val="none" w:sz="0" w:space="0" w:color="auto"/>
            <w:bottom w:val="none" w:sz="0" w:space="0" w:color="auto"/>
            <w:right w:val="none" w:sz="0" w:space="0" w:color="auto"/>
          </w:divBdr>
        </w:div>
      </w:divsChild>
    </w:div>
    <w:div w:id="1979721773">
      <w:marLeft w:val="0"/>
      <w:marRight w:val="0"/>
      <w:marTop w:val="0"/>
      <w:marBottom w:val="0"/>
      <w:divBdr>
        <w:top w:val="none" w:sz="0" w:space="0" w:color="auto"/>
        <w:left w:val="none" w:sz="0" w:space="0" w:color="auto"/>
        <w:bottom w:val="none" w:sz="0" w:space="0" w:color="auto"/>
        <w:right w:val="none" w:sz="0" w:space="0" w:color="auto"/>
      </w:divBdr>
    </w:div>
    <w:div w:id="1981956653">
      <w:marLeft w:val="0"/>
      <w:marRight w:val="0"/>
      <w:marTop w:val="180"/>
      <w:marBottom w:val="0"/>
      <w:divBdr>
        <w:top w:val="none" w:sz="0" w:space="0" w:color="auto"/>
        <w:left w:val="none" w:sz="0" w:space="0" w:color="auto"/>
        <w:bottom w:val="none" w:sz="0" w:space="0" w:color="auto"/>
        <w:right w:val="none" w:sz="0" w:space="0" w:color="auto"/>
      </w:divBdr>
    </w:div>
    <w:div w:id="1982728831">
      <w:marLeft w:val="0"/>
      <w:marRight w:val="0"/>
      <w:marTop w:val="0"/>
      <w:marBottom w:val="0"/>
      <w:divBdr>
        <w:top w:val="none" w:sz="0" w:space="0" w:color="auto"/>
        <w:left w:val="none" w:sz="0" w:space="0" w:color="auto"/>
        <w:bottom w:val="none" w:sz="0" w:space="0" w:color="auto"/>
        <w:right w:val="none" w:sz="0" w:space="0" w:color="auto"/>
      </w:divBdr>
    </w:div>
    <w:div w:id="1984697152">
      <w:marLeft w:val="0"/>
      <w:marRight w:val="0"/>
      <w:marTop w:val="0"/>
      <w:marBottom w:val="100"/>
      <w:divBdr>
        <w:top w:val="none" w:sz="0" w:space="0" w:color="auto"/>
        <w:left w:val="none" w:sz="0" w:space="0" w:color="auto"/>
        <w:bottom w:val="none" w:sz="0" w:space="0" w:color="auto"/>
        <w:right w:val="none" w:sz="0" w:space="0" w:color="auto"/>
      </w:divBdr>
    </w:div>
    <w:div w:id="1985548613">
      <w:marLeft w:val="0"/>
      <w:marRight w:val="0"/>
      <w:marTop w:val="0"/>
      <w:marBottom w:val="100"/>
      <w:divBdr>
        <w:top w:val="none" w:sz="0" w:space="0" w:color="auto"/>
        <w:left w:val="none" w:sz="0" w:space="0" w:color="auto"/>
        <w:bottom w:val="none" w:sz="0" w:space="0" w:color="auto"/>
        <w:right w:val="none" w:sz="0" w:space="0" w:color="auto"/>
      </w:divBdr>
    </w:div>
    <w:div w:id="1990401090">
      <w:marLeft w:val="0"/>
      <w:marRight w:val="0"/>
      <w:marTop w:val="0"/>
      <w:marBottom w:val="0"/>
      <w:divBdr>
        <w:top w:val="none" w:sz="0" w:space="0" w:color="auto"/>
        <w:left w:val="none" w:sz="0" w:space="0" w:color="auto"/>
        <w:bottom w:val="none" w:sz="0" w:space="0" w:color="auto"/>
        <w:right w:val="none" w:sz="0" w:space="0" w:color="auto"/>
      </w:divBdr>
    </w:div>
    <w:div w:id="1991520357">
      <w:marLeft w:val="0"/>
      <w:marRight w:val="0"/>
      <w:marTop w:val="180"/>
      <w:marBottom w:val="0"/>
      <w:divBdr>
        <w:top w:val="none" w:sz="0" w:space="0" w:color="auto"/>
        <w:left w:val="none" w:sz="0" w:space="0" w:color="auto"/>
        <w:bottom w:val="none" w:sz="0" w:space="0" w:color="auto"/>
        <w:right w:val="none" w:sz="0" w:space="0" w:color="auto"/>
      </w:divBdr>
    </w:div>
    <w:div w:id="1991980035">
      <w:marLeft w:val="0"/>
      <w:marRight w:val="0"/>
      <w:marTop w:val="0"/>
      <w:marBottom w:val="100"/>
      <w:divBdr>
        <w:top w:val="none" w:sz="0" w:space="0" w:color="auto"/>
        <w:left w:val="none" w:sz="0" w:space="0" w:color="auto"/>
        <w:bottom w:val="none" w:sz="0" w:space="0" w:color="auto"/>
        <w:right w:val="none" w:sz="0" w:space="0" w:color="auto"/>
      </w:divBdr>
    </w:div>
    <w:div w:id="1992053148">
      <w:marLeft w:val="0"/>
      <w:marRight w:val="0"/>
      <w:marTop w:val="180"/>
      <w:marBottom w:val="0"/>
      <w:divBdr>
        <w:top w:val="none" w:sz="0" w:space="0" w:color="auto"/>
        <w:left w:val="none" w:sz="0" w:space="0" w:color="auto"/>
        <w:bottom w:val="none" w:sz="0" w:space="0" w:color="auto"/>
        <w:right w:val="none" w:sz="0" w:space="0" w:color="auto"/>
      </w:divBdr>
    </w:div>
    <w:div w:id="1992444992">
      <w:marLeft w:val="0"/>
      <w:marRight w:val="0"/>
      <w:marTop w:val="0"/>
      <w:marBottom w:val="100"/>
      <w:divBdr>
        <w:top w:val="none" w:sz="0" w:space="0" w:color="auto"/>
        <w:left w:val="none" w:sz="0" w:space="0" w:color="auto"/>
        <w:bottom w:val="none" w:sz="0" w:space="0" w:color="auto"/>
        <w:right w:val="none" w:sz="0" w:space="0" w:color="auto"/>
      </w:divBdr>
    </w:div>
    <w:div w:id="1994210101">
      <w:marLeft w:val="0"/>
      <w:marRight w:val="0"/>
      <w:marTop w:val="0"/>
      <w:marBottom w:val="100"/>
      <w:divBdr>
        <w:top w:val="none" w:sz="0" w:space="0" w:color="auto"/>
        <w:left w:val="none" w:sz="0" w:space="0" w:color="auto"/>
        <w:bottom w:val="none" w:sz="0" w:space="0" w:color="auto"/>
        <w:right w:val="none" w:sz="0" w:space="0" w:color="auto"/>
      </w:divBdr>
    </w:div>
    <w:div w:id="1994676655">
      <w:marLeft w:val="0"/>
      <w:marRight w:val="0"/>
      <w:marTop w:val="0"/>
      <w:marBottom w:val="0"/>
      <w:divBdr>
        <w:top w:val="none" w:sz="0" w:space="0" w:color="auto"/>
        <w:left w:val="none" w:sz="0" w:space="0" w:color="auto"/>
        <w:bottom w:val="none" w:sz="0" w:space="0" w:color="auto"/>
        <w:right w:val="none" w:sz="0" w:space="0" w:color="auto"/>
      </w:divBdr>
      <w:divsChild>
        <w:div w:id="505903602">
          <w:marLeft w:val="0"/>
          <w:marRight w:val="0"/>
          <w:marTop w:val="0"/>
          <w:marBottom w:val="0"/>
          <w:divBdr>
            <w:top w:val="none" w:sz="0" w:space="0" w:color="auto"/>
            <w:left w:val="none" w:sz="0" w:space="0" w:color="auto"/>
            <w:bottom w:val="none" w:sz="0" w:space="0" w:color="auto"/>
            <w:right w:val="none" w:sz="0" w:space="0" w:color="auto"/>
          </w:divBdr>
          <w:divsChild>
            <w:div w:id="97178775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996031716">
      <w:marLeft w:val="0"/>
      <w:marRight w:val="0"/>
      <w:marTop w:val="0"/>
      <w:marBottom w:val="100"/>
      <w:divBdr>
        <w:top w:val="none" w:sz="0" w:space="0" w:color="auto"/>
        <w:left w:val="none" w:sz="0" w:space="0" w:color="auto"/>
        <w:bottom w:val="none" w:sz="0" w:space="0" w:color="auto"/>
        <w:right w:val="none" w:sz="0" w:space="0" w:color="auto"/>
      </w:divBdr>
    </w:div>
    <w:div w:id="1997224836">
      <w:marLeft w:val="0"/>
      <w:marRight w:val="0"/>
      <w:marTop w:val="0"/>
      <w:marBottom w:val="100"/>
      <w:divBdr>
        <w:top w:val="none" w:sz="0" w:space="0" w:color="auto"/>
        <w:left w:val="none" w:sz="0" w:space="0" w:color="auto"/>
        <w:bottom w:val="none" w:sz="0" w:space="0" w:color="auto"/>
        <w:right w:val="none" w:sz="0" w:space="0" w:color="auto"/>
      </w:divBdr>
    </w:div>
    <w:div w:id="2000381740">
      <w:marLeft w:val="0"/>
      <w:marRight w:val="0"/>
      <w:marTop w:val="0"/>
      <w:marBottom w:val="0"/>
      <w:divBdr>
        <w:top w:val="none" w:sz="0" w:space="0" w:color="auto"/>
        <w:left w:val="none" w:sz="0" w:space="0" w:color="auto"/>
        <w:bottom w:val="none" w:sz="0" w:space="0" w:color="auto"/>
        <w:right w:val="none" w:sz="0" w:space="0" w:color="auto"/>
      </w:divBdr>
    </w:div>
    <w:div w:id="2001082843">
      <w:marLeft w:val="0"/>
      <w:marRight w:val="0"/>
      <w:marTop w:val="0"/>
      <w:marBottom w:val="0"/>
      <w:divBdr>
        <w:top w:val="none" w:sz="0" w:space="0" w:color="auto"/>
        <w:left w:val="none" w:sz="0" w:space="0" w:color="auto"/>
        <w:bottom w:val="none" w:sz="0" w:space="0" w:color="auto"/>
        <w:right w:val="none" w:sz="0" w:space="0" w:color="auto"/>
      </w:divBdr>
      <w:divsChild>
        <w:div w:id="1840848147">
          <w:marLeft w:val="0"/>
          <w:marRight w:val="0"/>
          <w:marTop w:val="0"/>
          <w:marBottom w:val="0"/>
          <w:divBdr>
            <w:top w:val="none" w:sz="0" w:space="0" w:color="auto"/>
            <w:left w:val="none" w:sz="0" w:space="0" w:color="auto"/>
            <w:bottom w:val="none" w:sz="0" w:space="0" w:color="auto"/>
            <w:right w:val="none" w:sz="0" w:space="0" w:color="auto"/>
          </w:divBdr>
          <w:divsChild>
            <w:div w:id="15677017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001493826">
      <w:marLeft w:val="0"/>
      <w:marRight w:val="0"/>
      <w:marTop w:val="0"/>
      <w:marBottom w:val="0"/>
      <w:divBdr>
        <w:top w:val="none" w:sz="0" w:space="0" w:color="auto"/>
        <w:left w:val="none" w:sz="0" w:space="0" w:color="auto"/>
        <w:bottom w:val="none" w:sz="0" w:space="0" w:color="auto"/>
        <w:right w:val="none" w:sz="0" w:space="0" w:color="auto"/>
      </w:divBdr>
    </w:div>
    <w:div w:id="2002193704">
      <w:marLeft w:val="0"/>
      <w:marRight w:val="0"/>
      <w:marTop w:val="0"/>
      <w:marBottom w:val="100"/>
      <w:divBdr>
        <w:top w:val="none" w:sz="0" w:space="0" w:color="auto"/>
        <w:left w:val="none" w:sz="0" w:space="0" w:color="auto"/>
        <w:bottom w:val="none" w:sz="0" w:space="0" w:color="auto"/>
        <w:right w:val="none" w:sz="0" w:space="0" w:color="auto"/>
      </w:divBdr>
    </w:div>
    <w:div w:id="2002390794">
      <w:marLeft w:val="0"/>
      <w:marRight w:val="0"/>
      <w:marTop w:val="0"/>
      <w:marBottom w:val="0"/>
      <w:divBdr>
        <w:top w:val="none" w:sz="0" w:space="0" w:color="auto"/>
        <w:left w:val="none" w:sz="0" w:space="0" w:color="auto"/>
        <w:bottom w:val="none" w:sz="0" w:space="0" w:color="auto"/>
        <w:right w:val="none" w:sz="0" w:space="0" w:color="auto"/>
      </w:divBdr>
      <w:divsChild>
        <w:div w:id="402724058">
          <w:marLeft w:val="0"/>
          <w:marRight w:val="0"/>
          <w:marTop w:val="0"/>
          <w:marBottom w:val="0"/>
          <w:divBdr>
            <w:top w:val="none" w:sz="0" w:space="0" w:color="auto"/>
            <w:left w:val="none" w:sz="0" w:space="0" w:color="auto"/>
            <w:bottom w:val="none" w:sz="0" w:space="0" w:color="auto"/>
            <w:right w:val="none" w:sz="0" w:space="0" w:color="auto"/>
          </w:divBdr>
          <w:divsChild>
            <w:div w:id="835533842">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003968439">
      <w:marLeft w:val="0"/>
      <w:marRight w:val="0"/>
      <w:marTop w:val="100"/>
      <w:marBottom w:val="100"/>
      <w:divBdr>
        <w:top w:val="none" w:sz="0" w:space="0" w:color="auto"/>
        <w:left w:val="none" w:sz="0" w:space="0" w:color="auto"/>
        <w:bottom w:val="none" w:sz="0" w:space="0" w:color="auto"/>
        <w:right w:val="none" w:sz="0" w:space="0" w:color="auto"/>
      </w:divBdr>
    </w:div>
    <w:div w:id="2005085636">
      <w:marLeft w:val="0"/>
      <w:marRight w:val="0"/>
      <w:marTop w:val="0"/>
      <w:marBottom w:val="100"/>
      <w:divBdr>
        <w:top w:val="none" w:sz="0" w:space="0" w:color="auto"/>
        <w:left w:val="none" w:sz="0" w:space="0" w:color="auto"/>
        <w:bottom w:val="none" w:sz="0" w:space="0" w:color="auto"/>
        <w:right w:val="none" w:sz="0" w:space="0" w:color="auto"/>
      </w:divBdr>
    </w:div>
    <w:div w:id="2005164342">
      <w:marLeft w:val="0"/>
      <w:marRight w:val="0"/>
      <w:marTop w:val="0"/>
      <w:marBottom w:val="100"/>
      <w:divBdr>
        <w:top w:val="none" w:sz="0" w:space="0" w:color="auto"/>
        <w:left w:val="none" w:sz="0" w:space="0" w:color="auto"/>
        <w:bottom w:val="none" w:sz="0" w:space="0" w:color="auto"/>
        <w:right w:val="none" w:sz="0" w:space="0" w:color="auto"/>
      </w:divBdr>
    </w:div>
    <w:div w:id="2010520534">
      <w:marLeft w:val="0"/>
      <w:marRight w:val="0"/>
      <w:marTop w:val="0"/>
      <w:marBottom w:val="0"/>
      <w:divBdr>
        <w:top w:val="none" w:sz="0" w:space="0" w:color="auto"/>
        <w:left w:val="none" w:sz="0" w:space="0" w:color="auto"/>
        <w:bottom w:val="none" w:sz="0" w:space="0" w:color="auto"/>
        <w:right w:val="none" w:sz="0" w:space="0" w:color="auto"/>
      </w:divBdr>
      <w:divsChild>
        <w:div w:id="852763640">
          <w:marLeft w:val="0"/>
          <w:marRight w:val="0"/>
          <w:marTop w:val="0"/>
          <w:marBottom w:val="0"/>
          <w:divBdr>
            <w:top w:val="none" w:sz="0" w:space="0" w:color="auto"/>
            <w:left w:val="none" w:sz="0" w:space="0" w:color="auto"/>
            <w:bottom w:val="none" w:sz="0" w:space="0" w:color="auto"/>
            <w:right w:val="none" w:sz="0" w:space="0" w:color="auto"/>
          </w:divBdr>
          <w:divsChild>
            <w:div w:id="199059938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013676454">
      <w:marLeft w:val="0"/>
      <w:marRight w:val="0"/>
      <w:marTop w:val="0"/>
      <w:marBottom w:val="0"/>
      <w:divBdr>
        <w:top w:val="none" w:sz="0" w:space="0" w:color="auto"/>
        <w:left w:val="none" w:sz="0" w:space="0" w:color="auto"/>
        <w:bottom w:val="none" w:sz="0" w:space="0" w:color="auto"/>
        <w:right w:val="none" w:sz="0" w:space="0" w:color="auto"/>
      </w:divBdr>
      <w:divsChild>
        <w:div w:id="861671478">
          <w:marLeft w:val="0"/>
          <w:marRight w:val="0"/>
          <w:marTop w:val="0"/>
          <w:marBottom w:val="100"/>
          <w:divBdr>
            <w:top w:val="none" w:sz="0" w:space="0" w:color="auto"/>
            <w:left w:val="none" w:sz="0" w:space="0" w:color="auto"/>
            <w:bottom w:val="none" w:sz="0" w:space="0" w:color="auto"/>
            <w:right w:val="none" w:sz="0" w:space="0" w:color="auto"/>
          </w:divBdr>
        </w:div>
      </w:divsChild>
    </w:div>
    <w:div w:id="2013796419">
      <w:marLeft w:val="0"/>
      <w:marRight w:val="0"/>
      <w:marTop w:val="0"/>
      <w:marBottom w:val="100"/>
      <w:divBdr>
        <w:top w:val="none" w:sz="0" w:space="0" w:color="auto"/>
        <w:left w:val="none" w:sz="0" w:space="0" w:color="auto"/>
        <w:bottom w:val="none" w:sz="0" w:space="0" w:color="auto"/>
        <w:right w:val="none" w:sz="0" w:space="0" w:color="auto"/>
      </w:divBdr>
    </w:div>
    <w:div w:id="2014215181">
      <w:marLeft w:val="0"/>
      <w:marRight w:val="0"/>
      <w:marTop w:val="0"/>
      <w:marBottom w:val="0"/>
      <w:divBdr>
        <w:top w:val="none" w:sz="0" w:space="0" w:color="auto"/>
        <w:left w:val="none" w:sz="0" w:space="0" w:color="auto"/>
        <w:bottom w:val="none" w:sz="0" w:space="0" w:color="auto"/>
        <w:right w:val="none" w:sz="0" w:space="0" w:color="auto"/>
      </w:divBdr>
      <w:divsChild>
        <w:div w:id="1110859282">
          <w:marLeft w:val="0"/>
          <w:marRight w:val="0"/>
          <w:marTop w:val="0"/>
          <w:marBottom w:val="100"/>
          <w:divBdr>
            <w:top w:val="none" w:sz="0" w:space="0" w:color="auto"/>
            <w:left w:val="none" w:sz="0" w:space="0" w:color="auto"/>
            <w:bottom w:val="none" w:sz="0" w:space="0" w:color="auto"/>
            <w:right w:val="none" w:sz="0" w:space="0" w:color="auto"/>
          </w:divBdr>
        </w:div>
      </w:divsChild>
    </w:div>
    <w:div w:id="2015574539">
      <w:marLeft w:val="0"/>
      <w:marRight w:val="0"/>
      <w:marTop w:val="0"/>
      <w:marBottom w:val="100"/>
      <w:divBdr>
        <w:top w:val="none" w:sz="0" w:space="0" w:color="auto"/>
        <w:left w:val="none" w:sz="0" w:space="0" w:color="auto"/>
        <w:bottom w:val="none" w:sz="0" w:space="0" w:color="auto"/>
        <w:right w:val="none" w:sz="0" w:space="0" w:color="auto"/>
      </w:divBdr>
    </w:div>
    <w:div w:id="2016221339">
      <w:marLeft w:val="0"/>
      <w:marRight w:val="0"/>
      <w:marTop w:val="0"/>
      <w:marBottom w:val="100"/>
      <w:divBdr>
        <w:top w:val="none" w:sz="0" w:space="0" w:color="auto"/>
        <w:left w:val="none" w:sz="0" w:space="0" w:color="auto"/>
        <w:bottom w:val="none" w:sz="0" w:space="0" w:color="auto"/>
        <w:right w:val="none" w:sz="0" w:space="0" w:color="auto"/>
      </w:divBdr>
    </w:div>
    <w:div w:id="2016682730">
      <w:marLeft w:val="0"/>
      <w:marRight w:val="0"/>
      <w:marTop w:val="0"/>
      <w:marBottom w:val="100"/>
      <w:divBdr>
        <w:top w:val="none" w:sz="0" w:space="0" w:color="auto"/>
        <w:left w:val="none" w:sz="0" w:space="0" w:color="auto"/>
        <w:bottom w:val="none" w:sz="0" w:space="0" w:color="auto"/>
        <w:right w:val="none" w:sz="0" w:space="0" w:color="auto"/>
      </w:divBdr>
    </w:div>
    <w:div w:id="2017295403">
      <w:marLeft w:val="0"/>
      <w:marRight w:val="0"/>
      <w:marTop w:val="0"/>
      <w:marBottom w:val="100"/>
      <w:divBdr>
        <w:top w:val="none" w:sz="0" w:space="0" w:color="auto"/>
        <w:left w:val="none" w:sz="0" w:space="0" w:color="auto"/>
        <w:bottom w:val="none" w:sz="0" w:space="0" w:color="auto"/>
        <w:right w:val="none" w:sz="0" w:space="0" w:color="auto"/>
      </w:divBdr>
    </w:div>
    <w:div w:id="2017998081">
      <w:marLeft w:val="0"/>
      <w:marRight w:val="0"/>
      <w:marTop w:val="0"/>
      <w:marBottom w:val="0"/>
      <w:divBdr>
        <w:top w:val="none" w:sz="0" w:space="0" w:color="auto"/>
        <w:left w:val="none" w:sz="0" w:space="0" w:color="auto"/>
        <w:bottom w:val="none" w:sz="0" w:space="0" w:color="auto"/>
        <w:right w:val="none" w:sz="0" w:space="0" w:color="auto"/>
      </w:divBdr>
      <w:divsChild>
        <w:div w:id="1198349455">
          <w:marLeft w:val="0"/>
          <w:marRight w:val="0"/>
          <w:marTop w:val="0"/>
          <w:marBottom w:val="100"/>
          <w:divBdr>
            <w:top w:val="none" w:sz="0" w:space="0" w:color="auto"/>
            <w:left w:val="none" w:sz="0" w:space="0" w:color="auto"/>
            <w:bottom w:val="none" w:sz="0" w:space="0" w:color="auto"/>
            <w:right w:val="none" w:sz="0" w:space="0" w:color="auto"/>
          </w:divBdr>
        </w:div>
      </w:divsChild>
    </w:div>
    <w:div w:id="2018800386">
      <w:marLeft w:val="0"/>
      <w:marRight w:val="0"/>
      <w:marTop w:val="0"/>
      <w:marBottom w:val="100"/>
      <w:divBdr>
        <w:top w:val="none" w:sz="0" w:space="0" w:color="auto"/>
        <w:left w:val="none" w:sz="0" w:space="0" w:color="auto"/>
        <w:bottom w:val="none" w:sz="0" w:space="0" w:color="auto"/>
        <w:right w:val="none" w:sz="0" w:space="0" w:color="auto"/>
      </w:divBdr>
    </w:div>
    <w:div w:id="2019038470">
      <w:marLeft w:val="0"/>
      <w:marRight w:val="0"/>
      <w:marTop w:val="0"/>
      <w:marBottom w:val="100"/>
      <w:divBdr>
        <w:top w:val="none" w:sz="0" w:space="0" w:color="auto"/>
        <w:left w:val="none" w:sz="0" w:space="0" w:color="auto"/>
        <w:bottom w:val="none" w:sz="0" w:space="0" w:color="auto"/>
        <w:right w:val="none" w:sz="0" w:space="0" w:color="auto"/>
      </w:divBdr>
    </w:div>
    <w:div w:id="2019110685">
      <w:marLeft w:val="0"/>
      <w:marRight w:val="0"/>
      <w:marTop w:val="0"/>
      <w:marBottom w:val="100"/>
      <w:divBdr>
        <w:top w:val="none" w:sz="0" w:space="0" w:color="auto"/>
        <w:left w:val="none" w:sz="0" w:space="0" w:color="auto"/>
        <w:bottom w:val="none" w:sz="0" w:space="0" w:color="auto"/>
        <w:right w:val="none" w:sz="0" w:space="0" w:color="auto"/>
      </w:divBdr>
    </w:div>
    <w:div w:id="2019118489">
      <w:marLeft w:val="0"/>
      <w:marRight w:val="0"/>
      <w:marTop w:val="0"/>
      <w:marBottom w:val="0"/>
      <w:divBdr>
        <w:top w:val="none" w:sz="0" w:space="0" w:color="auto"/>
        <w:left w:val="none" w:sz="0" w:space="0" w:color="auto"/>
        <w:bottom w:val="none" w:sz="0" w:space="0" w:color="auto"/>
        <w:right w:val="none" w:sz="0" w:space="0" w:color="auto"/>
      </w:divBdr>
      <w:divsChild>
        <w:div w:id="759909611">
          <w:marLeft w:val="0"/>
          <w:marRight w:val="0"/>
          <w:marTop w:val="0"/>
          <w:marBottom w:val="100"/>
          <w:divBdr>
            <w:top w:val="none" w:sz="0" w:space="0" w:color="auto"/>
            <w:left w:val="none" w:sz="0" w:space="0" w:color="auto"/>
            <w:bottom w:val="none" w:sz="0" w:space="0" w:color="auto"/>
            <w:right w:val="none" w:sz="0" w:space="0" w:color="auto"/>
          </w:divBdr>
        </w:div>
      </w:divsChild>
    </w:div>
    <w:div w:id="2024742373">
      <w:marLeft w:val="0"/>
      <w:marRight w:val="0"/>
      <w:marTop w:val="0"/>
      <w:marBottom w:val="100"/>
      <w:divBdr>
        <w:top w:val="none" w:sz="0" w:space="0" w:color="auto"/>
        <w:left w:val="none" w:sz="0" w:space="0" w:color="auto"/>
        <w:bottom w:val="none" w:sz="0" w:space="0" w:color="auto"/>
        <w:right w:val="none" w:sz="0" w:space="0" w:color="auto"/>
      </w:divBdr>
    </w:div>
    <w:div w:id="2028166802">
      <w:marLeft w:val="0"/>
      <w:marRight w:val="0"/>
      <w:marTop w:val="0"/>
      <w:marBottom w:val="0"/>
      <w:divBdr>
        <w:top w:val="none" w:sz="0" w:space="0" w:color="auto"/>
        <w:left w:val="none" w:sz="0" w:space="0" w:color="auto"/>
        <w:bottom w:val="none" w:sz="0" w:space="0" w:color="auto"/>
        <w:right w:val="none" w:sz="0" w:space="0" w:color="auto"/>
      </w:divBdr>
      <w:divsChild>
        <w:div w:id="1987659554">
          <w:marLeft w:val="0"/>
          <w:marRight w:val="0"/>
          <w:marTop w:val="0"/>
          <w:marBottom w:val="0"/>
          <w:divBdr>
            <w:top w:val="none" w:sz="0" w:space="0" w:color="auto"/>
            <w:left w:val="none" w:sz="0" w:space="0" w:color="auto"/>
            <w:bottom w:val="none" w:sz="0" w:space="0" w:color="auto"/>
            <w:right w:val="none" w:sz="0" w:space="0" w:color="auto"/>
          </w:divBdr>
          <w:divsChild>
            <w:div w:id="24322722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031761156">
      <w:marLeft w:val="0"/>
      <w:marRight w:val="0"/>
      <w:marTop w:val="180"/>
      <w:marBottom w:val="0"/>
      <w:divBdr>
        <w:top w:val="none" w:sz="0" w:space="0" w:color="auto"/>
        <w:left w:val="none" w:sz="0" w:space="0" w:color="auto"/>
        <w:bottom w:val="none" w:sz="0" w:space="0" w:color="auto"/>
        <w:right w:val="none" w:sz="0" w:space="0" w:color="auto"/>
      </w:divBdr>
    </w:div>
    <w:div w:id="2033144240">
      <w:marLeft w:val="0"/>
      <w:marRight w:val="0"/>
      <w:marTop w:val="0"/>
      <w:marBottom w:val="100"/>
      <w:divBdr>
        <w:top w:val="none" w:sz="0" w:space="0" w:color="auto"/>
        <w:left w:val="none" w:sz="0" w:space="0" w:color="auto"/>
        <w:bottom w:val="none" w:sz="0" w:space="0" w:color="auto"/>
        <w:right w:val="none" w:sz="0" w:space="0" w:color="auto"/>
      </w:divBdr>
    </w:div>
    <w:div w:id="2033652890">
      <w:marLeft w:val="0"/>
      <w:marRight w:val="0"/>
      <w:marTop w:val="0"/>
      <w:marBottom w:val="100"/>
      <w:divBdr>
        <w:top w:val="none" w:sz="0" w:space="0" w:color="auto"/>
        <w:left w:val="none" w:sz="0" w:space="0" w:color="auto"/>
        <w:bottom w:val="none" w:sz="0" w:space="0" w:color="auto"/>
        <w:right w:val="none" w:sz="0" w:space="0" w:color="auto"/>
      </w:divBdr>
    </w:div>
    <w:div w:id="2035037859">
      <w:marLeft w:val="0"/>
      <w:marRight w:val="0"/>
      <w:marTop w:val="0"/>
      <w:marBottom w:val="100"/>
      <w:divBdr>
        <w:top w:val="none" w:sz="0" w:space="0" w:color="auto"/>
        <w:left w:val="none" w:sz="0" w:space="0" w:color="auto"/>
        <w:bottom w:val="none" w:sz="0" w:space="0" w:color="auto"/>
        <w:right w:val="none" w:sz="0" w:space="0" w:color="auto"/>
      </w:divBdr>
    </w:div>
    <w:div w:id="2035687004">
      <w:marLeft w:val="0"/>
      <w:marRight w:val="0"/>
      <w:marTop w:val="0"/>
      <w:marBottom w:val="0"/>
      <w:divBdr>
        <w:top w:val="none" w:sz="0" w:space="0" w:color="auto"/>
        <w:left w:val="none" w:sz="0" w:space="0" w:color="auto"/>
        <w:bottom w:val="none" w:sz="0" w:space="0" w:color="auto"/>
        <w:right w:val="none" w:sz="0" w:space="0" w:color="auto"/>
      </w:divBdr>
      <w:divsChild>
        <w:div w:id="962228055">
          <w:marLeft w:val="0"/>
          <w:marRight w:val="0"/>
          <w:marTop w:val="0"/>
          <w:marBottom w:val="100"/>
          <w:divBdr>
            <w:top w:val="none" w:sz="0" w:space="0" w:color="auto"/>
            <w:left w:val="none" w:sz="0" w:space="0" w:color="auto"/>
            <w:bottom w:val="none" w:sz="0" w:space="0" w:color="auto"/>
            <w:right w:val="none" w:sz="0" w:space="0" w:color="auto"/>
          </w:divBdr>
        </w:div>
      </w:divsChild>
    </w:div>
    <w:div w:id="2036929238">
      <w:marLeft w:val="0"/>
      <w:marRight w:val="0"/>
      <w:marTop w:val="0"/>
      <w:marBottom w:val="0"/>
      <w:divBdr>
        <w:top w:val="none" w:sz="0" w:space="0" w:color="auto"/>
        <w:left w:val="none" w:sz="0" w:space="0" w:color="auto"/>
        <w:bottom w:val="none" w:sz="0" w:space="0" w:color="auto"/>
        <w:right w:val="none" w:sz="0" w:space="0" w:color="auto"/>
      </w:divBdr>
    </w:div>
    <w:div w:id="2038460267">
      <w:marLeft w:val="0"/>
      <w:marRight w:val="0"/>
      <w:marTop w:val="180"/>
      <w:marBottom w:val="0"/>
      <w:divBdr>
        <w:top w:val="none" w:sz="0" w:space="0" w:color="auto"/>
        <w:left w:val="none" w:sz="0" w:space="0" w:color="auto"/>
        <w:bottom w:val="none" w:sz="0" w:space="0" w:color="auto"/>
        <w:right w:val="none" w:sz="0" w:space="0" w:color="auto"/>
      </w:divBdr>
    </w:div>
    <w:div w:id="2038965572">
      <w:marLeft w:val="0"/>
      <w:marRight w:val="0"/>
      <w:marTop w:val="0"/>
      <w:marBottom w:val="0"/>
      <w:divBdr>
        <w:top w:val="none" w:sz="0" w:space="0" w:color="auto"/>
        <w:left w:val="none" w:sz="0" w:space="0" w:color="auto"/>
        <w:bottom w:val="none" w:sz="0" w:space="0" w:color="auto"/>
        <w:right w:val="none" w:sz="0" w:space="0" w:color="auto"/>
      </w:divBdr>
      <w:divsChild>
        <w:div w:id="632250097">
          <w:marLeft w:val="0"/>
          <w:marRight w:val="0"/>
          <w:marTop w:val="0"/>
          <w:marBottom w:val="100"/>
          <w:divBdr>
            <w:top w:val="none" w:sz="0" w:space="0" w:color="auto"/>
            <w:left w:val="none" w:sz="0" w:space="0" w:color="auto"/>
            <w:bottom w:val="none" w:sz="0" w:space="0" w:color="auto"/>
            <w:right w:val="none" w:sz="0" w:space="0" w:color="auto"/>
          </w:divBdr>
        </w:div>
      </w:divsChild>
    </w:div>
    <w:div w:id="2040275506">
      <w:marLeft w:val="0"/>
      <w:marRight w:val="0"/>
      <w:marTop w:val="0"/>
      <w:marBottom w:val="0"/>
      <w:divBdr>
        <w:top w:val="none" w:sz="0" w:space="0" w:color="auto"/>
        <w:left w:val="none" w:sz="0" w:space="0" w:color="auto"/>
        <w:bottom w:val="none" w:sz="0" w:space="0" w:color="auto"/>
        <w:right w:val="none" w:sz="0" w:space="0" w:color="auto"/>
      </w:divBdr>
      <w:divsChild>
        <w:div w:id="1805539024">
          <w:marLeft w:val="0"/>
          <w:marRight w:val="0"/>
          <w:marTop w:val="0"/>
          <w:marBottom w:val="100"/>
          <w:divBdr>
            <w:top w:val="none" w:sz="0" w:space="0" w:color="auto"/>
            <w:left w:val="none" w:sz="0" w:space="0" w:color="auto"/>
            <w:bottom w:val="none" w:sz="0" w:space="0" w:color="auto"/>
            <w:right w:val="none" w:sz="0" w:space="0" w:color="auto"/>
          </w:divBdr>
        </w:div>
      </w:divsChild>
    </w:div>
    <w:div w:id="2040930706">
      <w:marLeft w:val="0"/>
      <w:marRight w:val="0"/>
      <w:marTop w:val="100"/>
      <w:marBottom w:val="0"/>
      <w:divBdr>
        <w:top w:val="none" w:sz="0" w:space="0" w:color="auto"/>
        <w:left w:val="none" w:sz="0" w:space="0" w:color="auto"/>
        <w:bottom w:val="none" w:sz="0" w:space="0" w:color="auto"/>
        <w:right w:val="none" w:sz="0" w:space="0" w:color="auto"/>
      </w:divBdr>
      <w:divsChild>
        <w:div w:id="647855971">
          <w:marLeft w:val="0"/>
          <w:marRight w:val="0"/>
          <w:marTop w:val="0"/>
          <w:marBottom w:val="0"/>
          <w:divBdr>
            <w:top w:val="none" w:sz="0" w:space="0" w:color="auto"/>
            <w:left w:val="none" w:sz="0" w:space="0" w:color="auto"/>
            <w:bottom w:val="none" w:sz="0" w:space="0" w:color="auto"/>
            <w:right w:val="none" w:sz="0" w:space="0" w:color="auto"/>
          </w:divBdr>
        </w:div>
      </w:divsChild>
    </w:div>
    <w:div w:id="2042315937">
      <w:marLeft w:val="0"/>
      <w:marRight w:val="0"/>
      <w:marTop w:val="0"/>
      <w:marBottom w:val="0"/>
      <w:divBdr>
        <w:top w:val="none" w:sz="0" w:space="0" w:color="auto"/>
        <w:left w:val="none" w:sz="0" w:space="0" w:color="auto"/>
        <w:bottom w:val="none" w:sz="0" w:space="0" w:color="auto"/>
        <w:right w:val="none" w:sz="0" w:space="0" w:color="auto"/>
      </w:divBdr>
      <w:divsChild>
        <w:div w:id="1484854647">
          <w:marLeft w:val="0"/>
          <w:marRight w:val="0"/>
          <w:marTop w:val="0"/>
          <w:marBottom w:val="0"/>
          <w:divBdr>
            <w:top w:val="none" w:sz="0" w:space="0" w:color="auto"/>
            <w:left w:val="none" w:sz="0" w:space="0" w:color="auto"/>
            <w:bottom w:val="none" w:sz="0" w:space="0" w:color="auto"/>
            <w:right w:val="none" w:sz="0" w:space="0" w:color="auto"/>
          </w:divBdr>
          <w:divsChild>
            <w:div w:id="41053983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042779664">
      <w:marLeft w:val="0"/>
      <w:marRight w:val="0"/>
      <w:marTop w:val="0"/>
      <w:marBottom w:val="0"/>
      <w:divBdr>
        <w:top w:val="none" w:sz="0" w:space="0" w:color="auto"/>
        <w:left w:val="none" w:sz="0" w:space="0" w:color="auto"/>
        <w:bottom w:val="none" w:sz="0" w:space="0" w:color="auto"/>
        <w:right w:val="none" w:sz="0" w:space="0" w:color="auto"/>
      </w:divBdr>
      <w:divsChild>
        <w:div w:id="165247928">
          <w:marLeft w:val="0"/>
          <w:marRight w:val="0"/>
          <w:marTop w:val="0"/>
          <w:marBottom w:val="0"/>
          <w:divBdr>
            <w:top w:val="none" w:sz="0" w:space="0" w:color="auto"/>
            <w:left w:val="none" w:sz="0" w:space="0" w:color="auto"/>
            <w:bottom w:val="none" w:sz="0" w:space="0" w:color="auto"/>
            <w:right w:val="none" w:sz="0" w:space="0" w:color="auto"/>
          </w:divBdr>
          <w:divsChild>
            <w:div w:id="92249407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043281871">
      <w:marLeft w:val="0"/>
      <w:marRight w:val="0"/>
      <w:marTop w:val="180"/>
      <w:marBottom w:val="0"/>
      <w:divBdr>
        <w:top w:val="none" w:sz="0" w:space="0" w:color="auto"/>
        <w:left w:val="none" w:sz="0" w:space="0" w:color="auto"/>
        <w:bottom w:val="none" w:sz="0" w:space="0" w:color="auto"/>
        <w:right w:val="none" w:sz="0" w:space="0" w:color="auto"/>
      </w:divBdr>
    </w:div>
    <w:div w:id="2043435227">
      <w:marLeft w:val="0"/>
      <w:marRight w:val="0"/>
      <w:marTop w:val="180"/>
      <w:marBottom w:val="100"/>
      <w:divBdr>
        <w:top w:val="none" w:sz="0" w:space="0" w:color="auto"/>
        <w:left w:val="none" w:sz="0" w:space="0" w:color="auto"/>
        <w:bottom w:val="none" w:sz="0" w:space="0" w:color="auto"/>
        <w:right w:val="none" w:sz="0" w:space="0" w:color="auto"/>
      </w:divBdr>
    </w:div>
    <w:div w:id="2047901359">
      <w:marLeft w:val="0"/>
      <w:marRight w:val="0"/>
      <w:marTop w:val="0"/>
      <w:marBottom w:val="100"/>
      <w:divBdr>
        <w:top w:val="none" w:sz="0" w:space="0" w:color="auto"/>
        <w:left w:val="none" w:sz="0" w:space="0" w:color="auto"/>
        <w:bottom w:val="none" w:sz="0" w:space="0" w:color="auto"/>
        <w:right w:val="none" w:sz="0" w:space="0" w:color="auto"/>
      </w:divBdr>
    </w:div>
    <w:div w:id="2048484657">
      <w:marLeft w:val="0"/>
      <w:marRight w:val="0"/>
      <w:marTop w:val="180"/>
      <w:marBottom w:val="0"/>
      <w:divBdr>
        <w:top w:val="none" w:sz="0" w:space="0" w:color="auto"/>
        <w:left w:val="none" w:sz="0" w:space="0" w:color="auto"/>
        <w:bottom w:val="none" w:sz="0" w:space="0" w:color="auto"/>
        <w:right w:val="none" w:sz="0" w:space="0" w:color="auto"/>
      </w:divBdr>
    </w:div>
    <w:div w:id="2050259615">
      <w:marLeft w:val="0"/>
      <w:marRight w:val="0"/>
      <w:marTop w:val="0"/>
      <w:marBottom w:val="100"/>
      <w:divBdr>
        <w:top w:val="none" w:sz="0" w:space="0" w:color="auto"/>
        <w:left w:val="none" w:sz="0" w:space="0" w:color="auto"/>
        <w:bottom w:val="none" w:sz="0" w:space="0" w:color="auto"/>
        <w:right w:val="none" w:sz="0" w:space="0" w:color="auto"/>
      </w:divBdr>
    </w:div>
    <w:div w:id="2051146918">
      <w:marLeft w:val="0"/>
      <w:marRight w:val="0"/>
      <w:marTop w:val="80"/>
      <w:marBottom w:val="0"/>
      <w:divBdr>
        <w:top w:val="none" w:sz="0" w:space="0" w:color="auto"/>
        <w:left w:val="none" w:sz="0" w:space="0" w:color="auto"/>
        <w:bottom w:val="none" w:sz="0" w:space="0" w:color="auto"/>
        <w:right w:val="none" w:sz="0" w:space="0" w:color="auto"/>
      </w:divBdr>
    </w:div>
    <w:div w:id="2054649604">
      <w:marLeft w:val="0"/>
      <w:marRight w:val="0"/>
      <w:marTop w:val="0"/>
      <w:marBottom w:val="100"/>
      <w:divBdr>
        <w:top w:val="none" w:sz="0" w:space="0" w:color="auto"/>
        <w:left w:val="none" w:sz="0" w:space="0" w:color="auto"/>
        <w:bottom w:val="none" w:sz="0" w:space="0" w:color="auto"/>
        <w:right w:val="none" w:sz="0" w:space="0" w:color="auto"/>
      </w:divBdr>
    </w:div>
    <w:div w:id="2061634882">
      <w:marLeft w:val="0"/>
      <w:marRight w:val="0"/>
      <w:marTop w:val="0"/>
      <w:marBottom w:val="0"/>
      <w:divBdr>
        <w:top w:val="none" w:sz="0" w:space="0" w:color="auto"/>
        <w:left w:val="none" w:sz="0" w:space="0" w:color="auto"/>
        <w:bottom w:val="none" w:sz="0" w:space="0" w:color="auto"/>
        <w:right w:val="none" w:sz="0" w:space="0" w:color="auto"/>
      </w:divBdr>
      <w:divsChild>
        <w:div w:id="18051934">
          <w:marLeft w:val="0"/>
          <w:marRight w:val="0"/>
          <w:marTop w:val="0"/>
          <w:marBottom w:val="0"/>
          <w:divBdr>
            <w:top w:val="none" w:sz="0" w:space="0" w:color="auto"/>
            <w:left w:val="none" w:sz="0" w:space="0" w:color="auto"/>
            <w:bottom w:val="none" w:sz="0" w:space="0" w:color="auto"/>
            <w:right w:val="none" w:sz="0" w:space="0" w:color="auto"/>
          </w:divBdr>
          <w:divsChild>
            <w:div w:id="165421660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062365824">
      <w:marLeft w:val="0"/>
      <w:marRight w:val="0"/>
      <w:marTop w:val="180"/>
      <w:marBottom w:val="0"/>
      <w:divBdr>
        <w:top w:val="none" w:sz="0" w:space="0" w:color="auto"/>
        <w:left w:val="none" w:sz="0" w:space="0" w:color="auto"/>
        <w:bottom w:val="none" w:sz="0" w:space="0" w:color="auto"/>
        <w:right w:val="none" w:sz="0" w:space="0" w:color="auto"/>
      </w:divBdr>
    </w:div>
    <w:div w:id="2064257477">
      <w:marLeft w:val="0"/>
      <w:marRight w:val="0"/>
      <w:marTop w:val="0"/>
      <w:marBottom w:val="100"/>
      <w:divBdr>
        <w:top w:val="none" w:sz="0" w:space="0" w:color="auto"/>
        <w:left w:val="none" w:sz="0" w:space="0" w:color="auto"/>
        <w:bottom w:val="none" w:sz="0" w:space="0" w:color="auto"/>
        <w:right w:val="none" w:sz="0" w:space="0" w:color="auto"/>
      </w:divBdr>
    </w:div>
    <w:div w:id="2068987888">
      <w:marLeft w:val="0"/>
      <w:marRight w:val="0"/>
      <w:marTop w:val="0"/>
      <w:marBottom w:val="100"/>
      <w:divBdr>
        <w:top w:val="none" w:sz="0" w:space="0" w:color="auto"/>
        <w:left w:val="none" w:sz="0" w:space="0" w:color="auto"/>
        <w:bottom w:val="none" w:sz="0" w:space="0" w:color="auto"/>
        <w:right w:val="none" w:sz="0" w:space="0" w:color="auto"/>
      </w:divBdr>
    </w:div>
    <w:div w:id="2070029111">
      <w:marLeft w:val="0"/>
      <w:marRight w:val="0"/>
      <w:marTop w:val="0"/>
      <w:marBottom w:val="100"/>
      <w:divBdr>
        <w:top w:val="none" w:sz="0" w:space="0" w:color="auto"/>
        <w:left w:val="none" w:sz="0" w:space="0" w:color="auto"/>
        <w:bottom w:val="none" w:sz="0" w:space="0" w:color="auto"/>
        <w:right w:val="none" w:sz="0" w:space="0" w:color="auto"/>
      </w:divBdr>
    </w:div>
    <w:div w:id="2071539627">
      <w:marLeft w:val="0"/>
      <w:marRight w:val="0"/>
      <w:marTop w:val="180"/>
      <w:marBottom w:val="0"/>
      <w:divBdr>
        <w:top w:val="none" w:sz="0" w:space="0" w:color="auto"/>
        <w:left w:val="none" w:sz="0" w:space="0" w:color="auto"/>
        <w:bottom w:val="none" w:sz="0" w:space="0" w:color="auto"/>
        <w:right w:val="none" w:sz="0" w:space="0" w:color="auto"/>
      </w:divBdr>
    </w:div>
    <w:div w:id="2072387142">
      <w:marLeft w:val="0"/>
      <w:marRight w:val="0"/>
      <w:marTop w:val="0"/>
      <w:marBottom w:val="100"/>
      <w:divBdr>
        <w:top w:val="none" w:sz="0" w:space="0" w:color="auto"/>
        <w:left w:val="none" w:sz="0" w:space="0" w:color="auto"/>
        <w:bottom w:val="none" w:sz="0" w:space="0" w:color="auto"/>
        <w:right w:val="none" w:sz="0" w:space="0" w:color="auto"/>
      </w:divBdr>
    </w:div>
    <w:div w:id="2072464929">
      <w:marLeft w:val="0"/>
      <w:marRight w:val="0"/>
      <w:marTop w:val="180"/>
      <w:marBottom w:val="0"/>
      <w:divBdr>
        <w:top w:val="none" w:sz="0" w:space="0" w:color="auto"/>
        <w:left w:val="none" w:sz="0" w:space="0" w:color="auto"/>
        <w:bottom w:val="none" w:sz="0" w:space="0" w:color="auto"/>
        <w:right w:val="none" w:sz="0" w:space="0" w:color="auto"/>
      </w:divBdr>
    </w:div>
    <w:div w:id="2073692176">
      <w:marLeft w:val="0"/>
      <w:marRight w:val="0"/>
      <w:marTop w:val="0"/>
      <w:marBottom w:val="0"/>
      <w:divBdr>
        <w:top w:val="none" w:sz="0" w:space="0" w:color="auto"/>
        <w:left w:val="none" w:sz="0" w:space="0" w:color="auto"/>
        <w:bottom w:val="none" w:sz="0" w:space="0" w:color="auto"/>
        <w:right w:val="none" w:sz="0" w:space="0" w:color="auto"/>
      </w:divBdr>
      <w:divsChild>
        <w:div w:id="295650342">
          <w:marLeft w:val="0"/>
          <w:marRight w:val="0"/>
          <w:marTop w:val="0"/>
          <w:marBottom w:val="100"/>
          <w:divBdr>
            <w:top w:val="none" w:sz="0" w:space="0" w:color="auto"/>
            <w:left w:val="none" w:sz="0" w:space="0" w:color="auto"/>
            <w:bottom w:val="none" w:sz="0" w:space="0" w:color="auto"/>
            <w:right w:val="none" w:sz="0" w:space="0" w:color="auto"/>
          </w:divBdr>
        </w:div>
      </w:divsChild>
    </w:div>
    <w:div w:id="2075927471">
      <w:marLeft w:val="0"/>
      <w:marRight w:val="0"/>
      <w:marTop w:val="0"/>
      <w:marBottom w:val="0"/>
      <w:divBdr>
        <w:top w:val="none" w:sz="0" w:space="0" w:color="auto"/>
        <w:left w:val="none" w:sz="0" w:space="0" w:color="auto"/>
        <w:bottom w:val="none" w:sz="0" w:space="0" w:color="auto"/>
        <w:right w:val="none" w:sz="0" w:space="0" w:color="auto"/>
      </w:divBdr>
    </w:div>
    <w:div w:id="2078478303">
      <w:marLeft w:val="0"/>
      <w:marRight w:val="0"/>
      <w:marTop w:val="0"/>
      <w:marBottom w:val="0"/>
      <w:divBdr>
        <w:top w:val="none" w:sz="0" w:space="0" w:color="auto"/>
        <w:left w:val="none" w:sz="0" w:space="0" w:color="auto"/>
        <w:bottom w:val="none" w:sz="0" w:space="0" w:color="auto"/>
        <w:right w:val="none" w:sz="0" w:space="0" w:color="auto"/>
      </w:divBdr>
    </w:div>
    <w:div w:id="2079089509">
      <w:marLeft w:val="0"/>
      <w:marRight w:val="0"/>
      <w:marTop w:val="0"/>
      <w:marBottom w:val="100"/>
      <w:divBdr>
        <w:top w:val="none" w:sz="0" w:space="0" w:color="auto"/>
        <w:left w:val="none" w:sz="0" w:space="0" w:color="auto"/>
        <w:bottom w:val="none" w:sz="0" w:space="0" w:color="auto"/>
        <w:right w:val="none" w:sz="0" w:space="0" w:color="auto"/>
      </w:divBdr>
    </w:div>
    <w:div w:id="2079857248">
      <w:marLeft w:val="0"/>
      <w:marRight w:val="0"/>
      <w:marTop w:val="0"/>
      <w:marBottom w:val="100"/>
      <w:divBdr>
        <w:top w:val="none" w:sz="0" w:space="0" w:color="auto"/>
        <w:left w:val="none" w:sz="0" w:space="0" w:color="auto"/>
        <w:bottom w:val="none" w:sz="0" w:space="0" w:color="auto"/>
        <w:right w:val="none" w:sz="0" w:space="0" w:color="auto"/>
      </w:divBdr>
    </w:div>
    <w:div w:id="2082098720">
      <w:marLeft w:val="0"/>
      <w:marRight w:val="0"/>
      <w:marTop w:val="0"/>
      <w:marBottom w:val="100"/>
      <w:divBdr>
        <w:top w:val="none" w:sz="0" w:space="0" w:color="auto"/>
        <w:left w:val="none" w:sz="0" w:space="0" w:color="auto"/>
        <w:bottom w:val="none" w:sz="0" w:space="0" w:color="auto"/>
        <w:right w:val="none" w:sz="0" w:space="0" w:color="auto"/>
      </w:divBdr>
    </w:div>
    <w:div w:id="2082831488">
      <w:marLeft w:val="0"/>
      <w:marRight w:val="0"/>
      <w:marTop w:val="0"/>
      <w:marBottom w:val="0"/>
      <w:divBdr>
        <w:top w:val="none" w:sz="0" w:space="0" w:color="auto"/>
        <w:left w:val="none" w:sz="0" w:space="0" w:color="auto"/>
        <w:bottom w:val="none" w:sz="0" w:space="0" w:color="auto"/>
        <w:right w:val="none" w:sz="0" w:space="0" w:color="auto"/>
      </w:divBdr>
    </w:div>
    <w:div w:id="2086759694">
      <w:marLeft w:val="0"/>
      <w:marRight w:val="0"/>
      <w:marTop w:val="0"/>
      <w:marBottom w:val="0"/>
      <w:divBdr>
        <w:top w:val="none" w:sz="0" w:space="0" w:color="auto"/>
        <w:left w:val="none" w:sz="0" w:space="0" w:color="auto"/>
        <w:bottom w:val="none" w:sz="0" w:space="0" w:color="auto"/>
        <w:right w:val="none" w:sz="0" w:space="0" w:color="auto"/>
      </w:divBdr>
      <w:divsChild>
        <w:div w:id="1409307684">
          <w:marLeft w:val="0"/>
          <w:marRight w:val="0"/>
          <w:marTop w:val="0"/>
          <w:marBottom w:val="0"/>
          <w:divBdr>
            <w:top w:val="none" w:sz="0" w:space="0" w:color="auto"/>
            <w:left w:val="none" w:sz="0" w:space="0" w:color="auto"/>
            <w:bottom w:val="none" w:sz="0" w:space="0" w:color="auto"/>
            <w:right w:val="none" w:sz="0" w:space="0" w:color="auto"/>
          </w:divBdr>
          <w:divsChild>
            <w:div w:id="11792103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086956392">
      <w:marLeft w:val="0"/>
      <w:marRight w:val="0"/>
      <w:marTop w:val="180"/>
      <w:marBottom w:val="0"/>
      <w:divBdr>
        <w:top w:val="none" w:sz="0" w:space="0" w:color="auto"/>
        <w:left w:val="none" w:sz="0" w:space="0" w:color="auto"/>
        <w:bottom w:val="none" w:sz="0" w:space="0" w:color="auto"/>
        <w:right w:val="none" w:sz="0" w:space="0" w:color="auto"/>
      </w:divBdr>
    </w:div>
    <w:div w:id="2087417784">
      <w:marLeft w:val="0"/>
      <w:marRight w:val="0"/>
      <w:marTop w:val="0"/>
      <w:marBottom w:val="100"/>
      <w:divBdr>
        <w:top w:val="none" w:sz="0" w:space="0" w:color="auto"/>
        <w:left w:val="none" w:sz="0" w:space="0" w:color="auto"/>
        <w:bottom w:val="none" w:sz="0" w:space="0" w:color="auto"/>
        <w:right w:val="none" w:sz="0" w:space="0" w:color="auto"/>
      </w:divBdr>
    </w:div>
    <w:div w:id="2088451384">
      <w:marLeft w:val="0"/>
      <w:marRight w:val="0"/>
      <w:marTop w:val="0"/>
      <w:marBottom w:val="0"/>
      <w:divBdr>
        <w:top w:val="none" w:sz="0" w:space="0" w:color="auto"/>
        <w:left w:val="none" w:sz="0" w:space="0" w:color="auto"/>
        <w:bottom w:val="none" w:sz="0" w:space="0" w:color="auto"/>
        <w:right w:val="none" w:sz="0" w:space="0" w:color="auto"/>
      </w:divBdr>
      <w:divsChild>
        <w:div w:id="2139837009">
          <w:marLeft w:val="0"/>
          <w:marRight w:val="0"/>
          <w:marTop w:val="0"/>
          <w:marBottom w:val="0"/>
          <w:divBdr>
            <w:top w:val="none" w:sz="0" w:space="0" w:color="auto"/>
            <w:left w:val="none" w:sz="0" w:space="0" w:color="auto"/>
            <w:bottom w:val="none" w:sz="0" w:space="0" w:color="auto"/>
            <w:right w:val="none" w:sz="0" w:space="0" w:color="auto"/>
          </w:divBdr>
          <w:divsChild>
            <w:div w:id="96365861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088920358">
      <w:marLeft w:val="0"/>
      <w:marRight w:val="0"/>
      <w:marTop w:val="0"/>
      <w:marBottom w:val="100"/>
      <w:divBdr>
        <w:top w:val="none" w:sz="0" w:space="0" w:color="auto"/>
        <w:left w:val="none" w:sz="0" w:space="0" w:color="auto"/>
        <w:bottom w:val="none" w:sz="0" w:space="0" w:color="auto"/>
        <w:right w:val="none" w:sz="0" w:space="0" w:color="auto"/>
      </w:divBdr>
    </w:div>
    <w:div w:id="2093621448">
      <w:marLeft w:val="0"/>
      <w:marRight w:val="0"/>
      <w:marTop w:val="180"/>
      <w:marBottom w:val="100"/>
      <w:divBdr>
        <w:top w:val="none" w:sz="0" w:space="0" w:color="auto"/>
        <w:left w:val="none" w:sz="0" w:space="0" w:color="auto"/>
        <w:bottom w:val="none" w:sz="0" w:space="0" w:color="auto"/>
        <w:right w:val="none" w:sz="0" w:space="0" w:color="auto"/>
      </w:divBdr>
    </w:div>
    <w:div w:id="2096432930">
      <w:marLeft w:val="0"/>
      <w:marRight w:val="0"/>
      <w:marTop w:val="0"/>
      <w:marBottom w:val="0"/>
      <w:divBdr>
        <w:top w:val="none" w:sz="0" w:space="0" w:color="auto"/>
        <w:left w:val="none" w:sz="0" w:space="0" w:color="auto"/>
        <w:bottom w:val="none" w:sz="0" w:space="0" w:color="auto"/>
        <w:right w:val="none" w:sz="0" w:space="0" w:color="auto"/>
      </w:divBdr>
      <w:divsChild>
        <w:div w:id="788092370">
          <w:marLeft w:val="0"/>
          <w:marRight w:val="0"/>
          <w:marTop w:val="0"/>
          <w:marBottom w:val="100"/>
          <w:divBdr>
            <w:top w:val="none" w:sz="0" w:space="0" w:color="auto"/>
            <w:left w:val="none" w:sz="0" w:space="0" w:color="auto"/>
            <w:bottom w:val="none" w:sz="0" w:space="0" w:color="auto"/>
            <w:right w:val="none" w:sz="0" w:space="0" w:color="auto"/>
          </w:divBdr>
        </w:div>
      </w:divsChild>
    </w:div>
    <w:div w:id="2099792538">
      <w:marLeft w:val="0"/>
      <w:marRight w:val="0"/>
      <w:marTop w:val="0"/>
      <w:marBottom w:val="100"/>
      <w:divBdr>
        <w:top w:val="none" w:sz="0" w:space="0" w:color="auto"/>
        <w:left w:val="none" w:sz="0" w:space="0" w:color="auto"/>
        <w:bottom w:val="none" w:sz="0" w:space="0" w:color="auto"/>
        <w:right w:val="none" w:sz="0" w:space="0" w:color="auto"/>
      </w:divBdr>
    </w:div>
    <w:div w:id="2100057316">
      <w:marLeft w:val="0"/>
      <w:marRight w:val="0"/>
      <w:marTop w:val="0"/>
      <w:marBottom w:val="100"/>
      <w:divBdr>
        <w:top w:val="none" w:sz="0" w:space="0" w:color="auto"/>
        <w:left w:val="none" w:sz="0" w:space="0" w:color="auto"/>
        <w:bottom w:val="none" w:sz="0" w:space="0" w:color="auto"/>
        <w:right w:val="none" w:sz="0" w:space="0" w:color="auto"/>
      </w:divBdr>
    </w:div>
    <w:div w:id="2100060782">
      <w:marLeft w:val="0"/>
      <w:marRight w:val="0"/>
      <w:marTop w:val="0"/>
      <w:marBottom w:val="100"/>
      <w:divBdr>
        <w:top w:val="none" w:sz="0" w:space="0" w:color="auto"/>
        <w:left w:val="none" w:sz="0" w:space="0" w:color="auto"/>
        <w:bottom w:val="none" w:sz="0" w:space="0" w:color="auto"/>
        <w:right w:val="none" w:sz="0" w:space="0" w:color="auto"/>
      </w:divBdr>
    </w:div>
    <w:div w:id="2100521528">
      <w:marLeft w:val="0"/>
      <w:marRight w:val="0"/>
      <w:marTop w:val="0"/>
      <w:marBottom w:val="100"/>
      <w:divBdr>
        <w:top w:val="none" w:sz="0" w:space="0" w:color="auto"/>
        <w:left w:val="none" w:sz="0" w:space="0" w:color="auto"/>
        <w:bottom w:val="none" w:sz="0" w:space="0" w:color="auto"/>
        <w:right w:val="none" w:sz="0" w:space="0" w:color="auto"/>
      </w:divBdr>
    </w:div>
    <w:div w:id="2102800511">
      <w:marLeft w:val="0"/>
      <w:marRight w:val="0"/>
      <w:marTop w:val="0"/>
      <w:marBottom w:val="100"/>
      <w:divBdr>
        <w:top w:val="none" w:sz="0" w:space="0" w:color="auto"/>
        <w:left w:val="none" w:sz="0" w:space="0" w:color="auto"/>
        <w:bottom w:val="none" w:sz="0" w:space="0" w:color="auto"/>
        <w:right w:val="none" w:sz="0" w:space="0" w:color="auto"/>
      </w:divBdr>
    </w:div>
    <w:div w:id="2105102423">
      <w:marLeft w:val="0"/>
      <w:marRight w:val="0"/>
      <w:marTop w:val="180"/>
      <w:marBottom w:val="100"/>
      <w:divBdr>
        <w:top w:val="none" w:sz="0" w:space="0" w:color="auto"/>
        <w:left w:val="none" w:sz="0" w:space="0" w:color="auto"/>
        <w:bottom w:val="none" w:sz="0" w:space="0" w:color="auto"/>
        <w:right w:val="none" w:sz="0" w:space="0" w:color="auto"/>
      </w:divBdr>
    </w:div>
    <w:div w:id="2105178337">
      <w:marLeft w:val="0"/>
      <w:marRight w:val="0"/>
      <w:marTop w:val="0"/>
      <w:marBottom w:val="0"/>
      <w:divBdr>
        <w:top w:val="none" w:sz="0" w:space="0" w:color="auto"/>
        <w:left w:val="none" w:sz="0" w:space="0" w:color="auto"/>
        <w:bottom w:val="none" w:sz="0" w:space="0" w:color="auto"/>
        <w:right w:val="none" w:sz="0" w:space="0" w:color="auto"/>
      </w:divBdr>
    </w:div>
    <w:div w:id="2105220952">
      <w:marLeft w:val="0"/>
      <w:marRight w:val="0"/>
      <w:marTop w:val="0"/>
      <w:marBottom w:val="100"/>
      <w:divBdr>
        <w:top w:val="none" w:sz="0" w:space="0" w:color="auto"/>
        <w:left w:val="none" w:sz="0" w:space="0" w:color="auto"/>
        <w:bottom w:val="none" w:sz="0" w:space="0" w:color="auto"/>
        <w:right w:val="none" w:sz="0" w:space="0" w:color="auto"/>
      </w:divBdr>
    </w:div>
    <w:div w:id="2106338969">
      <w:marLeft w:val="0"/>
      <w:marRight w:val="0"/>
      <w:marTop w:val="0"/>
      <w:marBottom w:val="100"/>
      <w:divBdr>
        <w:top w:val="none" w:sz="0" w:space="0" w:color="auto"/>
        <w:left w:val="none" w:sz="0" w:space="0" w:color="auto"/>
        <w:bottom w:val="none" w:sz="0" w:space="0" w:color="auto"/>
        <w:right w:val="none" w:sz="0" w:space="0" w:color="auto"/>
      </w:divBdr>
    </w:div>
    <w:div w:id="2106727534">
      <w:marLeft w:val="0"/>
      <w:marRight w:val="0"/>
      <w:marTop w:val="0"/>
      <w:marBottom w:val="0"/>
      <w:divBdr>
        <w:top w:val="none" w:sz="0" w:space="0" w:color="auto"/>
        <w:left w:val="none" w:sz="0" w:space="0" w:color="auto"/>
        <w:bottom w:val="none" w:sz="0" w:space="0" w:color="auto"/>
        <w:right w:val="none" w:sz="0" w:space="0" w:color="auto"/>
      </w:divBdr>
      <w:divsChild>
        <w:div w:id="799156076">
          <w:marLeft w:val="0"/>
          <w:marRight w:val="0"/>
          <w:marTop w:val="0"/>
          <w:marBottom w:val="100"/>
          <w:divBdr>
            <w:top w:val="none" w:sz="0" w:space="0" w:color="auto"/>
            <w:left w:val="none" w:sz="0" w:space="0" w:color="auto"/>
            <w:bottom w:val="none" w:sz="0" w:space="0" w:color="auto"/>
            <w:right w:val="none" w:sz="0" w:space="0" w:color="auto"/>
          </w:divBdr>
        </w:div>
      </w:divsChild>
    </w:div>
    <w:div w:id="2107260417">
      <w:marLeft w:val="0"/>
      <w:marRight w:val="0"/>
      <w:marTop w:val="0"/>
      <w:marBottom w:val="0"/>
      <w:divBdr>
        <w:top w:val="none" w:sz="0" w:space="0" w:color="auto"/>
        <w:left w:val="none" w:sz="0" w:space="0" w:color="auto"/>
        <w:bottom w:val="none" w:sz="0" w:space="0" w:color="auto"/>
        <w:right w:val="none" w:sz="0" w:space="0" w:color="auto"/>
      </w:divBdr>
    </w:div>
    <w:div w:id="2109084534">
      <w:marLeft w:val="0"/>
      <w:marRight w:val="0"/>
      <w:marTop w:val="80"/>
      <w:marBottom w:val="0"/>
      <w:divBdr>
        <w:top w:val="none" w:sz="0" w:space="0" w:color="auto"/>
        <w:left w:val="none" w:sz="0" w:space="0" w:color="auto"/>
        <w:bottom w:val="none" w:sz="0" w:space="0" w:color="auto"/>
        <w:right w:val="none" w:sz="0" w:space="0" w:color="auto"/>
      </w:divBdr>
    </w:div>
    <w:div w:id="2110656265">
      <w:marLeft w:val="0"/>
      <w:marRight w:val="0"/>
      <w:marTop w:val="0"/>
      <w:marBottom w:val="0"/>
      <w:divBdr>
        <w:top w:val="none" w:sz="0" w:space="0" w:color="auto"/>
        <w:left w:val="none" w:sz="0" w:space="0" w:color="auto"/>
        <w:bottom w:val="none" w:sz="0" w:space="0" w:color="auto"/>
        <w:right w:val="none" w:sz="0" w:space="0" w:color="auto"/>
      </w:divBdr>
      <w:divsChild>
        <w:div w:id="647053840">
          <w:marLeft w:val="0"/>
          <w:marRight w:val="0"/>
          <w:marTop w:val="0"/>
          <w:marBottom w:val="0"/>
          <w:divBdr>
            <w:top w:val="none" w:sz="0" w:space="0" w:color="auto"/>
            <w:left w:val="none" w:sz="0" w:space="0" w:color="auto"/>
            <w:bottom w:val="none" w:sz="0" w:space="0" w:color="auto"/>
            <w:right w:val="none" w:sz="0" w:space="0" w:color="auto"/>
          </w:divBdr>
          <w:divsChild>
            <w:div w:id="136983842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113012719">
      <w:marLeft w:val="0"/>
      <w:marRight w:val="0"/>
      <w:marTop w:val="180"/>
      <w:marBottom w:val="0"/>
      <w:divBdr>
        <w:top w:val="none" w:sz="0" w:space="0" w:color="auto"/>
        <w:left w:val="none" w:sz="0" w:space="0" w:color="auto"/>
        <w:bottom w:val="none" w:sz="0" w:space="0" w:color="auto"/>
        <w:right w:val="none" w:sz="0" w:space="0" w:color="auto"/>
      </w:divBdr>
    </w:div>
    <w:div w:id="2114782125">
      <w:marLeft w:val="0"/>
      <w:marRight w:val="0"/>
      <w:marTop w:val="0"/>
      <w:marBottom w:val="100"/>
      <w:divBdr>
        <w:top w:val="none" w:sz="0" w:space="0" w:color="auto"/>
        <w:left w:val="none" w:sz="0" w:space="0" w:color="auto"/>
        <w:bottom w:val="none" w:sz="0" w:space="0" w:color="auto"/>
        <w:right w:val="none" w:sz="0" w:space="0" w:color="auto"/>
      </w:divBdr>
    </w:div>
    <w:div w:id="2115783515">
      <w:marLeft w:val="0"/>
      <w:marRight w:val="0"/>
      <w:marTop w:val="0"/>
      <w:marBottom w:val="100"/>
      <w:divBdr>
        <w:top w:val="none" w:sz="0" w:space="0" w:color="auto"/>
        <w:left w:val="none" w:sz="0" w:space="0" w:color="auto"/>
        <w:bottom w:val="none" w:sz="0" w:space="0" w:color="auto"/>
        <w:right w:val="none" w:sz="0" w:space="0" w:color="auto"/>
      </w:divBdr>
    </w:div>
    <w:div w:id="2115975715">
      <w:marLeft w:val="0"/>
      <w:marRight w:val="0"/>
      <w:marTop w:val="0"/>
      <w:marBottom w:val="100"/>
      <w:divBdr>
        <w:top w:val="none" w:sz="0" w:space="0" w:color="auto"/>
        <w:left w:val="none" w:sz="0" w:space="0" w:color="auto"/>
        <w:bottom w:val="none" w:sz="0" w:space="0" w:color="auto"/>
        <w:right w:val="none" w:sz="0" w:space="0" w:color="auto"/>
      </w:divBdr>
    </w:div>
    <w:div w:id="2116554282">
      <w:marLeft w:val="0"/>
      <w:marRight w:val="0"/>
      <w:marTop w:val="0"/>
      <w:marBottom w:val="100"/>
      <w:divBdr>
        <w:top w:val="none" w:sz="0" w:space="0" w:color="auto"/>
        <w:left w:val="none" w:sz="0" w:space="0" w:color="auto"/>
        <w:bottom w:val="none" w:sz="0" w:space="0" w:color="auto"/>
        <w:right w:val="none" w:sz="0" w:space="0" w:color="auto"/>
      </w:divBdr>
    </w:div>
    <w:div w:id="2117402749">
      <w:marLeft w:val="0"/>
      <w:marRight w:val="0"/>
      <w:marTop w:val="0"/>
      <w:marBottom w:val="100"/>
      <w:divBdr>
        <w:top w:val="none" w:sz="0" w:space="0" w:color="auto"/>
        <w:left w:val="none" w:sz="0" w:space="0" w:color="auto"/>
        <w:bottom w:val="none" w:sz="0" w:space="0" w:color="auto"/>
        <w:right w:val="none" w:sz="0" w:space="0" w:color="auto"/>
      </w:divBdr>
    </w:div>
    <w:div w:id="2117406096">
      <w:marLeft w:val="0"/>
      <w:marRight w:val="0"/>
      <w:marTop w:val="0"/>
      <w:marBottom w:val="0"/>
      <w:divBdr>
        <w:top w:val="none" w:sz="0" w:space="0" w:color="auto"/>
        <w:left w:val="none" w:sz="0" w:space="0" w:color="auto"/>
        <w:bottom w:val="none" w:sz="0" w:space="0" w:color="auto"/>
        <w:right w:val="none" w:sz="0" w:space="0" w:color="auto"/>
      </w:divBdr>
    </w:div>
    <w:div w:id="2119374216">
      <w:marLeft w:val="0"/>
      <w:marRight w:val="0"/>
      <w:marTop w:val="100"/>
      <w:marBottom w:val="0"/>
      <w:divBdr>
        <w:top w:val="none" w:sz="0" w:space="0" w:color="auto"/>
        <w:left w:val="none" w:sz="0" w:space="0" w:color="auto"/>
        <w:bottom w:val="none" w:sz="0" w:space="0" w:color="auto"/>
        <w:right w:val="none" w:sz="0" w:space="0" w:color="auto"/>
      </w:divBdr>
    </w:div>
    <w:div w:id="2121341859">
      <w:marLeft w:val="0"/>
      <w:marRight w:val="0"/>
      <w:marTop w:val="100"/>
      <w:marBottom w:val="0"/>
      <w:divBdr>
        <w:top w:val="none" w:sz="0" w:space="0" w:color="auto"/>
        <w:left w:val="none" w:sz="0" w:space="0" w:color="auto"/>
        <w:bottom w:val="none" w:sz="0" w:space="0" w:color="auto"/>
        <w:right w:val="none" w:sz="0" w:space="0" w:color="auto"/>
      </w:divBdr>
    </w:div>
    <w:div w:id="2122217766">
      <w:marLeft w:val="0"/>
      <w:marRight w:val="0"/>
      <w:marTop w:val="0"/>
      <w:marBottom w:val="100"/>
      <w:divBdr>
        <w:top w:val="none" w:sz="0" w:space="0" w:color="auto"/>
        <w:left w:val="none" w:sz="0" w:space="0" w:color="auto"/>
        <w:bottom w:val="none" w:sz="0" w:space="0" w:color="auto"/>
        <w:right w:val="none" w:sz="0" w:space="0" w:color="auto"/>
      </w:divBdr>
    </w:div>
    <w:div w:id="2124297774">
      <w:marLeft w:val="0"/>
      <w:marRight w:val="0"/>
      <w:marTop w:val="0"/>
      <w:marBottom w:val="100"/>
      <w:divBdr>
        <w:top w:val="none" w:sz="0" w:space="0" w:color="auto"/>
        <w:left w:val="none" w:sz="0" w:space="0" w:color="auto"/>
        <w:bottom w:val="none" w:sz="0" w:space="0" w:color="auto"/>
        <w:right w:val="none" w:sz="0" w:space="0" w:color="auto"/>
      </w:divBdr>
    </w:div>
    <w:div w:id="2125804513">
      <w:marLeft w:val="0"/>
      <w:marRight w:val="0"/>
      <w:marTop w:val="0"/>
      <w:marBottom w:val="100"/>
      <w:divBdr>
        <w:top w:val="none" w:sz="0" w:space="0" w:color="auto"/>
        <w:left w:val="none" w:sz="0" w:space="0" w:color="auto"/>
        <w:bottom w:val="none" w:sz="0" w:space="0" w:color="auto"/>
        <w:right w:val="none" w:sz="0" w:space="0" w:color="auto"/>
      </w:divBdr>
    </w:div>
    <w:div w:id="2125997435">
      <w:marLeft w:val="0"/>
      <w:marRight w:val="0"/>
      <w:marTop w:val="0"/>
      <w:marBottom w:val="100"/>
      <w:divBdr>
        <w:top w:val="none" w:sz="0" w:space="0" w:color="auto"/>
        <w:left w:val="none" w:sz="0" w:space="0" w:color="auto"/>
        <w:bottom w:val="none" w:sz="0" w:space="0" w:color="auto"/>
        <w:right w:val="none" w:sz="0" w:space="0" w:color="auto"/>
      </w:divBdr>
    </w:div>
    <w:div w:id="2127042319">
      <w:marLeft w:val="0"/>
      <w:marRight w:val="0"/>
      <w:marTop w:val="0"/>
      <w:marBottom w:val="0"/>
      <w:divBdr>
        <w:top w:val="none" w:sz="0" w:space="0" w:color="auto"/>
        <w:left w:val="none" w:sz="0" w:space="0" w:color="auto"/>
        <w:bottom w:val="none" w:sz="0" w:space="0" w:color="auto"/>
        <w:right w:val="none" w:sz="0" w:space="0" w:color="auto"/>
      </w:divBdr>
    </w:div>
    <w:div w:id="2128506063">
      <w:marLeft w:val="0"/>
      <w:marRight w:val="0"/>
      <w:marTop w:val="0"/>
      <w:marBottom w:val="100"/>
      <w:divBdr>
        <w:top w:val="none" w:sz="0" w:space="0" w:color="auto"/>
        <w:left w:val="none" w:sz="0" w:space="0" w:color="auto"/>
        <w:bottom w:val="none" w:sz="0" w:space="0" w:color="auto"/>
        <w:right w:val="none" w:sz="0" w:space="0" w:color="auto"/>
      </w:divBdr>
    </w:div>
    <w:div w:id="2128574759">
      <w:marLeft w:val="0"/>
      <w:marRight w:val="0"/>
      <w:marTop w:val="0"/>
      <w:marBottom w:val="100"/>
      <w:divBdr>
        <w:top w:val="none" w:sz="0" w:space="0" w:color="auto"/>
        <w:left w:val="none" w:sz="0" w:space="0" w:color="auto"/>
        <w:bottom w:val="none" w:sz="0" w:space="0" w:color="auto"/>
        <w:right w:val="none" w:sz="0" w:space="0" w:color="auto"/>
      </w:divBdr>
    </w:div>
    <w:div w:id="2129349108">
      <w:marLeft w:val="0"/>
      <w:marRight w:val="0"/>
      <w:marTop w:val="0"/>
      <w:marBottom w:val="0"/>
      <w:divBdr>
        <w:top w:val="none" w:sz="0" w:space="0" w:color="auto"/>
        <w:left w:val="none" w:sz="0" w:space="0" w:color="auto"/>
        <w:bottom w:val="none" w:sz="0" w:space="0" w:color="auto"/>
        <w:right w:val="none" w:sz="0" w:space="0" w:color="auto"/>
      </w:divBdr>
    </w:div>
    <w:div w:id="2130077699">
      <w:marLeft w:val="0"/>
      <w:marRight w:val="0"/>
      <w:marTop w:val="0"/>
      <w:marBottom w:val="0"/>
      <w:divBdr>
        <w:top w:val="none" w:sz="0" w:space="0" w:color="auto"/>
        <w:left w:val="none" w:sz="0" w:space="0" w:color="auto"/>
        <w:bottom w:val="none" w:sz="0" w:space="0" w:color="auto"/>
        <w:right w:val="none" w:sz="0" w:space="0" w:color="auto"/>
      </w:divBdr>
      <w:divsChild>
        <w:div w:id="2111774752">
          <w:marLeft w:val="0"/>
          <w:marRight w:val="0"/>
          <w:marTop w:val="0"/>
          <w:marBottom w:val="0"/>
          <w:divBdr>
            <w:top w:val="none" w:sz="0" w:space="0" w:color="auto"/>
            <w:left w:val="none" w:sz="0" w:space="0" w:color="auto"/>
            <w:bottom w:val="none" w:sz="0" w:space="0" w:color="auto"/>
            <w:right w:val="none" w:sz="0" w:space="0" w:color="auto"/>
          </w:divBdr>
          <w:divsChild>
            <w:div w:id="191254388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131967536">
      <w:marLeft w:val="0"/>
      <w:marRight w:val="0"/>
      <w:marTop w:val="0"/>
      <w:marBottom w:val="100"/>
      <w:divBdr>
        <w:top w:val="none" w:sz="0" w:space="0" w:color="auto"/>
        <w:left w:val="none" w:sz="0" w:space="0" w:color="auto"/>
        <w:bottom w:val="none" w:sz="0" w:space="0" w:color="auto"/>
        <w:right w:val="none" w:sz="0" w:space="0" w:color="auto"/>
      </w:divBdr>
    </w:div>
    <w:div w:id="2132942814">
      <w:marLeft w:val="0"/>
      <w:marRight w:val="0"/>
      <w:marTop w:val="0"/>
      <w:marBottom w:val="0"/>
      <w:divBdr>
        <w:top w:val="none" w:sz="0" w:space="0" w:color="auto"/>
        <w:left w:val="none" w:sz="0" w:space="0" w:color="auto"/>
        <w:bottom w:val="none" w:sz="0" w:space="0" w:color="auto"/>
        <w:right w:val="none" w:sz="0" w:space="0" w:color="auto"/>
      </w:divBdr>
      <w:divsChild>
        <w:div w:id="463473404">
          <w:marLeft w:val="0"/>
          <w:marRight w:val="0"/>
          <w:marTop w:val="0"/>
          <w:marBottom w:val="0"/>
          <w:divBdr>
            <w:top w:val="none" w:sz="0" w:space="0" w:color="auto"/>
            <w:left w:val="none" w:sz="0" w:space="0" w:color="auto"/>
            <w:bottom w:val="none" w:sz="0" w:space="0" w:color="auto"/>
            <w:right w:val="none" w:sz="0" w:space="0" w:color="auto"/>
          </w:divBdr>
          <w:divsChild>
            <w:div w:id="16200969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133741555">
      <w:marLeft w:val="0"/>
      <w:marRight w:val="0"/>
      <w:marTop w:val="180"/>
      <w:marBottom w:val="0"/>
      <w:divBdr>
        <w:top w:val="none" w:sz="0" w:space="0" w:color="auto"/>
        <w:left w:val="none" w:sz="0" w:space="0" w:color="auto"/>
        <w:bottom w:val="none" w:sz="0" w:space="0" w:color="auto"/>
        <w:right w:val="none" w:sz="0" w:space="0" w:color="auto"/>
      </w:divBdr>
    </w:div>
    <w:div w:id="2134130123">
      <w:marLeft w:val="0"/>
      <w:marRight w:val="0"/>
      <w:marTop w:val="0"/>
      <w:marBottom w:val="100"/>
      <w:divBdr>
        <w:top w:val="none" w:sz="0" w:space="0" w:color="auto"/>
        <w:left w:val="none" w:sz="0" w:space="0" w:color="auto"/>
        <w:bottom w:val="none" w:sz="0" w:space="0" w:color="auto"/>
        <w:right w:val="none" w:sz="0" w:space="0" w:color="auto"/>
      </w:divBdr>
    </w:div>
    <w:div w:id="2135906667">
      <w:marLeft w:val="0"/>
      <w:marRight w:val="0"/>
      <w:marTop w:val="0"/>
      <w:marBottom w:val="0"/>
      <w:divBdr>
        <w:top w:val="none" w:sz="0" w:space="0" w:color="auto"/>
        <w:left w:val="none" w:sz="0" w:space="0" w:color="auto"/>
        <w:bottom w:val="none" w:sz="0" w:space="0" w:color="auto"/>
        <w:right w:val="none" w:sz="0" w:space="0" w:color="auto"/>
      </w:divBdr>
      <w:divsChild>
        <w:div w:id="1164589363">
          <w:marLeft w:val="0"/>
          <w:marRight w:val="0"/>
          <w:marTop w:val="0"/>
          <w:marBottom w:val="0"/>
          <w:divBdr>
            <w:top w:val="none" w:sz="0" w:space="0" w:color="auto"/>
            <w:left w:val="none" w:sz="0" w:space="0" w:color="auto"/>
            <w:bottom w:val="none" w:sz="0" w:space="0" w:color="auto"/>
            <w:right w:val="none" w:sz="0" w:space="0" w:color="auto"/>
          </w:divBdr>
          <w:divsChild>
            <w:div w:id="138610505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141221672">
      <w:marLeft w:val="0"/>
      <w:marRight w:val="0"/>
      <w:marTop w:val="0"/>
      <w:marBottom w:val="100"/>
      <w:divBdr>
        <w:top w:val="none" w:sz="0" w:space="0" w:color="auto"/>
        <w:left w:val="none" w:sz="0" w:space="0" w:color="auto"/>
        <w:bottom w:val="none" w:sz="0" w:space="0" w:color="auto"/>
        <w:right w:val="none" w:sz="0" w:space="0" w:color="auto"/>
      </w:divBdr>
    </w:div>
    <w:div w:id="2142570664">
      <w:marLeft w:val="0"/>
      <w:marRight w:val="0"/>
      <w:marTop w:val="0"/>
      <w:marBottom w:val="0"/>
      <w:divBdr>
        <w:top w:val="none" w:sz="0" w:space="0" w:color="auto"/>
        <w:left w:val="none" w:sz="0" w:space="0" w:color="auto"/>
        <w:bottom w:val="none" w:sz="0" w:space="0" w:color="auto"/>
        <w:right w:val="none" w:sz="0" w:space="0" w:color="auto"/>
      </w:divBdr>
    </w:div>
    <w:div w:id="2143109630">
      <w:marLeft w:val="0"/>
      <w:marRight w:val="0"/>
      <w:marTop w:val="0"/>
      <w:marBottom w:val="0"/>
      <w:divBdr>
        <w:top w:val="none" w:sz="0" w:space="0" w:color="auto"/>
        <w:left w:val="none" w:sz="0" w:space="0" w:color="auto"/>
        <w:bottom w:val="none" w:sz="0" w:space="0" w:color="auto"/>
        <w:right w:val="none" w:sz="0" w:space="0" w:color="auto"/>
      </w:divBdr>
      <w:divsChild>
        <w:div w:id="1484588940">
          <w:marLeft w:val="0"/>
          <w:marRight w:val="0"/>
          <w:marTop w:val="0"/>
          <w:marBottom w:val="0"/>
          <w:divBdr>
            <w:top w:val="none" w:sz="0" w:space="0" w:color="auto"/>
            <w:left w:val="none" w:sz="0" w:space="0" w:color="auto"/>
            <w:bottom w:val="none" w:sz="0" w:space="0" w:color="auto"/>
            <w:right w:val="none" w:sz="0" w:space="0" w:color="auto"/>
          </w:divBdr>
          <w:divsChild>
            <w:div w:id="186602084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2144227765">
      <w:marLeft w:val="0"/>
      <w:marRight w:val="0"/>
      <w:marTop w:val="0"/>
      <w:marBottom w:val="100"/>
      <w:divBdr>
        <w:top w:val="none" w:sz="0" w:space="0" w:color="auto"/>
        <w:left w:val="none" w:sz="0" w:space="0" w:color="auto"/>
        <w:bottom w:val="none" w:sz="0" w:space="0" w:color="auto"/>
        <w:right w:val="none" w:sz="0" w:space="0" w:color="auto"/>
      </w:divBdr>
    </w:div>
    <w:div w:id="2144812512">
      <w:marLeft w:val="0"/>
      <w:marRight w:val="0"/>
      <w:marTop w:val="180"/>
      <w:marBottom w:val="0"/>
      <w:divBdr>
        <w:top w:val="none" w:sz="0" w:space="0" w:color="auto"/>
        <w:left w:val="none" w:sz="0" w:space="0" w:color="auto"/>
        <w:bottom w:val="none" w:sz="0" w:space="0" w:color="auto"/>
        <w:right w:val="none" w:sz="0" w:space="0" w:color="auto"/>
      </w:divBdr>
    </w:div>
    <w:div w:id="2144929185">
      <w:marLeft w:val="0"/>
      <w:marRight w:val="0"/>
      <w:marTop w:val="180"/>
      <w:marBottom w:val="0"/>
      <w:divBdr>
        <w:top w:val="none" w:sz="0" w:space="0" w:color="auto"/>
        <w:left w:val="none" w:sz="0" w:space="0" w:color="auto"/>
        <w:bottom w:val="none" w:sz="0" w:space="0" w:color="auto"/>
        <w:right w:val="none" w:sz="0" w:space="0" w:color="auto"/>
      </w:divBdr>
    </w:div>
    <w:div w:id="2147115308">
      <w:marLeft w:val="0"/>
      <w:marRight w:val="0"/>
      <w:marTop w:val="0"/>
      <w:marBottom w:val="0"/>
      <w:divBdr>
        <w:top w:val="none" w:sz="0" w:space="0" w:color="auto"/>
        <w:left w:val="none" w:sz="0" w:space="0" w:color="auto"/>
        <w:bottom w:val="none" w:sz="0" w:space="0" w:color="auto"/>
        <w:right w:val="none" w:sz="0" w:space="0" w:color="auto"/>
      </w:divBdr>
      <w:divsChild>
        <w:div w:id="1841654304">
          <w:marLeft w:val="0"/>
          <w:marRight w:val="0"/>
          <w:marTop w:val="0"/>
          <w:marBottom w:val="0"/>
          <w:divBdr>
            <w:top w:val="none" w:sz="0" w:space="0" w:color="auto"/>
            <w:left w:val="none" w:sz="0" w:space="0" w:color="auto"/>
            <w:bottom w:val="none" w:sz="0" w:space="0" w:color="auto"/>
            <w:right w:val="none" w:sz="0" w:space="0" w:color="auto"/>
          </w:divBdr>
          <w:divsChild>
            <w:div w:id="99303103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ec.gov/Archives/edgar/data/202058/000020205819000107/l3harris-2019notesxua.htm" TargetMode="External"/><Relationship Id="rId299" Type="http://schemas.openxmlformats.org/officeDocument/2006/relationships/hyperlink" Target="https://www.sec.gov/Archives/edgar/data/202058/000020205821000008/exhibit10zl3harrisserp.htm" TargetMode="External"/><Relationship Id="rId21" Type="http://schemas.openxmlformats.org/officeDocument/2006/relationships/hyperlink" Target="https://www.sec.gov/Archives/edgar/data/202058/0000950152-96-001980.txt" TargetMode="External"/><Relationship Id="rId63" Type="http://schemas.openxmlformats.org/officeDocument/2006/relationships/hyperlink" Target="https://www.sec.gov/Archives/edgar/data/202058/000119312515210656/d937596dex41.htm" TargetMode="External"/><Relationship Id="rId159" Type="http://schemas.openxmlformats.org/officeDocument/2006/relationships/hyperlink" Target="https://www.sec.gov/Archives/edgar/data/202058/000114036119012394/ex4_10.htm" TargetMode="External"/><Relationship Id="rId324" Type="http://schemas.openxmlformats.org/officeDocument/2006/relationships/hyperlink" Target="exhibit321cy22-q410xk.htm" TargetMode="External"/><Relationship Id="rId170" Type="http://schemas.openxmlformats.org/officeDocument/2006/relationships/hyperlink" Target="https://www.sec.gov/Archives/edgar/data/202058/000020205820000056/bod-20x180annualincent.htm" TargetMode="External"/><Relationship Id="rId226" Type="http://schemas.openxmlformats.org/officeDocument/2006/relationships/hyperlink" Target="https://www.sec.gov/Archives/edgar/data/202058/000095012309069904/g21448exv4wewiii.htm" TargetMode="External"/><Relationship Id="rId268" Type="http://schemas.openxmlformats.org/officeDocument/2006/relationships/hyperlink" Target="https://www.sec.gov/Archives/edgar/data/202058/000095015205002945/l13101aexv99w2.txt" TargetMode="External"/><Relationship Id="rId32" Type="http://schemas.openxmlformats.org/officeDocument/2006/relationships/hyperlink" Target="https://www.sec.gov/Archives/edgar/data/202058/0000950152-96-001980.txt" TargetMode="External"/><Relationship Id="rId74" Type="http://schemas.openxmlformats.org/officeDocument/2006/relationships/hyperlink" Target="https://www.sec.gov/Archives/edgar/data/202058/000095015203008045/l98139aexv4wb.htm" TargetMode="External"/><Relationship Id="rId128" Type="http://schemas.openxmlformats.org/officeDocument/2006/relationships/hyperlink" Target="https://www.sec.gov/Archives/edgar/data/202058/000119312515149807/d914283dex44.htm" TargetMode="External"/><Relationship Id="rId5" Type="http://schemas.openxmlformats.org/officeDocument/2006/relationships/image" Target="file:///E:\projects\LLMs\new_data_collection\data_new\htm\L3HARRIS%20TECHNOLOGIES,%20INC\hrs-20221230_g2.jpg" TargetMode="External"/><Relationship Id="rId181" Type="http://schemas.openxmlformats.org/officeDocument/2006/relationships/hyperlink" Target="https://www.sec.gov/Archives/edgar/data/202058/000129993315001553/exhibit1.htm" TargetMode="External"/><Relationship Id="rId237" Type="http://schemas.openxmlformats.org/officeDocument/2006/relationships/hyperlink" Target="https://www.sec.gov/Archives/edgar/data/202058/000095015204000536/l05216bexv10wd.txt" TargetMode="External"/><Relationship Id="rId279" Type="http://schemas.openxmlformats.org/officeDocument/2006/relationships/hyperlink" Target="https://www.sec.gov/Archives/edgar/data/202058/000095014407005792/g07908exv10w3.htm" TargetMode="External"/><Relationship Id="rId43" Type="http://schemas.openxmlformats.org/officeDocument/2006/relationships/hyperlink" Target="https://www.sec.gov/Archives/edgar/data/202058/000095015202008048/l96983aexv99w4.txt" TargetMode="External"/><Relationship Id="rId139" Type="http://schemas.openxmlformats.org/officeDocument/2006/relationships/hyperlink" Target="https://www.sec.gov/Archives/edgar/data/202058/000114036119012394/ex4_1.htm" TargetMode="External"/><Relationship Id="rId290" Type="http://schemas.openxmlformats.org/officeDocument/2006/relationships/hyperlink" Target="https://www.sec.gov/Archives/edgar/data/202058/000020205819000023/exhibit10a_ceoxsidexletter.htm" TargetMode="External"/><Relationship Id="rId304" Type="http://schemas.openxmlformats.org/officeDocument/2006/relationships/hyperlink" Target="https://www.sec.gov/Archives/edgar/data/202058/000020205822000056/l3harris-2022creditagreeme.htm" TargetMode="External"/><Relationship Id="rId85" Type="http://schemas.openxmlformats.org/officeDocument/2006/relationships/hyperlink" Target="https://www.sec.gov/Archives/edgar/data/202058/000119312515210656/d937596dex43.htm" TargetMode="External"/><Relationship Id="rId150" Type="http://schemas.openxmlformats.org/officeDocument/2006/relationships/hyperlink" Target="https://www.sec.gov/Archives/edgar/data/202058/000114036119012394/ex4_6.htm" TargetMode="External"/><Relationship Id="rId192" Type="http://schemas.openxmlformats.org/officeDocument/2006/relationships/hyperlink" Target="https://www.sec.gov/Archives/edgar/data/202058/000020205819000103/exhibit109new-hireothe.htm" TargetMode="External"/><Relationship Id="rId206" Type="http://schemas.openxmlformats.org/officeDocument/2006/relationships/hyperlink" Target="https://www.sec.gov/Archives/edgar/data/202058/000020205821000054/exhibit104-rspamendment7.htm" TargetMode="External"/><Relationship Id="rId248" Type="http://schemas.openxmlformats.org/officeDocument/2006/relationships/hyperlink" Target="https://www.sec.gov/Archives/edgar/data/202058/000095015204008841/l10812aexv10w5.htm" TargetMode="External"/><Relationship Id="rId12" Type="http://schemas.openxmlformats.org/officeDocument/2006/relationships/hyperlink" Target="https://www.sec.gov/Archives/edgar/data/202058/000114036119012159/ex4.htm" TargetMode="External"/><Relationship Id="rId108" Type="http://schemas.openxmlformats.org/officeDocument/2006/relationships/hyperlink" Target="https://www.sec.gov/Archives/edgar/data/202058/000119312515149807/d914283dex43.htm" TargetMode="External"/><Relationship Id="rId315" Type="http://schemas.openxmlformats.org/officeDocument/2006/relationships/hyperlink" Target="a10-kexhibit21cy22xq4.htm" TargetMode="External"/><Relationship Id="rId54" Type="http://schemas.openxmlformats.org/officeDocument/2006/relationships/hyperlink" Target="https://www.sec.gov/Archives/edgar/data/202058/000119312515210656/d937596dex42.htm" TargetMode="External"/><Relationship Id="rId96" Type="http://schemas.openxmlformats.org/officeDocument/2006/relationships/hyperlink" Target="https://www.sec.gov/Archives/edgar/data/202058/000095015203008045/l98139aexv4wc.htm" TargetMode="External"/><Relationship Id="rId161" Type="http://schemas.openxmlformats.org/officeDocument/2006/relationships/hyperlink" Target="https://www.sec.gov/Archives/edgar/data/202058/000114036119012394/ex4_11.htm" TargetMode="External"/><Relationship Id="rId217" Type="http://schemas.openxmlformats.org/officeDocument/2006/relationships/hyperlink" Target="https://www.sec.gov/Archives/edgar/data/202058/000095015204000536/l05216bexv10wc.txt" TargetMode="External"/><Relationship Id="rId259" Type="http://schemas.openxmlformats.org/officeDocument/2006/relationships/hyperlink" Target="https://www.sec.gov/Archives/edgar/data/202058/000020205819000061/exhibit103qfy19.htm" TargetMode="External"/><Relationship Id="rId23" Type="http://schemas.openxmlformats.org/officeDocument/2006/relationships/hyperlink" Target="https://www.sec.gov/Archives/edgar/data/202058/0000950152-96-001980.txt" TargetMode="External"/><Relationship Id="rId119" Type="http://schemas.openxmlformats.org/officeDocument/2006/relationships/hyperlink" Target="https://www.sec.gov/Archives/edgar/data/202058/000020205819000107/l3harris-2019notesxua.htm" TargetMode="External"/><Relationship Id="rId270" Type="http://schemas.openxmlformats.org/officeDocument/2006/relationships/hyperlink" Target="https://www.sec.gov/Archives/edgar/data/202058/000095014407005792/g07908exv10w1.htm" TargetMode="External"/><Relationship Id="rId326" Type="http://schemas.openxmlformats.org/officeDocument/2006/relationships/hyperlink" Target="exhibit321cy22-q410xk.htm" TargetMode="External"/><Relationship Id="rId65" Type="http://schemas.openxmlformats.org/officeDocument/2006/relationships/hyperlink" Target="https://www.sec.gov/Archives/edgar/data/202058/000095015203008045/l98139aexv4wb.htm" TargetMode="External"/><Relationship Id="rId130" Type="http://schemas.openxmlformats.org/officeDocument/2006/relationships/hyperlink" Target="https://www.sec.gov/Archives/edgar/data/202058/000095012310110843/g25428exv4w2.htm" TargetMode="External"/><Relationship Id="rId172" Type="http://schemas.openxmlformats.org/officeDocument/2006/relationships/hyperlink" Target="https://www.sec.gov/Archives/edgar/data/202058/000095012310083467/g24533exv10w4.htm" TargetMode="External"/><Relationship Id="rId228" Type="http://schemas.openxmlformats.org/officeDocument/2006/relationships/hyperlink" Target="https://www.sec.gov/Archives/edgar/data/202058/000095012309069904/g21448exv4wewiii.htm" TargetMode="External"/><Relationship Id="rId281" Type="http://schemas.openxmlformats.org/officeDocument/2006/relationships/hyperlink" Target="https://www.sec.gov/Archives/edgar/data/202058/000095014407005792/g07908exv10w3.htm" TargetMode="External"/><Relationship Id="rId34" Type="http://schemas.openxmlformats.org/officeDocument/2006/relationships/hyperlink" Target="https://www.sec.gov/Archives/edgar/data/202058/0000950152-96-001980.txt" TargetMode="External"/><Relationship Id="rId76" Type="http://schemas.openxmlformats.org/officeDocument/2006/relationships/hyperlink" Target="https://www.sec.gov/Archives/edgar/data/202058/000095015203008045/l98139aexv4wb.htm" TargetMode="External"/><Relationship Id="rId141" Type="http://schemas.openxmlformats.org/officeDocument/2006/relationships/hyperlink" Target="https://www.sec.gov/Archives/edgar/data/202058/000114036119012394/ex4_1.htm" TargetMode="External"/><Relationship Id="rId7" Type="http://schemas.openxmlformats.org/officeDocument/2006/relationships/image" Target="file:///E:\projects\LLMs\new_data_collection\data_new\htm\L3HARRIS%20TECHNOLOGIES,%20INC\hrs-20221230_g4.jpg" TargetMode="External"/><Relationship Id="rId183" Type="http://schemas.openxmlformats.org/officeDocument/2006/relationships/hyperlink" Target="https://www.sec.gov/Archives/edgar/data/202058/000119312516449408/d117812dex10f.htm" TargetMode="External"/><Relationship Id="rId239" Type="http://schemas.openxmlformats.org/officeDocument/2006/relationships/hyperlink" Target="https://www.sec.gov/Archives/edgar/data/202058/000095015204007534/l09822aexv10wb.htm" TargetMode="External"/><Relationship Id="rId250" Type="http://schemas.openxmlformats.org/officeDocument/2006/relationships/hyperlink" Target="https://www.sec.gov/Archives/edgar/data/202058/000095014409001119/g17294exv10wxiy.htm" TargetMode="External"/><Relationship Id="rId271" Type="http://schemas.openxmlformats.org/officeDocument/2006/relationships/hyperlink" Target="https://www.sec.gov/Archives/edgar/data/202058/000095014407005792/g07908exv10w1.htm" TargetMode="External"/><Relationship Id="rId292" Type="http://schemas.openxmlformats.org/officeDocument/2006/relationships/hyperlink" Target="https://www.sec.gov/Archives/edgar/data/202058/000020205819000023/exhibit10a_ceoxsidexletter.htm" TargetMode="External"/><Relationship Id="rId306" Type="http://schemas.openxmlformats.org/officeDocument/2006/relationships/hyperlink" Target="https://www.sec.gov/Archives/edgar/data/202058/000020205822000065/l3harris-2022termloanagree.htm" TargetMode="External"/><Relationship Id="rId24" Type="http://schemas.openxmlformats.org/officeDocument/2006/relationships/hyperlink" Target="https://www.sec.gov/Archives/edgar/data/202058/0000950152-96-001980.txt" TargetMode="External"/><Relationship Id="rId45" Type="http://schemas.openxmlformats.org/officeDocument/2006/relationships/hyperlink" Target="https://www.sec.gov/Archives/edgar/data/202058/000119312515210656/d937596dex42.htm" TargetMode="External"/><Relationship Id="rId66" Type="http://schemas.openxmlformats.org/officeDocument/2006/relationships/hyperlink" Target="https://www.sec.gov/Archives/edgar/data/202058/000095015203008045/l98139aexv4wb.htm" TargetMode="External"/><Relationship Id="rId87" Type="http://schemas.openxmlformats.org/officeDocument/2006/relationships/hyperlink" Target="https://www.sec.gov/Archives/edgar/data/202058/000119312515210656/d937596dex43.htm" TargetMode="External"/><Relationship Id="rId110" Type="http://schemas.openxmlformats.org/officeDocument/2006/relationships/hyperlink" Target="https://www.sec.gov/Archives/edgar/data/202058/000119312515149807/d914283dex43.htm" TargetMode="External"/><Relationship Id="rId131" Type="http://schemas.openxmlformats.org/officeDocument/2006/relationships/hyperlink" Target="https://www.sec.gov/Archives/edgar/data/202058/000095012310110843/g25428exv4w2.htm" TargetMode="External"/><Relationship Id="rId327" Type="http://schemas.openxmlformats.org/officeDocument/2006/relationships/hyperlink" Target="exhibit322cy22-q410xk.htm" TargetMode="External"/><Relationship Id="rId152" Type="http://schemas.openxmlformats.org/officeDocument/2006/relationships/hyperlink" Target="https://www.sec.gov/Archives/edgar/data/202058/000114036119012394/ex4_7.htm" TargetMode="External"/><Relationship Id="rId173" Type="http://schemas.openxmlformats.org/officeDocument/2006/relationships/hyperlink" Target="https://www.sec.gov/Archives/edgar/data/202058/000095012310083467/g24533exv10w4.htm" TargetMode="External"/><Relationship Id="rId194" Type="http://schemas.openxmlformats.org/officeDocument/2006/relationships/hyperlink" Target="https://www.sec.gov/Archives/edgar/data/202058/000020205820000040/exhibit103-2015equityr.htm" TargetMode="External"/><Relationship Id="rId208" Type="http://schemas.openxmlformats.org/officeDocument/2006/relationships/hyperlink" Target="https://www.sec.gov/Archives/edgar/data/202058/000020205822000015/exhibit10ix-rspamendmentno9.htm" TargetMode="External"/><Relationship Id="rId229" Type="http://schemas.openxmlformats.org/officeDocument/2006/relationships/hyperlink" Target="https://www.sec.gov/Archives/edgar/data/202058/000020205818000009/exhibit4eivamendment.htm" TargetMode="External"/><Relationship Id="rId240" Type="http://schemas.openxmlformats.org/officeDocument/2006/relationships/hyperlink" Target="https://www.sec.gov/Archives/edgar/data/202058/000095015204007534/l09822aexv10wb.htm" TargetMode="External"/><Relationship Id="rId261" Type="http://schemas.openxmlformats.org/officeDocument/2006/relationships/hyperlink" Target="https://www.sec.gov/Archives/edgar/data/202058/000020205819000061/exhibit103qfy19.htm" TargetMode="External"/><Relationship Id="rId14" Type="http://schemas.openxmlformats.org/officeDocument/2006/relationships/hyperlink" Target="https://www.sec.gov/Archives/edgar/data/202058/000114036119012159/ex4.htm" TargetMode="External"/><Relationship Id="rId35" Type="http://schemas.openxmlformats.org/officeDocument/2006/relationships/hyperlink" Target="https://www.sec.gov/Archives/edgar/data/202058/0000950152-96-001980.txt" TargetMode="External"/><Relationship Id="rId56" Type="http://schemas.openxmlformats.org/officeDocument/2006/relationships/hyperlink" Target="https://www.sec.gov/Archives/edgar/data/202058/000119312515210656/d937596dex41.htm" TargetMode="External"/><Relationship Id="rId77" Type="http://schemas.openxmlformats.org/officeDocument/2006/relationships/hyperlink" Target="https://www.sec.gov/Archives/edgar/data/202058/000095012309010681/g17643exv4wm.htm" TargetMode="External"/><Relationship Id="rId100" Type="http://schemas.openxmlformats.org/officeDocument/2006/relationships/hyperlink" Target="https://www.sec.gov/Archives/edgar/data/202058/000095012309010681/g17643exv4wn.htm" TargetMode="External"/><Relationship Id="rId282" Type="http://schemas.openxmlformats.org/officeDocument/2006/relationships/hyperlink" Target="https://www.sec.gov/Archives/edgar/data/202058/000095014407005792/g07908exv10w3.htm" TargetMode="External"/><Relationship Id="rId317" Type="http://schemas.openxmlformats.org/officeDocument/2006/relationships/hyperlink" Target="a10-kexhibit23cy22xq4.htm" TargetMode="External"/><Relationship Id="rId8" Type="http://schemas.openxmlformats.org/officeDocument/2006/relationships/image" Target="file:///E:\projects\LLMs\new_data_collection\data_new\htm\L3HARRIS%20TECHNOLOGIES,%20INC\hrs-20221230_g5.jpg" TargetMode="External"/><Relationship Id="rId98" Type="http://schemas.openxmlformats.org/officeDocument/2006/relationships/hyperlink" Target="https://www.sec.gov/Archives/edgar/data/202058/000095012309010681/g17643exv4wn.htm" TargetMode="External"/><Relationship Id="rId121" Type="http://schemas.openxmlformats.org/officeDocument/2006/relationships/hyperlink" Target="https://www.sec.gov/Archives/edgar/data/202058/000020205820000068/formofglobalnotedue2031_.htm" TargetMode="External"/><Relationship Id="rId142" Type="http://schemas.openxmlformats.org/officeDocument/2006/relationships/hyperlink" Target="https://www.sec.gov/Archives/edgar/data/202058/000114036119012394/ex4_4.htm" TargetMode="External"/><Relationship Id="rId163" Type="http://schemas.openxmlformats.org/officeDocument/2006/relationships/hyperlink" Target="https://www.sec.gov/Archives/edgar/data/202058/000114036119012394/ex4_11.htm" TargetMode="External"/><Relationship Id="rId184" Type="http://schemas.openxmlformats.org/officeDocument/2006/relationships/hyperlink" Target="https://www.sec.gov/Archives/edgar/data/202058/000119312516449408/d117812dex10f.htm" TargetMode="External"/><Relationship Id="rId219" Type="http://schemas.openxmlformats.org/officeDocument/2006/relationships/hyperlink" Target="https://www.sec.gov/Archives/edgar/data/202058/000095012309039868/g20164exv10wxmyxiiy.htm" TargetMode="External"/><Relationship Id="rId230" Type="http://schemas.openxmlformats.org/officeDocument/2006/relationships/hyperlink" Target="https://www.sec.gov/Archives/edgar/data/202058/000020205818000009/exhibit4eivamendment.htm" TargetMode="External"/><Relationship Id="rId251" Type="http://schemas.openxmlformats.org/officeDocument/2006/relationships/hyperlink" Target="https://www.sec.gov/Archives/edgar/data/202058/000095014409001119/g17294exv10wxiy.htm" TargetMode="External"/><Relationship Id="rId25" Type="http://schemas.openxmlformats.org/officeDocument/2006/relationships/hyperlink" Target="https://www.sec.gov/Archives/edgar/data/202058/0000950152-96-001980.txt" TargetMode="External"/><Relationship Id="rId46" Type="http://schemas.openxmlformats.org/officeDocument/2006/relationships/hyperlink" Target="https://www.sec.gov/Archives/edgar/data/202058/000119312515210656/d937596dex42.htm" TargetMode="External"/><Relationship Id="rId67" Type="http://schemas.openxmlformats.org/officeDocument/2006/relationships/hyperlink" Target="https://www.sec.gov/Archives/edgar/data/202058/000095015203008045/l98139aexv4wb.htm" TargetMode="External"/><Relationship Id="rId272" Type="http://schemas.openxmlformats.org/officeDocument/2006/relationships/hyperlink" Target="https://www.sec.gov/Archives/edgar/data/202058/000095014407005792/g07908exv10w1.htm" TargetMode="External"/><Relationship Id="rId293" Type="http://schemas.openxmlformats.org/officeDocument/2006/relationships/hyperlink" Target="https://www.sec.gov/Archives/edgar/data/202058/000020205819000023/exhibit10a_ceoxsidexletter.htm" TargetMode="External"/><Relationship Id="rId307" Type="http://schemas.openxmlformats.org/officeDocument/2006/relationships/hyperlink" Target="a10-kexhibit10bbcy22xq4.htm" TargetMode="External"/><Relationship Id="rId328" Type="http://schemas.openxmlformats.org/officeDocument/2006/relationships/hyperlink" Target="exhibit322cy22-q410xk.htm" TargetMode="External"/><Relationship Id="rId88" Type="http://schemas.openxmlformats.org/officeDocument/2006/relationships/hyperlink" Target="https://www.sec.gov/Archives/edgar/data/202058/000119312515210656/d937596dex43.htm" TargetMode="External"/><Relationship Id="rId111" Type="http://schemas.openxmlformats.org/officeDocument/2006/relationships/hyperlink" Target="https://www.sec.gov/Archives/edgar/data/202058/000020205818000052/global4400note-exhibit41.htm" TargetMode="External"/><Relationship Id="rId132" Type="http://schemas.openxmlformats.org/officeDocument/2006/relationships/hyperlink" Target="https://www.sec.gov/Archives/edgar/data/202058/000095012310110843/g25428exv4w2.htm" TargetMode="External"/><Relationship Id="rId153" Type="http://schemas.openxmlformats.org/officeDocument/2006/relationships/hyperlink" Target="https://www.sec.gov/Archives/edgar/data/202058/000114036119012394/ex4_7.htm" TargetMode="External"/><Relationship Id="rId174" Type="http://schemas.openxmlformats.org/officeDocument/2006/relationships/hyperlink" Target="https://www.sec.gov/Archives/edgar/data/202058/000129993311002670/exhibit1.htm" TargetMode="External"/><Relationship Id="rId195" Type="http://schemas.openxmlformats.org/officeDocument/2006/relationships/hyperlink" Target="https://www.sec.gov/Archives/edgar/data/202058/000020205820000040/exhibit104-2015equityp.htm" TargetMode="External"/><Relationship Id="rId209" Type="http://schemas.openxmlformats.org/officeDocument/2006/relationships/hyperlink" Target="https://www.sec.gov/Archives/edgar/data/202058/000020205822000015/exhibit10ix-rspamendmentno9.htm" TargetMode="External"/><Relationship Id="rId220" Type="http://schemas.openxmlformats.org/officeDocument/2006/relationships/hyperlink" Target="https://www.sec.gov/Archives/edgar/data/202058/000095012309039868/g20164exv10wxmyxiiy.htm" TargetMode="External"/><Relationship Id="rId241" Type="http://schemas.openxmlformats.org/officeDocument/2006/relationships/hyperlink" Target="https://www.sec.gov/Archives/edgar/data/202058/000095015204007534/l09822aexv10wb.htm" TargetMode="External"/><Relationship Id="rId15" Type="http://schemas.openxmlformats.org/officeDocument/2006/relationships/hyperlink" Target="https://www.sec.gov/Archives/edgar/data/202058/0000950152-96-001980.txt" TargetMode="External"/><Relationship Id="rId36" Type="http://schemas.openxmlformats.org/officeDocument/2006/relationships/hyperlink" Target="https://www.sec.gov/Archives/edgar/data/202058/000095015202008048/l96983aexv99w4.txt" TargetMode="External"/><Relationship Id="rId57" Type="http://schemas.openxmlformats.org/officeDocument/2006/relationships/hyperlink" Target="https://www.sec.gov/Archives/edgar/data/202058/000119312515210656/d937596dex41.htm" TargetMode="External"/><Relationship Id="rId262" Type="http://schemas.openxmlformats.org/officeDocument/2006/relationships/hyperlink" Target="https://www.sec.gov/Archives/edgar/data/202058/000020205819000061/exhibit103qfy19.htm" TargetMode="External"/><Relationship Id="rId283" Type="http://schemas.openxmlformats.org/officeDocument/2006/relationships/hyperlink" Target="https://www.sec.gov/Archives/edgar/data/202058/000095014407005792/g07908exv10w3.htm" TargetMode="External"/><Relationship Id="rId318" Type="http://schemas.openxmlformats.org/officeDocument/2006/relationships/hyperlink" Target="a10-kexhibit24cy22xq4.htm" TargetMode="External"/><Relationship Id="rId78" Type="http://schemas.openxmlformats.org/officeDocument/2006/relationships/hyperlink" Target="https://www.sec.gov/Archives/edgar/data/202058/000095012309010681/g17643exv4wm.htm" TargetMode="External"/><Relationship Id="rId99" Type="http://schemas.openxmlformats.org/officeDocument/2006/relationships/hyperlink" Target="https://www.sec.gov/Archives/edgar/data/202058/000095012309010681/g17643exv4wn.htm" TargetMode="External"/><Relationship Id="rId101" Type="http://schemas.openxmlformats.org/officeDocument/2006/relationships/hyperlink" Target="https://www.sec.gov/Archives/edgar/data/202058/000095012309010681/g17643exv4wn.htm" TargetMode="External"/><Relationship Id="rId122" Type="http://schemas.openxmlformats.org/officeDocument/2006/relationships/hyperlink" Target="https://www.sec.gov/Archives/edgar/data/202058/000020205820000068/formofglobalnotedue2031_.htm" TargetMode="External"/><Relationship Id="rId143" Type="http://schemas.openxmlformats.org/officeDocument/2006/relationships/hyperlink" Target="https://www.sec.gov/Archives/edgar/data/202058/000114036119012394/ex4_4.htm" TargetMode="External"/><Relationship Id="rId164" Type="http://schemas.openxmlformats.org/officeDocument/2006/relationships/hyperlink" Target="a10-kexhibit4xcy22xq4.htm" TargetMode="External"/><Relationship Id="rId185" Type="http://schemas.openxmlformats.org/officeDocument/2006/relationships/hyperlink" Target="https://www.sec.gov/Archives/edgar/data/202058/000119312516449408/d117812dex10f.htm" TargetMode="External"/><Relationship Id="rId9" Type="http://schemas.openxmlformats.org/officeDocument/2006/relationships/hyperlink" Target="https://www.sec.gov/Archives/edgar/data/202058/000110465922128031/tm2232961d1_ex2-1.htm" TargetMode="External"/><Relationship Id="rId210" Type="http://schemas.openxmlformats.org/officeDocument/2006/relationships/hyperlink" Target="https://www.sec.gov/Archives/edgar/data/202058/000020205822000029/exhibit103amendment10torsp.htm" TargetMode="External"/><Relationship Id="rId26" Type="http://schemas.openxmlformats.org/officeDocument/2006/relationships/hyperlink" Target="https://www.sec.gov/Archives/edgar/data/202058/0000950152-96-001980.txt" TargetMode="External"/><Relationship Id="rId231" Type="http://schemas.openxmlformats.org/officeDocument/2006/relationships/hyperlink" Target="https://www.sec.gov/Archives/edgar/data/202058/000020205818000009/exhibit4eivamendment.htm" TargetMode="External"/><Relationship Id="rId252" Type="http://schemas.openxmlformats.org/officeDocument/2006/relationships/hyperlink" Target="https://www.sec.gov/Archives/edgar/data/202058/000095014409001119/g17294exv10wxiy.htm" TargetMode="External"/><Relationship Id="rId273" Type="http://schemas.openxmlformats.org/officeDocument/2006/relationships/hyperlink" Target="https://www.sec.gov/Archives/edgar/data/202058/000095014407005792/g07908exv10w1.htm" TargetMode="External"/><Relationship Id="rId294" Type="http://schemas.openxmlformats.org/officeDocument/2006/relationships/hyperlink" Target="https://www.sec.gov/Archives/edgar/data/202058/000020205819000023/exhibit10a_ceoxsidexletter.htm" TargetMode="External"/><Relationship Id="rId308" Type="http://schemas.openxmlformats.org/officeDocument/2006/relationships/hyperlink" Target="a10-kexhibit10bbcy22xq4.htm" TargetMode="External"/><Relationship Id="rId329" Type="http://schemas.openxmlformats.org/officeDocument/2006/relationships/fontTable" Target="fontTable.xml"/><Relationship Id="rId47" Type="http://schemas.openxmlformats.org/officeDocument/2006/relationships/hyperlink" Target="https://www.sec.gov/Archives/edgar/data/202058/000119312515210656/d937596dex42.htm" TargetMode="External"/><Relationship Id="rId68" Type="http://schemas.openxmlformats.org/officeDocument/2006/relationships/hyperlink" Target="https://www.sec.gov/Archives/edgar/data/202058/000095015203008045/l98139aexv4wb.htm" TargetMode="External"/><Relationship Id="rId89" Type="http://schemas.openxmlformats.org/officeDocument/2006/relationships/hyperlink" Target="https://www.sec.gov/Archives/edgar/data/202058/000095015203008045/l98139aexv4wc.htm" TargetMode="External"/><Relationship Id="rId112" Type="http://schemas.openxmlformats.org/officeDocument/2006/relationships/hyperlink" Target="https://www.sec.gov/Archives/edgar/data/202058/000020205818000052/global4400note-exhibit41.htm" TargetMode="External"/><Relationship Id="rId133" Type="http://schemas.openxmlformats.org/officeDocument/2006/relationships/hyperlink" Target="https://www.sec.gov/Archives/edgar/data/202058/000095012310110843/g25428exv4w2.htm" TargetMode="External"/><Relationship Id="rId154" Type="http://schemas.openxmlformats.org/officeDocument/2006/relationships/hyperlink" Target="https://www.sec.gov/Archives/edgar/data/202058/000114036119012394/ex4_8.htm" TargetMode="External"/><Relationship Id="rId175" Type="http://schemas.openxmlformats.org/officeDocument/2006/relationships/hyperlink" Target="https://www.sec.gov/Archives/edgar/data/202058/000129993311002670/exhibit1.htm" TargetMode="External"/><Relationship Id="rId196" Type="http://schemas.openxmlformats.org/officeDocument/2006/relationships/hyperlink" Target="https://www.sec.gov/Archives/edgar/data/202058/000020205820000040/exhibit105-2015equitys.htm" TargetMode="External"/><Relationship Id="rId200" Type="http://schemas.openxmlformats.org/officeDocument/2006/relationships/hyperlink" Target="https://www.sec.gov/Archives/edgar/data/202058/000020205821000020/exhibit103.htm" TargetMode="External"/><Relationship Id="rId16" Type="http://schemas.openxmlformats.org/officeDocument/2006/relationships/hyperlink" Target="https://www.sec.gov/Archives/edgar/data/202058/0000950152-96-001980.txt" TargetMode="External"/><Relationship Id="rId221" Type="http://schemas.openxmlformats.org/officeDocument/2006/relationships/hyperlink" Target="https://www.sec.gov/Archives/edgar/data/202058/000095012309039868/g20164exv10wxmyxiiy.htm" TargetMode="External"/><Relationship Id="rId242" Type="http://schemas.openxmlformats.org/officeDocument/2006/relationships/hyperlink" Target="https://www.sec.gov/Archives/edgar/data/202058/000095015204007534/l09822aexv10wb.htm" TargetMode="External"/><Relationship Id="rId263" Type="http://schemas.openxmlformats.org/officeDocument/2006/relationships/hyperlink" Target="https://www.sec.gov/Archives/edgar/data/202058/000020205819000061/exhibit103qfy19.htm" TargetMode="External"/><Relationship Id="rId284" Type="http://schemas.openxmlformats.org/officeDocument/2006/relationships/hyperlink" Target="https://www.sec.gov/Archives/edgar/data/202058/000119312511268507/d241889dex101.htm" TargetMode="External"/><Relationship Id="rId319" Type="http://schemas.openxmlformats.org/officeDocument/2006/relationships/hyperlink" Target="a10-kexhibit24cy22xq4.htm" TargetMode="External"/><Relationship Id="rId37" Type="http://schemas.openxmlformats.org/officeDocument/2006/relationships/hyperlink" Target="https://www.sec.gov/Archives/edgar/data/202058/000095015202008048/l96983aexv99w4.txt" TargetMode="External"/><Relationship Id="rId58" Type="http://schemas.openxmlformats.org/officeDocument/2006/relationships/hyperlink" Target="https://www.sec.gov/Archives/edgar/data/202058/000119312515210656/d937596dex41.htm" TargetMode="External"/><Relationship Id="rId79" Type="http://schemas.openxmlformats.org/officeDocument/2006/relationships/hyperlink" Target="https://www.sec.gov/Archives/edgar/data/202058/000095012309010681/g17643exv4wm.htm" TargetMode="External"/><Relationship Id="rId102" Type="http://schemas.openxmlformats.org/officeDocument/2006/relationships/hyperlink" Target="https://www.sec.gov/Archives/edgar/data/202058/000095012309010681/g17643exv4wn.htm" TargetMode="External"/><Relationship Id="rId123" Type="http://schemas.openxmlformats.org/officeDocument/2006/relationships/hyperlink" Target="https://www.sec.gov/Archives/edgar/data/202058/000020205820000068/formofglobalnotedue2031_.htm" TargetMode="External"/><Relationship Id="rId144" Type="http://schemas.openxmlformats.org/officeDocument/2006/relationships/hyperlink" Target="https://www.sec.gov/Archives/edgar/data/202058/000114036119012394/ex4_4.htm" TargetMode="External"/><Relationship Id="rId330" Type="http://schemas.openxmlformats.org/officeDocument/2006/relationships/theme" Target="theme/theme1.xml"/><Relationship Id="rId90" Type="http://schemas.openxmlformats.org/officeDocument/2006/relationships/hyperlink" Target="https://www.sec.gov/Archives/edgar/data/202058/000095015203008045/l98139aexv4wc.htm" TargetMode="External"/><Relationship Id="rId165" Type="http://schemas.openxmlformats.org/officeDocument/2006/relationships/hyperlink" Target="a10-kexhibit4xcy22xq4.htm" TargetMode="External"/><Relationship Id="rId186" Type="http://schemas.openxmlformats.org/officeDocument/2006/relationships/hyperlink" Target="https://www.sec.gov/Archives/edgar/data/202058/000020205819000103/exhibit103ceo-coopsutcs.htm" TargetMode="External"/><Relationship Id="rId211" Type="http://schemas.openxmlformats.org/officeDocument/2006/relationships/hyperlink" Target="https://www.sec.gov/Archives/edgar/data/202058/000020205820000011/exhibit10h-l3harrisers.htm" TargetMode="External"/><Relationship Id="rId232" Type="http://schemas.openxmlformats.org/officeDocument/2006/relationships/hyperlink" Target="https://www.sec.gov/Archives/edgar/data/202058/000020205818000009/exhibit4eivamendment.htm" TargetMode="External"/><Relationship Id="rId253" Type="http://schemas.openxmlformats.org/officeDocument/2006/relationships/hyperlink" Target="https://www.sec.gov/Archives/edgar/data/202058/000095014409001119/g17294exv10wxiy.htm" TargetMode="External"/><Relationship Id="rId274" Type="http://schemas.openxmlformats.org/officeDocument/2006/relationships/hyperlink" Target="https://www.sec.gov/Archives/edgar/data/202058/000095014407005792/g07908exv10w2.htm" TargetMode="External"/><Relationship Id="rId295" Type="http://schemas.openxmlformats.org/officeDocument/2006/relationships/hyperlink" Target="https://www.sec.gov/Archives/edgar/data/202058/000020205819000023/exhibit10a_ceoxsidexletter.htm" TargetMode="External"/><Relationship Id="rId309" Type="http://schemas.openxmlformats.org/officeDocument/2006/relationships/hyperlink" Target="a10-kexhibit10bbcy22xq4.htm" TargetMode="External"/><Relationship Id="rId27" Type="http://schemas.openxmlformats.org/officeDocument/2006/relationships/hyperlink" Target="https://www.sec.gov/Archives/edgar/data/202058/0000950152-96-001980.txt" TargetMode="External"/><Relationship Id="rId48" Type="http://schemas.openxmlformats.org/officeDocument/2006/relationships/hyperlink" Target="https://www.sec.gov/Archives/edgar/data/202058/000119312515210656/d937596dex42.htm" TargetMode="External"/><Relationship Id="rId69" Type="http://schemas.openxmlformats.org/officeDocument/2006/relationships/hyperlink" Target="https://www.sec.gov/Archives/edgar/data/202058/000095015203008045/l98139aexv4wb.htm" TargetMode="External"/><Relationship Id="rId113" Type="http://schemas.openxmlformats.org/officeDocument/2006/relationships/hyperlink" Target="https://www.sec.gov/Archives/edgar/data/202058/000020205818000052/global4400note-exhibit41.htm" TargetMode="External"/><Relationship Id="rId134" Type="http://schemas.openxmlformats.org/officeDocument/2006/relationships/hyperlink" Target="https://www.sec.gov/Archives/edgar/data/202058/000119312515149807/d914283dex45.htm" TargetMode="External"/><Relationship Id="rId320" Type="http://schemas.openxmlformats.org/officeDocument/2006/relationships/hyperlink" Target="exhibit311cy22-q410xk.htm" TargetMode="External"/><Relationship Id="rId80" Type="http://schemas.openxmlformats.org/officeDocument/2006/relationships/hyperlink" Target="https://www.sec.gov/Archives/edgar/data/202058/000095012309010681/g17643exv4wm.htm" TargetMode="External"/><Relationship Id="rId155" Type="http://schemas.openxmlformats.org/officeDocument/2006/relationships/hyperlink" Target="https://www.sec.gov/Archives/edgar/data/202058/000114036119012394/ex4_9.htm" TargetMode="External"/><Relationship Id="rId176" Type="http://schemas.openxmlformats.org/officeDocument/2006/relationships/hyperlink" Target="https://www.sec.gov/Archives/edgar/data/202058/000129993311002670/exhibit1.htm" TargetMode="External"/><Relationship Id="rId197" Type="http://schemas.openxmlformats.org/officeDocument/2006/relationships/hyperlink" Target="https://www.sec.gov/Archives/edgar/data/202058/000020205820000056/bod-20x181equityincent.htm" TargetMode="External"/><Relationship Id="rId201" Type="http://schemas.openxmlformats.org/officeDocument/2006/relationships/hyperlink" Target="https://www.sec.gov/Archives/edgar/data/202058/000020205821000046/exhibit101-rspamendment3.htm" TargetMode="External"/><Relationship Id="rId222" Type="http://schemas.openxmlformats.org/officeDocument/2006/relationships/hyperlink" Target="https://www.sec.gov/Archives/edgar/data/202058/000095012309039868/g20164exv10wxmyxiiy.htm" TargetMode="External"/><Relationship Id="rId243" Type="http://schemas.openxmlformats.org/officeDocument/2006/relationships/hyperlink" Target="https://www.sec.gov/Archives/edgar/data/202058/000095015204007534/l09822aexv10wb.htm" TargetMode="External"/><Relationship Id="rId264" Type="http://schemas.openxmlformats.org/officeDocument/2006/relationships/hyperlink" Target="https://www.sec.gov/Archives/edgar/data/202058/000095015205002945/l13101aexv99w2.txt" TargetMode="External"/><Relationship Id="rId285" Type="http://schemas.openxmlformats.org/officeDocument/2006/relationships/hyperlink" Target="https://www.sec.gov/Archives/edgar/data/202058/000119312511268507/d241889dex101.htm" TargetMode="External"/><Relationship Id="rId17" Type="http://schemas.openxmlformats.org/officeDocument/2006/relationships/hyperlink" Target="https://www.sec.gov/Archives/edgar/data/202058/0000950152-96-001980.txt" TargetMode="External"/><Relationship Id="rId38" Type="http://schemas.openxmlformats.org/officeDocument/2006/relationships/hyperlink" Target="https://www.sec.gov/Archives/edgar/data/202058/000095015202008048/l96983aexv99w4.txt" TargetMode="External"/><Relationship Id="rId59" Type="http://schemas.openxmlformats.org/officeDocument/2006/relationships/hyperlink" Target="https://www.sec.gov/Archives/edgar/data/202058/000119312515210656/d937596dex41.htm" TargetMode="External"/><Relationship Id="rId103" Type="http://schemas.openxmlformats.org/officeDocument/2006/relationships/hyperlink" Target="https://www.sec.gov/Archives/edgar/data/202058/000020205820000021/exhibit41formofglobalnot.htm" TargetMode="External"/><Relationship Id="rId124" Type="http://schemas.openxmlformats.org/officeDocument/2006/relationships/hyperlink" Target="https://www.sec.gov/Archives/edgar/data/202058/000119312515149807/d914283dex44.htm" TargetMode="External"/><Relationship Id="rId310" Type="http://schemas.openxmlformats.org/officeDocument/2006/relationships/hyperlink" Target="a10-kexhibit10bbcy22xq4.htm" TargetMode="External"/><Relationship Id="rId70" Type="http://schemas.openxmlformats.org/officeDocument/2006/relationships/hyperlink" Target="https://www.sec.gov/Archives/edgar/data/202058/000095015203008045/l98139aexv4wb.htm" TargetMode="External"/><Relationship Id="rId91" Type="http://schemas.openxmlformats.org/officeDocument/2006/relationships/hyperlink" Target="https://www.sec.gov/Archives/edgar/data/202058/000095015203008045/l98139aexv4wc.htm" TargetMode="External"/><Relationship Id="rId145" Type="http://schemas.openxmlformats.org/officeDocument/2006/relationships/hyperlink" Target="https://www.sec.gov/Archives/edgar/data/202058/000114036119012394/ex4_5.htm" TargetMode="External"/><Relationship Id="rId166" Type="http://schemas.openxmlformats.org/officeDocument/2006/relationships/hyperlink" Target="a10-kexhibit4xcy22xq4.htm" TargetMode="External"/><Relationship Id="rId187" Type="http://schemas.openxmlformats.org/officeDocument/2006/relationships/hyperlink" Target="https://www.sec.gov/Archives/edgar/data/202058/000020205819000103/exhibit104momentumpsut.htm" TargetMode="External"/><Relationship Id="rId1" Type="http://schemas.openxmlformats.org/officeDocument/2006/relationships/styles" Target="styles.xml"/><Relationship Id="rId212" Type="http://schemas.openxmlformats.org/officeDocument/2006/relationships/hyperlink" Target="https://www.sec.gov/Archives/edgar/data/202058/000020205821000020/exhibit104.htm" TargetMode="External"/><Relationship Id="rId233" Type="http://schemas.openxmlformats.org/officeDocument/2006/relationships/hyperlink" Target="https://www.sec.gov/Archives/edgar/data/202058/000020205818000009/exhibit4eivamendment.htm" TargetMode="External"/><Relationship Id="rId254" Type="http://schemas.openxmlformats.org/officeDocument/2006/relationships/hyperlink" Target="https://www.sec.gov/Archives/edgar/data/202058/000095012310097519/g24630exv10wn.htm" TargetMode="External"/><Relationship Id="rId28" Type="http://schemas.openxmlformats.org/officeDocument/2006/relationships/hyperlink" Target="https://www.sec.gov/Archives/edgar/data/202058/0000950152-96-001980.txt" TargetMode="External"/><Relationship Id="rId49" Type="http://schemas.openxmlformats.org/officeDocument/2006/relationships/hyperlink" Target="https://www.sec.gov/Archives/edgar/data/202058/000119312515210656/d937596dex42.htm" TargetMode="External"/><Relationship Id="rId114" Type="http://schemas.openxmlformats.org/officeDocument/2006/relationships/hyperlink" Target="https://www.sec.gov/Archives/edgar/data/202058/000020205818000052/global4400note-exhibit41.htm" TargetMode="External"/><Relationship Id="rId275" Type="http://schemas.openxmlformats.org/officeDocument/2006/relationships/hyperlink" Target="https://www.sec.gov/Archives/edgar/data/202058/000095014407005792/g07908exv10w2.htm" TargetMode="External"/><Relationship Id="rId296" Type="http://schemas.openxmlformats.org/officeDocument/2006/relationships/hyperlink" Target="https://www.sec.gov/Archives/edgar/data/202058/000114036119012139/ex10_4.htm" TargetMode="External"/><Relationship Id="rId300" Type="http://schemas.openxmlformats.org/officeDocument/2006/relationships/hyperlink" Target="https://www.sec.gov/Archives/edgar/data/202058/000020205821000008/exhibit10xiisalariedpensio.htm" TargetMode="External"/><Relationship Id="rId60" Type="http://schemas.openxmlformats.org/officeDocument/2006/relationships/hyperlink" Target="https://www.sec.gov/Archives/edgar/data/202058/000119312515210656/d937596dex41.htm" TargetMode="External"/><Relationship Id="rId81" Type="http://schemas.openxmlformats.org/officeDocument/2006/relationships/hyperlink" Target="https://www.sec.gov/Archives/edgar/data/202058/000095012309010681/g17643exv4wm.htm" TargetMode="External"/><Relationship Id="rId135" Type="http://schemas.openxmlformats.org/officeDocument/2006/relationships/hyperlink" Target="https://www.sec.gov/Archives/edgar/data/202058/000119312515149807/d914283dex45.htm" TargetMode="External"/><Relationship Id="rId156" Type="http://schemas.openxmlformats.org/officeDocument/2006/relationships/hyperlink" Target="https://www.sec.gov/Archives/edgar/data/202058/000114036119012394/ex4_9.htm" TargetMode="External"/><Relationship Id="rId177" Type="http://schemas.openxmlformats.org/officeDocument/2006/relationships/hyperlink" Target="https://www.sec.gov/Archives/edgar/data/202058/000119312513418845/d614318dex10a.htm" TargetMode="External"/><Relationship Id="rId198" Type="http://schemas.openxmlformats.org/officeDocument/2006/relationships/hyperlink" Target="https://www.sec.gov/Archives/edgar/data/202058/000020205821000020/exhibit101.htm" TargetMode="External"/><Relationship Id="rId321" Type="http://schemas.openxmlformats.org/officeDocument/2006/relationships/hyperlink" Target="exhibit311cy22-q410xk.htm" TargetMode="External"/><Relationship Id="rId202" Type="http://schemas.openxmlformats.org/officeDocument/2006/relationships/hyperlink" Target="https://www.sec.gov/Archives/edgar/data/202058/000020205821000046/exhibit102-rspamendment4.htm" TargetMode="External"/><Relationship Id="rId223" Type="http://schemas.openxmlformats.org/officeDocument/2006/relationships/hyperlink" Target="https://www.sec.gov/Archives/edgar/data/202058/000095012309039868/g20164exv10wxmyxiiy.htm" TargetMode="External"/><Relationship Id="rId244" Type="http://schemas.openxmlformats.org/officeDocument/2006/relationships/hyperlink" Target="https://www.sec.gov/Archives/edgar/data/202058/000095015204008841/l10812aexv10w5.htm" TargetMode="External"/><Relationship Id="rId18" Type="http://schemas.openxmlformats.org/officeDocument/2006/relationships/hyperlink" Target="https://www.sec.gov/Archives/edgar/data/202058/0000950152-96-001980.txt" TargetMode="External"/><Relationship Id="rId39" Type="http://schemas.openxmlformats.org/officeDocument/2006/relationships/hyperlink" Target="https://www.sec.gov/Archives/edgar/data/202058/000095015202008048/l96983aexv99w4.txt" TargetMode="External"/><Relationship Id="rId265" Type="http://schemas.openxmlformats.org/officeDocument/2006/relationships/hyperlink" Target="https://www.sec.gov/Archives/edgar/data/202058/000095015205002945/l13101aexv99w2.txt" TargetMode="External"/><Relationship Id="rId286" Type="http://schemas.openxmlformats.org/officeDocument/2006/relationships/hyperlink" Target="https://www.sec.gov/Archives/edgar/data/202058/000119312511268507/d241889dex101.htm" TargetMode="External"/><Relationship Id="rId50" Type="http://schemas.openxmlformats.org/officeDocument/2006/relationships/hyperlink" Target="https://www.sec.gov/Archives/edgar/data/202058/000119312515210656/d937596dex42.htm" TargetMode="External"/><Relationship Id="rId104" Type="http://schemas.openxmlformats.org/officeDocument/2006/relationships/hyperlink" Target="https://www.sec.gov/Archives/edgar/data/202058/000020205820000021/exhibit41formofglobalnot.htm" TargetMode="External"/><Relationship Id="rId125" Type="http://schemas.openxmlformats.org/officeDocument/2006/relationships/hyperlink" Target="https://www.sec.gov/Archives/edgar/data/202058/000119312515149807/d914283dex44.htm" TargetMode="External"/><Relationship Id="rId146" Type="http://schemas.openxmlformats.org/officeDocument/2006/relationships/hyperlink" Target="https://www.sec.gov/Archives/edgar/data/202058/000114036119012394/ex4_5.htm" TargetMode="External"/><Relationship Id="rId167" Type="http://schemas.openxmlformats.org/officeDocument/2006/relationships/hyperlink" Target="https://www.sec.gov/Archives/edgar/data/202058/000114036119012139/ex10_5.htm" TargetMode="External"/><Relationship Id="rId188" Type="http://schemas.openxmlformats.org/officeDocument/2006/relationships/hyperlink" Target="https://www.sec.gov/Archives/edgar/data/202058/000020205819000103/exhibit105ceo-coopsotcs.htm" TargetMode="External"/><Relationship Id="rId311" Type="http://schemas.openxmlformats.org/officeDocument/2006/relationships/hyperlink" Target="a10-kexhibit10bbcy22xq4.htm" TargetMode="External"/><Relationship Id="rId71" Type="http://schemas.openxmlformats.org/officeDocument/2006/relationships/hyperlink" Target="https://www.sec.gov/Archives/edgar/data/202058/000095015203008045/l98139aexv4wb.htm" TargetMode="External"/><Relationship Id="rId92" Type="http://schemas.openxmlformats.org/officeDocument/2006/relationships/hyperlink" Target="https://www.sec.gov/Archives/edgar/data/202058/000095015203008045/l98139aexv4wc.htm" TargetMode="External"/><Relationship Id="rId213" Type="http://schemas.openxmlformats.org/officeDocument/2006/relationships/hyperlink" Target="https://www.sec.gov/Archives/edgar/data/202058/000020205820000011/exhibit10jnon-employee.htm" TargetMode="External"/><Relationship Id="rId234" Type="http://schemas.openxmlformats.org/officeDocument/2006/relationships/hyperlink" Target="https://www.sec.gov/Archives/edgar/data/202058/000095015204000536/l05216bexv10wd.txt" TargetMode="External"/><Relationship Id="rId2" Type="http://schemas.openxmlformats.org/officeDocument/2006/relationships/settings" Target="settings.xml"/><Relationship Id="rId29" Type="http://schemas.openxmlformats.org/officeDocument/2006/relationships/hyperlink" Target="https://www.sec.gov/Archives/edgar/data/202058/0000950152-96-001980.txt" TargetMode="External"/><Relationship Id="rId255" Type="http://schemas.openxmlformats.org/officeDocument/2006/relationships/hyperlink" Target="https://www.sec.gov/Archives/edgar/data/202058/000095012310097519/g24630exv10wn.htm" TargetMode="External"/><Relationship Id="rId276" Type="http://schemas.openxmlformats.org/officeDocument/2006/relationships/hyperlink" Target="https://www.sec.gov/Archives/edgar/data/202058/000095014407005792/g07908exv10w2.htm" TargetMode="External"/><Relationship Id="rId297" Type="http://schemas.openxmlformats.org/officeDocument/2006/relationships/hyperlink" Target="https://www.sec.gov/Archives/edgar/data/202058/000114036119012139/ex10_3.htm" TargetMode="External"/><Relationship Id="rId40" Type="http://schemas.openxmlformats.org/officeDocument/2006/relationships/hyperlink" Target="https://www.sec.gov/Archives/edgar/data/202058/000095015202008048/l96983aexv99w4.txt" TargetMode="External"/><Relationship Id="rId115" Type="http://schemas.openxmlformats.org/officeDocument/2006/relationships/hyperlink" Target="https://www.sec.gov/Archives/edgar/data/202058/000020205818000052/global4400note-exhibit41.htm" TargetMode="External"/><Relationship Id="rId136" Type="http://schemas.openxmlformats.org/officeDocument/2006/relationships/hyperlink" Target="https://www.sec.gov/Archives/edgar/data/202058/000119312515149807/d914283dex45.htm" TargetMode="External"/><Relationship Id="rId157" Type="http://schemas.openxmlformats.org/officeDocument/2006/relationships/hyperlink" Target="https://www.sec.gov/Archives/edgar/data/202058/000114036119012394/ex4_9.htm" TargetMode="External"/><Relationship Id="rId178" Type="http://schemas.openxmlformats.org/officeDocument/2006/relationships/hyperlink" Target="https://www.sec.gov/Archives/edgar/data/202058/000119312513418845/d614318dex10a.htm" TargetMode="External"/><Relationship Id="rId301" Type="http://schemas.openxmlformats.org/officeDocument/2006/relationships/hyperlink" Target="https://www.sec.gov/Archives/edgar/data/202058/000020205821000008/exhibit10yiilinkamend.htm" TargetMode="External"/><Relationship Id="rId322" Type="http://schemas.openxmlformats.org/officeDocument/2006/relationships/hyperlink" Target="exhibit312cy22-q410xk.htm" TargetMode="External"/><Relationship Id="rId61" Type="http://schemas.openxmlformats.org/officeDocument/2006/relationships/hyperlink" Target="https://www.sec.gov/Archives/edgar/data/202058/000119312515210656/d937596dex41.htm" TargetMode="External"/><Relationship Id="rId82" Type="http://schemas.openxmlformats.org/officeDocument/2006/relationships/hyperlink" Target="https://www.sec.gov/Archives/edgar/data/202058/000119312515210656/d937596dex43.htm" TargetMode="External"/><Relationship Id="rId199" Type="http://schemas.openxmlformats.org/officeDocument/2006/relationships/hyperlink" Target="https://www.sec.gov/Archives/edgar/data/202058/000020205821000020/exhibit102.htm" TargetMode="External"/><Relationship Id="rId203" Type="http://schemas.openxmlformats.org/officeDocument/2006/relationships/hyperlink" Target="https://www.sec.gov/Archives/edgar/data/202058/000020205821000054/exhibit102-rspamendment5.htm" TargetMode="External"/><Relationship Id="rId19" Type="http://schemas.openxmlformats.org/officeDocument/2006/relationships/hyperlink" Target="https://www.sec.gov/Archives/edgar/data/202058/0000950152-96-001980.txt" TargetMode="External"/><Relationship Id="rId224" Type="http://schemas.openxmlformats.org/officeDocument/2006/relationships/hyperlink" Target="https://www.sec.gov/Archives/edgar/data/202058/000095012309069904/g21448exv4wewiii.htm" TargetMode="External"/><Relationship Id="rId245" Type="http://schemas.openxmlformats.org/officeDocument/2006/relationships/hyperlink" Target="https://www.sec.gov/Archives/edgar/data/202058/000095015204008841/l10812aexv10w5.htm" TargetMode="External"/><Relationship Id="rId266" Type="http://schemas.openxmlformats.org/officeDocument/2006/relationships/hyperlink" Target="https://www.sec.gov/Archives/edgar/data/202058/000095015205002945/l13101aexv99w2.txt" TargetMode="External"/><Relationship Id="rId287" Type="http://schemas.openxmlformats.org/officeDocument/2006/relationships/hyperlink" Target="https://www.sec.gov/Archives/edgar/data/202058/000119312511268507/d241889dex101.htm" TargetMode="External"/><Relationship Id="rId30" Type="http://schemas.openxmlformats.org/officeDocument/2006/relationships/hyperlink" Target="https://www.sec.gov/Archives/edgar/data/202058/0000950152-96-001980.txt" TargetMode="External"/><Relationship Id="rId105" Type="http://schemas.openxmlformats.org/officeDocument/2006/relationships/hyperlink" Target="https://www.sec.gov/Archives/edgar/data/202058/000020205820000021/exhibit41formofglobalnot.htm" TargetMode="External"/><Relationship Id="rId126" Type="http://schemas.openxmlformats.org/officeDocument/2006/relationships/hyperlink" Target="https://www.sec.gov/Archives/edgar/data/202058/000119312515149807/d914283dex44.htm" TargetMode="External"/><Relationship Id="rId147" Type="http://schemas.openxmlformats.org/officeDocument/2006/relationships/hyperlink" Target="https://www.sec.gov/Archives/edgar/data/202058/000114036119012394/ex4_5.htm" TargetMode="External"/><Relationship Id="rId168" Type="http://schemas.openxmlformats.org/officeDocument/2006/relationships/hyperlink" Target="https://www.sec.gov/Archives/edgar/data/202058/000020205820000017/exhibit101executivecic.htm" TargetMode="External"/><Relationship Id="rId312" Type="http://schemas.openxmlformats.org/officeDocument/2006/relationships/hyperlink" Target="a10-kexhibit10bbcy22xq4.htm" TargetMode="External"/><Relationship Id="rId51" Type="http://schemas.openxmlformats.org/officeDocument/2006/relationships/hyperlink" Target="https://www.sec.gov/Archives/edgar/data/202058/000119312515210656/d937596dex42.htm" TargetMode="External"/><Relationship Id="rId72" Type="http://schemas.openxmlformats.org/officeDocument/2006/relationships/hyperlink" Target="https://www.sec.gov/Archives/edgar/data/202058/000095015203008045/l98139aexv4wb.htm" TargetMode="External"/><Relationship Id="rId93" Type="http://schemas.openxmlformats.org/officeDocument/2006/relationships/hyperlink" Target="https://www.sec.gov/Archives/edgar/data/202058/000095015203008045/l98139aexv4wc.htm" TargetMode="External"/><Relationship Id="rId189" Type="http://schemas.openxmlformats.org/officeDocument/2006/relationships/hyperlink" Target="https://www.sec.gov/Archives/edgar/data/202058/000020205819000103/exhibit106momentumpsot.htm" TargetMode="External"/><Relationship Id="rId3" Type="http://schemas.openxmlformats.org/officeDocument/2006/relationships/webSettings" Target="webSettings.xml"/><Relationship Id="rId214" Type="http://schemas.openxmlformats.org/officeDocument/2006/relationships/hyperlink" Target="https://www.sec.gov/Archives/edgar/data/202058/000095015204000536/l05216bexv10wc.txt" TargetMode="External"/><Relationship Id="rId235" Type="http://schemas.openxmlformats.org/officeDocument/2006/relationships/hyperlink" Target="https://www.sec.gov/Archives/edgar/data/202058/000095015204000536/l05216bexv10wd.txt" TargetMode="External"/><Relationship Id="rId256" Type="http://schemas.openxmlformats.org/officeDocument/2006/relationships/hyperlink" Target="https://www.sec.gov/Archives/edgar/data/202058/000095012310097519/g24630exv10wn.htm" TargetMode="External"/><Relationship Id="rId277" Type="http://schemas.openxmlformats.org/officeDocument/2006/relationships/hyperlink" Target="https://www.sec.gov/Archives/edgar/data/202058/000095014407005792/g07908exv10w2.htm" TargetMode="External"/><Relationship Id="rId298" Type="http://schemas.openxmlformats.org/officeDocument/2006/relationships/hyperlink" Target="https://www.sec.gov/Archives/edgar/data/202058/000020205821000047/summary_ofxnon-employeexdi.htm" TargetMode="External"/><Relationship Id="rId116" Type="http://schemas.openxmlformats.org/officeDocument/2006/relationships/hyperlink" Target="https://www.sec.gov/Archives/edgar/data/202058/000020205819000107/l3harris-2019notesxua.htm" TargetMode="External"/><Relationship Id="rId137" Type="http://schemas.openxmlformats.org/officeDocument/2006/relationships/hyperlink" Target="https://www.sec.gov/Archives/edgar/data/202058/000114036119012394/ex4_1.htm" TargetMode="External"/><Relationship Id="rId158" Type="http://schemas.openxmlformats.org/officeDocument/2006/relationships/hyperlink" Target="https://www.sec.gov/Archives/edgar/data/202058/000114036119012394/ex4_10.htm" TargetMode="External"/><Relationship Id="rId302" Type="http://schemas.openxmlformats.org/officeDocument/2006/relationships/hyperlink" Target="https://www.sec.gov/Archives/edgar/data/202058/000020205822000029/exhibit101jesusmalavesepar.htm" TargetMode="External"/><Relationship Id="rId323" Type="http://schemas.openxmlformats.org/officeDocument/2006/relationships/hyperlink" Target="exhibit312cy22-q410xk.htm" TargetMode="External"/><Relationship Id="rId20" Type="http://schemas.openxmlformats.org/officeDocument/2006/relationships/hyperlink" Target="https://www.sec.gov/Archives/edgar/data/202058/0000950152-96-001980.txt" TargetMode="External"/><Relationship Id="rId41" Type="http://schemas.openxmlformats.org/officeDocument/2006/relationships/hyperlink" Target="https://www.sec.gov/Archives/edgar/data/202058/000095015202008048/l96983aexv99w4.txt" TargetMode="External"/><Relationship Id="rId62" Type="http://schemas.openxmlformats.org/officeDocument/2006/relationships/hyperlink" Target="https://www.sec.gov/Archives/edgar/data/202058/000119312515210656/d937596dex41.htm" TargetMode="External"/><Relationship Id="rId83" Type="http://schemas.openxmlformats.org/officeDocument/2006/relationships/hyperlink" Target="https://www.sec.gov/Archives/edgar/data/202058/000119312515210656/d937596dex43.htm" TargetMode="External"/><Relationship Id="rId179" Type="http://schemas.openxmlformats.org/officeDocument/2006/relationships/hyperlink" Target="https://www.sec.gov/Archives/edgar/data/202058/000119312513418845/d614318dex10a.htm" TargetMode="External"/><Relationship Id="rId190" Type="http://schemas.openxmlformats.org/officeDocument/2006/relationships/hyperlink" Target="https://www.sec.gov/Archives/edgar/data/202058/000020205819000103/exhibit107integrationp.htm" TargetMode="External"/><Relationship Id="rId204" Type="http://schemas.openxmlformats.org/officeDocument/2006/relationships/hyperlink" Target="https://www.sec.gov/Archives/edgar/data/202058/000020205821000054/exhibit103-rspamendment6.htm" TargetMode="External"/><Relationship Id="rId225" Type="http://schemas.openxmlformats.org/officeDocument/2006/relationships/hyperlink" Target="https://www.sec.gov/Archives/edgar/data/202058/000095012309069904/g21448exv4wewiii.htm" TargetMode="External"/><Relationship Id="rId246" Type="http://schemas.openxmlformats.org/officeDocument/2006/relationships/hyperlink" Target="https://www.sec.gov/Archives/edgar/data/202058/000095015204008841/l10812aexv10w5.htm" TargetMode="External"/><Relationship Id="rId267" Type="http://schemas.openxmlformats.org/officeDocument/2006/relationships/hyperlink" Target="https://www.sec.gov/Archives/edgar/data/202058/000095015205002945/l13101aexv99w2.txt" TargetMode="External"/><Relationship Id="rId288" Type="http://schemas.openxmlformats.org/officeDocument/2006/relationships/hyperlink" Target="https://www.sec.gov/Archives/edgar/data/202058/000119312511268507/d241889dex101.htm" TargetMode="External"/><Relationship Id="rId106" Type="http://schemas.openxmlformats.org/officeDocument/2006/relationships/hyperlink" Target="https://www.sec.gov/Archives/edgar/data/202058/000119312515149807/d914283dex43.htm" TargetMode="External"/><Relationship Id="rId127" Type="http://schemas.openxmlformats.org/officeDocument/2006/relationships/hyperlink" Target="https://www.sec.gov/Archives/edgar/data/202058/000119312515149807/d914283dex44.htm" TargetMode="External"/><Relationship Id="rId313" Type="http://schemas.openxmlformats.org/officeDocument/2006/relationships/hyperlink" Target="a10-kexhibit10bbcy22xq4.htm" TargetMode="External"/><Relationship Id="rId10" Type="http://schemas.openxmlformats.org/officeDocument/2006/relationships/hyperlink" Target="https://www.sec.gov/Archives/edgar/data/202058/000020205822000029/exhibit3arestatedcertifi.htm" TargetMode="External"/><Relationship Id="rId31" Type="http://schemas.openxmlformats.org/officeDocument/2006/relationships/hyperlink" Target="https://www.sec.gov/Archives/edgar/data/202058/0000950152-96-001980.txt" TargetMode="External"/><Relationship Id="rId52" Type="http://schemas.openxmlformats.org/officeDocument/2006/relationships/hyperlink" Target="https://www.sec.gov/Archives/edgar/data/202058/000119312515210656/d937596dex42.htm" TargetMode="External"/><Relationship Id="rId73" Type="http://schemas.openxmlformats.org/officeDocument/2006/relationships/hyperlink" Target="https://www.sec.gov/Archives/edgar/data/202058/000095015203008045/l98139aexv4wb.htm" TargetMode="External"/><Relationship Id="rId94" Type="http://schemas.openxmlformats.org/officeDocument/2006/relationships/hyperlink" Target="https://www.sec.gov/Archives/edgar/data/202058/000095015203008045/l98139aexv4wc.htm" TargetMode="External"/><Relationship Id="rId148" Type="http://schemas.openxmlformats.org/officeDocument/2006/relationships/hyperlink" Target="https://www.sec.gov/Archives/edgar/data/202058/000114036119012394/ex4_6.htm" TargetMode="External"/><Relationship Id="rId169" Type="http://schemas.openxmlformats.org/officeDocument/2006/relationships/hyperlink" Target="https://www.sec.gov/Archives/edgar/data/202058/000020205820000017/exhibit2020l3harrissever.htm" TargetMode="External"/><Relationship Id="rId4" Type="http://schemas.openxmlformats.org/officeDocument/2006/relationships/image" Target="file:///E:\projects\LLMs\new_data_collection\data_new\htm\L3HARRIS%20TECHNOLOGIES,%20INC\hrs-20221230_g1.jpg" TargetMode="External"/><Relationship Id="rId180" Type="http://schemas.openxmlformats.org/officeDocument/2006/relationships/hyperlink" Target="https://www.sec.gov/Archives/edgar/data/202058/000129993315001553/exhibit1.htm" TargetMode="External"/><Relationship Id="rId215" Type="http://schemas.openxmlformats.org/officeDocument/2006/relationships/hyperlink" Target="https://www.sec.gov/Archives/edgar/data/202058/000095015204000536/l05216bexv10wc.txt" TargetMode="External"/><Relationship Id="rId236" Type="http://schemas.openxmlformats.org/officeDocument/2006/relationships/hyperlink" Target="https://www.sec.gov/Archives/edgar/data/202058/000095015204000536/l05216bexv10wd.txt" TargetMode="External"/><Relationship Id="rId257" Type="http://schemas.openxmlformats.org/officeDocument/2006/relationships/hyperlink" Target="https://www.sec.gov/Archives/edgar/data/202058/000095012310097519/g24630exv10wn.htm" TargetMode="External"/><Relationship Id="rId278" Type="http://schemas.openxmlformats.org/officeDocument/2006/relationships/hyperlink" Target="https://www.sec.gov/Archives/edgar/data/202058/000095014407005792/g07908exv10w2.htm" TargetMode="External"/><Relationship Id="rId303" Type="http://schemas.openxmlformats.org/officeDocument/2006/relationships/hyperlink" Target="https://www.sec.gov/Archives/edgar/data/202058/000020205822000029/exhibit102michelleturnerof.htm" TargetMode="External"/><Relationship Id="rId42" Type="http://schemas.openxmlformats.org/officeDocument/2006/relationships/hyperlink" Target="https://www.sec.gov/Archives/edgar/data/202058/000095015202008048/l96983aexv99w4.txt" TargetMode="External"/><Relationship Id="rId84" Type="http://schemas.openxmlformats.org/officeDocument/2006/relationships/hyperlink" Target="https://www.sec.gov/Archives/edgar/data/202058/000119312515210656/d937596dex43.htm" TargetMode="External"/><Relationship Id="rId138" Type="http://schemas.openxmlformats.org/officeDocument/2006/relationships/hyperlink" Target="https://www.sec.gov/Archives/edgar/data/202058/000114036119012394/ex4_1.htm" TargetMode="External"/><Relationship Id="rId191" Type="http://schemas.openxmlformats.org/officeDocument/2006/relationships/hyperlink" Target="https://www.sec.gov/Archives/edgar/data/202058/000020205819000103/exhibit108integration-.htm" TargetMode="External"/><Relationship Id="rId205" Type="http://schemas.openxmlformats.org/officeDocument/2006/relationships/hyperlink" Target="https://www.sec.gov/Archives/edgar/data/202058/000020205821000054/exhibit103-rspamendment6.htm" TargetMode="External"/><Relationship Id="rId247" Type="http://schemas.openxmlformats.org/officeDocument/2006/relationships/hyperlink" Target="https://www.sec.gov/Archives/edgar/data/202058/000095015204008841/l10812aexv10w5.htm" TargetMode="External"/><Relationship Id="rId107" Type="http://schemas.openxmlformats.org/officeDocument/2006/relationships/hyperlink" Target="https://www.sec.gov/Archives/edgar/data/202058/000119312515149807/d914283dex43.htm" TargetMode="External"/><Relationship Id="rId289" Type="http://schemas.openxmlformats.org/officeDocument/2006/relationships/hyperlink" Target="https://www.sec.gov/Archives/edgar/data/202058/000020205819000023/exhibit10a_ceoxsidexletter.htm" TargetMode="External"/><Relationship Id="rId11" Type="http://schemas.openxmlformats.org/officeDocument/2006/relationships/hyperlink" Target="https://www.sec.gov/Archives/edgar/data/202058/000020205822000067/exhibit31bylawsdecember2022.htm" TargetMode="External"/><Relationship Id="rId53" Type="http://schemas.openxmlformats.org/officeDocument/2006/relationships/hyperlink" Target="https://www.sec.gov/Archives/edgar/data/202058/000119312515210656/d937596dex42.htm" TargetMode="External"/><Relationship Id="rId149" Type="http://schemas.openxmlformats.org/officeDocument/2006/relationships/hyperlink" Target="https://www.sec.gov/Archives/edgar/data/202058/000114036119012394/ex4_6.htm" TargetMode="External"/><Relationship Id="rId314" Type="http://schemas.openxmlformats.org/officeDocument/2006/relationships/hyperlink" Target="a10-kexhibit21cy22xq4.htm" TargetMode="External"/><Relationship Id="rId95" Type="http://schemas.openxmlformats.org/officeDocument/2006/relationships/hyperlink" Target="https://www.sec.gov/Archives/edgar/data/202058/000095015203008045/l98139aexv4wc.htm" TargetMode="External"/><Relationship Id="rId160" Type="http://schemas.openxmlformats.org/officeDocument/2006/relationships/hyperlink" Target="https://www.sec.gov/Archives/edgar/data/202058/000114036119012394/ex4_10.htm" TargetMode="External"/><Relationship Id="rId216" Type="http://schemas.openxmlformats.org/officeDocument/2006/relationships/hyperlink" Target="https://www.sec.gov/Archives/edgar/data/202058/000095015204000536/l05216bexv10wc.txt" TargetMode="External"/><Relationship Id="rId258" Type="http://schemas.openxmlformats.org/officeDocument/2006/relationships/hyperlink" Target="https://www.sec.gov/Archives/edgar/data/202058/000095012310097519/g24630exv10wn.htm" TargetMode="External"/><Relationship Id="rId22" Type="http://schemas.openxmlformats.org/officeDocument/2006/relationships/hyperlink" Target="https://www.sec.gov/Archives/edgar/data/202058/0000950152-96-001980.txt" TargetMode="External"/><Relationship Id="rId64" Type="http://schemas.openxmlformats.org/officeDocument/2006/relationships/hyperlink" Target="https://www.sec.gov/Archives/edgar/data/202058/000119312515210656/d937596dex41.htm" TargetMode="External"/><Relationship Id="rId118" Type="http://schemas.openxmlformats.org/officeDocument/2006/relationships/hyperlink" Target="https://www.sec.gov/Archives/edgar/data/202058/000020205819000107/l3harris-2019notesxua.htm" TargetMode="External"/><Relationship Id="rId325" Type="http://schemas.openxmlformats.org/officeDocument/2006/relationships/hyperlink" Target="exhibit321cy22-q410xk.htm" TargetMode="External"/><Relationship Id="rId171" Type="http://schemas.openxmlformats.org/officeDocument/2006/relationships/hyperlink" Target="https://www.sec.gov/Archives/edgar/data/202058/000095012310083467/g24533exv10w4.htm" TargetMode="External"/><Relationship Id="rId227" Type="http://schemas.openxmlformats.org/officeDocument/2006/relationships/hyperlink" Target="https://www.sec.gov/Archives/edgar/data/202058/000095012309069904/g21448exv4wewiii.htm" TargetMode="External"/><Relationship Id="rId269" Type="http://schemas.openxmlformats.org/officeDocument/2006/relationships/hyperlink" Target="https://www.sec.gov/Archives/edgar/data/202058/000095014407005792/g07908exv10w1.htm" TargetMode="External"/><Relationship Id="rId33" Type="http://schemas.openxmlformats.org/officeDocument/2006/relationships/hyperlink" Target="https://www.sec.gov/Archives/edgar/data/202058/0000950152-96-001980.txt" TargetMode="External"/><Relationship Id="rId129" Type="http://schemas.openxmlformats.org/officeDocument/2006/relationships/hyperlink" Target="https://www.sec.gov/Archives/edgar/data/202058/000095012310110843/g25428exv4w2.htm" TargetMode="External"/><Relationship Id="rId280" Type="http://schemas.openxmlformats.org/officeDocument/2006/relationships/hyperlink" Target="https://www.sec.gov/Archives/edgar/data/202058/000095014407005792/g07908exv10w3.htm" TargetMode="External"/><Relationship Id="rId75" Type="http://schemas.openxmlformats.org/officeDocument/2006/relationships/hyperlink" Target="https://www.sec.gov/Archives/edgar/data/202058/000095015203008045/l98139aexv4wb.htm" TargetMode="External"/><Relationship Id="rId140" Type="http://schemas.openxmlformats.org/officeDocument/2006/relationships/hyperlink" Target="https://www.sec.gov/Archives/edgar/data/202058/000114036119012394/ex4_1.htm" TargetMode="External"/><Relationship Id="rId182" Type="http://schemas.openxmlformats.org/officeDocument/2006/relationships/hyperlink" Target="https://www.sec.gov/Archives/edgar/data/202058/000129993315001553/exhibit1.htm" TargetMode="External"/><Relationship Id="rId6" Type="http://schemas.openxmlformats.org/officeDocument/2006/relationships/image" Target="file:///E:\projects\LLMs\new_data_collection\data_new\htm\L3HARRIS%20TECHNOLOGIES,%20INC\hrs-20221230_g3.jpg" TargetMode="External"/><Relationship Id="rId238" Type="http://schemas.openxmlformats.org/officeDocument/2006/relationships/hyperlink" Target="https://www.sec.gov/Archives/edgar/data/202058/000095015204000536/l05216bexv10wd.txt" TargetMode="External"/><Relationship Id="rId291" Type="http://schemas.openxmlformats.org/officeDocument/2006/relationships/hyperlink" Target="https://www.sec.gov/Archives/edgar/data/202058/000020205819000023/exhibit10a_ceoxsidexletter.htm" TargetMode="External"/><Relationship Id="rId305" Type="http://schemas.openxmlformats.org/officeDocument/2006/relationships/hyperlink" Target="https://www.sec.gov/Archives/edgar/data/202058/000020205822000065/l3harris-2022termloanagree.htm" TargetMode="External"/><Relationship Id="rId44" Type="http://schemas.openxmlformats.org/officeDocument/2006/relationships/hyperlink" Target="https://www.sec.gov/Archives/edgar/data/202058/000095015202008048/l96983aexv99w4.txt" TargetMode="External"/><Relationship Id="rId86" Type="http://schemas.openxmlformats.org/officeDocument/2006/relationships/hyperlink" Target="https://www.sec.gov/Archives/edgar/data/202058/000119312515210656/d937596dex43.htm" TargetMode="External"/><Relationship Id="rId151" Type="http://schemas.openxmlformats.org/officeDocument/2006/relationships/hyperlink" Target="https://www.sec.gov/Archives/edgar/data/202058/000114036119012394/ex4_7.htm" TargetMode="External"/><Relationship Id="rId193" Type="http://schemas.openxmlformats.org/officeDocument/2006/relationships/hyperlink" Target="https://www.sec.gov/Archives/edgar/data/202058/000020205820000011/exhibit10fxl3harrisnon.htm" TargetMode="External"/><Relationship Id="rId207" Type="http://schemas.openxmlformats.org/officeDocument/2006/relationships/hyperlink" Target="https://www.sec.gov/Archives/edgar/data/202058/000020205822000015/exhibit10iix-rspamendmentn.htm" TargetMode="External"/><Relationship Id="rId249" Type="http://schemas.openxmlformats.org/officeDocument/2006/relationships/hyperlink" Target="https://www.sec.gov/Archives/edgar/data/202058/000095014409001119/g17294exv10wxiy.htm" TargetMode="External"/><Relationship Id="rId13" Type="http://schemas.openxmlformats.org/officeDocument/2006/relationships/hyperlink" Target="https://www.sec.gov/Archives/edgar/data/202058/000114036119012159/ex4.htm" TargetMode="External"/><Relationship Id="rId109" Type="http://schemas.openxmlformats.org/officeDocument/2006/relationships/hyperlink" Target="https://www.sec.gov/Archives/edgar/data/202058/000119312515149807/d914283dex43.htm" TargetMode="External"/><Relationship Id="rId260" Type="http://schemas.openxmlformats.org/officeDocument/2006/relationships/hyperlink" Target="https://www.sec.gov/Archives/edgar/data/202058/000020205819000061/exhibit103qfy19.htm" TargetMode="External"/><Relationship Id="rId316" Type="http://schemas.openxmlformats.org/officeDocument/2006/relationships/hyperlink" Target="a10-kexhibit23cy22xq4.htm" TargetMode="External"/><Relationship Id="rId55" Type="http://schemas.openxmlformats.org/officeDocument/2006/relationships/hyperlink" Target="https://www.sec.gov/Archives/edgar/data/202058/000119312515210656/d937596dex41.htm" TargetMode="External"/><Relationship Id="rId97" Type="http://schemas.openxmlformats.org/officeDocument/2006/relationships/hyperlink" Target="https://www.sec.gov/Archives/edgar/data/202058/000095015203008045/l98139aexv4wc.htm" TargetMode="External"/><Relationship Id="rId120" Type="http://schemas.openxmlformats.org/officeDocument/2006/relationships/hyperlink" Target="https://www.sec.gov/Archives/edgar/data/202058/000020205819000107/l3harris-2019notesxua.htm" TargetMode="External"/><Relationship Id="rId162" Type="http://schemas.openxmlformats.org/officeDocument/2006/relationships/hyperlink" Target="https://www.sec.gov/Archives/edgar/data/202058/000114036119012394/ex4_11.htm" TargetMode="External"/><Relationship Id="rId218" Type="http://schemas.openxmlformats.org/officeDocument/2006/relationships/hyperlink" Target="https://www.sec.gov/Archives/edgar/data/202058/000095015204000536/l05216bexv10wc.tx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94773</Words>
  <Characters>540209</Characters>
  <Application>Microsoft Office Word</Application>
  <DocSecurity>0</DocSecurity>
  <Lines>4501</Lines>
  <Paragraphs>1267</Paragraphs>
  <ScaleCrop>false</ScaleCrop>
  <Company/>
  <LinksUpToDate>false</LinksUpToDate>
  <CharactersWithSpaces>633715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hrs-20221230</dc:title>
  <dc:subject/>
  <dc:creator>Chongjian.Yue</dc:creator>
  <cp:keywords/>
  <dc:description/>
  <cp:lastModifiedBy>Yue Chongjian</cp:lastModifiedBy>
  <cp:revision>1</cp:revision>
  <dcterms:created xsi:type="dcterms:W3CDTF">2024-01-04T15:50:00Z</dcterms:created>
  <dcterms:modified xsi:type="dcterms:W3CDTF">2024-01-04T15:50:00Z</dcterms:modified>
</cp:coreProperties>
</file>