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D532D">
      <w:pPr>
        <w:divId w:val="11499575"/>
        <w:rPr>
          <w:rFonts w:eastAsia="Times New Roman"/>
          <w:vanish/>
        </w:rPr>
      </w:pPr>
      <w:r>
        <w:rPr>
          <w:rFonts w:eastAsia="Times New Roman"/>
          <w:vanish/>
        </w:rPr>
        <w:t>0000912242FALSE12/312021Q1mac:OperatingandFinanceLeaseLiabilitymac:OperatingandFinanceLeaseLiabilitymac:OperatingandFinanceLeaseLiabilitymac:OperatingandFinanceLeaseLiability00009122422021-01-012021-03-31xbrli:shares00009122422021-05-07</w:t>
      </w:r>
      <w:r>
        <w:rPr>
          <w:rFonts w:eastAsia="Times New Roman"/>
          <w:vanish/>
        </w:rPr>
        <w:t>iso4217:USD00009122422021-03-3100009122422020-12-31iso4217:USDxbrli:shares00009122422020-01-012020-03-310000912242us-gaap:RealEstateOtherMember2021-01-012021-03-310000912242us-gaap:RealEstateOtherMember2020-01-012020-03-310000912242us-gaap:ManagementServic</w:t>
      </w:r>
      <w:r>
        <w:rPr>
          <w:rFonts w:eastAsia="Times New Roman"/>
          <w:vanish/>
        </w:rPr>
        <w:t>eMember2021-01-012021-03-310000912242us-gaap:ManagementServiceMember2020-01-012020-03-310000912242us-gaap:RealEstateMember2021-01-012021-03-310000912242us-gaap:RealEstateMember2020-01-012020-03-310000912242us-gaap:CommonStockMember2020-12-310000912242us-ga</w:t>
      </w:r>
      <w:r>
        <w:rPr>
          <w:rFonts w:eastAsia="Times New Roman"/>
          <w:vanish/>
        </w:rPr>
        <w:t>ap:AdditionalPaidInCapitalMember2020-12-310000912242us-gaap:RetainedEarningsMember2020-12-310000912242us-gaap:AccumulatedOtherComprehensiveIncomeMember2020-12-310000912242us-gaap:ParentMember2020-12-310000912242us-gaap:NoncontrollingInterestMember2020-12-3</w:t>
      </w:r>
      <w:r>
        <w:rPr>
          <w:rFonts w:eastAsia="Times New Roman"/>
          <w:vanish/>
        </w:rPr>
        <w:t>10000912242us-gaap:RetainedEarningsMember2021-01-012021-03-310000912242us-gaap:ParentMember2021-01-012021-03-310000912242us-gaap:NoncontrollingInterestMember2021-01-012021-03-310000912242us-gaap:AccumulatedOtherComprehensiveIncomeMember2021-01-012021-03-31</w:t>
      </w:r>
      <w:r>
        <w:rPr>
          <w:rFonts w:eastAsia="Times New Roman"/>
          <w:vanish/>
        </w:rPr>
        <w:t>0000912242us-gaap:CommonStockMember2021-01-012021-03-310000912242us-gaap:AdditionalPaidInCapitalMember2021-01-012021-03-310000912242us-gaap:CommonStockMember2021-03-310000912242us-gaap:AdditionalPaidInCapitalMember2021-03-310000912242us-gaap:RetainedEarnin</w:t>
      </w:r>
      <w:r>
        <w:rPr>
          <w:rFonts w:eastAsia="Times New Roman"/>
          <w:vanish/>
        </w:rPr>
        <w:t>gsMember2021-03-310000912242us-gaap:AccumulatedOtherComprehensiveIncomeMember2021-03-310000912242us-gaap:ParentMember2021-03-310000912242us-gaap:NoncontrollingInterestMember2021-03-310000912242us-gaap:CommonStockMember2019-12-310000912242us-gaap:Additional</w:t>
      </w:r>
      <w:r>
        <w:rPr>
          <w:rFonts w:eastAsia="Times New Roman"/>
          <w:vanish/>
        </w:rPr>
        <w:t>PaidInCapitalMember2019-12-310000912242us-gaap:RetainedEarningsMember2019-12-310000912242us-gaap:AccumulatedOtherComprehensiveIncomeMember2019-12-310000912242us-gaap:ParentMember2019-12-310000912242us-gaap:NoncontrollingInterestMember2019-12-31000091224220</w:t>
      </w:r>
      <w:r>
        <w:rPr>
          <w:rFonts w:eastAsia="Times New Roman"/>
          <w:vanish/>
        </w:rPr>
        <w:t>19-12-310000912242us-gaap:RetainedEarningsMember2020-01-012020-03-310000912242us-gaap:ParentMember2020-01-012020-03-310000912242us-gaap:NoncontrollingInterestMember2020-01-012020-03-310000912242us-gaap:AccumulatedOtherComprehensiveIncomeMember2020-01-01202</w:t>
      </w:r>
      <w:r>
        <w:rPr>
          <w:rFonts w:eastAsia="Times New Roman"/>
          <w:vanish/>
        </w:rPr>
        <w:t>0-03-310000912242us-gaap:CommonStockMember2020-01-012020-03-310000912242us-gaap:AdditionalPaidInCapitalMember2020-01-012020-03-310000912242us-gaap:CommonStockMember2020-03-310000912242us-gaap:AdditionalPaidInCapitalMember2020-03-310000912242us-gaap:Retaine</w:t>
      </w:r>
      <w:r>
        <w:rPr>
          <w:rFonts w:eastAsia="Times New Roman"/>
          <w:vanish/>
        </w:rPr>
        <w:t>dEarningsMember2020-03-310000912242us-gaap:AccumulatedOtherComprehensiveIncomeMember2020-03-310000912242us-gaap:ParentMember2020-03-310000912242us-gaap:NoncontrollingInterestMember2020-03-3100009122422020-03-31xbrli:pure0000912242mac:TheMacerichPartnership</w:t>
      </w:r>
      <w:r>
        <w:rPr>
          <w:rFonts w:eastAsia="Times New Roman"/>
          <w:vanish/>
        </w:rPr>
        <w:t>LPMember2021-03-31mac:entity0000912242us-gaap:VariableInterestEntityPrimaryBeneficiaryMember2021-03-310000912242us-gaap:VariableInterestEntityPrimaryBeneficiaryMember2020-12-310000912242mac:PreferredNonparticipatingConvertibleUnitsMember2021-01-012021-03-3</w:t>
      </w:r>
      <w:r>
        <w:rPr>
          <w:rFonts w:eastAsia="Times New Roman"/>
          <w:vanish/>
        </w:rPr>
        <w:t>10000912242mac:PreferredNonparticipatingConvertibleUnitsMember2020-01-012020-03-310000912242mac:PartnershipUnitsMember2021-01-012021-03-310000912242mac:PartnershipUnitsMember2020-01-012020-03-310000912242mac:TysonsCornerLLCMemberus-gaap:CorporateJointVentu</w:t>
      </w:r>
      <w:r>
        <w:rPr>
          <w:rFonts w:eastAsia="Times New Roman"/>
          <w:vanish/>
        </w:rPr>
        <w:t>reMember2020-11-170000912242mac:TysonsCornerLLCMemberus-gaap:CorporateJointVentureMember2020-11-172020-11-170000912242mac:TysonsCornerLLCMemberus-gaap:ScenarioPlanMemberus-gaap:CorporateJointVentureMember2020-11-172020-11-170000912242mac:TysonsCornerLLCMem</w:t>
      </w:r>
      <w:r>
        <w:rPr>
          <w:rFonts w:eastAsia="Times New Roman"/>
          <w:vanish/>
        </w:rPr>
        <w:t>ber2020-11-172020-11-170000912242mac:FashionDistrictPhiladelphiaMemberus-gaap:CorporateJointVentureMember2020-12-102020-12-100000912242mac:FashionDistrictPhiladelphiaMemberus-gaap:CorporateJointVentureMember2020-12-090000912242mac:FashionDistrictPhiladelph</w:t>
      </w:r>
      <w:r>
        <w:rPr>
          <w:rFonts w:eastAsia="Times New Roman"/>
          <w:vanish/>
        </w:rPr>
        <w:t>iaMemberus-gaap:CorporateJointVentureMember2020-12-100000912242mac:FashionDistrictPhiladelphiaMemberus-gaap:CorporateJointVentureMember2020-12-102020-12-100000912242us-gaap:LondonInterbankOfferedRateLIBORMembermac:FashionDistrictPhiladelphiaMemberus-gaap:C</w:t>
      </w:r>
      <w:r>
        <w:rPr>
          <w:rFonts w:eastAsia="Times New Roman"/>
          <w:vanish/>
        </w:rPr>
        <w:t>orporateJointVentureMember2020-12-102020-12-100000912242us-gaap:BaseRateMembermac:FashionDistrictPhiladelphiaMemberus-gaap:CorporateJointVentureMember2020-12-102020-12-100000912242mac:FashionDistrictPhiladelphiaMemberus-gaap:CorporateJointVentureMember2020</w:t>
      </w:r>
      <w:r>
        <w:rPr>
          <w:rFonts w:eastAsia="Times New Roman"/>
          <w:vanish/>
        </w:rPr>
        <w:t>-12-100000912242mac:FashionDistrictPhiladelphiaMemberus-gaap:CoVenturerMember2020-12-100000912242mac:FlatIronCrossingMemberus-gaap:CorporateJointVentureMember2020-12-292020-12-290000912242mac:FlatIronCrossingMemberus-gaap:CorporateJointVentureMember2020-12</w:t>
      </w:r>
      <w:r>
        <w:rPr>
          <w:rFonts w:eastAsia="Times New Roman"/>
          <w:vanish/>
        </w:rPr>
        <w:t>-280000912242mac:FlatIronCrossingMemberus-gaap:CorporateJointVentureMember2020-12-290000912242mac:FlatIronCrossingMember2021-01-012021-03-31mac:property0000912242us-gaap:CorporateJointVentureMember2020-12-310000912242mac:SearsSouthPlainsMember2020-12-31000</w:t>
      </w:r>
      <w:r>
        <w:rPr>
          <w:rFonts w:eastAsia="Times New Roman"/>
          <w:vanish/>
        </w:rPr>
        <w:t>0912242mac:ParadiseValleyMallMemberus-gaap:CorporateJointVentureMember2021-03-290000912242mac:ParadiseValleyMallMemberus-gaap:CorporateJointVentureMember2021-03-292021-03-290000912242us-gaap:EquityMethodInvestmentNonconsolidatedInvesteeOrGroupOfInvesteesMe</w:t>
      </w:r>
      <w:r>
        <w:rPr>
          <w:rFonts w:eastAsia="Times New Roman"/>
          <w:vanish/>
        </w:rPr>
        <w:t>mberus-gaap:CorporateJointVentureMember2021-03-310000912242us-gaap:EquityMethodInvestmentNonconsolidatedInvesteeOrGroupOfInvesteesMemberus-gaap:CorporateJointVentureMember2020-12-310000912242us-gaap:CorporateJointVentureMember2021-03-310000912242mac:Pacifi</w:t>
      </w:r>
      <w:r>
        <w:rPr>
          <w:rFonts w:eastAsia="Times New Roman"/>
          <w:vanish/>
        </w:rPr>
        <w:t>cPremierRetailLLCMembermac:PacificPremierRetailLPMemberus-gaap:CorporateJointVentureMember2021-03-310000912242mac:PacificPremierRetailLLCMembermac:PacificPremierRetailLPMemberus-gaap:CorporateJointVentureMember2020-12-310000912242us-gaap:CorporateJointVent</w:t>
      </w:r>
      <w:r>
        <w:rPr>
          <w:rFonts w:eastAsia="Times New Roman"/>
          <w:vanish/>
        </w:rPr>
        <w:t>ureMember2021-01-012021-03-310000912242us-gaap:CorporateJointVentureMember2020-01-012020-03-310000912242mac:PacificPremierRetailLPMemberus-gaap:CorporateJointVentureMember2021-01-012021-03-310000912242mac:OtherJointVenturesMemberus-gaap:CorporateJointVentu</w:t>
      </w:r>
      <w:r>
        <w:rPr>
          <w:rFonts w:eastAsia="Times New Roman"/>
          <w:vanish/>
        </w:rPr>
        <w:t>reMember2021-01-012021-03-310000912242us-gaap:RealEstateOtherMembermac:PacificPremierRetailLPMemberus-gaap:CorporateJointVentureMember2021-01-012021-03-310000912242mac:OtherJointVenturesMemberus-gaap:RealEstateOtherMemberus-gaap:CorporateJointVentureMember</w:t>
      </w:r>
      <w:r>
        <w:rPr>
          <w:rFonts w:eastAsia="Times New Roman"/>
          <w:vanish/>
        </w:rPr>
        <w:t>2021-01-012021-03-310000912242us-gaap:RealEstateOtherMemberus-gaap:CorporateJointVentureMember2021-01-012021-03-310000912242us-gaap:RealEstateMembermac:PacificPremierRetailLPMemberus-gaap:CorporateJointVentureMember2021-01-012021-03-310000912242mac:OtherJo</w:t>
      </w:r>
      <w:r>
        <w:rPr>
          <w:rFonts w:eastAsia="Times New Roman"/>
          <w:vanish/>
        </w:rPr>
        <w:t>intVenturesMemberus-gaap:RealEstateMemberus-gaap:CorporateJointVentureMember2021-01-012021-03-310000912242us-gaap:RealEstateMemberus-gaap:CorporateJointVentureMember2021-01-012021-03-310000912242mac:PacificPremierRetailLPMemberus-gaap:CorporateJointVenture</w:t>
      </w:r>
      <w:r>
        <w:rPr>
          <w:rFonts w:eastAsia="Times New Roman"/>
          <w:vanish/>
        </w:rPr>
        <w:t>Member2021-01-012021-03-310000912242mac:OtherJointVenturesMemberus-gaap:CorporateJointVentureMember2021-01-012021-03-310000912242mac:PacificPremierRetailLPMemberus-gaap:CorporateJointVentureMember2020-01-012020-03-310000912242mac:OtherJointVenturesMemberus</w:t>
      </w:r>
      <w:r>
        <w:rPr>
          <w:rFonts w:eastAsia="Times New Roman"/>
          <w:vanish/>
        </w:rPr>
        <w:t>-gaap:CorporateJointVentureMember2020-01-012020-03-310000912242us-gaap:RealEstateOtherMembermac:PacificPremierRetailLPMemberus-gaap:CorporateJointVentureMember2020-01-012020-03-310000912242mac:OtherJointVenturesMemberus-gaap:RealEstateOtherMemberus-gaap:Co</w:t>
      </w:r>
      <w:r>
        <w:rPr>
          <w:rFonts w:eastAsia="Times New Roman"/>
          <w:vanish/>
        </w:rPr>
        <w:t>rporateJointVentureMember2020-01-012020-03-310000912242us-gaap:RealEstateOtherMemberus-gaap:CorporateJointVentureMember2020-01-012020-03-310000912242us-gaap:RealEstateMembermac:PacificPremierRetailLPMemberus-gaap:CorporateJointVentureMember2020-01-012020-0</w:t>
      </w:r>
      <w:r>
        <w:rPr>
          <w:rFonts w:eastAsia="Times New Roman"/>
          <w:vanish/>
        </w:rPr>
        <w:t>3-310000912242mac:OtherJointVenturesMemberus-gaap:RealEstateMemberus-gaap:CorporateJointVentureMember2020-01-012020-03-310000912242us-gaap:RealEstateMemberus-gaap:CorporateJointVentureMember2020-01-012020-03-310000912242mac:PacificPremierRetailLPMemberus-g</w:t>
      </w:r>
      <w:r>
        <w:rPr>
          <w:rFonts w:eastAsia="Times New Roman"/>
          <w:vanish/>
        </w:rPr>
        <w:t>aap:CorporateJointVentureMember2020-01-012020-03-310000912242mac:OtherJointVenturesMemberus-gaap:CorporateJointVentureMember2020-01-012020-03-31mac:derivative0000912242us-gaap:InterestRateCapMemberus-gaap:FairValueInputsLevel2Member2021-03-310000912242us-g</w:t>
      </w:r>
      <w:r>
        <w:rPr>
          <w:rFonts w:eastAsia="Times New Roman"/>
          <w:vanish/>
        </w:rPr>
        <w:t>aap:InterestRateCapMemberus-gaap:FairValueInputsLevel2Member2020-12-310000912242us-gaap:InterestRateSwapMemberus-gaap:FairValueInputsLevel2Member2021-03-310000912242us-gaap:InterestRateSwapMemberus-gaap:FairValueInputsLevel2Member2020-12-310000912242us-gaa</w:t>
      </w:r>
      <w:r>
        <w:rPr>
          <w:rFonts w:eastAsia="Times New Roman"/>
          <w:vanish/>
        </w:rPr>
        <w:t>p:LandBuildingsAndImprovementsMember2021-01-012021-03-310000912242us-gaap:LandBuildingsAndImprovementsMember2020-01-012020-03-310000912242us-gaap:LandMember2021-01-012021-03-310000912242us-gaap:LandMember2020-01-012020-03-310000912242mac:EstrellaFallsMembe</w:t>
      </w:r>
      <w:r>
        <w:rPr>
          <w:rFonts w:eastAsia="Times New Roman"/>
          <w:vanish/>
        </w:rPr>
        <w:t>r2021-01-012021-03-310000912242mac:WiltonMallMember2021-01-012021-03-310000912242mac:ParadiseValleyMallMember2020-01-012020-03-310000912242mac:ParadiseValleyMallMember2021-01-012021-03-310000912242us-gaap:FairValueMeasurementsNonrecurringMemberus-gaap:Fair</w:t>
      </w:r>
      <w:r>
        <w:rPr>
          <w:rFonts w:eastAsia="Times New Roman"/>
          <w:vanish/>
        </w:rPr>
        <w:t>ValueInputsLevel1Member2020-03-310000912242us-gaap:FairValueInputsLevel2Memberus-gaap:FairValueMeasurementsNonrecurringMember2020-03-310000912242us-gaap:FairValueInputsLevel3Memberus-gaap:FairValueMeasurementsNonrecurringMember2020-03-310000912242us-gaap:F</w:t>
      </w:r>
      <w:r>
        <w:rPr>
          <w:rFonts w:eastAsia="Times New Roman"/>
          <w:vanish/>
        </w:rPr>
        <w:t>airValueMeasurementsNonrecurringMemberus-gaap:FairValueInputsLevel1Member2021-03-310000912242us-gaap:FairValueInputsLevel2Memberus-gaap:FairValueMeasurementsNonrecurringMember2021-03-310000912242us-gaap:FairValueInputsLevel3Memberus-gaap:FairValueMeasureme</w:t>
      </w:r>
      <w:r>
        <w:rPr>
          <w:rFonts w:eastAsia="Times New Roman"/>
          <w:vanish/>
        </w:rPr>
        <w:t>ntsNonrecurringMember2021-03-310000912242us-gaap:AccruedIncomeReceivableMember2021-03-310000912242us-gaap:AccruedIncomeReceivableMember2020-12-31mac:lease0000912242us-gaap:LeasesAcquiredInPlaceMember2021-03-310000912242us-gaap:LeasesAcquiredInPlaceMember20</w:t>
      </w:r>
      <w:r>
        <w:rPr>
          <w:rFonts w:eastAsia="Times New Roman"/>
          <w:vanish/>
        </w:rPr>
        <w:t>20-12-310000912242us-gaap:LeasesAcquiredInPlaceMember2021-01-012021-03-310000912242us-gaap:LeasesAcquiredInPlaceMember2020-01-012020-03-310000912242us-gaap:AboveMarketLeasesMember2021-03-310000912242us-gaap:AboveMarketLeasesMember2020-12-310000912242mac:Be</w:t>
      </w:r>
      <w:r>
        <w:rPr>
          <w:rFonts w:eastAsia="Times New Roman"/>
          <w:vanish/>
        </w:rPr>
        <w:t>lowMarketLeaseMember2021-03-310000912242mac:BelowMarketLeaseMember2020-12-310000912242mac:ChandlerFashionCenterMortgageMember2021-03-310000912242mac:ChandlerFashionCenterMortgageMember2020-12-310000912242mac:ChandlerFashionCenterMortgageMember2021-01-01202</w:t>
      </w:r>
      <w:r>
        <w:rPr>
          <w:rFonts w:eastAsia="Times New Roman"/>
          <w:vanish/>
        </w:rPr>
        <w:t>1-03-310000912242mac:DanburyFairMallMortgageMember2021-03-310000912242mac:DanburyFairMallMortgageMember2020-12-310000912242mac:DanburyFairMallMortgageMember2021-01-012021-03-310000912242mac:FashionDistrictPhiladelphiaMember2021-03-310000912242mac:FashionDi</w:t>
      </w:r>
      <w:r>
        <w:rPr>
          <w:rFonts w:eastAsia="Times New Roman"/>
          <w:vanish/>
        </w:rPr>
        <w:t>strictPhiladelphiaMember2020-12-310000912242mac:FashionDistrictPhiladelphiaMember2021-01-012021-03-310000912242mac:FashionOutletsOfChicagoMortgageMember2021-03-310000912242mac:FashionOutletsOfChicagoMortgageMember2020-12-310000912242mac:FashionOutletsOfChi</w:t>
      </w:r>
      <w:r>
        <w:rPr>
          <w:rFonts w:eastAsia="Times New Roman"/>
          <w:vanish/>
        </w:rPr>
        <w:t>cagoMortgageMember2021-01-012021-03-310000912242mac:FashionOutletsAtNiagaraMortgageMember2021-03-310000912242mac:FashionOutletsAtNiagaraMortgageMember2020-12-310000912242mac:FashionOutletsAtNiagaraMortgageMember2021-01-012021-03-310000912242mac:FreeholdRac</w:t>
      </w:r>
      <w:r>
        <w:rPr>
          <w:rFonts w:eastAsia="Times New Roman"/>
          <w:vanish/>
        </w:rPr>
        <w:t>ewayMallMortgageMember2021-03-310000912242mac:FreeholdRacewayMallMortgageMember2020-12-310000912242mac:FreeholdRacewayMallMortgageMember2021-01-012021-03-310000912242mac:FresnoFashionFairMember2021-03-310000912242mac:FresnoFashionFairMember2020-12-31000091</w:t>
      </w:r>
      <w:r>
        <w:rPr>
          <w:rFonts w:eastAsia="Times New Roman"/>
          <w:vanish/>
        </w:rPr>
        <w:t>2242mac:FresnoFashionFairMember2021-01-012021-03-310000912242mac:GreenAcresCommonsMember2021-03-310000912242mac:GreenAcresCommonsMember2020-12-310000912242mac:GreenAcresCommonsMember2021-01-012021-03-310000912242mac:GreenAcresMallMember2021-03-310000912242</w:t>
      </w:r>
      <w:r>
        <w:rPr>
          <w:rFonts w:eastAsia="Times New Roman"/>
          <w:vanish/>
        </w:rPr>
        <w:t>mac:GreenAcresMallMember2020-12-310000912242mac:GreenAcresMallMember2021-01-012021-03-310000912242mac:KingsPlazaMortgageMember2021-03-310000912242mac:KingsPlazaMortgageMember2020-12-310000912242mac:KingsPlazaMortgageMember2021-01-012021-03-310000912242mac:</w:t>
      </w:r>
      <w:r>
        <w:rPr>
          <w:rFonts w:eastAsia="Times New Roman"/>
          <w:vanish/>
        </w:rPr>
        <w:t>TheOaksOneMortgageMember2021-03-310000912242mac:TheOaksOneMortgageMember2020-12-310000912242mac:TheOaksOneMortgageMember2021-01-012021-03-310000912242mac:PacificViewMortgageMember2021-03-310000912242mac:PacificViewMortgageMember2020-12-310000912242mac:Paci</w:t>
      </w:r>
      <w:r>
        <w:rPr>
          <w:rFonts w:eastAsia="Times New Roman"/>
          <w:vanish/>
        </w:rPr>
        <w:t>ficViewMortgageMember2021-01-012021-03-310000912242mac:QueensCenterMember2021-03-310000912242mac:QueensCenterMember2020-12-310000912242mac:QueensCenterMember2021-01-012021-03-310000912242mac:SantaMonicaPlaceMortgageMember2021-03-310000912242mac:SantaMonica</w:t>
      </w:r>
      <w:r>
        <w:rPr>
          <w:rFonts w:eastAsia="Times New Roman"/>
          <w:vanish/>
        </w:rPr>
        <w:t>PlaceMortgageMember2020-12-310000912242mac:SantaMonicaPlaceMortgageMember2021-01-012021-03-310000912242mac:SanTanVillageRegionalCenterMortgageMember2021-03-310000912242mac:SanTanVillageRegionalCenterMortgageMember2020-12-310000912242mac:SanTanVillageRegion</w:t>
      </w:r>
      <w:r>
        <w:rPr>
          <w:rFonts w:eastAsia="Times New Roman"/>
          <w:vanish/>
        </w:rPr>
        <w:t>alCenterMortgageMember2021-01-012021-03-310000912242mac:TowneMallMortgageMember2021-03-310000912242mac:TowneMallMortgageMember2020-12-310000912242mac:TowneMallMortgageMember2021-01-012021-03-310000912242mac:TucsonLaEncantadaMortgageMember2021-03-3100009122</w:t>
      </w:r>
      <w:r>
        <w:rPr>
          <w:rFonts w:eastAsia="Times New Roman"/>
          <w:vanish/>
        </w:rPr>
        <w:t>42mac:TucsonLaEncantadaMortgageMember2020-12-310000912242mac:TucsonLaEncantadaMortgageMember2021-01-012021-03-310000912242mac:MallOfVictorValleyMortgageMember2021-03-310000912242mac:MallOfVictorValleyMortgageMember2020-12-310000912242mac:MallOfVictorValley</w:t>
      </w:r>
      <w:r>
        <w:rPr>
          <w:rFonts w:eastAsia="Times New Roman"/>
          <w:vanish/>
        </w:rPr>
        <w:t>MortgageMember2021-01-012021-03-310000912242mac:VintageFaireMallMortgageMember2021-03-310000912242mac:VintageFaireMallMortgageMember2020-12-310000912242mac:VintageFaireMallMortgageMember2021-01-012021-03-310000912242mac:GreenAcresCommonsMember2021-03-25202</w:t>
      </w:r>
      <w:r>
        <w:rPr>
          <w:rFonts w:eastAsia="Times New Roman"/>
          <w:vanish/>
        </w:rPr>
        <w:t>1-03-250000912242us-gaap:LondonInterbankOfferedRateLIBORMembermac:GreenAcresCommonsMember2021-03-250000912242mac:GreenAcresMallMember2021-01-222021-01-220000912242mac:SantaMonicaPlaceMortgageMemberus-gaap:InterestRateCapMembersrt:MaximumMember2021-01-01202</w:t>
      </w:r>
      <w:r>
        <w:rPr>
          <w:rFonts w:eastAsia="Times New Roman"/>
          <w:vanish/>
        </w:rPr>
        <w:t>1-03-310000912242us-gaap:RevolvingCreditFacilityMemberus-gaap:LineOfCreditMember2021-03-310000912242us-gaap:LondonInterbankOfferedRateLIBORMembersrt:MinimumMemberus-gaap:RevolvingCreditFacilityMemberus-gaap:LineOfCreditMember2021-01-012021-03-310000912242u</w:t>
      </w:r>
      <w:r>
        <w:rPr>
          <w:rFonts w:eastAsia="Times New Roman"/>
          <w:vanish/>
        </w:rPr>
        <w:t>s-gaap:LondonInterbankOfferedRateLIBORMemberus-gaap:RevolvingCreditFacilityMemberus-gaap:LineOfCreditMembersrt:MaximumMember2021-01-012021-03-310000912242us-gaap:LondonInterbankOfferedRateLIBORMember2021-01-012021-03-310000912242us-gaap:InterestRateSwapMem</w:t>
      </w:r>
      <w:r>
        <w:rPr>
          <w:rFonts w:eastAsia="Times New Roman"/>
          <w:vanish/>
        </w:rPr>
        <w:t>ber2021-03-310000912242us-gaap:RevolvingCreditFacilityMemberus-gaap:LineOfCreditMember2020-12-310000912242us-gaap:RevolvingCreditFacilityMemberus-gaap:LineOfCreditMember2021-01-012021-03-310000912242us-gaap:RevolvingCreditFacilityMemberus-gaap:LineOfCredit</w:t>
      </w:r>
      <w:r>
        <w:rPr>
          <w:rFonts w:eastAsia="Times New Roman"/>
          <w:vanish/>
        </w:rPr>
        <w:t>Member2020-01-012020-12-310000912242us-gaap:LineOfCreditMemberus-gaap:FairValueInputsLevel2Member2021-03-310000912242us-gaap:LineOfCreditMemberus-gaap:FairValueInputsLevel2Member2020-12-310000912242us-gaap:LineOfCreditMembermac:NewCreditAgreementMemberus-g</w:t>
      </w:r>
      <w:r>
        <w:rPr>
          <w:rFonts w:eastAsia="Times New Roman"/>
          <w:vanish/>
        </w:rPr>
        <w:t>aap:SubsequentEventMemberus-gaap:LineOfCreditMember2021-04-140000912242mac:RevolvingLoanFacilityMaturesOnApril142023Memberus-gaap:RevolvingCreditFacilityMemberus-gaap:SubsequentEventMember2021-04-140000912242mac:RevolvingLoanFacilityMaturesOnApril142023Mem</w:t>
      </w:r>
      <w:r>
        <w:rPr>
          <w:rFonts w:eastAsia="Times New Roman"/>
          <w:vanish/>
        </w:rPr>
        <w:t>berus-gaap:RevolvingCreditFacilityMemberus-gaap:SubsequentEventMember2021-04-142021-04-140000912242mac:TermLoanFacilityMaturesOnApril142024Memberus-gaap:SubsequentEventMemberus-gaap:LineOfCreditMember2021-04-140000912242mac:TermLoanFacilityMaturesOnApril14</w:t>
      </w:r>
      <w:r>
        <w:rPr>
          <w:rFonts w:eastAsia="Times New Roman"/>
          <w:vanish/>
        </w:rPr>
        <w:t>2024Memberus-gaap:SubsequentEventMemberus-gaap:LineOfCreditMember2021-04-142021-04-140000912242us-gaap:RevolvingCreditFacilityMemberus-gaap:LineOfCreditMemberus-gaap:SubsequentEventMember2021-04-142021-04-140000912242us-gaap:LondonInterbankOfferedRateLIBOR</w:t>
      </w:r>
      <w:r>
        <w:rPr>
          <w:rFonts w:eastAsia="Times New Roman"/>
          <w:vanish/>
        </w:rPr>
        <w:t>Memberus-gaap:RevolvingCreditFacilityMembermac:NewCreditAgreementMemberus-gaap:SubsequentEventMember2021-04-142021-04-140000912242mac:FreeholdRacewayMallAndChandlerFashionCenterMembermac:FinancingArrangementMember2009-09-302009-09-30utr:sqft0000912242mac:C</w:t>
      </w:r>
      <w:r>
        <w:rPr>
          <w:rFonts w:eastAsia="Times New Roman"/>
          <w:vanish/>
        </w:rPr>
        <w:t>handlerFashionCenterMembermac:FinancingArrangementMember2009-09-300000912242mac:FreeholdRacewayMallMembermac:FinancingArrangementMember2009-09-30iso4217:USDutr:sqft0000912242srt:MinimumMembermac:FinancingArrangementMember2021-03-310000912242srt:MinimumMemb</w:t>
      </w:r>
      <w:r>
        <w:rPr>
          <w:rFonts w:eastAsia="Times New Roman"/>
          <w:vanish/>
        </w:rPr>
        <w:t>ermac:FinancingArrangementMember2020-12-310000912242srt:MaximumMembermac:FinancingArrangementMember2021-03-310000912242srt:MaximumMembermac:FinancingArrangementMember2020-12-310000912242mac:FinancingArrangementMemberus-gaap:CorporateJointVentureMember2021-</w:t>
      </w:r>
      <w:r>
        <w:rPr>
          <w:rFonts w:eastAsia="Times New Roman"/>
          <w:vanish/>
        </w:rPr>
        <w:t>01-012021-03-310000912242mac:FinancingArrangementMemberus-gaap:CorporateJointVentureMember2020-01-012020-03-310000912242mac:TheMacerichPartnershipLPMember2020-12-3100009122422020-06-032020-06-0300009122422021-03-162021-03-1600009122422020-05-202020-05-2200</w:t>
      </w:r>
      <w:r>
        <w:rPr>
          <w:rFonts w:eastAsia="Times New Roman"/>
          <w:vanish/>
        </w:rPr>
        <w:t>00912242mac:ATMProgramsMember2021-03-260000912242mac:ATMProgramsMember2021-02-010000912242mac:ATMProgramsMember2021-01-012021-03-310000912242us-gaap:OverAllotmentOptionMember2021-01-012021-03-310000912242mac:ATMProgramsMember2021-03-3100009122422017-02-120</w:t>
      </w:r>
      <w:r>
        <w:rPr>
          <w:rFonts w:eastAsia="Times New Roman"/>
          <w:vanish/>
        </w:rPr>
        <w:t>000912242mac:ParadiseValleyMallMemberus-gaap:DisposalGroupDisposedOfBySaleNotDiscontinuedOperationsMember2021-03-292021-03-290000912242mac:ParadiseValleyMallMemberus-gaap:DisposalGroupDisposedOfBySaleNotDiscontinuedOperationsMember2021-03-290000912242us-ga</w:t>
      </w:r>
      <w:r>
        <w:rPr>
          <w:rFonts w:eastAsia="Times New Roman"/>
          <w:vanish/>
        </w:rPr>
        <w:t>ap:LetterOfCreditMemberus-gaap:SecuredDebtMember2021-03-310000912242us-gaap:ManagementServiceMembermac:UnconsolidatedJointVenturesAndThirdPartyManagedPropertiesMember2021-01-012021-03-310000912242us-gaap:ManagementServiceMembermac:UnconsolidatedJointVentur</w:t>
      </w:r>
      <w:r>
        <w:rPr>
          <w:rFonts w:eastAsia="Times New Roman"/>
          <w:vanish/>
        </w:rPr>
        <w:t>esAndThirdPartyManagedPropertiesMember2020-01-012020-03-310000912242mac:DevelopmentandLeasingFeesMembermac:UnconsolidatedJointVenturesAndThirdPartyManagedPropertiesMember2021-01-012021-03-310000912242mac:DevelopmentandLeasingFeesMembermac:UnconsolidatedJoi</w:t>
      </w:r>
      <w:r>
        <w:rPr>
          <w:rFonts w:eastAsia="Times New Roman"/>
          <w:vanish/>
        </w:rPr>
        <w:t>ntVenturesAndThirdPartyManagedPropertiesMember2020-01-012020-03-310000912242mac:UnconsolidatedJointVenturesAndThirdPartyManagedPropertiesMember2021-01-012021-03-310000912242mac:UnconsolidatedJointVenturesAndThirdPartyManagedPropertiesMember2020-01-012020-0</w:t>
      </w:r>
      <w:r>
        <w:rPr>
          <w:rFonts w:eastAsia="Times New Roman"/>
          <w:vanish/>
        </w:rPr>
        <w:t>3-310000912242mac:UnconsolidatedJointVenturesMember2021-03-310000912242mac:UnconsolidatedJointVenturesMember2020-12-310000912242mac:StockUnitsMember2021-01-012021-03-310000912242mac:LongTermIncentivePlanMember2021-01-012021-03-310000912242mac:LongTermIncen</w:t>
      </w:r>
      <w:r>
        <w:rPr>
          <w:rFonts w:eastAsia="Times New Roman"/>
          <w:vanish/>
        </w:rPr>
        <w:t>tivePlanServicebasedMembermac:January12021Memberus-gaap:ShareBasedCompensationAwardTrancheOneMember2021-01-012021-03-310000912242us-gaap:ShareBasedCompensationAwardTrancheTwoMembermac:LongTermIncentivePlanMarketbasedMembermac:January12021Member2021-01-0120</w:t>
      </w:r>
      <w:r>
        <w:rPr>
          <w:rFonts w:eastAsia="Times New Roman"/>
          <w:vanish/>
        </w:rPr>
        <w:t>21-03-310000912242mac:January12021Membermac:LongTermIncentivePlanMember2020-01-012020-01-010000912242mac:LongTermIncentivePlanMember2020-12-310000912242us-gaap:PhantomShareUnitsPSUsMember2020-12-310000912242mac:StockUnitsMember2020-12-310000912242us-gaap:P</w:t>
      </w:r>
      <w:r>
        <w:rPr>
          <w:rFonts w:eastAsia="Times New Roman"/>
          <w:vanish/>
        </w:rPr>
        <w:t>hantomShareUnitsPSUsMember2021-01-012021-03-310000912242mac:LongTermIncentivePlanMember2021-03-310000912242us-gaap:PhantomShareUnitsPSUsMember2021-03-310000912242mac:StockUnitsMember2021-03-310000912242us-gaap:EmployeeStockOptionMember2020-12-310000912242u</w:t>
      </w:r>
      <w:r>
        <w:rPr>
          <w:rFonts w:eastAsia="Times New Roman"/>
          <w:vanish/>
        </w:rPr>
        <w:t>s-gaap:EmployeeStockOptionMember2021-01-012021-03-310000912242us-gaap:EmployeeStockOptionMember2021-03-310000912242mac:LongTermIncentivePlanMember2020-01-012020-03-310000912242mac:StockUnitsMember2020-01-012020-03-310000912242us-gaap:EmployeeStockOptionMem</w:t>
      </w:r>
      <w:r>
        <w:rPr>
          <w:rFonts w:eastAsia="Times New Roman"/>
          <w:vanish/>
        </w:rPr>
        <w:t>ber2020-01-012020-03-310000912242us-gaap:PhantomShareUnitsPSUsMember2020-01-012020-03-310000912242us-gaap:SubsequentEventMember2021-04-292021-04-29</w:t>
      </w:r>
    </w:p>
    <w:p w:rsidR="00000000" w:rsidRDefault="009D532D">
      <w:pPr>
        <w:jc w:val="center"/>
        <w:divId w:val="1916237925"/>
        <w:rPr>
          <w:rFonts w:eastAsia="Times New Roman"/>
        </w:rPr>
      </w:pPr>
    </w:p>
    <w:p w:rsidR="00000000" w:rsidRDefault="009D532D">
      <w:pPr>
        <w:jc w:val="center"/>
        <w:divId w:val="1940942792"/>
        <w:rPr>
          <w:rFonts w:eastAsia="Times New Roman"/>
        </w:rPr>
      </w:pPr>
    </w:p>
    <w:p w:rsidR="00000000" w:rsidRDefault="009D532D">
      <w:pPr>
        <w:jc w:val="center"/>
        <w:divId w:val="1930842876"/>
        <w:rPr>
          <w:rFonts w:eastAsia="Times New Roman"/>
        </w:rPr>
      </w:pPr>
    </w:p>
    <w:p w:rsidR="00000000" w:rsidRDefault="009D532D">
      <w:pPr>
        <w:jc w:val="center"/>
        <w:divId w:val="1017000000"/>
        <w:rPr>
          <w:rFonts w:eastAsia="Times New Roman"/>
        </w:rPr>
      </w:pPr>
    </w:p>
    <w:p w:rsidR="00000000" w:rsidRDefault="009D532D">
      <w:pPr>
        <w:jc w:val="center"/>
        <w:divId w:val="50216454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9D532D">
            <w:pPr>
              <w:jc w:val="center"/>
              <w:rPr>
                <w:rFonts w:eastAsia="Times New Roman"/>
              </w:rPr>
            </w:pPr>
          </w:p>
        </w:tc>
        <w:tc>
          <w:tcPr>
            <w:tcW w:w="494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jc w:val="center"/>
        <w:rPr>
          <w:rFonts w:eastAsia="Times New Roman"/>
        </w:rPr>
      </w:pPr>
      <w:r>
        <w:rPr>
          <w:rFonts w:eastAsia="Times New Roman"/>
          <w:b/>
          <w:bCs/>
          <w:color w:val="000000"/>
          <w:sz w:val="32"/>
          <w:szCs w:val="32"/>
        </w:rPr>
        <w:t>UNITED STATES</w:t>
      </w:r>
    </w:p>
    <w:p w:rsidR="00000000" w:rsidRDefault="009D532D">
      <w:pPr>
        <w:jc w:val="center"/>
        <w:divId w:val="1041133239"/>
        <w:rPr>
          <w:rFonts w:eastAsia="Times New Roman"/>
        </w:rPr>
      </w:pPr>
      <w:r>
        <w:rPr>
          <w:rFonts w:eastAsia="Times New Roman"/>
          <w:b/>
          <w:bCs/>
          <w:color w:val="000000"/>
          <w:sz w:val="32"/>
          <w:szCs w:val="32"/>
        </w:rPr>
        <w:t>SECURITIES AND EXCHANGE COMMISSION</w:t>
      </w:r>
    </w:p>
    <w:p w:rsidR="00000000" w:rsidRDefault="009D532D">
      <w:pPr>
        <w:jc w:val="center"/>
        <w:divId w:val="2033070005"/>
        <w:rPr>
          <w:rFonts w:eastAsia="Times New Roman"/>
        </w:rPr>
      </w:pPr>
      <w:r>
        <w:rPr>
          <w:rFonts w:eastAsia="Times New Roman"/>
          <w:b/>
          <w:bCs/>
          <w:color w:val="000000"/>
          <w:sz w:val="20"/>
          <w:szCs w:val="20"/>
        </w:rPr>
        <w:t>Washington, D.C. 20549</w:t>
      </w:r>
    </w:p>
    <w:p w:rsidR="00000000" w:rsidRDefault="009D532D">
      <w:pPr>
        <w:jc w:val="center"/>
        <w:divId w:val="964232581"/>
        <w:rPr>
          <w:rFonts w:eastAsia="Times New Roman"/>
        </w:rPr>
      </w:pPr>
      <w:r>
        <w:rPr>
          <w:rFonts w:eastAsia="Times New Roman"/>
          <w:b/>
          <w:bCs/>
          <w:color w:val="000000"/>
          <w:sz w:val="32"/>
          <w:szCs w:val="32"/>
        </w:rPr>
        <w:t xml:space="preserve">FORM 10-Q </w:t>
      </w:r>
    </w:p>
    <w:p w:rsidR="00000000" w:rsidRDefault="009D532D">
      <w:pPr>
        <w:ind w:hanging="630"/>
        <w:divId w:val="1059593672"/>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rsidR="00000000" w:rsidRDefault="009D532D">
      <w:pPr>
        <w:ind w:firstLine="90"/>
        <w:divId w:val="418911979"/>
        <w:rPr>
          <w:rFonts w:eastAsia="Times New Roman"/>
        </w:rPr>
      </w:pPr>
      <w:r>
        <w:rPr>
          <w:rFonts w:eastAsia="Times New Roman"/>
          <w:b/>
          <w:bCs/>
          <w:color w:val="000000"/>
          <w:sz w:val="20"/>
          <w:szCs w:val="20"/>
        </w:rPr>
        <w:t xml:space="preserve">For the quarterly period ended March 31, 2021 </w:t>
      </w:r>
    </w:p>
    <w:p w:rsidR="00000000" w:rsidRDefault="009D532D">
      <w:pPr>
        <w:ind w:hanging="630"/>
        <w:divId w:val="1015114882"/>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 15(d) OF THE SECURITIES EXCHANGE ACT O</w:t>
      </w:r>
      <w:r>
        <w:rPr>
          <w:rFonts w:eastAsia="Times New Roman"/>
          <w:color w:val="000000"/>
          <w:sz w:val="20"/>
          <w:szCs w:val="20"/>
        </w:rPr>
        <w:t xml:space="preserve">F 1934 </w:t>
      </w:r>
    </w:p>
    <w:p w:rsidR="00000000" w:rsidRDefault="009D532D">
      <w:pPr>
        <w:ind w:firstLine="90"/>
        <w:divId w:val="1558397031"/>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rsidR="00000000" w:rsidRDefault="009D532D">
      <w:pPr>
        <w:ind w:hanging="630"/>
        <w:jc w:val="center"/>
        <w:divId w:val="1365446636"/>
        <w:rPr>
          <w:rFonts w:eastAsia="Times New Roman"/>
        </w:rPr>
      </w:pPr>
      <w:r>
        <w:rPr>
          <w:rFonts w:eastAsia="Times New Roman"/>
          <w:color w:val="000000"/>
          <w:sz w:val="20"/>
          <w:szCs w:val="20"/>
        </w:rPr>
        <w:t xml:space="preserve">Commission File No. 1-12504 </w:t>
      </w:r>
    </w:p>
    <w:p w:rsidR="00000000" w:rsidRDefault="009D532D">
      <w:pPr>
        <w:jc w:val="center"/>
        <w:divId w:val="1489634457"/>
        <w:rPr>
          <w:rFonts w:eastAsia="Times New Roman"/>
        </w:rPr>
      </w:pPr>
      <w:r>
        <w:rPr>
          <w:rFonts w:eastAsia="Times New Roman"/>
          <w:color w:val="000000"/>
          <w:sz w:val="20"/>
          <w:szCs w:val="20"/>
        </w:rPr>
        <w:t>THE MACERICH COMPANY</w:t>
      </w:r>
    </w:p>
    <w:p w:rsidR="00000000" w:rsidRDefault="009D532D">
      <w:pPr>
        <w:jc w:val="center"/>
        <w:divId w:val="1910844885"/>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trPr>
          <w:divId w:val="1910844885"/>
          <w:jc w:val="center"/>
        </w:trPr>
        <w:tc>
          <w:tcPr>
            <w:tcW w:w="50" w:type="pct"/>
            <w:vAlign w:val="center"/>
            <w:hideMark/>
          </w:tcPr>
          <w:p w:rsidR="00000000" w:rsidRDefault="009D532D">
            <w:pPr>
              <w:jc w:val="center"/>
              <w:rPr>
                <w:rFonts w:eastAsia="Times New Roman"/>
              </w:rPr>
            </w:pPr>
          </w:p>
        </w:tc>
        <w:tc>
          <w:tcPr>
            <w:tcW w:w="93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36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1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41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910844885"/>
          <w:jc w:val="center"/>
        </w:trPr>
        <w:tc>
          <w:tcPr>
            <w:tcW w:w="0" w:type="auto"/>
            <w:gridSpan w:val="12"/>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95-4448705</w:t>
            </w:r>
          </w:p>
        </w:tc>
      </w:tr>
      <w:tr w:rsidR="00000000">
        <w:trPr>
          <w:divId w:val="1910844885"/>
          <w:jc w:val="center"/>
        </w:trPr>
        <w:tc>
          <w:tcPr>
            <w:tcW w:w="0" w:type="auto"/>
            <w:gridSpan w:val="12"/>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(I.R.S. Employer Identification Number)</w:t>
            </w:r>
          </w:p>
        </w:tc>
      </w:tr>
      <w:tr w:rsidR="00000000">
        <w:trPr>
          <w:divId w:val="1910844885"/>
          <w:jc w:val="center"/>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90401</w:t>
            </w:r>
          </w:p>
        </w:tc>
      </w:tr>
      <w:tr w:rsidR="00000000">
        <w:trPr>
          <w:divId w:val="1910844885"/>
          <w:jc w:val="center"/>
        </w:trPr>
        <w:tc>
          <w:tcPr>
            <w:tcW w:w="0" w:type="auto"/>
            <w:gridSpan w:val="12"/>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(Zip Code)</w:t>
            </w:r>
          </w:p>
        </w:tc>
      </w:tr>
      <w:tr w:rsidR="00000000">
        <w:trPr>
          <w:divId w:val="1910844885"/>
          <w:jc w:val="center"/>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394-6000</w:t>
            </w:r>
          </w:p>
        </w:tc>
      </w:tr>
      <w:tr w:rsidR="00000000">
        <w:trPr>
          <w:divId w:val="1910844885"/>
          <w:jc w:val="center"/>
        </w:trPr>
        <w:tc>
          <w:tcPr>
            <w:tcW w:w="0" w:type="auto"/>
            <w:gridSpan w:val="18"/>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 (Registrant's telephone number, including area code)</w:t>
            </w:r>
          </w:p>
        </w:tc>
      </w:tr>
      <w:tr w:rsidR="00000000">
        <w:trPr>
          <w:divId w:val="1910844885"/>
          <w:jc w:val="center"/>
        </w:trPr>
        <w:tc>
          <w:tcPr>
            <w:tcW w:w="0" w:type="auto"/>
            <w:gridSpan w:val="18"/>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18"/>
                <w:szCs w:val="18"/>
              </w:rPr>
              <w:t>N/A</w:t>
            </w:r>
          </w:p>
          <w:p w:rsidR="00000000" w:rsidRDefault="009D532D">
            <w:pPr>
              <w:spacing w:after="100"/>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rsidR="00000000" w:rsidRDefault="009D532D">
      <w:pPr>
        <w:ind w:firstLine="495"/>
        <w:divId w:val="1254972020"/>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trPr>
          <w:divId w:val="1254972020"/>
        </w:trPr>
        <w:tc>
          <w:tcPr>
            <w:tcW w:w="50" w:type="pct"/>
            <w:vAlign w:val="center"/>
            <w:hideMark/>
          </w:tcPr>
          <w:p w:rsidR="00000000" w:rsidRDefault="009D532D">
            <w:pPr>
              <w:ind w:firstLine="495"/>
              <w:rPr>
                <w:rFonts w:eastAsia="Times New Roman"/>
              </w:rPr>
            </w:pPr>
          </w:p>
        </w:tc>
        <w:tc>
          <w:tcPr>
            <w:tcW w:w="160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37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84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254972020"/>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Name of each exchange on which registered</w:t>
            </w:r>
          </w:p>
        </w:tc>
      </w:tr>
      <w:tr w:rsidR="00000000">
        <w:trPr>
          <w:divId w:val="1254972020"/>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New York Stock Exchange</w:t>
            </w:r>
          </w:p>
        </w:tc>
      </w:tr>
    </w:tbl>
    <w:p w:rsidR="00000000" w:rsidRDefault="009D532D">
      <w:pPr>
        <w:ind w:firstLine="495"/>
        <w:divId w:val="1159228857"/>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9D532D">
      <w:pPr>
        <w:ind w:firstLine="495"/>
        <w:divId w:val="161511170"/>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9D532D">
      <w:pPr>
        <w:ind w:firstLine="495"/>
        <w:divId w:val="521095097"/>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trPr>
          <w:divId w:val="521095097"/>
        </w:trPr>
        <w:tc>
          <w:tcPr>
            <w:tcW w:w="50" w:type="pct"/>
            <w:vAlign w:val="center"/>
            <w:hideMark/>
          </w:tcPr>
          <w:p w:rsidR="00000000" w:rsidRDefault="009D532D">
            <w:pPr>
              <w:ind w:firstLine="495"/>
              <w:rPr>
                <w:rFonts w:eastAsia="Times New Roman"/>
              </w:rPr>
            </w:pPr>
          </w:p>
        </w:tc>
        <w:tc>
          <w:tcPr>
            <w:tcW w:w="105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11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7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11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04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11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29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11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521095097"/>
        </w:trPr>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r>
              <w:rPr>
                <w:rFonts w:ascii="Segoe UI Symbol" w:eastAsia="Times New Roman" w:hAnsi="Segoe UI Symbol" w:cs="Segoe UI Symbol"/>
                <w:color w:val="000000"/>
                <w:sz w:val="18"/>
                <w:szCs w:val="18"/>
              </w:rPr>
              <w:t>☐</w:t>
            </w:r>
          </w:p>
        </w:tc>
      </w:tr>
      <w:tr w:rsidR="00000000">
        <w:trPr>
          <w:divId w:val="521095097"/>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r>
              <w:rPr>
                <w:rFonts w:ascii="Segoe UI Symbol" w:eastAsia="Times New Roman" w:hAnsi="Segoe UI Symbol" w:cs="Segoe UI Symbol"/>
                <w:color w:val="000000"/>
                <w:sz w:val="18"/>
                <w:szCs w:val="18"/>
              </w:rPr>
              <w:t>☐</w:t>
            </w:r>
          </w:p>
        </w:tc>
      </w:tr>
    </w:tbl>
    <w:p w:rsidR="00000000" w:rsidRDefault="009D532D">
      <w:pPr>
        <w:ind w:firstLine="495"/>
        <w:divId w:val="47495154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9D532D">
      <w:pPr>
        <w:ind w:firstLine="495"/>
        <w:divId w:val="203180186"/>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9D532D">
      <w:pPr>
        <w:ind w:firstLine="495"/>
        <w:divId w:val="1091463183"/>
        <w:rPr>
          <w:rFonts w:eastAsia="Times New Roman"/>
        </w:rPr>
      </w:pPr>
      <w:r>
        <w:rPr>
          <w:rFonts w:eastAsia="Times New Roman"/>
          <w:color w:val="000000"/>
          <w:sz w:val="18"/>
          <w:szCs w:val="18"/>
        </w:rPr>
        <w:t>Number of shares outstanding as of May 7, 2021 of the registrant's common stock, par value $0.01 per share: 206,518,236 shares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91463183"/>
        </w:trPr>
        <w:tc>
          <w:tcPr>
            <w:tcW w:w="50" w:type="pct"/>
            <w:vAlign w:val="center"/>
            <w:hideMark/>
          </w:tcPr>
          <w:p w:rsidR="00000000" w:rsidRDefault="009D532D">
            <w:pPr>
              <w:ind w:firstLine="495"/>
              <w:rPr>
                <w:rFonts w:eastAsia="Times New Roman"/>
              </w:rPr>
            </w:pPr>
          </w:p>
        </w:tc>
        <w:tc>
          <w:tcPr>
            <w:tcW w:w="494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091463183"/>
          <w:trHeight w:val="6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jc w:val="center"/>
        <w:rPr>
          <w:rFonts w:eastAsia="Times New Roman"/>
        </w:rPr>
      </w:pPr>
    </w:p>
    <w:p w:rsidR="00000000" w:rsidRDefault="009D532D">
      <w:pPr>
        <w:divId w:val="850535991"/>
        <w:rPr>
          <w:rFonts w:eastAsia="Times New Roman"/>
        </w:rPr>
      </w:pPr>
    </w:p>
    <w:p w:rsidR="00000000" w:rsidRDefault="009D532D">
      <w:pPr>
        <w:rPr>
          <w:rFonts w:eastAsia="Times New Roman"/>
        </w:rPr>
      </w:pPr>
      <w:r>
        <w:rPr>
          <w:rFonts w:eastAsia="Times New Roman"/>
        </w:rPr>
        <w:pict>
          <v:rect id="_x0000_i1025" style="width:0;height:1.5pt" o:hralign="center" o:hrstd="t" o:hr="t" fillcolor="#a0a0a0" stroked="f"/>
        </w:pict>
      </w:r>
    </w:p>
    <w:p w:rsidR="00000000" w:rsidRDefault="009D532D">
      <w:pPr>
        <w:jc w:val="center"/>
        <w:divId w:val="1569534621"/>
        <w:rPr>
          <w:rFonts w:eastAsia="Times New Roman"/>
        </w:rPr>
      </w:pPr>
    </w:p>
    <w:p w:rsidR="00000000" w:rsidRDefault="009D532D">
      <w:pPr>
        <w:jc w:val="center"/>
        <w:divId w:val="1472091118"/>
        <w:rPr>
          <w:rFonts w:eastAsia="Times New Roman"/>
        </w:rPr>
      </w:pPr>
    </w:p>
    <w:p w:rsidR="00000000" w:rsidRDefault="009D532D">
      <w:pPr>
        <w:jc w:val="center"/>
        <w:divId w:val="1633636830"/>
        <w:rPr>
          <w:rFonts w:eastAsia="Times New Roman"/>
        </w:rPr>
      </w:pPr>
    </w:p>
    <w:p w:rsidR="00000000" w:rsidRDefault="009D532D">
      <w:pPr>
        <w:jc w:val="center"/>
        <w:divId w:val="1459451871"/>
        <w:rPr>
          <w:rFonts w:eastAsia="Times New Roman"/>
        </w:rPr>
      </w:pPr>
    </w:p>
    <w:p w:rsidR="00000000" w:rsidRDefault="009D532D">
      <w:pPr>
        <w:jc w:val="center"/>
        <w:divId w:val="1468468658"/>
        <w:rPr>
          <w:rFonts w:eastAsia="Times New Roman"/>
        </w:rPr>
      </w:pPr>
    </w:p>
    <w:p w:rsidR="00000000" w:rsidRDefault="009D532D">
      <w:pPr>
        <w:jc w:val="center"/>
        <w:divId w:val="99834596"/>
        <w:rPr>
          <w:rFonts w:eastAsia="Times New Roman"/>
        </w:rPr>
      </w:pPr>
      <w:r>
        <w:rPr>
          <w:rFonts w:eastAsia="Times New Roman"/>
          <w:b/>
          <w:bCs/>
          <w:color w:val="000000"/>
          <w:sz w:val="20"/>
          <w:szCs w:val="20"/>
        </w:rPr>
        <w:t>THE MACERICH COMPANY</w:t>
      </w:r>
    </w:p>
    <w:p w:rsidR="00000000" w:rsidRDefault="009D532D">
      <w:pPr>
        <w:jc w:val="center"/>
        <w:divId w:val="206331585"/>
        <w:rPr>
          <w:rFonts w:eastAsia="Times New Roman"/>
        </w:rPr>
      </w:pPr>
      <w:r>
        <w:rPr>
          <w:rFonts w:eastAsia="Times New Roman"/>
          <w:b/>
          <w:bCs/>
          <w:color w:val="000000"/>
          <w:sz w:val="20"/>
          <w:szCs w:val="20"/>
        </w:rPr>
        <w:t>FORM 10-Q</w:t>
      </w:r>
    </w:p>
    <w:p w:rsidR="00000000" w:rsidRDefault="009D532D">
      <w:pPr>
        <w:jc w:val="center"/>
        <w:divId w:val="127090680"/>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9"/>
        <w:gridCol w:w="6907"/>
        <w:gridCol w:w="38"/>
        <w:gridCol w:w="36"/>
        <w:gridCol w:w="36"/>
        <w:gridCol w:w="36"/>
        <w:gridCol w:w="50"/>
        <w:gridCol w:w="242"/>
        <w:gridCol w:w="36"/>
      </w:tblGrid>
      <w:tr w:rsidR="00000000">
        <w:trPr>
          <w:divId w:val="127090680"/>
          <w:jc w:val="center"/>
        </w:trPr>
        <w:tc>
          <w:tcPr>
            <w:tcW w:w="50" w:type="pct"/>
            <w:vAlign w:val="center"/>
            <w:hideMark/>
          </w:tcPr>
          <w:p w:rsidR="00000000" w:rsidRDefault="009D532D">
            <w:pPr>
              <w:jc w:val="center"/>
              <w:rPr>
                <w:rFonts w:eastAsia="Times New Roman"/>
              </w:rPr>
            </w:pPr>
          </w:p>
        </w:tc>
        <w:tc>
          <w:tcPr>
            <w:tcW w:w="35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0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8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Financial Information</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854997692"/>
              <w:rPr>
                <w:rFonts w:eastAsia="Times New Roman"/>
              </w:rPr>
            </w:pPr>
            <w:hyperlink w:anchor="id541c1df58744aaebc41b5947eb4480a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751079106"/>
              <w:rPr>
                <w:rFonts w:eastAsia="Times New Roman"/>
              </w:rPr>
            </w:pPr>
            <w:hyperlink w:anchor="id541c1df58744aaebc41b5947eb4480a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0" w:history="1">
              <w:r>
                <w:rPr>
                  <w:rStyle w:val="a3"/>
                  <w:rFonts w:eastAsia="Times New Roman"/>
                  <w:sz w:val="20"/>
                  <w:szCs w:val="20"/>
                </w:rPr>
                <w:t>3</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540553416"/>
              <w:rPr>
                <w:rFonts w:eastAsia="Times New Roman"/>
              </w:rPr>
            </w:pPr>
            <w:hyperlink w:anchor="id541c1df58744aaebc41b5947eb4480a_13" w:history="1">
              <w:r>
                <w:rPr>
                  <w:rStyle w:val="a3"/>
                  <w:rFonts w:eastAsia="Times New Roman"/>
                  <w:sz w:val="20"/>
                  <w:szCs w:val="20"/>
                </w:rPr>
                <w:t xml:space="preserve">Consolidated Balance Sheets as of </w:t>
              </w:r>
            </w:hyperlink>
            <w:hyperlink w:anchor="id541c1df58744aaebc41b5947eb4480a_13" w:history="1">
              <w:r>
                <w:rPr>
                  <w:rStyle w:val="a3"/>
                  <w:rFonts w:eastAsia="Times New Roman"/>
                  <w:sz w:val="20"/>
                  <w:szCs w:val="20"/>
                </w:rPr>
                <w:t>March</w:t>
              </w:r>
            </w:hyperlink>
            <w:hyperlink w:anchor="id541c1df58744aaebc41b5947eb4480a_13" w:history="1">
              <w:r>
                <w:rPr>
                  <w:rStyle w:val="a3"/>
                  <w:rFonts w:eastAsia="Times New Roman"/>
                  <w:sz w:val="20"/>
                  <w:szCs w:val="20"/>
                </w:rPr>
                <w:t xml:space="preserve"> 3</w:t>
              </w:r>
            </w:hyperlink>
            <w:hyperlink w:anchor="id541c1df58744aaebc41b5947eb4480a_13" w:history="1">
              <w:r>
                <w:rPr>
                  <w:rStyle w:val="a3"/>
                  <w:rFonts w:eastAsia="Times New Roman"/>
                  <w:sz w:val="20"/>
                  <w:szCs w:val="20"/>
                </w:rPr>
                <w:t>1</w:t>
              </w:r>
            </w:hyperlink>
            <w:hyperlink w:anchor="id541c1df58744aaebc41b5947eb4480a_13" w:history="1">
              <w:r>
                <w:rPr>
                  <w:rStyle w:val="a3"/>
                  <w:rFonts w:eastAsia="Times New Roman"/>
                  <w:sz w:val="20"/>
                  <w:szCs w:val="20"/>
                </w:rPr>
                <w:t>, 202</w:t>
              </w:r>
            </w:hyperlink>
            <w:hyperlink w:anchor="id541c1df58744aaebc41b5947eb4480a_13" w:history="1">
              <w:r>
                <w:rPr>
                  <w:rStyle w:val="a3"/>
                  <w:rFonts w:eastAsia="Times New Roman"/>
                  <w:sz w:val="20"/>
                  <w:szCs w:val="20"/>
                </w:rPr>
                <w:t>1</w:t>
              </w:r>
            </w:hyperlink>
            <w:hyperlink w:anchor="id541c1df58744aaebc41b5947eb4480a_13" w:history="1">
              <w:r>
                <w:rPr>
                  <w:rStyle w:val="a3"/>
                  <w:rFonts w:eastAsia="Times New Roman"/>
                  <w:sz w:val="20"/>
                  <w:szCs w:val="20"/>
                </w:rPr>
                <w:t xml:space="preserve"> and December 31,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3" w:history="1">
              <w:r>
                <w:rPr>
                  <w:rStyle w:val="a3"/>
                  <w:rFonts w:eastAsia="Times New Roman"/>
                  <w:sz w:val="20"/>
                  <w:szCs w:val="20"/>
                </w:rPr>
                <w:t>3</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196235080"/>
              <w:rPr>
                <w:rFonts w:eastAsia="Times New Roman"/>
              </w:rPr>
            </w:pPr>
            <w:hyperlink w:anchor="id541c1df58744aaebc41b5947eb4480a_16" w:history="1">
              <w:r>
                <w:rPr>
                  <w:rStyle w:val="a3"/>
                  <w:rFonts w:eastAsia="Times New Roman"/>
                  <w:sz w:val="20"/>
                  <w:szCs w:val="20"/>
                </w:rPr>
                <w:t>Consolidated Statements of Operations for the three</w:t>
              </w:r>
            </w:hyperlink>
            <w:hyperlink w:anchor="id541c1df58744aaebc41b5947eb4480a_16" w:history="1">
              <w:r>
                <w:rPr>
                  <w:rStyle w:val="a3"/>
                  <w:rFonts w:eastAsia="Times New Roman"/>
                  <w:sz w:val="20"/>
                  <w:szCs w:val="20"/>
                </w:rPr>
                <w:t xml:space="preserve"> </w:t>
              </w:r>
            </w:hyperlink>
            <w:hyperlink w:anchor="id541c1df58744aaebc41b5947eb4480a_16" w:history="1">
              <w:r>
                <w:rPr>
                  <w:rStyle w:val="a3"/>
                  <w:rFonts w:eastAsia="Times New Roman"/>
                  <w:sz w:val="20"/>
                  <w:szCs w:val="20"/>
                </w:rPr>
                <w:t xml:space="preserve">months ended </w:t>
              </w:r>
            </w:hyperlink>
            <w:hyperlink w:anchor="id541c1df58744aaebc41b5947eb4480a_16" w:history="1">
              <w:r>
                <w:rPr>
                  <w:rStyle w:val="a3"/>
                  <w:rFonts w:eastAsia="Times New Roman"/>
                  <w:sz w:val="20"/>
                  <w:szCs w:val="20"/>
                </w:rPr>
                <w:t>March</w:t>
              </w:r>
            </w:hyperlink>
            <w:hyperlink w:anchor="id541c1df58744aaebc41b5947eb4480a_16" w:history="1">
              <w:r>
                <w:rPr>
                  <w:rStyle w:val="a3"/>
                  <w:rFonts w:eastAsia="Times New Roman"/>
                  <w:sz w:val="20"/>
                  <w:szCs w:val="20"/>
                </w:rPr>
                <w:t xml:space="preserve"> 3</w:t>
              </w:r>
            </w:hyperlink>
            <w:hyperlink w:anchor="id541c1df58744aaebc41b5947eb4480a_16" w:history="1">
              <w:r>
                <w:rPr>
                  <w:rStyle w:val="a3"/>
                  <w:rFonts w:eastAsia="Times New Roman"/>
                  <w:sz w:val="20"/>
                  <w:szCs w:val="20"/>
                </w:rPr>
                <w:t>1</w:t>
              </w:r>
            </w:hyperlink>
            <w:hyperlink w:anchor="id541c1df58744aaebc41b5947eb4480a_16" w:history="1">
              <w:r>
                <w:rPr>
                  <w:rStyle w:val="a3"/>
                  <w:rFonts w:eastAsia="Times New Roman"/>
                  <w:sz w:val="20"/>
                  <w:szCs w:val="20"/>
                </w:rPr>
                <w:t>, 202</w:t>
              </w:r>
            </w:hyperlink>
            <w:hyperlink w:anchor="id541c1df58744aaebc41b5947eb4480a_16" w:history="1">
              <w:r>
                <w:rPr>
                  <w:rStyle w:val="a3"/>
                  <w:rFonts w:eastAsia="Times New Roman"/>
                  <w:sz w:val="20"/>
                  <w:szCs w:val="20"/>
                </w:rPr>
                <w:t>1</w:t>
              </w:r>
            </w:hyperlink>
            <w:hyperlink w:anchor="id541c1df58744aaebc41b5947eb4480a_16" w:history="1">
              <w:r>
                <w:rPr>
                  <w:rStyle w:val="a3"/>
                  <w:rFonts w:eastAsia="Times New Roman"/>
                  <w:sz w:val="20"/>
                  <w:szCs w:val="20"/>
                </w:rPr>
                <w:t xml:space="preserve">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6" w:history="1">
              <w:r>
                <w:rPr>
                  <w:rStyle w:val="a3"/>
                  <w:rFonts w:eastAsia="Times New Roman"/>
                  <w:sz w:val="20"/>
                  <w:szCs w:val="20"/>
                </w:rPr>
                <w:t>4</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449278740"/>
              <w:rPr>
                <w:rFonts w:eastAsia="Times New Roman"/>
              </w:rPr>
            </w:pPr>
            <w:hyperlink w:anchor="id541c1df58744aaebc41b5947eb4480a_19" w:history="1">
              <w:r>
                <w:rPr>
                  <w:rStyle w:val="a3"/>
                  <w:rFonts w:eastAsia="Times New Roman"/>
                  <w:sz w:val="20"/>
                  <w:szCs w:val="20"/>
                </w:rPr>
                <w:t>Consolidated Statements of Comprehensive (Loss) Income for the three</w:t>
              </w:r>
            </w:hyperlink>
            <w:hyperlink w:anchor="id541c1df58744aaebc41b5947eb4480a_19" w:history="1">
              <w:r>
                <w:rPr>
                  <w:rStyle w:val="a3"/>
                  <w:rFonts w:eastAsia="Times New Roman"/>
                  <w:sz w:val="20"/>
                  <w:szCs w:val="20"/>
                </w:rPr>
                <w:t xml:space="preserve"> </w:t>
              </w:r>
            </w:hyperlink>
            <w:hyperlink w:anchor="id541c1df58744aaebc41b5947eb4480a_19" w:history="1">
              <w:r>
                <w:rPr>
                  <w:rStyle w:val="a3"/>
                  <w:rFonts w:eastAsia="Times New Roman"/>
                  <w:sz w:val="20"/>
                  <w:szCs w:val="20"/>
                </w:rPr>
                <w:t>months end</w:t>
              </w:r>
              <w:r>
                <w:rPr>
                  <w:rStyle w:val="a3"/>
                  <w:rFonts w:eastAsia="Times New Roman"/>
                  <w:sz w:val="20"/>
                  <w:szCs w:val="20"/>
                </w:rPr>
                <w:t xml:space="preserve">ed </w:t>
              </w:r>
            </w:hyperlink>
            <w:hyperlink w:anchor="id541c1df58744aaebc41b5947eb4480a_19" w:history="1">
              <w:r>
                <w:rPr>
                  <w:rStyle w:val="a3"/>
                  <w:rFonts w:eastAsia="Times New Roman"/>
                  <w:sz w:val="20"/>
                  <w:szCs w:val="20"/>
                </w:rPr>
                <w:t>March</w:t>
              </w:r>
            </w:hyperlink>
            <w:hyperlink w:anchor="id541c1df58744aaebc41b5947eb4480a_19" w:history="1">
              <w:r>
                <w:rPr>
                  <w:rStyle w:val="a3"/>
                  <w:rFonts w:eastAsia="Times New Roman"/>
                  <w:sz w:val="20"/>
                  <w:szCs w:val="20"/>
                </w:rPr>
                <w:t xml:space="preserve"> 3</w:t>
              </w:r>
            </w:hyperlink>
            <w:hyperlink w:anchor="id541c1df58744aaebc41b5947eb4480a_19" w:history="1">
              <w:r>
                <w:rPr>
                  <w:rStyle w:val="a3"/>
                  <w:rFonts w:eastAsia="Times New Roman"/>
                  <w:sz w:val="20"/>
                  <w:szCs w:val="20"/>
                </w:rPr>
                <w:t>1</w:t>
              </w:r>
            </w:hyperlink>
            <w:hyperlink w:anchor="id541c1df58744aaebc41b5947eb4480a_19" w:history="1">
              <w:r>
                <w:rPr>
                  <w:rStyle w:val="a3"/>
                  <w:rFonts w:eastAsia="Times New Roman"/>
                  <w:sz w:val="20"/>
                  <w:szCs w:val="20"/>
                </w:rPr>
                <w:t>, 202</w:t>
              </w:r>
            </w:hyperlink>
            <w:hyperlink w:anchor="id541c1df58744aaebc41b5947eb4480a_19" w:history="1">
              <w:r>
                <w:rPr>
                  <w:rStyle w:val="a3"/>
                  <w:rFonts w:eastAsia="Times New Roman"/>
                  <w:sz w:val="20"/>
                  <w:szCs w:val="20"/>
                </w:rPr>
                <w:t>1</w:t>
              </w:r>
            </w:hyperlink>
            <w:hyperlink w:anchor="id541c1df58744aaebc41b5947eb4480a_19" w:history="1">
              <w:r>
                <w:rPr>
                  <w:rStyle w:val="a3"/>
                  <w:rFonts w:eastAsia="Times New Roman"/>
                  <w:sz w:val="20"/>
                  <w:szCs w:val="20"/>
                </w:rPr>
                <w:t xml:space="preserve">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9" w:history="1">
              <w:r>
                <w:rPr>
                  <w:rStyle w:val="a3"/>
                  <w:rFonts w:eastAsia="Times New Roman"/>
                  <w:sz w:val="20"/>
                  <w:szCs w:val="20"/>
                </w:rPr>
                <w:t>5</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1806463527"/>
              <w:rPr>
                <w:rFonts w:eastAsia="Times New Roman"/>
              </w:rPr>
            </w:pPr>
            <w:hyperlink w:anchor="id541c1df58744aaebc41b5947eb4480a_25" w:history="1">
              <w:r>
                <w:rPr>
                  <w:rStyle w:val="a3"/>
                  <w:rFonts w:eastAsia="Times New Roman"/>
                  <w:sz w:val="20"/>
                  <w:szCs w:val="20"/>
                </w:rPr>
                <w:t xml:space="preserve">Consolidated Statements of Equity for the three </w:t>
              </w:r>
            </w:hyperlink>
            <w:hyperlink w:anchor="id541c1df58744aaebc41b5947eb4480a_25" w:history="1">
              <w:r>
                <w:rPr>
                  <w:rStyle w:val="a3"/>
                  <w:rFonts w:eastAsia="Times New Roman"/>
                  <w:sz w:val="20"/>
                  <w:szCs w:val="20"/>
                </w:rPr>
                <w:t xml:space="preserve">months ended </w:t>
              </w:r>
            </w:hyperlink>
            <w:hyperlink w:anchor="id541c1df58744aaebc41b5947eb4480a_25" w:history="1">
              <w:r>
                <w:rPr>
                  <w:rStyle w:val="a3"/>
                  <w:rFonts w:eastAsia="Times New Roman"/>
                  <w:sz w:val="20"/>
                  <w:szCs w:val="20"/>
                </w:rPr>
                <w:t>March</w:t>
              </w:r>
            </w:hyperlink>
            <w:hyperlink w:anchor="id541c1df58744aaebc41b5947eb4480a_25" w:history="1">
              <w:r>
                <w:rPr>
                  <w:rStyle w:val="a3"/>
                  <w:rFonts w:eastAsia="Times New Roman"/>
                  <w:sz w:val="20"/>
                  <w:szCs w:val="20"/>
                </w:rPr>
                <w:t xml:space="preserve"> 3</w:t>
              </w:r>
            </w:hyperlink>
            <w:hyperlink w:anchor="id541c1df58744aaebc41b5947eb4480a_25" w:history="1">
              <w:r>
                <w:rPr>
                  <w:rStyle w:val="a3"/>
                  <w:rFonts w:eastAsia="Times New Roman"/>
                  <w:sz w:val="20"/>
                  <w:szCs w:val="20"/>
                </w:rPr>
                <w:t>1</w:t>
              </w:r>
            </w:hyperlink>
            <w:hyperlink w:anchor="id541c1df58744aaebc41b5947eb4480a_25" w:history="1">
              <w:r>
                <w:rPr>
                  <w:rStyle w:val="a3"/>
                  <w:rFonts w:eastAsia="Times New Roman"/>
                  <w:sz w:val="20"/>
                  <w:szCs w:val="20"/>
                </w:rPr>
                <w:t>, 202</w:t>
              </w:r>
            </w:hyperlink>
            <w:hyperlink w:anchor="id541c1df58744aaebc41b5947eb4480a_25" w:history="1">
              <w:r>
                <w:rPr>
                  <w:rStyle w:val="a3"/>
                  <w:rFonts w:eastAsia="Times New Roman"/>
                  <w:sz w:val="20"/>
                  <w:szCs w:val="20"/>
                </w:rPr>
                <w:t>1</w:t>
              </w:r>
            </w:hyperlink>
            <w:hyperlink w:anchor="id541c1df58744aaebc41b5947eb4480a_25" w:history="1">
              <w:r>
                <w:rPr>
                  <w:rStyle w:val="a3"/>
                  <w:rFonts w:eastAsia="Times New Roman"/>
                  <w:sz w:val="20"/>
                  <w:szCs w:val="20"/>
                </w:rPr>
                <w:t xml:space="preserve">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25" w:history="1">
              <w:r>
                <w:rPr>
                  <w:rStyle w:val="a3"/>
                  <w:rFonts w:eastAsia="Times New Roman"/>
                  <w:sz w:val="20"/>
                  <w:szCs w:val="20"/>
                </w:rPr>
                <w:t>6</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2057655525"/>
              <w:rPr>
                <w:rFonts w:eastAsia="Times New Roman"/>
              </w:rPr>
            </w:pPr>
            <w:hyperlink w:anchor="id541c1df58744aaebc41b5947eb4480a_28" w:history="1">
              <w:r>
                <w:rPr>
                  <w:rStyle w:val="a3"/>
                  <w:rFonts w:eastAsia="Times New Roman"/>
                  <w:sz w:val="20"/>
                  <w:szCs w:val="20"/>
                </w:rPr>
                <w:t>Consolidated Statements of Cash Flows for the three months ended March 31, 2021 and 2020</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28" w:history="1">
              <w:r>
                <w:rPr>
                  <w:rStyle w:val="a3"/>
                  <w:rFonts w:eastAsia="Times New Roman"/>
                  <w:sz w:val="20"/>
                  <w:szCs w:val="20"/>
                </w:rPr>
                <w:t>7</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D532D">
            <w:pPr>
              <w:spacing w:after="100"/>
              <w:divId w:val="137965279"/>
              <w:rPr>
                <w:rFonts w:eastAsia="Times New Roman"/>
              </w:rPr>
            </w:pPr>
            <w:hyperlink w:anchor="id541c1df58744aaebc41b5947eb4480a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31" w:history="1">
              <w:r>
                <w:rPr>
                  <w:rStyle w:val="a3"/>
                  <w:rFonts w:eastAsia="Times New Roman"/>
                  <w:sz w:val="20"/>
                  <w:szCs w:val="20"/>
                </w:rPr>
                <w:t>9</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1160727758"/>
              <w:rPr>
                <w:rFonts w:eastAsia="Times New Roman"/>
              </w:rPr>
            </w:pPr>
            <w:hyperlink w:anchor="id541c1df58744aaebc41b5947eb4480a_103"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488442752"/>
              <w:rPr>
                <w:rFonts w:eastAsia="Times New Roman"/>
              </w:rPr>
            </w:pPr>
            <w:hyperlink w:anchor="id541c1df58744aaebc41b5947eb4480a_103"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03" w:history="1">
              <w:r>
                <w:rPr>
                  <w:rStyle w:val="a3"/>
                  <w:rFonts w:eastAsia="Times New Roman"/>
                  <w:sz w:val="20"/>
                  <w:szCs w:val="20"/>
                </w:rPr>
                <w:t>26</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799228405"/>
              <w:rPr>
                <w:rFonts w:eastAsia="Times New Roman"/>
              </w:rPr>
            </w:pPr>
            <w:hyperlink w:anchor="id541c1df58744aaebc41b5947eb4480a_127"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554389622"/>
              <w:rPr>
                <w:rFonts w:eastAsia="Times New Roman"/>
              </w:rPr>
            </w:pPr>
            <w:hyperlink w:anchor="id541c1df58744aaebc41b5947eb4480a_127"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27" w:history="1">
              <w:r>
                <w:rPr>
                  <w:rStyle w:val="a3"/>
                  <w:rFonts w:eastAsia="Times New Roman"/>
                  <w:sz w:val="20"/>
                  <w:szCs w:val="20"/>
                </w:rPr>
                <w:t>40</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1136215482"/>
              <w:rPr>
                <w:rFonts w:eastAsia="Times New Roman"/>
              </w:rPr>
            </w:pPr>
            <w:hyperlink w:anchor="id541c1df58744aaebc41b5947eb4480a_130"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106490009"/>
              <w:rPr>
                <w:rFonts w:eastAsia="Times New Roman"/>
              </w:rPr>
            </w:pPr>
            <w:hyperlink w:anchor="id541c1df58744aaebc41b5947eb4480a_130"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30" w:history="1">
              <w:r>
                <w:rPr>
                  <w:rStyle w:val="a3"/>
                  <w:rFonts w:eastAsia="Times New Roman"/>
                  <w:sz w:val="20"/>
                  <w:szCs w:val="20"/>
                </w:rPr>
                <w:t>41</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487210976"/>
              <w:rPr>
                <w:rFonts w:eastAsia="Times New Roman"/>
              </w:rPr>
            </w:pPr>
            <w:hyperlink w:anchor="id541c1df58744aaebc41b5947eb4480a_136"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60648148"/>
              <w:rPr>
                <w:rFonts w:eastAsia="Times New Roman"/>
              </w:rPr>
            </w:pPr>
            <w:hyperlink w:anchor="id541c1df58744aaebc41b5947eb4480a_136"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36" w:history="1">
              <w:r>
                <w:rPr>
                  <w:rStyle w:val="a3"/>
                  <w:rFonts w:eastAsia="Times New Roman"/>
                  <w:sz w:val="20"/>
                  <w:szCs w:val="20"/>
                </w:rPr>
                <w:t>41</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1142307547"/>
              <w:rPr>
                <w:rFonts w:eastAsia="Times New Roman"/>
              </w:rPr>
            </w:pPr>
            <w:hyperlink w:anchor="id541c1df58744aaebc41b5947eb4480a_139"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086680638"/>
              <w:rPr>
                <w:rFonts w:eastAsia="Times New Roman"/>
              </w:rPr>
            </w:pPr>
            <w:hyperlink w:anchor="id541c1df58744aaebc41b5947eb4480a_139"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39" w:history="1">
              <w:r>
                <w:rPr>
                  <w:rStyle w:val="a3"/>
                  <w:rFonts w:eastAsia="Times New Roman"/>
                  <w:sz w:val="20"/>
                  <w:szCs w:val="20"/>
                </w:rPr>
                <w:t>41</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1305432839"/>
              <w:rPr>
                <w:rFonts w:eastAsia="Times New Roman"/>
              </w:rPr>
            </w:pPr>
            <w:hyperlink w:anchor="id541c1df58744aaebc41b5947eb4480a_142"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335841168"/>
              <w:rPr>
                <w:rFonts w:eastAsia="Times New Roman"/>
              </w:rPr>
            </w:pPr>
            <w:hyperlink w:anchor="id541c1df58744aaebc41b5947eb4480a_142"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42" w:history="1">
              <w:r>
                <w:rPr>
                  <w:rStyle w:val="a3"/>
                  <w:rFonts w:eastAsia="Times New Roman"/>
                  <w:sz w:val="20"/>
                  <w:szCs w:val="20"/>
                </w:rPr>
                <w:t>42</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815489671"/>
              <w:rPr>
                <w:rFonts w:eastAsia="Times New Roman"/>
              </w:rPr>
            </w:pPr>
            <w:hyperlink w:anchor="id541c1df58744aaebc41b5947eb4480a_145"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843811588"/>
              <w:rPr>
                <w:rFonts w:eastAsia="Times New Roman"/>
              </w:rPr>
            </w:pPr>
            <w:hyperlink w:anchor="id541c1df58744aaebc41b5947eb4480a_145"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45" w:history="1">
              <w:r>
                <w:rPr>
                  <w:rStyle w:val="a3"/>
                  <w:rFonts w:eastAsia="Times New Roman"/>
                  <w:sz w:val="20"/>
                  <w:szCs w:val="20"/>
                </w:rPr>
                <w:t>42</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527528969"/>
              <w:rPr>
                <w:rFonts w:eastAsia="Times New Roman"/>
              </w:rPr>
            </w:pPr>
            <w:hyperlink w:anchor="id541c1df58744aaebc41b5947eb4480a_148"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362438142"/>
              <w:rPr>
                <w:rFonts w:eastAsia="Times New Roman"/>
              </w:rPr>
            </w:pPr>
            <w:hyperlink w:anchor="id541c1df58744aaebc41b5947eb4480a_148"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48" w:history="1">
              <w:r>
                <w:rPr>
                  <w:rStyle w:val="a3"/>
                  <w:rFonts w:eastAsia="Times New Roman"/>
                  <w:sz w:val="20"/>
                  <w:szCs w:val="20"/>
                </w:rPr>
                <w:t>42</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1968392366"/>
              <w:rPr>
                <w:rFonts w:eastAsia="Times New Roman"/>
              </w:rPr>
            </w:pPr>
            <w:hyperlink w:anchor="id541c1df58744aaebc41b5947eb4480a_151"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390686875"/>
              <w:rPr>
                <w:rFonts w:eastAsia="Times New Roman"/>
              </w:rPr>
            </w:pPr>
            <w:hyperlink w:anchor="id541c1df58744aaebc41b5947eb4480a_151"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51" w:history="1">
              <w:r>
                <w:rPr>
                  <w:rStyle w:val="a3"/>
                  <w:rFonts w:eastAsia="Times New Roman"/>
                  <w:sz w:val="20"/>
                  <w:szCs w:val="20"/>
                </w:rPr>
                <w:t>42</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3"/>
            <w:tcMar>
              <w:top w:w="30" w:type="dxa"/>
              <w:left w:w="20" w:type="dxa"/>
              <w:bottom w:w="30" w:type="dxa"/>
              <w:right w:w="20" w:type="dxa"/>
            </w:tcMar>
            <w:hideMark/>
          </w:tcPr>
          <w:p w:rsidR="00000000" w:rsidRDefault="009D532D">
            <w:pPr>
              <w:spacing w:after="100"/>
              <w:divId w:val="43603347"/>
              <w:rPr>
                <w:rFonts w:eastAsia="Times New Roman"/>
              </w:rPr>
            </w:pPr>
            <w:hyperlink w:anchor="id541c1df58744aaebc41b5947eb4480a_154"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61243570"/>
              <w:rPr>
                <w:rFonts w:eastAsia="Times New Roman"/>
              </w:rPr>
            </w:pPr>
            <w:hyperlink w:anchor="id541c1df58744aaebc41b5947eb4480a_154"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54" w:history="1">
              <w:r>
                <w:rPr>
                  <w:rStyle w:val="a3"/>
                  <w:rFonts w:eastAsia="Times New Roman"/>
                  <w:sz w:val="20"/>
                  <w:szCs w:val="20"/>
                </w:rPr>
                <w:t>43</w:t>
              </w:r>
            </w:hyperlink>
          </w:p>
        </w:tc>
      </w:tr>
      <w:tr w:rsidR="00000000">
        <w:trPr>
          <w:divId w:val="12709068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7090680"/>
          <w:jc w:val="center"/>
        </w:trPr>
        <w:tc>
          <w:tcPr>
            <w:tcW w:w="0" w:type="auto"/>
            <w:gridSpan w:val="9"/>
            <w:tcMar>
              <w:top w:w="30" w:type="dxa"/>
              <w:left w:w="20" w:type="dxa"/>
              <w:bottom w:w="30" w:type="dxa"/>
              <w:right w:w="20" w:type="dxa"/>
            </w:tcMar>
            <w:hideMark/>
          </w:tcPr>
          <w:p w:rsidR="00000000" w:rsidRDefault="009D532D">
            <w:pPr>
              <w:spacing w:after="100"/>
              <w:divId w:val="111677179"/>
              <w:rPr>
                <w:rFonts w:eastAsia="Times New Roman"/>
              </w:rPr>
            </w:pPr>
            <w:hyperlink w:anchor="id541c1df58744aaebc41b5947eb4480a_157"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hyperlink w:anchor="id541c1df58744aaebc41b5947eb4480a_157" w:history="1">
              <w:r>
                <w:rPr>
                  <w:rStyle w:val="a3"/>
                  <w:rFonts w:eastAsia="Times New Roman"/>
                  <w:sz w:val="20"/>
                  <w:szCs w:val="20"/>
                </w:rPr>
                <w:t>45</w:t>
              </w:r>
            </w:hyperlink>
          </w:p>
        </w:tc>
      </w:tr>
    </w:tbl>
    <w:p w:rsidR="00000000" w:rsidRDefault="009D532D">
      <w:pPr>
        <w:jc w:val="center"/>
        <w:rPr>
          <w:rFonts w:eastAsia="Times New Roman"/>
        </w:rPr>
      </w:pPr>
    </w:p>
    <w:p w:rsidR="00000000" w:rsidRDefault="009D532D">
      <w:pPr>
        <w:jc w:val="center"/>
        <w:divId w:val="671572099"/>
        <w:rPr>
          <w:rFonts w:eastAsia="Times New Roman"/>
        </w:rPr>
      </w:pPr>
      <w:r>
        <w:rPr>
          <w:rFonts w:eastAsia="Times New Roman"/>
          <w:color w:val="000000"/>
          <w:sz w:val="20"/>
          <w:szCs w:val="20"/>
        </w:rPr>
        <w:t>2</w:t>
      </w:r>
    </w:p>
    <w:p w:rsidR="00000000" w:rsidRDefault="009D532D">
      <w:pPr>
        <w:rPr>
          <w:rFonts w:eastAsia="Times New Roman"/>
        </w:rPr>
      </w:pPr>
      <w:r>
        <w:rPr>
          <w:rFonts w:eastAsia="Times New Roman"/>
        </w:rPr>
        <w:pict>
          <v:rect id="_x0000_i1026" style="width:0;height:1.5pt" o:hralign="center" o:hrstd="t" o:hr="t" fillcolor="#a0a0a0" stroked="f"/>
        </w:pict>
      </w:r>
    </w:p>
    <w:p w:rsidR="00000000" w:rsidRDefault="009D532D">
      <w:pPr>
        <w:divId w:val="73127696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619459636"/>
        <w:rPr>
          <w:rFonts w:eastAsia="Times New Roman"/>
        </w:rPr>
      </w:pPr>
    </w:p>
    <w:p w:rsidR="00000000" w:rsidRDefault="009D532D">
      <w:pPr>
        <w:jc w:val="center"/>
        <w:divId w:val="947275901"/>
        <w:rPr>
          <w:rFonts w:eastAsia="Times New Roman"/>
        </w:rPr>
      </w:pPr>
      <w:r>
        <w:rPr>
          <w:rFonts w:eastAsia="Times New Roman"/>
          <w:b/>
          <w:bCs/>
          <w:color w:val="000000"/>
          <w:sz w:val="20"/>
          <w:szCs w:val="20"/>
        </w:rPr>
        <w:t>THE MACERICH COMPANY</w:t>
      </w:r>
    </w:p>
    <w:p w:rsidR="00000000" w:rsidRDefault="009D532D">
      <w:pPr>
        <w:jc w:val="center"/>
        <w:divId w:val="268007990"/>
        <w:rPr>
          <w:rFonts w:eastAsia="Times New Roman"/>
        </w:rPr>
      </w:pPr>
      <w:r>
        <w:rPr>
          <w:rFonts w:eastAsia="Times New Roman"/>
          <w:b/>
          <w:bCs/>
          <w:color w:val="000000"/>
          <w:sz w:val="20"/>
          <w:szCs w:val="20"/>
        </w:rPr>
        <w:t>CONSOLIDATED BALANCE SHEETS</w:t>
      </w:r>
    </w:p>
    <w:p w:rsidR="00000000" w:rsidRDefault="009D532D">
      <w:pPr>
        <w:jc w:val="center"/>
        <w:divId w:val="225994243"/>
        <w:rPr>
          <w:rFonts w:eastAsia="Times New Roman"/>
        </w:rPr>
      </w:pPr>
      <w:r>
        <w:rPr>
          <w:rFonts w:eastAsia="Times New Roman"/>
          <w:b/>
          <w:bCs/>
          <w:color w:val="000000"/>
          <w:sz w:val="20"/>
          <w:szCs w:val="20"/>
        </w:rPr>
        <w:t>(Dollars in thousands, except par value)</w:t>
      </w:r>
    </w:p>
    <w:p w:rsidR="00000000" w:rsidRDefault="009D532D">
      <w:pPr>
        <w:jc w:val="center"/>
        <w:divId w:val="2045445510"/>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trPr>
          <w:divId w:val="2045445510"/>
          <w:jc w:val="center"/>
        </w:trPr>
        <w:tc>
          <w:tcPr>
            <w:tcW w:w="50" w:type="pct"/>
            <w:vAlign w:val="center"/>
            <w:hideMark/>
          </w:tcPr>
          <w:p w:rsidR="00000000" w:rsidRDefault="009D532D">
            <w:pPr>
              <w:jc w:val="center"/>
              <w:rPr>
                <w:rFonts w:eastAsia="Times New Roman"/>
              </w:rPr>
            </w:pPr>
          </w:p>
        </w:tc>
        <w:tc>
          <w:tcPr>
            <w:tcW w:w="363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04544551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6,517,852 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6,694,579 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1,083,813 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67,255 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227,829 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239,194 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117,388 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118,355 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293,790 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306,959 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1,356,426 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1,340,647 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60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9,669,584 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4,534,585 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4,560,810 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1,478,716 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1,477,540 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59,316 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68,825 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89,000 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90,216 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258,029 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298,594 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119,118 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108,381 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133,515 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134,379 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60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6,672,279 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6,738,745 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4544551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4544551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divId w:val="593979219"/>
              <w:rPr>
                <w:rFonts w:eastAsia="Times New Roman"/>
              </w:rPr>
            </w:pPr>
            <w:r>
              <w:rPr>
                <w:rFonts w:eastAsia="Times New Roman"/>
                <w:color w:val="000000"/>
                <w:sz w:val="20"/>
                <w:szCs w:val="20"/>
              </w:rPr>
              <w:t xml:space="preserve">Common stock, $0.01 par value, 250,000,000 shares authorized, 197,036,176 and 149,770,575 </w:t>
            </w:r>
            <w:r>
              <w:rPr>
                <w:rFonts w:eastAsia="Times New Roman"/>
                <w:color w:val="000000"/>
                <w:sz w:val="20"/>
                <w:szCs w:val="20"/>
              </w:rPr>
              <w:t>shares issued and outstanding at March 31, 2021 and December 31, 2020, respectively</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1,971 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5,263,994 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4,603,378 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(2,426,555)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(2,339,619)</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(5,514)</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(8,208)</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60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2,833,896 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163,409 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188,211 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CCEEFF"/>
            <w:tcMar>
              <w:top w:w="30" w:type="dxa"/>
              <w:left w:w="60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2,997,305 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45445510"/>
          <w:jc w:val="center"/>
        </w:trPr>
        <w:tc>
          <w:tcPr>
            <w:tcW w:w="0" w:type="auto"/>
            <w:gridSpan w:val="3"/>
            <w:shd w:val="clear" w:color="auto" w:fill="FFFFFF"/>
            <w:tcMar>
              <w:top w:w="30" w:type="dxa"/>
              <w:left w:w="60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9,669,584 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360"/>
        <w:jc w:val="center"/>
        <w:divId w:val="1800683185"/>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9D532D">
      <w:pPr>
        <w:jc w:val="center"/>
        <w:divId w:val="831338581"/>
        <w:rPr>
          <w:rFonts w:eastAsia="Times New Roman"/>
        </w:rPr>
      </w:pPr>
      <w:r>
        <w:rPr>
          <w:rFonts w:eastAsia="Times New Roman"/>
          <w:color w:val="000000"/>
          <w:sz w:val="20"/>
          <w:szCs w:val="20"/>
        </w:rPr>
        <w:t>3</w:t>
      </w:r>
    </w:p>
    <w:p w:rsidR="00000000" w:rsidRDefault="009D532D">
      <w:pPr>
        <w:rPr>
          <w:rFonts w:eastAsia="Times New Roman"/>
        </w:rPr>
      </w:pPr>
      <w:r>
        <w:rPr>
          <w:rFonts w:eastAsia="Times New Roman"/>
        </w:rPr>
        <w:pict>
          <v:rect id="_x0000_i1027" style="width:0;height:1.5pt" o:hralign="center" o:hrstd="t" o:hr="t" fillcolor="#a0a0a0" stroked="f"/>
        </w:pict>
      </w:r>
    </w:p>
    <w:p w:rsidR="00000000" w:rsidRDefault="009D532D">
      <w:pPr>
        <w:divId w:val="6082926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662797"/>
        <w:rPr>
          <w:rFonts w:eastAsia="Times New Roman"/>
        </w:rPr>
      </w:pPr>
      <w:r>
        <w:rPr>
          <w:rFonts w:eastAsia="Times New Roman"/>
          <w:b/>
          <w:bCs/>
          <w:color w:val="000000"/>
          <w:sz w:val="20"/>
          <w:szCs w:val="20"/>
        </w:rPr>
        <w:t>THE MACERICH COMPANY</w:t>
      </w:r>
    </w:p>
    <w:p w:rsidR="00000000" w:rsidRDefault="009D532D">
      <w:pPr>
        <w:jc w:val="center"/>
        <w:divId w:val="211381743"/>
        <w:rPr>
          <w:rFonts w:eastAsia="Times New Roman"/>
        </w:rPr>
      </w:pPr>
      <w:r>
        <w:rPr>
          <w:rFonts w:eastAsia="Times New Roman"/>
          <w:b/>
          <w:bCs/>
          <w:color w:val="000000"/>
          <w:sz w:val="20"/>
          <w:szCs w:val="20"/>
        </w:rPr>
        <w:t>CONSOLIDATED STATEMENTS OF OPERATIONS</w:t>
      </w:r>
    </w:p>
    <w:p w:rsidR="00000000" w:rsidRDefault="009D532D">
      <w:pPr>
        <w:jc w:val="center"/>
        <w:divId w:val="542179667"/>
        <w:rPr>
          <w:rFonts w:eastAsia="Times New Roman"/>
        </w:rPr>
      </w:pPr>
      <w:r>
        <w:rPr>
          <w:rFonts w:eastAsia="Times New Roman"/>
          <w:b/>
          <w:bCs/>
          <w:color w:val="000000"/>
          <w:sz w:val="20"/>
          <w:szCs w:val="20"/>
        </w:rPr>
        <w:t>(Dollars in thousands, except per share amounts)</w:t>
      </w:r>
    </w:p>
    <w:tbl>
      <w:tblPr>
        <w:tblW w:w="3545" w:type="pct"/>
        <w:jc w:val="center"/>
        <w:tblCellMar>
          <w:top w:w="15" w:type="dxa"/>
          <w:left w:w="15" w:type="dxa"/>
          <w:bottom w:w="15" w:type="dxa"/>
          <w:right w:w="15" w:type="dxa"/>
        </w:tblCellMar>
        <w:tblLook w:val="04A0" w:firstRow="1" w:lastRow="0" w:firstColumn="1" w:lastColumn="0" w:noHBand="0" w:noVBand="1"/>
      </w:tblPr>
      <w:tblGrid>
        <w:gridCol w:w="39"/>
        <w:gridCol w:w="3625"/>
        <w:gridCol w:w="38"/>
        <w:gridCol w:w="36"/>
        <w:gridCol w:w="46"/>
        <w:gridCol w:w="36"/>
        <w:gridCol w:w="36"/>
        <w:gridCol w:w="36"/>
        <w:gridCol w:w="36"/>
        <w:gridCol w:w="101"/>
        <w:gridCol w:w="790"/>
        <w:gridCol w:w="36"/>
        <w:gridCol w:w="36"/>
        <w:gridCol w:w="36"/>
        <w:gridCol w:w="36"/>
        <w:gridCol w:w="101"/>
        <w:gridCol w:w="789"/>
        <w:gridCol w:w="36"/>
      </w:tblGrid>
      <w:tr w:rsidR="00000000">
        <w:trPr>
          <w:divId w:val="397557819"/>
          <w:jc w:val="center"/>
        </w:trPr>
        <w:tc>
          <w:tcPr>
            <w:tcW w:w="50" w:type="pct"/>
            <w:vAlign w:val="center"/>
            <w:hideMark/>
          </w:tcPr>
          <w:p w:rsidR="00000000" w:rsidRDefault="009D532D">
            <w:pPr>
              <w:jc w:val="center"/>
              <w:rPr>
                <w:rFonts w:eastAsia="Times New Roman"/>
              </w:rPr>
            </w:pPr>
          </w:p>
        </w:tc>
        <w:tc>
          <w:tcPr>
            <w:tcW w:w="360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397557819"/>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Revenues: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Leasing revenue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179,535 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210,721 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Other</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5,321 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9,258 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Management Companies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5,568 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6,973 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lastRenderedPageBreak/>
              <w:t>Total revenues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190,424 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226,952 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Shopping center and operating 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76,155 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70,725 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Leasing 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5,166 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7,425 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Management Companies' operating 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14,843 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16,224 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REIT general and administrative 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8,087 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6,821 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Depreciation and amortization</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78,396 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82,213 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182,647 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183,408 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Interest expense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397557819"/>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Related parties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1,319 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(44,243)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Other</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52,577 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52,317 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53,896 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shd w:val="clear" w:color="auto" w:fill="CCEE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Total expenses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236,543 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191,482 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Equity in income of unconsolidated joint ventures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1,910 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9,698 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Income tax (expense) benefit</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(2,238)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266 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Loss on sale or write down of assets, net</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(21,283)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(36,703)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397557819"/>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Net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(67,730)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8,731 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Less net (loss) income attributable to noncontrolling interests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(4,126)</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1,209 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Net (loss) income attributable to the Company</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(63,604)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(Loss) earnings per common share—</w:t>
            </w:r>
            <w:r>
              <w:rPr>
                <w:rFonts w:eastAsia="Times New Roman"/>
                <w:b/>
                <w:bCs/>
                <w:color w:val="000000"/>
                <w:sz w:val="16"/>
                <w:szCs w:val="16"/>
              </w:rPr>
              <w:t>attributable to common stockholders: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Basic</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(0.40)</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0.05 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Diluted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(0.40)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0.05 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Weighted average number of common shares outstanding:</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397557819"/>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Basic</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158,580,000 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141,437,000 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397557819"/>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Diluted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158,580,000 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141,437,000 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360"/>
        <w:jc w:val="center"/>
        <w:divId w:val="628129314"/>
        <w:rPr>
          <w:rFonts w:eastAsia="Times New Roman"/>
        </w:rPr>
      </w:pPr>
      <w:r>
        <w:rPr>
          <w:rFonts w:eastAsia="Times New Roman"/>
          <w:color w:val="000000"/>
          <w:sz w:val="20"/>
          <w:szCs w:val="20"/>
        </w:rPr>
        <w:t>   The accompanying notes are an integral part of these consolidated financial statements.</w:t>
      </w:r>
    </w:p>
    <w:p w:rsidR="00000000" w:rsidRDefault="009D532D">
      <w:pPr>
        <w:jc w:val="center"/>
        <w:divId w:val="339696329"/>
        <w:rPr>
          <w:rFonts w:eastAsia="Times New Roman"/>
        </w:rPr>
      </w:pPr>
      <w:r>
        <w:rPr>
          <w:rFonts w:eastAsia="Times New Roman"/>
          <w:color w:val="000000"/>
          <w:sz w:val="20"/>
          <w:szCs w:val="20"/>
        </w:rPr>
        <w:t>4</w:t>
      </w:r>
    </w:p>
    <w:p w:rsidR="00000000" w:rsidRDefault="009D532D">
      <w:pPr>
        <w:rPr>
          <w:rFonts w:eastAsia="Times New Roman"/>
        </w:rPr>
      </w:pPr>
      <w:r>
        <w:rPr>
          <w:rFonts w:eastAsia="Times New Roman"/>
        </w:rPr>
        <w:pict>
          <v:rect id="_x0000_i1028" style="width:0;height:1.5pt" o:hralign="center" o:hrstd="t" o:hr="t" fillcolor="#a0a0a0" stroked="f"/>
        </w:pict>
      </w:r>
    </w:p>
    <w:p w:rsidR="00000000" w:rsidRDefault="009D532D">
      <w:pPr>
        <w:divId w:val="85099140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954481718"/>
        <w:rPr>
          <w:rFonts w:eastAsia="Times New Roman"/>
        </w:rPr>
      </w:pPr>
      <w:r>
        <w:rPr>
          <w:rFonts w:eastAsia="Times New Roman"/>
          <w:b/>
          <w:bCs/>
          <w:color w:val="000000"/>
          <w:sz w:val="20"/>
          <w:szCs w:val="20"/>
        </w:rPr>
        <w:t>THE MACERICH COMPANY</w:t>
      </w:r>
    </w:p>
    <w:p w:rsidR="00000000" w:rsidRDefault="009D532D">
      <w:pPr>
        <w:jc w:val="center"/>
        <w:divId w:val="1209688682"/>
        <w:rPr>
          <w:rFonts w:eastAsia="Times New Roman"/>
        </w:rPr>
      </w:pPr>
      <w:r>
        <w:rPr>
          <w:rFonts w:eastAsia="Times New Roman"/>
          <w:b/>
          <w:bCs/>
          <w:color w:val="000000"/>
          <w:sz w:val="20"/>
          <w:szCs w:val="20"/>
        </w:rPr>
        <w:t>CONSOLIDATED STATEMENTS OF COMPREHENSIVE (LOSS) INCOME</w:t>
      </w:r>
    </w:p>
    <w:p w:rsidR="00000000" w:rsidRDefault="009D532D">
      <w:pPr>
        <w:jc w:val="center"/>
        <w:divId w:val="582881454"/>
        <w:rPr>
          <w:rFonts w:eastAsia="Times New Roman"/>
        </w:rPr>
      </w:pPr>
      <w:r>
        <w:rPr>
          <w:rFonts w:eastAsia="Times New Roman"/>
          <w:b/>
          <w:bCs/>
          <w:color w:val="000000"/>
          <w:sz w:val="20"/>
          <w:szCs w:val="20"/>
        </w:rPr>
        <w:t>(Dollars in thousands, except per share amounts)</w:t>
      </w:r>
    </w:p>
    <w:tbl>
      <w:tblPr>
        <w:tblW w:w="3516" w:type="pct"/>
        <w:jc w:val="center"/>
        <w:tblCellMar>
          <w:top w:w="15" w:type="dxa"/>
          <w:left w:w="15" w:type="dxa"/>
          <w:bottom w:w="15" w:type="dxa"/>
          <w:right w:w="15" w:type="dxa"/>
        </w:tblCellMar>
        <w:tblLook w:val="04A0" w:firstRow="1" w:lastRow="0" w:firstColumn="1" w:lastColumn="0" w:noHBand="0" w:noVBand="1"/>
      </w:tblPr>
      <w:tblGrid>
        <w:gridCol w:w="38"/>
        <w:gridCol w:w="4067"/>
        <w:gridCol w:w="37"/>
        <w:gridCol w:w="36"/>
        <w:gridCol w:w="36"/>
        <w:gridCol w:w="36"/>
        <w:gridCol w:w="36"/>
        <w:gridCol w:w="100"/>
        <w:gridCol w:w="612"/>
        <w:gridCol w:w="36"/>
        <w:gridCol w:w="36"/>
        <w:gridCol w:w="36"/>
        <w:gridCol w:w="36"/>
        <w:gridCol w:w="100"/>
        <w:gridCol w:w="563"/>
        <w:gridCol w:w="36"/>
      </w:tblGrid>
      <w:tr w:rsidR="00000000">
        <w:trPr>
          <w:divId w:val="1983727828"/>
          <w:jc w:val="center"/>
        </w:trPr>
        <w:tc>
          <w:tcPr>
            <w:tcW w:w="50" w:type="pct"/>
            <w:vAlign w:val="center"/>
            <w:hideMark/>
          </w:tcPr>
          <w:p w:rsidR="00000000" w:rsidRDefault="009D532D">
            <w:pPr>
              <w:jc w:val="center"/>
              <w:rPr>
                <w:rFonts w:eastAsia="Times New Roman"/>
              </w:rPr>
            </w:pPr>
          </w:p>
        </w:tc>
        <w:tc>
          <w:tcPr>
            <w:tcW w:w="363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7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983727828"/>
          <w:jc w:val="center"/>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983727828"/>
          <w:jc w:val="center"/>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983727828"/>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lastRenderedPageBreak/>
              <w:t>Net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(67,730)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8,731 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83727828"/>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Other comprehensive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983727828"/>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Interest rate cap/swap agreements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2,694 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(6,395)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83727828"/>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Comprehensive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(65,036)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83727828"/>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Less net (loss) income attributable to noncontrolling interests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(4,126)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83727828"/>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Comprehensive (loss) income attributable to the Company</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(60,910)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360"/>
        <w:jc w:val="center"/>
        <w:divId w:val="184104085"/>
        <w:rPr>
          <w:rFonts w:eastAsia="Times New Roman"/>
        </w:rPr>
      </w:pPr>
      <w:r>
        <w:rPr>
          <w:rFonts w:eastAsia="Times New Roman"/>
          <w:color w:val="000000"/>
          <w:sz w:val="20"/>
          <w:szCs w:val="20"/>
        </w:rPr>
        <w:t>   The accompanying notes are an integral part of these consolidated financial statements.</w:t>
      </w:r>
    </w:p>
    <w:p w:rsidR="00000000" w:rsidRDefault="009D532D">
      <w:pPr>
        <w:divId w:val="1533420173"/>
        <w:rPr>
          <w:rFonts w:eastAsia="Times New Roman"/>
        </w:rPr>
      </w:pPr>
    </w:p>
    <w:p w:rsidR="00000000" w:rsidRDefault="009D532D">
      <w:pPr>
        <w:divId w:val="524296504"/>
        <w:rPr>
          <w:rFonts w:eastAsia="Times New Roman"/>
        </w:rPr>
      </w:pPr>
    </w:p>
    <w:p w:rsidR="00000000" w:rsidRDefault="009D532D">
      <w:pPr>
        <w:divId w:val="1636328173"/>
        <w:rPr>
          <w:rFonts w:eastAsia="Times New Roman"/>
        </w:rPr>
      </w:pPr>
    </w:p>
    <w:p w:rsidR="00000000" w:rsidRDefault="009D532D">
      <w:pPr>
        <w:divId w:val="1066218429"/>
        <w:rPr>
          <w:rFonts w:eastAsia="Times New Roman"/>
        </w:rPr>
      </w:pPr>
    </w:p>
    <w:p w:rsidR="00000000" w:rsidRDefault="009D532D">
      <w:pPr>
        <w:jc w:val="center"/>
        <w:divId w:val="2141921666"/>
        <w:rPr>
          <w:rFonts w:eastAsia="Times New Roman"/>
        </w:rPr>
      </w:pPr>
      <w:r>
        <w:rPr>
          <w:rFonts w:eastAsia="Times New Roman"/>
          <w:color w:val="000000"/>
          <w:sz w:val="20"/>
          <w:szCs w:val="20"/>
        </w:rPr>
        <w:t>5</w:t>
      </w:r>
    </w:p>
    <w:p w:rsidR="00000000" w:rsidRDefault="009D532D">
      <w:pPr>
        <w:rPr>
          <w:rFonts w:eastAsia="Times New Roman"/>
        </w:rPr>
      </w:pPr>
      <w:r>
        <w:rPr>
          <w:rFonts w:eastAsia="Times New Roman"/>
        </w:rPr>
        <w:pict>
          <v:rect id="_x0000_i1029" style="width:0;height:1.5pt" o:hralign="center" o:hrstd="t" o:hr="t" fillcolor="#a0a0a0" stroked="f"/>
        </w:pict>
      </w:r>
    </w:p>
    <w:p w:rsidR="00000000" w:rsidRDefault="009D532D">
      <w:pPr>
        <w:divId w:val="52461304"/>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604584102"/>
        <w:rPr>
          <w:rFonts w:eastAsia="Times New Roman"/>
        </w:rPr>
      </w:pPr>
      <w:r>
        <w:rPr>
          <w:rFonts w:eastAsia="Times New Roman"/>
          <w:b/>
          <w:bCs/>
          <w:color w:val="000000"/>
          <w:sz w:val="20"/>
          <w:szCs w:val="20"/>
        </w:rPr>
        <w:t>THE MACERICH COMPANY</w:t>
      </w:r>
    </w:p>
    <w:p w:rsidR="00000000" w:rsidRDefault="009D532D">
      <w:pPr>
        <w:jc w:val="center"/>
        <w:divId w:val="1620914719"/>
        <w:rPr>
          <w:rFonts w:eastAsia="Times New Roman"/>
        </w:rPr>
      </w:pPr>
      <w:r>
        <w:rPr>
          <w:rFonts w:eastAsia="Times New Roman"/>
          <w:b/>
          <w:bCs/>
          <w:color w:val="000000"/>
          <w:sz w:val="20"/>
          <w:szCs w:val="20"/>
        </w:rPr>
        <w:t>CONSOLIDATED STATEMENTS OF EQUITY</w:t>
      </w:r>
    </w:p>
    <w:p w:rsidR="00000000" w:rsidRDefault="009D532D">
      <w:pPr>
        <w:jc w:val="center"/>
        <w:divId w:val="1975717813"/>
        <w:rPr>
          <w:rFonts w:eastAsia="Times New Roman"/>
        </w:rPr>
      </w:pPr>
      <w:r>
        <w:rPr>
          <w:rFonts w:eastAsia="Times New Roman"/>
          <w:b/>
          <w:bCs/>
          <w:color w:val="000000"/>
          <w:sz w:val="20"/>
          <w:szCs w:val="20"/>
        </w:rPr>
        <w:t>(Dollars in thousands, except per share data)</w:t>
      </w:r>
    </w:p>
    <w:p w:rsidR="00000000" w:rsidRDefault="009D532D">
      <w:pPr>
        <w:jc w:val="center"/>
        <w:divId w:val="575015005"/>
        <w:rPr>
          <w:rFonts w:eastAsia="Times New Roman"/>
        </w:rPr>
      </w:pPr>
      <w:r>
        <w:rPr>
          <w:rFonts w:eastAsia="Times New Roman"/>
          <w:b/>
          <w:bCs/>
          <w:color w:val="000000"/>
          <w:sz w:val="20"/>
          <w:szCs w:val="20"/>
        </w:rPr>
        <w:t>(Unaudited)</w:t>
      </w:r>
    </w:p>
    <w:p w:rsidR="00000000" w:rsidRDefault="009D532D">
      <w:pPr>
        <w:jc w:val="center"/>
        <w:divId w:val="1487436495"/>
        <w:rPr>
          <w:rFonts w:eastAsia="Times New Roman"/>
        </w:rPr>
      </w:pPr>
      <w:r>
        <w:rPr>
          <w:rFonts w:eastAsia="Times New Roman"/>
          <w:b/>
          <w:bCs/>
          <w:color w:val="000000"/>
          <w:sz w:val="20"/>
          <w:szCs w:val="20"/>
        </w:rPr>
        <w:t>Three Months Ended March 31, 20</w:t>
      </w:r>
      <w:r>
        <w:rPr>
          <w:rFonts w:eastAsia="Times New Roman"/>
          <w:b/>
          <w:bCs/>
          <w:color w:val="000000"/>
          <w:sz w:val="20"/>
          <w:szCs w:val="20"/>
        </w:rPr>
        <w:t xml:space="preserve">21 and 2020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1487436495"/>
          <w:jc w:val="center"/>
        </w:trPr>
        <w:tc>
          <w:tcPr>
            <w:tcW w:w="50" w:type="pct"/>
            <w:vAlign w:val="center"/>
            <w:hideMark/>
          </w:tcPr>
          <w:p w:rsidR="00000000" w:rsidRDefault="009D532D">
            <w:pPr>
              <w:jc w:val="center"/>
              <w:rPr>
                <w:rFonts w:eastAsia="Times New Roman"/>
              </w:rPr>
            </w:pPr>
          </w:p>
        </w:tc>
        <w:tc>
          <w:tcPr>
            <w:tcW w:w="846" w:type="pct"/>
            <w:gridSpan w:val="2"/>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9" w:type="pct"/>
            <w:gridSpan w:val="3"/>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gridSpan w:val="2"/>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6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384" w:type="pct"/>
            <w:gridSpan w:val="6"/>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gridSpan w:val="2"/>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51" w:type="pct"/>
            <w:gridSpan w:val="4"/>
            <w:vAlign w:val="center"/>
            <w:hideMark/>
          </w:tcPr>
          <w:p w:rsidR="00000000" w:rsidRDefault="009D532D">
            <w:pPr>
              <w:spacing w:after="100"/>
              <w:rPr>
                <w:rFonts w:eastAsia="Times New Roman"/>
                <w:sz w:val="20"/>
                <w:szCs w:val="20"/>
              </w:rPr>
            </w:pPr>
          </w:p>
        </w:tc>
        <w:tc>
          <w:tcPr>
            <w:tcW w:w="5" w:type="pct"/>
            <w:gridSpan w:val="2"/>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gridSpan w:val="2"/>
            <w:vAlign w:val="center"/>
            <w:hideMark/>
          </w:tcPr>
          <w:p w:rsidR="00000000" w:rsidRDefault="009D532D">
            <w:pPr>
              <w:spacing w:after="100"/>
              <w:rPr>
                <w:rFonts w:eastAsia="Times New Roman"/>
                <w:sz w:val="20"/>
                <w:szCs w:val="20"/>
              </w:rPr>
            </w:pPr>
          </w:p>
        </w:tc>
        <w:tc>
          <w:tcPr>
            <w:tcW w:w="541" w:type="pct"/>
            <w:gridSpan w:val="4"/>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gridSpan w:val="2"/>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1" w:type="pct"/>
            <w:gridSpan w:val="4"/>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1" w:type="pct"/>
            <w:gridSpan w:val="7"/>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362" w:type="pct"/>
            <w:gridSpan w:val="2"/>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r>
      <w:tr w:rsidR="00000000">
        <w:trPr>
          <w:gridAfter w:val="19"/>
          <w:divId w:val="1487436495"/>
          <w:trHeight w:val="240"/>
          <w:jc w:val="center"/>
        </w:trPr>
        <w:tc>
          <w:tcPr>
            <w:tcW w:w="0" w:type="auto"/>
            <w:gridSpan w:val="4"/>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r>
      <w:tr w:rsidR="00000000">
        <w:trPr>
          <w:gridAfter w:val="19"/>
          <w:divId w:val="1487436495"/>
          <w:trHeight w:val="420"/>
          <w:jc w:val="center"/>
        </w:trPr>
        <w:tc>
          <w:tcPr>
            <w:tcW w:w="0" w:type="auto"/>
            <w:gridSpan w:val="4"/>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9D532D">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9D532D">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9D532D">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Balance at January 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w:t>
            </w:r>
            <w:r>
              <w:rPr>
                <w:rFonts w:eastAsia="Times New Roman"/>
                <w:color w:val="000000"/>
                <w:sz w:val="14"/>
                <w:szCs w:val="14"/>
              </w:rPr>
              <w:t>2,339,619)</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(8,208)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Net loss</w:t>
            </w:r>
          </w:p>
        </w:tc>
        <w:tc>
          <w:tcPr>
            <w:tcW w:w="0" w:type="auto"/>
            <w:gridSpan w:val="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(63,604)</w:t>
            </w:r>
          </w:p>
        </w:tc>
        <w:tc>
          <w:tcPr>
            <w:tcW w:w="0" w:type="auto"/>
            <w:gridSpan w:val="2"/>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(63,604)</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(4,126)</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(67,730)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vAlign w:val="center"/>
            <w:hideMark/>
          </w:tcPr>
          <w:p w:rsidR="00000000" w:rsidRDefault="009D532D">
            <w:pPr>
              <w:spacing w:after="100"/>
              <w:jc w:val="right"/>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Interest rate cap/swap agreements</w:t>
            </w:r>
          </w:p>
        </w:tc>
        <w:tc>
          <w:tcPr>
            <w:tcW w:w="0" w:type="auto"/>
            <w:gridSpan w:val="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2,694 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2,694 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2,694 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94,753 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5,030 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5,031 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5,031 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vAlign w:val="center"/>
            <w:hideMark/>
          </w:tcPr>
          <w:p w:rsidR="00000000" w:rsidRDefault="009D532D">
            <w:pPr>
              <w:spacing w:after="100"/>
              <w:jc w:val="right"/>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vAlign w:val="center"/>
            <w:hideMark/>
          </w:tcPr>
          <w:p w:rsidR="00000000" w:rsidRDefault="009D532D">
            <w:pPr>
              <w:spacing w:after="100"/>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vAlign w:val="center"/>
            <w:hideMark/>
          </w:tcPr>
          <w:p w:rsidR="00000000" w:rsidRDefault="009D532D">
            <w:pPr>
              <w:spacing w:after="100"/>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Stock offerings, net</w:t>
            </w:r>
          </w:p>
        </w:tc>
        <w:tc>
          <w:tcPr>
            <w:tcW w:w="0" w:type="auto"/>
            <w:gridSpan w:val="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45,992,318 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460 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637,684 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638,144 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638,144 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vAlign w:val="center"/>
            <w:hideMark/>
          </w:tcPr>
          <w:p w:rsidR="00000000" w:rsidRDefault="009D532D">
            <w:pPr>
              <w:spacing w:after="100"/>
              <w:jc w:val="right"/>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divId w:val="1937206855"/>
              <w:rPr>
                <w:rFonts w:eastAsia="Times New Roman"/>
              </w:rPr>
            </w:pPr>
            <w:r>
              <w:rPr>
                <w:rFonts w:eastAsia="Times New Roman"/>
                <w:color w:val="000000"/>
                <w:sz w:val="14"/>
                <w:szCs w:val="14"/>
              </w:rPr>
              <w:t>Distributions paid ($0.15 per share)</w:t>
            </w:r>
          </w:p>
        </w:tc>
        <w:tc>
          <w:tcPr>
            <w:tcW w:w="0" w:type="auto"/>
            <w:gridSpan w:val="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(23,332)</w:t>
            </w:r>
          </w:p>
        </w:tc>
        <w:tc>
          <w:tcPr>
            <w:tcW w:w="0" w:type="auto"/>
            <w:gridSpan w:val="2"/>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(23,332)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(23,332)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vAlign w:val="center"/>
            <w:hideMark/>
          </w:tcPr>
          <w:p w:rsidR="00000000" w:rsidRDefault="009D532D">
            <w:pPr>
              <w:spacing w:after="100"/>
              <w:jc w:val="right"/>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Distributions to noncontrolling interests</w:t>
            </w:r>
          </w:p>
        </w:tc>
        <w:tc>
          <w:tcPr>
            <w:tcW w:w="0" w:type="auto"/>
            <w:gridSpan w:val="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(3,338)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(3,338)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Contributions from noncontrolling interests</w:t>
            </w:r>
          </w:p>
        </w:tc>
        <w:tc>
          <w:tcPr>
            <w:tcW w:w="0" w:type="auto"/>
            <w:gridSpan w:val="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577 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577 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vAlign w:val="center"/>
            <w:hideMark/>
          </w:tcPr>
          <w:p w:rsidR="00000000" w:rsidRDefault="009D532D">
            <w:pPr>
              <w:spacing w:after="100"/>
              <w:jc w:val="right"/>
              <w:rPr>
                <w:rFonts w:eastAsia="Times New Roman"/>
                <w:sz w:val="20"/>
                <w:szCs w:val="20"/>
              </w:rPr>
            </w:pPr>
          </w:p>
        </w:tc>
        <w:tc>
          <w:tcPr>
            <w:tcW w:w="0" w:type="auto"/>
            <w:gridSpan w:val="5"/>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7"/>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6"/>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r>
      <w:tr w:rsidR="00000000">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1,178,530 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22,206 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22,218 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(22,218)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Redemption of noncontrolling interests</w:t>
            </w:r>
          </w:p>
        </w:tc>
        <w:tc>
          <w:tcPr>
            <w:tcW w:w="0" w:type="auto"/>
            <w:gridSpan w:val="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gridAfter w:val="19"/>
          <w:divId w:val="1487436495"/>
          <w:jc w:val="center"/>
        </w:trPr>
        <w:tc>
          <w:tcPr>
            <w:tcW w:w="0" w:type="auto"/>
            <w:gridSpan w:val="4"/>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(4,304)</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(4,304)</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4,304 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9D532D">
        <w:trPr>
          <w:gridAfter w:val="19"/>
          <w:divId w:val="1487436495"/>
          <w:jc w:val="center"/>
        </w:trPr>
        <w:tc>
          <w:tcPr>
            <w:tcW w:w="0" w:type="auto"/>
            <w:gridSpan w:val="4"/>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Balance at March 31, 2021</w:t>
            </w: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197,036,176 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1,971 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5,263,994 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(2,426,555)</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(5,514)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2,833,896 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163,409 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2,997,305 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50" w:type="pct"/>
            <w:gridSpan w:val="2"/>
            <w:vAlign w:val="center"/>
            <w:hideMark/>
          </w:tcPr>
          <w:p w:rsidR="00000000" w:rsidRDefault="009D532D">
            <w:pPr>
              <w:jc w:val="center"/>
              <w:rPr>
                <w:rFonts w:eastAsia="Times New Roman"/>
              </w:rPr>
            </w:pPr>
          </w:p>
        </w:tc>
        <w:tc>
          <w:tcPr>
            <w:tcW w:w="846" w:type="pct"/>
            <w:gridSpan w:val="4"/>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gridSpan w:val="5"/>
            <w:vAlign w:val="center"/>
            <w:hideMark/>
          </w:tcPr>
          <w:p w:rsidR="00000000" w:rsidRDefault="009D532D">
            <w:pPr>
              <w:spacing w:after="100"/>
              <w:rPr>
                <w:rFonts w:eastAsia="Times New Roman"/>
                <w:sz w:val="20"/>
                <w:szCs w:val="20"/>
              </w:rPr>
            </w:pPr>
          </w:p>
        </w:tc>
        <w:tc>
          <w:tcPr>
            <w:tcW w:w="429" w:type="pct"/>
            <w:gridSpan w:val="9"/>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gridSpan w:val="5"/>
            <w:vAlign w:val="center"/>
            <w:hideMark/>
          </w:tcPr>
          <w:p w:rsidR="00000000" w:rsidRDefault="009D532D">
            <w:pPr>
              <w:spacing w:after="100"/>
              <w:rPr>
                <w:rFonts w:eastAsia="Times New Roman"/>
                <w:sz w:val="20"/>
                <w:szCs w:val="20"/>
              </w:rPr>
            </w:pPr>
          </w:p>
        </w:tc>
        <w:tc>
          <w:tcPr>
            <w:tcW w:w="265" w:type="pct"/>
            <w:gridSpan w:val="3"/>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gridSpan w:val="2"/>
            <w:vAlign w:val="center"/>
            <w:hideMark/>
          </w:tcPr>
          <w:p w:rsidR="00000000" w:rsidRDefault="009D532D">
            <w:pPr>
              <w:spacing w:after="100"/>
              <w:rPr>
                <w:rFonts w:eastAsia="Times New Roman"/>
                <w:sz w:val="20"/>
                <w:szCs w:val="20"/>
              </w:rPr>
            </w:pPr>
          </w:p>
        </w:tc>
        <w:tc>
          <w:tcPr>
            <w:tcW w:w="5" w:type="pct"/>
            <w:gridSpan w:val="5"/>
            <w:vAlign w:val="center"/>
            <w:hideMark/>
          </w:tcPr>
          <w:p w:rsidR="00000000" w:rsidRDefault="009D532D">
            <w:pPr>
              <w:spacing w:after="100"/>
              <w:rPr>
                <w:rFonts w:eastAsia="Times New Roman"/>
                <w:sz w:val="20"/>
                <w:szCs w:val="20"/>
              </w:rPr>
            </w:pPr>
          </w:p>
        </w:tc>
        <w:tc>
          <w:tcPr>
            <w:tcW w:w="50" w:type="pct"/>
            <w:gridSpan w:val="2"/>
            <w:vAlign w:val="center"/>
            <w:hideMark/>
          </w:tcPr>
          <w:p w:rsidR="00000000" w:rsidRDefault="009D532D">
            <w:pPr>
              <w:spacing w:after="100"/>
              <w:rPr>
                <w:rFonts w:eastAsia="Times New Roman"/>
                <w:sz w:val="20"/>
                <w:szCs w:val="20"/>
              </w:rPr>
            </w:pPr>
          </w:p>
        </w:tc>
        <w:tc>
          <w:tcPr>
            <w:tcW w:w="38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gridSpan w:val="4"/>
            <w:vAlign w:val="center"/>
            <w:hideMark/>
          </w:tcPr>
          <w:p w:rsidR="00000000" w:rsidRDefault="009D532D">
            <w:pPr>
              <w:spacing w:after="100"/>
              <w:rPr>
                <w:rFonts w:eastAsia="Times New Roman"/>
                <w:sz w:val="20"/>
                <w:szCs w:val="20"/>
              </w:rPr>
            </w:pPr>
          </w:p>
        </w:tc>
        <w:tc>
          <w:tcPr>
            <w:tcW w:w="27" w:type="pct"/>
            <w:gridSpan w:val="4"/>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51" w:type="pct"/>
            <w:gridSpan w:val="7"/>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41" w:type="pct"/>
            <w:gridSpan w:val="7"/>
            <w:vAlign w:val="center"/>
            <w:hideMark/>
          </w:tcPr>
          <w:p w:rsidR="00000000" w:rsidRDefault="009D532D">
            <w:pPr>
              <w:spacing w:after="100"/>
              <w:rPr>
                <w:rFonts w:eastAsia="Times New Roman"/>
                <w:sz w:val="20"/>
                <w:szCs w:val="20"/>
              </w:rPr>
            </w:pPr>
          </w:p>
        </w:tc>
        <w:tc>
          <w:tcPr>
            <w:tcW w:w="5" w:type="pct"/>
            <w:gridSpan w:val="3"/>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36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9D532D">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Balance at January 1, 2020</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(9,051)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Net income</w:t>
            </w:r>
          </w:p>
        </w:tc>
        <w:tc>
          <w:tcPr>
            <w:tcW w:w="0" w:type="auto"/>
            <w:gridSpan w:val="1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7,522 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7,522 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1,209 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8,731 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vAlign w:val="center"/>
            <w:hideMark/>
          </w:tcPr>
          <w:p w:rsidR="00000000" w:rsidRDefault="009D532D">
            <w:pPr>
              <w:spacing w:after="100"/>
              <w:jc w:val="right"/>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(6,395)</w:t>
            </w:r>
          </w:p>
        </w:tc>
        <w:tc>
          <w:tcPr>
            <w:tcW w:w="0" w:type="auto"/>
            <w:gridSpan w:val="3"/>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(6,395)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(6,395)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80,917 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5,602 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5,603 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5,603 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vAlign w:val="center"/>
            <w:hideMark/>
          </w:tcPr>
          <w:p w:rsidR="00000000" w:rsidRDefault="009D532D">
            <w:pPr>
              <w:spacing w:after="100"/>
              <w:jc w:val="right"/>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vAlign w:val="center"/>
            <w:hideMark/>
          </w:tcPr>
          <w:p w:rsidR="00000000" w:rsidRDefault="009D532D">
            <w:pPr>
              <w:spacing w:after="100"/>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vAlign w:val="center"/>
            <w:hideMark/>
          </w:tcPr>
          <w:p w:rsidR="00000000" w:rsidRDefault="009D532D">
            <w:pPr>
              <w:spacing w:after="100"/>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vAlign w:val="center"/>
            <w:hideMark/>
          </w:tcPr>
          <w:p w:rsidR="00000000" w:rsidRDefault="009D532D">
            <w:pPr>
              <w:spacing w:after="100"/>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vAlign w:val="center"/>
            <w:hideMark/>
          </w:tcPr>
          <w:p w:rsidR="00000000" w:rsidRDefault="009D532D">
            <w:pPr>
              <w:spacing w:after="100"/>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divId w:val="29234341"/>
              <w:rPr>
                <w:rFonts w:eastAsia="Times New Roman"/>
              </w:rPr>
            </w:pPr>
            <w:r>
              <w:rPr>
                <w:rFonts w:eastAsia="Times New Roman"/>
                <w:color w:val="000000"/>
                <w:sz w:val="14"/>
                <w:szCs w:val="14"/>
              </w:rPr>
              <w:t>Distributions paid ($0.75 per share)</w:t>
            </w:r>
          </w:p>
        </w:tc>
        <w:tc>
          <w:tcPr>
            <w:tcW w:w="0" w:type="auto"/>
            <w:gridSpan w:val="1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(106,198)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(106,198)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(106,198)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(8,474)</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w:t>
            </w:r>
            <w:r>
              <w:rPr>
                <w:rFonts w:eastAsia="Times New Roman"/>
                <w:color w:val="000000"/>
                <w:sz w:val="14"/>
                <w:szCs w:val="14"/>
              </w:rPr>
              <w:t>8,474)</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vAlign w:val="center"/>
            <w:hideMark/>
          </w:tcPr>
          <w:p w:rsidR="00000000" w:rsidRDefault="009D532D">
            <w:pPr>
              <w:spacing w:after="100"/>
              <w:jc w:val="right"/>
              <w:rPr>
                <w:rFonts w:eastAsia="Times New Roman"/>
                <w:sz w:val="20"/>
                <w:szCs w:val="20"/>
              </w:rPr>
            </w:pPr>
          </w:p>
        </w:tc>
        <w:tc>
          <w:tcPr>
            <w:tcW w:w="0" w:type="auto"/>
            <w:gridSpan w:val="15"/>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8"/>
            <w:vAlign w:val="center"/>
            <w:hideMark/>
          </w:tcPr>
          <w:p w:rsidR="00000000" w:rsidRDefault="009D532D">
            <w:pPr>
              <w:spacing w:after="100"/>
              <w:rPr>
                <w:rFonts w:eastAsia="Times New Roman"/>
                <w:sz w:val="20"/>
                <w:szCs w:val="20"/>
              </w:rPr>
            </w:pPr>
          </w:p>
        </w:tc>
        <w:tc>
          <w:tcPr>
            <w:tcW w:w="0" w:type="auto"/>
            <w:gridSpan w:val="4"/>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9"/>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11"/>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83,722 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5,796 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5,797 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(5,797)</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(4,599)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(4,599)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4,599 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4"/>
                <w:szCs w:val="14"/>
              </w:rPr>
              <w:t>Balance at March 31, 2020</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141,572,289 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4,590,709 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(2,042,688)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(15,446)</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2,533,991 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190,369 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4"/>
                <w:szCs w:val="14"/>
              </w:rPr>
              <w:t>2,724,360 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jc w:val="center"/>
        <w:rPr>
          <w:rFonts w:eastAsia="Times New Roman"/>
        </w:rPr>
      </w:pPr>
      <w:r>
        <w:rPr>
          <w:rFonts w:eastAsia="Times New Roman"/>
          <w:color w:val="000000"/>
          <w:sz w:val="20"/>
          <w:szCs w:val="20"/>
        </w:rPr>
        <w:t>  </w:t>
      </w:r>
    </w:p>
    <w:p w:rsidR="00000000" w:rsidRDefault="009D532D">
      <w:pPr>
        <w:jc w:val="center"/>
        <w:rPr>
          <w:rFonts w:eastAsia="Times New Roman"/>
        </w:rPr>
      </w:pPr>
      <w:r>
        <w:rPr>
          <w:rFonts w:eastAsia="Times New Roman"/>
          <w:color w:val="000000"/>
          <w:sz w:val="20"/>
          <w:szCs w:val="20"/>
        </w:rPr>
        <w:t> The accompanying notes are an integral part of these consolidated financial statements.</w:t>
      </w:r>
    </w:p>
    <w:p w:rsidR="00000000" w:rsidRDefault="009D532D">
      <w:pPr>
        <w:jc w:val="center"/>
        <w:divId w:val="95952029"/>
        <w:rPr>
          <w:rFonts w:eastAsia="Times New Roman"/>
        </w:rPr>
      </w:pPr>
      <w:r>
        <w:rPr>
          <w:rFonts w:eastAsia="Times New Roman"/>
          <w:color w:val="000000"/>
          <w:sz w:val="20"/>
          <w:szCs w:val="20"/>
        </w:rPr>
        <w:t>6</w:t>
      </w:r>
    </w:p>
    <w:p w:rsidR="00000000" w:rsidRDefault="009D532D">
      <w:pPr>
        <w:rPr>
          <w:rFonts w:eastAsia="Times New Roman"/>
        </w:rPr>
      </w:pPr>
      <w:r>
        <w:rPr>
          <w:rFonts w:eastAsia="Times New Roman"/>
        </w:rPr>
        <w:pict>
          <v:rect id="_x0000_i1030" style="width:0;height:1.5pt" o:hralign="center" o:hrstd="t" o:hr="t" fillcolor="#a0a0a0" stroked="f"/>
        </w:pict>
      </w:r>
    </w:p>
    <w:p w:rsidR="00000000" w:rsidRDefault="009D532D">
      <w:pPr>
        <w:divId w:val="1130707855"/>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651445792"/>
        <w:rPr>
          <w:rFonts w:eastAsia="Times New Roman"/>
        </w:rPr>
      </w:pPr>
      <w:r>
        <w:rPr>
          <w:rFonts w:eastAsia="Times New Roman"/>
          <w:b/>
          <w:bCs/>
          <w:color w:val="000000"/>
          <w:sz w:val="20"/>
          <w:szCs w:val="20"/>
        </w:rPr>
        <w:t>THE MACERICH COMPANY</w:t>
      </w:r>
    </w:p>
    <w:p w:rsidR="00000000" w:rsidRDefault="009D532D">
      <w:pPr>
        <w:jc w:val="center"/>
        <w:divId w:val="1762679848"/>
        <w:rPr>
          <w:rFonts w:eastAsia="Times New Roman"/>
        </w:rPr>
      </w:pPr>
      <w:r>
        <w:rPr>
          <w:rFonts w:eastAsia="Times New Roman"/>
          <w:b/>
          <w:bCs/>
          <w:color w:val="000000"/>
          <w:sz w:val="20"/>
          <w:szCs w:val="20"/>
        </w:rPr>
        <w:t>CONSOLIDATED STATEMENTS OF CASH FLOWS</w:t>
      </w:r>
    </w:p>
    <w:p w:rsidR="00000000" w:rsidRDefault="009D532D">
      <w:pPr>
        <w:jc w:val="center"/>
        <w:divId w:val="383607190"/>
        <w:rPr>
          <w:rFonts w:eastAsia="Times New Roman"/>
        </w:rPr>
      </w:pPr>
      <w:r>
        <w:rPr>
          <w:rFonts w:eastAsia="Times New Roman"/>
          <w:b/>
          <w:bCs/>
          <w:color w:val="000000"/>
          <w:sz w:val="20"/>
          <w:szCs w:val="20"/>
        </w:rPr>
        <w:t>(Dollars in thousands)</w:t>
      </w:r>
    </w:p>
    <w:p w:rsidR="00000000" w:rsidRDefault="009D532D">
      <w:pPr>
        <w:jc w:val="center"/>
        <w:divId w:val="1384406920"/>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983"/>
        <w:gridCol w:w="39"/>
        <w:gridCol w:w="120"/>
        <w:gridCol w:w="741"/>
        <w:gridCol w:w="36"/>
        <w:gridCol w:w="36"/>
        <w:gridCol w:w="36"/>
        <w:gridCol w:w="36"/>
        <w:gridCol w:w="121"/>
        <w:gridCol w:w="717"/>
        <w:gridCol w:w="36"/>
      </w:tblGrid>
      <w:tr w:rsidR="00000000">
        <w:trPr>
          <w:divId w:val="1384406920"/>
          <w:jc w:val="center"/>
        </w:trPr>
        <w:tc>
          <w:tcPr>
            <w:tcW w:w="50" w:type="pct"/>
            <w:vAlign w:val="center"/>
            <w:hideMark/>
          </w:tcPr>
          <w:p w:rsidR="00000000" w:rsidRDefault="009D532D">
            <w:pPr>
              <w:jc w:val="center"/>
              <w:rPr>
                <w:rFonts w:eastAsia="Times New Roman"/>
              </w:rPr>
            </w:pPr>
          </w:p>
        </w:tc>
        <w:tc>
          <w:tcPr>
            <w:tcW w:w="379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9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For the Three Months Ended March 31,</w:t>
            </w:r>
          </w:p>
        </w:tc>
      </w:tr>
      <w:tr w:rsidR="00000000">
        <w:trPr>
          <w:divId w:val="1384406920"/>
          <w:jc w:val="center"/>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2020</w:t>
            </w:r>
          </w:p>
        </w:tc>
      </w:tr>
      <w:tr w:rsidR="00000000">
        <w:trPr>
          <w:divId w:val="1384406920"/>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38440692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(67,730)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8,731 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384406920"/>
          <w:jc w:val="center"/>
        </w:trPr>
        <w:tc>
          <w:tcPr>
            <w:tcW w:w="0" w:type="auto"/>
            <w:gridSpan w:val="3"/>
            <w:vAlign w:val="center"/>
            <w:hideMark/>
          </w:tcPr>
          <w:p w:rsidR="00000000" w:rsidRDefault="009D532D">
            <w:pPr>
              <w:spacing w:after="100"/>
              <w:rPr>
                <w:rFonts w:eastAsia="Times New Roman"/>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shd w:val="clear" w:color="auto" w:fill="FFFF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Loss on sale or write down of assets, net</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21,283 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36,703 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80,812 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83,827 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Amortization of premium on mortgage notes payable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4,030 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4,224 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(4,959)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Provision for doubtful accounts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3,208 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2,238 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Equity in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(1,910)</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(9,698)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shd w:val="clear" w:color="auto" w:fill="FFFF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(863)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(48,384)</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24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384406920"/>
          <w:jc w:val="center"/>
        </w:trPr>
        <w:tc>
          <w:tcPr>
            <w:tcW w:w="0" w:type="auto"/>
            <w:gridSpan w:val="3"/>
            <w:shd w:val="clear" w:color="auto" w:fill="FFFFFF"/>
            <w:tcMar>
              <w:top w:w="30" w:type="dxa"/>
              <w:left w:w="51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52,684 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11,673 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51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5,969 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51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(3,619)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(4,766)</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51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(7,328)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15,937 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51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(31,596)</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(49,759)</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384406920"/>
          <w:jc w:val="center"/>
        </w:trPr>
        <w:tc>
          <w:tcPr>
            <w:tcW w:w="0" w:type="auto"/>
            <w:gridSpan w:val="3"/>
            <w:vAlign w:val="center"/>
            <w:hideMark/>
          </w:tcPr>
          <w:p w:rsidR="00000000" w:rsidRDefault="009D532D">
            <w:pPr>
              <w:spacing w:after="100"/>
              <w:rPr>
                <w:rFonts w:eastAsia="Times New Roman"/>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(14,819)</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(26,406)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(8,653)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(1,845)</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(981)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21,341 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21,693 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(25,673)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(33,870)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384406920"/>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100,334 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73,739 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(41,409)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384406920"/>
          <w:trHeight w:val="60"/>
          <w:jc w:val="center"/>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jc w:val="center"/>
        <w:divId w:val="399326619"/>
        <w:rPr>
          <w:rFonts w:eastAsia="Times New Roman"/>
        </w:rPr>
      </w:pPr>
      <w:r>
        <w:rPr>
          <w:rFonts w:eastAsia="Times New Roman"/>
          <w:color w:val="000000"/>
          <w:sz w:val="20"/>
          <w:szCs w:val="20"/>
        </w:rPr>
        <w:t>7</w:t>
      </w:r>
    </w:p>
    <w:p w:rsidR="00000000" w:rsidRDefault="009D532D">
      <w:pPr>
        <w:rPr>
          <w:rFonts w:eastAsia="Times New Roman"/>
        </w:rPr>
      </w:pPr>
      <w:r>
        <w:rPr>
          <w:rFonts w:eastAsia="Times New Roman"/>
        </w:rPr>
        <w:pict>
          <v:rect id="_x0000_i1031" style="width:0;height:1.5pt" o:hralign="center" o:hrstd="t" o:hr="t" fillcolor="#a0a0a0" stroked="f"/>
        </w:pict>
      </w:r>
    </w:p>
    <w:p w:rsidR="00000000" w:rsidRDefault="009D532D">
      <w:pPr>
        <w:divId w:val="120463718"/>
        <w:rPr>
          <w:rFonts w:eastAsia="Times New Roman"/>
        </w:rPr>
      </w:pPr>
      <w:hyperlink w:anchor="id541c1df58744aaebc41b5947eb4480a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94"/>
        <w:gridCol w:w="38"/>
        <w:gridCol w:w="120"/>
        <w:gridCol w:w="850"/>
        <w:gridCol w:w="36"/>
        <w:gridCol w:w="36"/>
        <w:gridCol w:w="36"/>
        <w:gridCol w:w="36"/>
        <w:gridCol w:w="120"/>
        <w:gridCol w:w="700"/>
        <w:gridCol w:w="36"/>
      </w:tblGrid>
      <w:tr w:rsidR="00000000">
        <w:trPr>
          <w:divId w:val="1446803905"/>
          <w:jc w:val="center"/>
        </w:trPr>
        <w:tc>
          <w:tcPr>
            <w:tcW w:w="50" w:type="pct"/>
            <w:vAlign w:val="center"/>
            <w:hideMark/>
          </w:tcPr>
          <w:p w:rsidR="00000000" w:rsidRDefault="009D532D">
            <w:pPr>
              <w:rPr>
                <w:rFonts w:eastAsia="Times New Roman"/>
              </w:rPr>
            </w:pPr>
          </w:p>
        </w:tc>
        <w:tc>
          <w:tcPr>
            <w:tcW w:w="379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9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12"/>
            <w:tcMar>
              <w:top w:w="30" w:type="dxa"/>
              <w:left w:w="20" w:type="dxa"/>
              <w:bottom w:w="30" w:type="dxa"/>
              <w:right w:w="20" w:type="dxa"/>
            </w:tcMar>
            <w:vAlign w:val="bottom"/>
            <w:hideMark/>
          </w:tcPr>
          <w:p w:rsidR="00000000" w:rsidRDefault="009D532D">
            <w:pPr>
              <w:spacing w:after="100"/>
              <w:jc w:val="center"/>
              <w:divId w:val="1780907389"/>
              <w:rPr>
                <w:rFonts w:eastAsia="Times New Roman"/>
              </w:rPr>
            </w:pPr>
            <w:r>
              <w:rPr>
                <w:rFonts w:eastAsia="Times New Roman"/>
                <w:b/>
                <w:bCs/>
                <w:color w:val="000000"/>
                <w:sz w:val="20"/>
                <w:szCs w:val="20"/>
              </w:rPr>
              <w:t>THE MACERICH COMPANY</w:t>
            </w:r>
          </w:p>
          <w:p w:rsidR="00000000" w:rsidRDefault="009D532D">
            <w:pPr>
              <w:spacing w:after="100"/>
              <w:jc w:val="center"/>
              <w:divId w:val="1453785538"/>
              <w:rPr>
                <w:rFonts w:eastAsia="Times New Roman"/>
              </w:rPr>
            </w:pPr>
            <w:r>
              <w:rPr>
                <w:rFonts w:eastAsia="Times New Roman"/>
                <w:b/>
                <w:bCs/>
                <w:color w:val="000000"/>
                <w:sz w:val="20"/>
                <w:szCs w:val="20"/>
              </w:rPr>
              <w:t>CONSOLIDATED STATEMENTS OF CASH FLOWS (Continued)</w:t>
            </w:r>
          </w:p>
          <w:p w:rsidR="00000000" w:rsidRDefault="009D532D">
            <w:pPr>
              <w:spacing w:after="100"/>
              <w:jc w:val="center"/>
              <w:divId w:val="2145273488"/>
              <w:rPr>
                <w:rFonts w:eastAsia="Times New Roman"/>
              </w:rPr>
            </w:pPr>
            <w:r>
              <w:rPr>
                <w:rFonts w:eastAsia="Times New Roman"/>
                <w:b/>
                <w:bCs/>
                <w:color w:val="000000"/>
                <w:sz w:val="20"/>
                <w:szCs w:val="20"/>
              </w:rPr>
              <w:t>(Dollars in thousands)</w:t>
            </w:r>
          </w:p>
          <w:p w:rsidR="00000000" w:rsidRDefault="009D532D">
            <w:pPr>
              <w:spacing w:after="100"/>
              <w:jc w:val="center"/>
              <w:divId w:val="766658335"/>
              <w:rPr>
                <w:rFonts w:eastAsia="Times New Roman"/>
              </w:rPr>
            </w:pPr>
            <w:r>
              <w:rPr>
                <w:rFonts w:eastAsia="Times New Roman"/>
                <w:b/>
                <w:bCs/>
                <w:color w:val="000000"/>
                <w:sz w:val="20"/>
                <w:szCs w:val="20"/>
              </w:rPr>
              <w:t>(Unaudited)</w:t>
            </w:r>
          </w:p>
        </w:tc>
      </w:tr>
      <w:tr w:rsidR="00000000">
        <w:trPr>
          <w:divId w:val="1446803905"/>
          <w:jc w:val="center"/>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For the Three Months Ended March 31,</w:t>
            </w:r>
          </w:p>
        </w:tc>
      </w:tr>
      <w:tr w:rsidR="00000000">
        <w:trPr>
          <w:divId w:val="1446803905"/>
          <w:jc w:val="center"/>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20"/>
                <w:szCs w:val="20"/>
              </w:rPr>
              <w:t>2020</w:t>
            </w: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660,000 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(23,986)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(8,676)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(3,472)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Proceeds from finance lease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Payments on finance leases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(552)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proceeds from stock offerings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597,007 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Contribution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Dividends and distributions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(26,670)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(114,672)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540,600 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668,409 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548,891 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482,659 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114,216 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1,151,068 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663,107 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61,041 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52,989 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25,248 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28,250 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446803905"/>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22,218 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5,797 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Accrued receivable of net proceeds from stock offering</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41,137 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46803905"/>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bl>
    <w:p w:rsidR="00000000" w:rsidRDefault="009D532D">
      <w:pPr>
        <w:jc w:val="center"/>
        <w:divId w:val="48460808"/>
        <w:rPr>
          <w:rFonts w:eastAsia="Times New Roman"/>
        </w:rPr>
      </w:pPr>
      <w:r>
        <w:rPr>
          <w:rFonts w:eastAsia="Times New Roman"/>
          <w:color w:val="000000"/>
          <w:sz w:val="20"/>
          <w:szCs w:val="20"/>
        </w:rPr>
        <w:t>The accompanying notes are an integral part of these consolidated financial statements.</w:t>
      </w:r>
    </w:p>
    <w:p w:rsidR="00000000" w:rsidRDefault="009D532D">
      <w:pPr>
        <w:jc w:val="center"/>
        <w:divId w:val="1900433201"/>
        <w:rPr>
          <w:rFonts w:eastAsia="Times New Roman"/>
        </w:rPr>
      </w:pPr>
      <w:r>
        <w:rPr>
          <w:rFonts w:eastAsia="Times New Roman"/>
          <w:color w:val="000000"/>
          <w:sz w:val="20"/>
          <w:szCs w:val="20"/>
        </w:rPr>
        <w:t>8</w:t>
      </w:r>
    </w:p>
    <w:p w:rsidR="00000000" w:rsidRDefault="009D532D">
      <w:pPr>
        <w:rPr>
          <w:rFonts w:eastAsia="Times New Roman"/>
        </w:rPr>
      </w:pPr>
      <w:r>
        <w:rPr>
          <w:rFonts w:eastAsia="Times New Roman"/>
        </w:rPr>
        <w:pict>
          <v:rect id="_x0000_i1032" style="width:0;height:1.5pt" o:hralign="center" o:hrstd="t" o:hr="t" fillcolor="#a0a0a0" stroked="f"/>
        </w:pict>
      </w:r>
    </w:p>
    <w:p w:rsidR="00000000" w:rsidRDefault="009D532D">
      <w:pPr>
        <w:jc w:val="center"/>
        <w:divId w:val="1907763735"/>
        <w:rPr>
          <w:rFonts w:eastAsia="Times New Roman"/>
        </w:rPr>
      </w:pPr>
    </w:p>
    <w:p w:rsidR="00000000" w:rsidRDefault="009D532D">
      <w:pPr>
        <w:jc w:val="center"/>
        <w:divId w:val="990871207"/>
        <w:rPr>
          <w:rFonts w:eastAsia="Times New Roman"/>
        </w:rPr>
      </w:pPr>
      <w:r>
        <w:rPr>
          <w:rFonts w:eastAsia="Times New Roman"/>
          <w:b/>
          <w:bCs/>
          <w:color w:val="000000"/>
          <w:sz w:val="20"/>
          <w:szCs w:val="20"/>
        </w:rPr>
        <w:t>THE MACERICH COMPANY</w:t>
      </w:r>
    </w:p>
    <w:p w:rsidR="00000000" w:rsidRDefault="009D532D">
      <w:pPr>
        <w:jc w:val="center"/>
        <w:divId w:val="2017492755"/>
        <w:rPr>
          <w:rFonts w:eastAsia="Times New Roman"/>
        </w:rPr>
      </w:pPr>
      <w:r>
        <w:rPr>
          <w:rFonts w:eastAsia="Times New Roman"/>
          <w:b/>
          <w:bCs/>
          <w:color w:val="000000"/>
          <w:sz w:val="20"/>
          <w:szCs w:val="20"/>
        </w:rPr>
        <w:t>NOTES TO CONSOLIDATED FINANCIAL STATEMENTS</w:t>
      </w:r>
    </w:p>
    <w:p w:rsidR="00000000" w:rsidRDefault="009D532D">
      <w:pPr>
        <w:jc w:val="center"/>
        <w:divId w:val="434373262"/>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2067727615"/>
        <w:rPr>
          <w:rFonts w:eastAsia="Times New Roman"/>
        </w:rPr>
      </w:pPr>
      <w:r>
        <w:rPr>
          <w:rFonts w:eastAsia="Times New Roman"/>
          <w:b/>
          <w:bCs/>
          <w:color w:val="000000"/>
          <w:sz w:val="20"/>
          <w:szCs w:val="20"/>
        </w:rPr>
        <w:t>(Unaudited)</w:t>
      </w:r>
    </w:p>
    <w:p w:rsidR="00000000" w:rsidRDefault="009D532D">
      <w:pPr>
        <w:jc w:val="center"/>
        <w:divId w:val="375350030"/>
        <w:rPr>
          <w:rFonts w:eastAsia="Times New Roman"/>
        </w:rPr>
      </w:pPr>
    </w:p>
    <w:p w:rsidR="00000000" w:rsidRDefault="009D532D">
      <w:pPr>
        <w:divId w:val="606155492"/>
        <w:rPr>
          <w:rFonts w:eastAsia="Times New Roman"/>
        </w:rPr>
      </w:pPr>
      <w:r>
        <w:rPr>
          <w:rFonts w:eastAsia="Times New Roman"/>
          <w:b/>
          <w:bCs/>
          <w:color w:val="000000"/>
          <w:sz w:val="20"/>
          <w:szCs w:val="20"/>
        </w:rPr>
        <w:t>1. Organization:</w:t>
      </w:r>
    </w:p>
    <w:p w:rsidR="00000000" w:rsidRDefault="009D532D">
      <w:pPr>
        <w:ind w:firstLine="495"/>
        <w:divId w:val="1552157404"/>
        <w:rPr>
          <w:rFonts w:eastAsia="Times New Roman"/>
        </w:rPr>
      </w:pPr>
      <w:r>
        <w:rPr>
          <w:rFonts w:eastAsia="Times New Roman"/>
          <w:color w:val="000000"/>
          <w:sz w:val="20"/>
          <w:szCs w:val="20"/>
        </w:rPr>
        <w:t>The Macerich Company (the "Company") is involved in the acquisition, ownership, development, redevelopment, management and leasing of regional and community/power shopping centers (the "Centers") located throughout the Unite</w:t>
      </w:r>
      <w:r>
        <w:rPr>
          <w:rFonts w:eastAsia="Times New Roman"/>
          <w:color w:val="000000"/>
          <w:sz w:val="20"/>
          <w:szCs w:val="20"/>
        </w:rPr>
        <w:t>d States.</w:t>
      </w:r>
    </w:p>
    <w:p w:rsidR="00000000" w:rsidRDefault="009D532D">
      <w:pPr>
        <w:ind w:firstLine="495"/>
        <w:divId w:val="681972071"/>
        <w:rPr>
          <w:rFonts w:eastAsia="Times New Roman"/>
        </w:rPr>
      </w:pPr>
      <w:r>
        <w:rPr>
          <w:rFonts w:eastAsia="Times New Roman"/>
          <w:color w:val="000000"/>
          <w:sz w:val="20"/>
          <w:szCs w:val="20"/>
        </w:rPr>
        <w:t>The Company commenced operations effective with the completion of its initial public offering on March 16, 1994. As of March 31, 2021, the Company was the sole general partner of and held a 95% ownership interest in The Macerich Partnership, L.P.</w:t>
      </w:r>
      <w:r>
        <w:rPr>
          <w:rFonts w:eastAsia="Times New Roman"/>
          <w:color w:val="000000"/>
          <w:sz w:val="20"/>
          <w:szCs w:val="20"/>
        </w:rPr>
        <w:t xml:space="preserve"> (the "Operating Partnership"). The Company was organized to qualify as a real estate investment trust ("REIT") under the Internal Revenue Code of 1986, as amended (the "Code").</w:t>
      </w:r>
    </w:p>
    <w:p w:rsidR="00000000" w:rsidRDefault="009D532D">
      <w:pPr>
        <w:ind w:firstLine="495"/>
        <w:divId w:val="445466026"/>
        <w:rPr>
          <w:rFonts w:eastAsia="Times New Roman"/>
        </w:rPr>
      </w:pPr>
      <w:r>
        <w:rPr>
          <w:rFonts w:eastAsia="Times New Roman"/>
          <w:color w:val="000000"/>
          <w:sz w:val="20"/>
          <w:szCs w:val="20"/>
        </w:rPr>
        <w:t xml:space="preserve">The property management, leasing and redevelopment of the Company's portfolio </w:t>
      </w:r>
      <w:r>
        <w:rPr>
          <w:rFonts w:eastAsia="Times New Roman"/>
          <w:color w:val="000000"/>
          <w:sz w:val="20"/>
          <w:szCs w:val="20"/>
        </w:rPr>
        <w:t xml:space="preserve">is provided by the Company's management companies, Macerich Property Management Company, LLC, a single member Delaware limited liability company, Macerich Management Company, a California corporation, Macerich Arizona Partners LLC, a single member Arizona </w:t>
      </w:r>
      <w:r>
        <w:rPr>
          <w:rFonts w:eastAsia="Times New Roman"/>
          <w:color w:val="000000"/>
          <w:sz w:val="20"/>
          <w:szCs w:val="20"/>
        </w:rPr>
        <w:t>limited liability company, Macerich Arizona Management LLC, a single member Delaware limited liability company, Macerich Partners of Colorado LLC, a single member Colorado limited liability company, MACW Mall Management, Inc., a New York corporation, and M</w:t>
      </w:r>
      <w:r>
        <w:rPr>
          <w:rFonts w:eastAsia="Times New Roman"/>
          <w:color w:val="000000"/>
          <w:sz w:val="20"/>
          <w:szCs w:val="20"/>
        </w:rPr>
        <w:t>ACW Property Management, LLC, a single member New York limited liability company. All seven of the management companies are collectively referred to herein as the "Management Companies."</w:t>
      </w:r>
    </w:p>
    <w:p w:rsidR="00000000" w:rsidRDefault="009D532D">
      <w:pPr>
        <w:ind w:firstLine="495"/>
        <w:divId w:val="379332169"/>
        <w:rPr>
          <w:rFonts w:eastAsia="Times New Roman"/>
        </w:rPr>
      </w:pPr>
      <w:r>
        <w:rPr>
          <w:rFonts w:eastAsia="Times New Roman"/>
          <w:color w:val="000000"/>
          <w:sz w:val="20"/>
          <w:szCs w:val="20"/>
        </w:rPr>
        <w:t>All references to the Company in this Quarterly Report on Form 10-Q i</w:t>
      </w:r>
      <w:r>
        <w:rPr>
          <w:rFonts w:eastAsia="Times New Roman"/>
          <w:color w:val="000000"/>
          <w:sz w:val="20"/>
          <w:szCs w:val="20"/>
        </w:rPr>
        <w:t>nclude the Company, those entities owned or controlled by the Company and predecessors of the Company, unless the context indicates otherwise.</w:t>
      </w:r>
    </w:p>
    <w:p w:rsidR="00000000" w:rsidRDefault="009D532D">
      <w:pPr>
        <w:divId w:val="1313364857"/>
        <w:rPr>
          <w:rFonts w:eastAsia="Times New Roman"/>
        </w:rPr>
      </w:pPr>
      <w:r>
        <w:rPr>
          <w:rFonts w:eastAsia="Times New Roman"/>
          <w:b/>
          <w:bCs/>
          <w:color w:val="000000"/>
          <w:sz w:val="20"/>
          <w:szCs w:val="20"/>
        </w:rPr>
        <w:t>2. Summary of Significant Accounting Policies:</w:t>
      </w:r>
    </w:p>
    <w:p w:rsidR="00000000" w:rsidRDefault="009D532D">
      <w:pPr>
        <w:ind w:firstLine="450"/>
        <w:divId w:val="1460296913"/>
        <w:rPr>
          <w:rFonts w:eastAsia="Times New Roman"/>
        </w:rPr>
      </w:pPr>
      <w:r>
        <w:rPr>
          <w:rFonts w:eastAsia="Times New Roman"/>
          <w:i/>
          <w:iCs/>
          <w:color w:val="000000"/>
          <w:sz w:val="20"/>
          <w:szCs w:val="20"/>
        </w:rPr>
        <w:t>Basis of Presentation:</w:t>
      </w:r>
    </w:p>
    <w:p w:rsidR="00000000" w:rsidRDefault="009D532D">
      <w:pPr>
        <w:ind w:firstLine="495"/>
        <w:divId w:val="1744642431"/>
        <w:rPr>
          <w:rFonts w:eastAsia="Times New Roman"/>
        </w:rPr>
      </w:pPr>
      <w:r>
        <w:rPr>
          <w:rFonts w:eastAsia="Times New Roman"/>
          <w:color w:val="000000"/>
          <w:sz w:val="20"/>
          <w:szCs w:val="20"/>
        </w:rPr>
        <w:t>The accompanying consolidated financial sta</w:t>
      </w:r>
      <w:r>
        <w:rPr>
          <w:rFonts w:eastAsia="Times New Roman"/>
          <w:color w:val="000000"/>
          <w:sz w:val="20"/>
          <w:szCs w:val="20"/>
        </w:rPr>
        <w:t>tements of the Company have been prepared in accordance with generally accepted accounting principles in the United States ("GAAP") for interim financial information and with the instructions to Form 10-Q and Article 10 of Regulation S-X. They do not inclu</w:t>
      </w:r>
      <w:r>
        <w:rPr>
          <w:rFonts w:eastAsia="Times New Roman"/>
          <w:color w:val="000000"/>
          <w:sz w:val="20"/>
          <w:szCs w:val="20"/>
        </w:rPr>
        <w:t>de all of the information and footnotes required by GAAP for complete financial statements and have not been audited by an independent registered public accounting firm.</w:t>
      </w:r>
    </w:p>
    <w:p w:rsidR="00000000" w:rsidRDefault="009D532D">
      <w:pPr>
        <w:ind w:firstLine="495"/>
        <w:divId w:val="465510429"/>
        <w:rPr>
          <w:rFonts w:eastAsia="Times New Roman"/>
        </w:rPr>
      </w:pPr>
      <w:r>
        <w:rPr>
          <w:rFonts w:eastAsia="Times New Roman"/>
          <w:color w:val="000000"/>
          <w:sz w:val="20"/>
          <w:szCs w:val="20"/>
        </w:rPr>
        <w:t>The Company's sole significant asset is its investment in the Operating Partnership an</w:t>
      </w:r>
      <w:r>
        <w:rPr>
          <w:rFonts w:eastAsia="Times New Roman"/>
          <w:color w:val="000000"/>
          <w:sz w:val="20"/>
          <w:szCs w:val="20"/>
        </w:rPr>
        <w:t>d as a result, substantially all of the Company's assets and liabilities represent the assets and liabilities of the Operating Partnership. In addition, the Operating Partnership has investments in a number of consolidated variable interest entities ("VIEs</w:t>
      </w:r>
      <w:r>
        <w:rPr>
          <w:rFonts w:eastAsia="Times New Roman"/>
          <w:color w:val="000000"/>
          <w:sz w:val="20"/>
          <w:szCs w:val="20"/>
        </w:rPr>
        <w:t xml:space="preserve">"), including Fashion District Philadelphia and SanTan Village Regional Center. </w:t>
      </w:r>
    </w:p>
    <w:p w:rsidR="00000000" w:rsidRDefault="009D532D">
      <w:pPr>
        <w:ind w:firstLine="495"/>
        <w:divId w:val="2083871434"/>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trPr>
          <w:divId w:val="2083871434"/>
        </w:trPr>
        <w:tc>
          <w:tcPr>
            <w:tcW w:w="50" w:type="pct"/>
            <w:vAlign w:val="center"/>
            <w:hideMark/>
          </w:tcPr>
          <w:p w:rsidR="00000000" w:rsidRDefault="009D532D">
            <w:pPr>
              <w:ind w:firstLine="495"/>
              <w:rPr>
                <w:rFonts w:eastAsia="Times New Roman"/>
              </w:rPr>
            </w:pPr>
          </w:p>
        </w:tc>
        <w:tc>
          <w:tcPr>
            <w:tcW w:w="367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083871434"/>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08387143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8387143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520,900 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551,062 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8387143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93,215 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97,713 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8387143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614,115 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648,775 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8387143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208387143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420,254 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420,233 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8387143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78,489 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81,266 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08387143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498,743 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501,499 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461772602"/>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9D532D">
      <w:pPr>
        <w:ind w:firstLine="495"/>
        <w:divId w:val="733285438"/>
        <w:rPr>
          <w:rFonts w:eastAsia="Times New Roman"/>
        </w:rPr>
      </w:pPr>
    </w:p>
    <w:p w:rsidR="00000000" w:rsidRDefault="009D532D">
      <w:pPr>
        <w:jc w:val="center"/>
        <w:divId w:val="955410885"/>
        <w:rPr>
          <w:rFonts w:eastAsia="Times New Roman"/>
        </w:rPr>
      </w:pPr>
      <w:r>
        <w:rPr>
          <w:rFonts w:eastAsia="Times New Roman"/>
          <w:color w:val="000000"/>
          <w:sz w:val="20"/>
          <w:szCs w:val="20"/>
        </w:rPr>
        <w:t>9</w:t>
      </w:r>
    </w:p>
    <w:p w:rsidR="00000000" w:rsidRDefault="009D532D">
      <w:pPr>
        <w:rPr>
          <w:rFonts w:eastAsia="Times New Roman"/>
        </w:rPr>
      </w:pPr>
      <w:r>
        <w:rPr>
          <w:rFonts w:eastAsia="Times New Roman"/>
        </w:rPr>
        <w:pict>
          <v:rect id="_x0000_i1033" style="width:0;height:1.5pt" o:hralign="center" o:hrstd="t" o:hr="t" fillcolor="#a0a0a0" stroked="f"/>
        </w:pict>
      </w:r>
    </w:p>
    <w:p w:rsidR="00000000" w:rsidRDefault="009D532D">
      <w:pPr>
        <w:divId w:val="177690414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427847141"/>
        <w:rPr>
          <w:rFonts w:eastAsia="Times New Roman"/>
        </w:rPr>
      </w:pPr>
      <w:r>
        <w:rPr>
          <w:rFonts w:eastAsia="Times New Roman"/>
          <w:b/>
          <w:bCs/>
          <w:color w:val="000000"/>
          <w:sz w:val="20"/>
          <w:szCs w:val="20"/>
        </w:rPr>
        <w:t>THE MACERICH COMPANY</w:t>
      </w:r>
    </w:p>
    <w:p w:rsidR="00000000" w:rsidRDefault="009D532D">
      <w:pPr>
        <w:jc w:val="center"/>
        <w:divId w:val="243420497"/>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294827317"/>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998192527"/>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9D532D">
      <w:pPr>
        <w:divId w:val="961616105"/>
        <w:rPr>
          <w:rFonts w:eastAsia="Times New Roman"/>
        </w:rPr>
      </w:pPr>
    </w:p>
    <w:p w:rsidR="00000000" w:rsidRDefault="009D532D">
      <w:pPr>
        <w:divId w:val="872302713"/>
        <w:rPr>
          <w:rFonts w:eastAsia="Times New Roman"/>
        </w:rPr>
      </w:pPr>
      <w:r>
        <w:rPr>
          <w:rFonts w:eastAsia="Times New Roman"/>
          <w:b/>
          <w:bCs/>
          <w:color w:val="000000"/>
          <w:sz w:val="20"/>
          <w:szCs w:val="20"/>
        </w:rPr>
        <w:t>2. Summary of Significant Accounting Policies: (Continued)</w:t>
      </w:r>
    </w:p>
    <w:p w:rsidR="00000000" w:rsidRDefault="009D532D">
      <w:pPr>
        <w:ind w:firstLine="495"/>
        <w:divId w:val="1934316080"/>
        <w:rPr>
          <w:rFonts w:eastAsia="Times New Roman"/>
        </w:rPr>
      </w:pPr>
    </w:p>
    <w:p w:rsidR="00000000" w:rsidRDefault="009D532D">
      <w:pPr>
        <w:ind w:firstLine="495"/>
        <w:divId w:val="205720868"/>
        <w:rPr>
          <w:rFonts w:eastAsia="Times New Roman"/>
        </w:rPr>
      </w:pPr>
      <w:r>
        <w:rPr>
          <w:rFonts w:eastAsia="Times New Roman"/>
          <w:color w:val="000000"/>
          <w:sz w:val="20"/>
          <w:szCs w:val="20"/>
        </w:rPr>
        <w:t>The unaudited interim consolidated financial statements should be read in conjunction with the Company's audited consolidated financial statements and notes thereto included in the Com</w:t>
      </w:r>
      <w:r>
        <w:rPr>
          <w:rFonts w:eastAsia="Times New Roman"/>
          <w:color w:val="000000"/>
          <w:sz w:val="20"/>
          <w:szCs w:val="20"/>
        </w:rPr>
        <w:t>pany's Annual Report on Form 10-K for the year ended December 31, 2020. In the opinion of management, all adjustments (consisting of normal recurring adjustments) necessary for a fair presentation of the consolidated financial statements for the interim pe</w:t>
      </w:r>
      <w:r>
        <w:rPr>
          <w:rFonts w:eastAsia="Times New Roman"/>
          <w:color w:val="000000"/>
          <w:sz w:val="20"/>
          <w:szCs w:val="20"/>
        </w:rPr>
        <w:t>riods have been made. The preparation of consolidated financial statements in conformity with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consolidated financial statements and the reported amounts of revenues and expenses during the reporting period. Actual results could differ from those estimates. The accompanying consolidated balance sheet as of December 31, 202</w:t>
      </w:r>
      <w:r>
        <w:rPr>
          <w:rFonts w:eastAsia="Times New Roman"/>
          <w:color w:val="000000"/>
          <w:sz w:val="20"/>
          <w:szCs w:val="20"/>
        </w:rPr>
        <w:t>0 has been derived from the audited financial statements but does not include all disclosures required by GAAP. The following table presents a reconciliation of the beginning of period and end of period cash, cash equivalents and restricted cash reported o</w:t>
      </w:r>
      <w:r>
        <w:rPr>
          <w:rFonts w:eastAsia="Times New Roman"/>
          <w:color w:val="000000"/>
          <w:sz w:val="20"/>
          <w:szCs w:val="20"/>
        </w:rPr>
        <w:t>n the Company's consolidated balance sheets to the totals shown on its consolidated statements of cash flows:</w:t>
      </w:r>
    </w:p>
    <w:p w:rsidR="00000000" w:rsidRDefault="009D532D">
      <w:pPr>
        <w:ind w:firstLine="495"/>
        <w:divId w:val="791095415"/>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02"/>
        <w:gridCol w:w="37"/>
        <w:gridCol w:w="120"/>
        <w:gridCol w:w="850"/>
        <w:gridCol w:w="36"/>
        <w:gridCol w:w="36"/>
        <w:gridCol w:w="36"/>
        <w:gridCol w:w="36"/>
        <w:gridCol w:w="120"/>
        <w:gridCol w:w="700"/>
        <w:gridCol w:w="36"/>
      </w:tblGrid>
      <w:tr w:rsidR="00000000">
        <w:trPr>
          <w:divId w:val="602802453"/>
        </w:trPr>
        <w:tc>
          <w:tcPr>
            <w:tcW w:w="50" w:type="pct"/>
            <w:vAlign w:val="center"/>
            <w:hideMark/>
          </w:tcPr>
          <w:p w:rsidR="00000000" w:rsidRDefault="009D532D">
            <w:pPr>
              <w:ind w:firstLine="495"/>
              <w:rPr>
                <w:rFonts w:eastAsia="Times New Roman"/>
              </w:rPr>
            </w:pPr>
          </w:p>
        </w:tc>
        <w:tc>
          <w:tcPr>
            <w:tcW w:w="38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8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602802453"/>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r>
      <w:tr w:rsidR="00000000">
        <w:trPr>
          <w:divId w:val="602802453"/>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60280245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60280245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100,005 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60280245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14,211 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602802453"/>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60280245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60280245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1,083,813 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652,354 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60280245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67,255 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10,753 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602802453"/>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1,151,068 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663,107 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50"/>
        <w:divId w:val="2146770923"/>
        <w:rPr>
          <w:rFonts w:eastAsia="Times New Roman"/>
        </w:rPr>
      </w:pPr>
    </w:p>
    <w:p w:rsidR="00000000" w:rsidRDefault="009D532D">
      <w:pPr>
        <w:ind w:firstLine="450"/>
        <w:divId w:val="2115902459"/>
        <w:rPr>
          <w:rFonts w:eastAsia="Times New Roman"/>
        </w:rPr>
      </w:pPr>
      <w:r>
        <w:rPr>
          <w:rFonts w:eastAsia="Times New Roman"/>
          <w:i/>
          <w:iCs/>
          <w:color w:val="000000"/>
          <w:sz w:val="20"/>
          <w:szCs w:val="20"/>
        </w:rPr>
        <w:t>COVID-19 Pandemic:</w:t>
      </w:r>
    </w:p>
    <w:p w:rsidR="00000000" w:rsidRDefault="009D532D">
      <w:pPr>
        <w:ind w:firstLine="495"/>
        <w:divId w:val="89208063"/>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 mandated restrictions have greatly eased for most of the Centers during 2021, including in the Company's key mark</w:t>
      </w:r>
      <w:r>
        <w:rPr>
          <w:rFonts w:eastAsia="Times New Roman"/>
          <w:color w:val="000000"/>
          <w:sz w:val="20"/>
          <w:szCs w:val="20"/>
        </w:rPr>
        <w:t>ets of California and New York, which were the most capacity-restricted markets upon re-opening in 2020.</w:t>
      </w:r>
    </w:p>
    <w:p w:rsidR="00000000" w:rsidRDefault="009D532D">
      <w:pPr>
        <w:ind w:firstLine="450"/>
        <w:divId w:val="828981449"/>
        <w:rPr>
          <w:rFonts w:eastAsia="Times New Roman"/>
        </w:rPr>
      </w:pPr>
      <w:r>
        <w:rPr>
          <w:rFonts w:eastAsia="Times New Roman"/>
          <w:i/>
          <w:iCs/>
          <w:color w:val="000000"/>
          <w:sz w:val="20"/>
          <w:szCs w:val="20"/>
        </w:rPr>
        <w:t>COVID-19 Lease Accounting:</w:t>
      </w:r>
    </w:p>
    <w:p w:rsidR="00000000" w:rsidRDefault="009D532D">
      <w:pPr>
        <w:ind w:firstLine="495"/>
        <w:divId w:val="1752853845"/>
        <w:rPr>
          <w:rFonts w:eastAsia="Times New Roman"/>
        </w:rPr>
      </w:pPr>
      <w:r>
        <w:rPr>
          <w:rFonts w:eastAsia="Times New Roman"/>
          <w:color w:val="000000"/>
          <w:sz w:val="20"/>
          <w:szCs w:val="20"/>
        </w:rPr>
        <w:t xml:space="preserve">In April 2020, the Financial Accounting Standards Board issued a Staff Question-and-Answer (“Q&amp;A”) to clarify whether lease </w:t>
      </w:r>
      <w:r>
        <w:rPr>
          <w:rFonts w:eastAsia="Times New Roman"/>
          <w:color w:val="000000"/>
          <w:sz w:val="20"/>
          <w:szCs w:val="20"/>
        </w:rPr>
        <w:t>concessions related to the effects of COVID-19 require the application of the lease modification guidance under Accounting Standards Codification ("ASC") 842, "Leases" ("the lease modification accounting framework"). Under ASC 842, the Company would have t</w:t>
      </w:r>
      <w:r>
        <w:rPr>
          <w:rFonts w:eastAsia="Times New Roman"/>
          <w:color w:val="000000"/>
          <w:sz w:val="20"/>
          <w:szCs w:val="20"/>
        </w:rPr>
        <w:t>o determine, on a lease-by-lease basis, if a lease concession was the result of a new arrangement reached with the tenant or an enforceable right and obligation within the existing lease. The Q&amp;A allows for the bypass of a lease-by-lease analysis, and allo</w:t>
      </w:r>
      <w:r>
        <w:rPr>
          <w:rFonts w:eastAsia="Times New Roman"/>
          <w:color w:val="000000"/>
          <w:sz w:val="20"/>
          <w:szCs w:val="20"/>
        </w:rPr>
        <w:t>ws the Company to elect to either apply the lease modification accounting framework or not to all of its lease concessions with similar characteristics and circumstances. The Company has elected to apply the lease modification accounting framework to lease</w:t>
      </w:r>
      <w:r>
        <w:rPr>
          <w:rFonts w:eastAsia="Times New Roman"/>
          <w:color w:val="000000"/>
          <w:sz w:val="20"/>
          <w:szCs w:val="20"/>
        </w:rPr>
        <w:t xml:space="preserve"> concessions that include the abatement of rent in its consolidated financial statements for the three months ended March 31, 2021.</w:t>
      </w:r>
    </w:p>
    <w:p w:rsidR="00000000" w:rsidRDefault="009D532D">
      <w:pPr>
        <w:ind w:firstLine="495"/>
        <w:divId w:val="87041022"/>
        <w:rPr>
          <w:rFonts w:eastAsia="Times New Roman"/>
        </w:rPr>
      </w:pPr>
    </w:p>
    <w:p w:rsidR="00000000" w:rsidRDefault="009D532D">
      <w:pPr>
        <w:jc w:val="center"/>
        <w:divId w:val="1687437921"/>
        <w:rPr>
          <w:rFonts w:eastAsia="Times New Roman"/>
        </w:rPr>
      </w:pPr>
      <w:r>
        <w:rPr>
          <w:rFonts w:eastAsia="Times New Roman"/>
          <w:color w:val="000000"/>
          <w:sz w:val="20"/>
          <w:szCs w:val="20"/>
        </w:rPr>
        <w:t>10</w:t>
      </w:r>
    </w:p>
    <w:p w:rsidR="00000000" w:rsidRDefault="009D532D">
      <w:pPr>
        <w:rPr>
          <w:rFonts w:eastAsia="Times New Roman"/>
        </w:rPr>
      </w:pPr>
      <w:r>
        <w:rPr>
          <w:rFonts w:eastAsia="Times New Roman"/>
        </w:rPr>
        <w:pict>
          <v:rect id="_x0000_i1034" style="width:0;height:1.5pt" o:hralign="center" o:hrstd="t" o:hr="t" fillcolor="#a0a0a0" stroked="f"/>
        </w:pict>
      </w:r>
    </w:p>
    <w:p w:rsidR="00000000" w:rsidRDefault="009D532D">
      <w:pPr>
        <w:divId w:val="1136872091"/>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026053532"/>
        <w:rPr>
          <w:rFonts w:eastAsia="Times New Roman"/>
        </w:rPr>
      </w:pPr>
      <w:r>
        <w:rPr>
          <w:rFonts w:eastAsia="Times New Roman"/>
          <w:b/>
          <w:bCs/>
          <w:color w:val="000000"/>
          <w:sz w:val="20"/>
          <w:szCs w:val="20"/>
        </w:rPr>
        <w:t>THE MACERICH COMPANY</w:t>
      </w:r>
    </w:p>
    <w:p w:rsidR="00000000" w:rsidRDefault="009D532D">
      <w:pPr>
        <w:jc w:val="center"/>
        <w:divId w:val="1880361557"/>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595745520"/>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632061143"/>
        <w:rPr>
          <w:rFonts w:eastAsia="Times New Roman"/>
        </w:rPr>
      </w:pPr>
      <w:r>
        <w:rPr>
          <w:rFonts w:eastAsia="Times New Roman"/>
          <w:b/>
          <w:bCs/>
          <w:color w:val="000000"/>
          <w:sz w:val="20"/>
          <w:szCs w:val="20"/>
        </w:rPr>
        <w:t>(Unaudited)</w:t>
      </w:r>
    </w:p>
    <w:p w:rsidR="00000000" w:rsidRDefault="009D532D">
      <w:pPr>
        <w:divId w:val="1743678591"/>
        <w:rPr>
          <w:rFonts w:eastAsia="Times New Roman"/>
        </w:rPr>
      </w:pPr>
    </w:p>
    <w:p w:rsidR="00000000" w:rsidRDefault="009D532D">
      <w:pPr>
        <w:ind w:firstLine="450"/>
        <w:divId w:val="1027295949"/>
        <w:rPr>
          <w:rFonts w:eastAsia="Times New Roman"/>
        </w:rPr>
      </w:pPr>
    </w:p>
    <w:p w:rsidR="00000000" w:rsidRDefault="009D532D">
      <w:pPr>
        <w:divId w:val="908805781"/>
        <w:rPr>
          <w:rFonts w:eastAsia="Times New Roman"/>
        </w:rPr>
      </w:pPr>
      <w:r>
        <w:rPr>
          <w:rFonts w:eastAsia="Times New Roman"/>
          <w:b/>
          <w:bCs/>
          <w:color w:val="000000"/>
          <w:sz w:val="20"/>
          <w:szCs w:val="20"/>
        </w:rPr>
        <w:t>3. Earnings Per Share ("EPS"):</w:t>
      </w:r>
    </w:p>
    <w:p w:rsidR="00000000" w:rsidRDefault="009D532D">
      <w:pPr>
        <w:ind w:firstLine="495"/>
        <w:divId w:val="1821651944"/>
        <w:rPr>
          <w:rFonts w:eastAsia="Times New Roman"/>
        </w:rPr>
      </w:pPr>
      <w:r>
        <w:rPr>
          <w:rFonts w:eastAsia="Times New Roman"/>
          <w:color w:val="000000"/>
          <w:sz w:val="20"/>
          <w:szCs w:val="20"/>
        </w:rPr>
        <w:t>The following table reconciles the numerator and d</w:t>
      </w:r>
      <w:r>
        <w:rPr>
          <w:rFonts w:eastAsia="Times New Roman"/>
          <w:color w:val="000000"/>
          <w:sz w:val="20"/>
          <w:szCs w:val="20"/>
        </w:rPr>
        <w:t>enominator used in the computation of EPS for the three months ended March 31, 2021 and 2020 (shares in thousands):</w:t>
      </w:r>
    </w:p>
    <w:tbl>
      <w:tblPr>
        <w:tblW w:w="3837" w:type="pct"/>
        <w:tblCellMar>
          <w:top w:w="15" w:type="dxa"/>
          <w:left w:w="15" w:type="dxa"/>
          <w:bottom w:w="15" w:type="dxa"/>
          <w:right w:w="15" w:type="dxa"/>
        </w:tblCellMar>
        <w:tblLook w:val="04A0" w:firstRow="1" w:lastRow="0" w:firstColumn="1" w:lastColumn="0" w:noHBand="0" w:noVBand="1"/>
      </w:tblPr>
      <w:tblGrid>
        <w:gridCol w:w="38"/>
        <w:gridCol w:w="4384"/>
        <w:gridCol w:w="37"/>
        <w:gridCol w:w="36"/>
        <w:gridCol w:w="36"/>
        <w:gridCol w:w="36"/>
        <w:gridCol w:w="36"/>
        <w:gridCol w:w="120"/>
        <w:gridCol w:w="684"/>
        <w:gridCol w:w="36"/>
        <w:gridCol w:w="36"/>
        <w:gridCol w:w="36"/>
        <w:gridCol w:w="36"/>
        <w:gridCol w:w="121"/>
        <w:gridCol w:w="666"/>
        <w:gridCol w:w="36"/>
      </w:tblGrid>
      <w:tr w:rsidR="00000000">
        <w:trPr>
          <w:divId w:val="1821651944"/>
        </w:trPr>
        <w:tc>
          <w:tcPr>
            <w:tcW w:w="50" w:type="pct"/>
            <w:vAlign w:val="center"/>
            <w:hideMark/>
          </w:tcPr>
          <w:p w:rsidR="00000000" w:rsidRDefault="009D532D">
            <w:pPr>
              <w:ind w:firstLine="495"/>
              <w:rPr>
                <w:rFonts w:eastAsia="Times New Roman"/>
              </w:rPr>
            </w:pPr>
          </w:p>
        </w:tc>
        <w:tc>
          <w:tcPr>
            <w:tcW w:w="36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6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2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82165194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82165194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8216519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Numerator</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8216519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(67,730)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8,731 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net (loss) income attributable to noncontrolling interests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(4,126)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1,209 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(loss) income attributable to the Company</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(63,604)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Allocation of earnings to participating securities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(322)</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Numerator for basic and diluted EPS—</w:t>
            </w:r>
            <w:r>
              <w:rPr>
                <w:rFonts w:eastAsia="Times New Roman"/>
                <w:color w:val="000000"/>
                <w:sz w:val="20"/>
                <w:szCs w:val="20"/>
              </w:rPr>
              <w:t>net (loss) income attributable to common stockholders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(63,818)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Denominator</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821651944"/>
        </w:trPr>
        <w:tc>
          <w:tcPr>
            <w:tcW w:w="0" w:type="auto"/>
            <w:gridSpan w:val="3"/>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821651944"/>
        </w:trPr>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821651944"/>
        </w:trPr>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8216519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158,580 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141,437 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EPS—net (loss) income attributable to common stockholders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8216519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Basic and diluted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w:t>
            </w:r>
            <w:r>
              <w:rPr>
                <w:rFonts w:eastAsia="Times New Roman"/>
                <w:color w:val="000000"/>
                <w:sz w:val="20"/>
                <w:szCs w:val="20"/>
              </w:rPr>
              <w:t>0.40)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0.05 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21651944"/>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bl>
    <w:p w:rsidR="00000000" w:rsidRDefault="009D532D">
      <w:pPr>
        <w:ind w:hanging="360"/>
        <w:divId w:val="1889606783"/>
        <w:rPr>
          <w:rFonts w:eastAsia="Times New Roman"/>
        </w:rPr>
      </w:pPr>
      <w:r>
        <w:rPr>
          <w:rFonts w:eastAsia="Times New Roman"/>
          <w:color w:val="000000"/>
          <w:sz w:val="16"/>
          <w:szCs w:val="16"/>
        </w:rPr>
        <w:t>(1)</w:t>
      </w:r>
      <w:r>
        <w:rPr>
          <w:rFonts w:eastAsia="Times New Roman"/>
          <w:color w:val="000000"/>
          <w:sz w:val="16"/>
          <w:szCs w:val="16"/>
        </w:rPr>
        <w:t>     Diluted EPS excludes 103,235 and 90,619 convertible preferred partnership units for the three months ended March 31, 2021 and 2020, respectively, as their impact was antidilutive. Diluted EPS also excludes 10,855,707 and 10,477,827 Operating Partnersh</w:t>
      </w:r>
      <w:r>
        <w:rPr>
          <w:rFonts w:eastAsia="Times New Roman"/>
          <w:color w:val="000000"/>
          <w:sz w:val="16"/>
          <w:szCs w:val="16"/>
        </w:rPr>
        <w:t>ip units ("OP Units") for the three months ended March 31, 2021 and 2020, respectively, as their impact was antidilutive.</w:t>
      </w:r>
    </w:p>
    <w:p w:rsidR="00000000" w:rsidRDefault="009D532D">
      <w:pPr>
        <w:ind w:hanging="360"/>
        <w:divId w:val="1448549596"/>
        <w:rPr>
          <w:rFonts w:eastAsia="Times New Roman"/>
        </w:rPr>
      </w:pPr>
    </w:p>
    <w:p w:rsidR="00000000" w:rsidRDefault="009D532D">
      <w:pPr>
        <w:divId w:val="861430412"/>
        <w:rPr>
          <w:rFonts w:eastAsia="Times New Roman"/>
        </w:rPr>
      </w:pPr>
      <w:r>
        <w:rPr>
          <w:rFonts w:eastAsia="Times New Roman"/>
          <w:b/>
          <w:bCs/>
          <w:color w:val="000000"/>
          <w:sz w:val="20"/>
          <w:szCs w:val="20"/>
        </w:rPr>
        <w:t>4. Investments in Unconsolidated Joint Ventures:</w:t>
      </w:r>
    </w:p>
    <w:p w:rsidR="00000000" w:rsidRDefault="009D532D">
      <w:pPr>
        <w:ind w:firstLine="495"/>
        <w:divId w:val="744180689"/>
        <w:rPr>
          <w:rFonts w:eastAsia="Times New Roman"/>
        </w:rPr>
      </w:pPr>
      <w:r>
        <w:rPr>
          <w:rFonts w:eastAsia="Times New Roman"/>
          <w:color w:val="000000"/>
          <w:sz w:val="20"/>
          <w:szCs w:val="20"/>
        </w:rPr>
        <w:t>The Company has made the following recent financings of its unconsolidated joint ventures:</w:t>
      </w:r>
    </w:p>
    <w:p w:rsidR="00000000" w:rsidRDefault="009D532D">
      <w:pPr>
        <w:ind w:firstLine="495"/>
        <w:divId w:val="719746353"/>
        <w:rPr>
          <w:rFonts w:eastAsia="Times New Roman"/>
        </w:rPr>
      </w:pPr>
      <w:r>
        <w:rPr>
          <w:rFonts w:eastAsia="Times New Roman"/>
          <w:color w:val="000000"/>
          <w:sz w:val="20"/>
          <w:szCs w:val="20"/>
        </w:rPr>
        <w:t>On November 17, 2020, the Company’s joint venture in Tysons VITA, the residential tower at Tysons Corner Center, placed a new $95,000 loan on the property that bears</w:t>
      </w:r>
      <w:r>
        <w:rPr>
          <w:rFonts w:eastAsia="Times New Roman"/>
          <w:color w:val="000000"/>
          <w:sz w:val="20"/>
          <w:szCs w:val="20"/>
        </w:rPr>
        <w:t xml:space="preserve"> interest at an effective rate of 3.43% and matures on December 1, 2030. Initial loan funding for the Company’s joint venture was $90,000 with future advance potential of up to $5,000. The Company used its share of the initial proceeds of $45,000 for gener</w:t>
      </w:r>
      <w:r>
        <w:rPr>
          <w:rFonts w:eastAsia="Times New Roman"/>
          <w:color w:val="000000"/>
          <w:sz w:val="20"/>
          <w:szCs w:val="20"/>
        </w:rPr>
        <w:t>al corporate purposes.</w:t>
      </w:r>
    </w:p>
    <w:p w:rsidR="00000000" w:rsidRDefault="009D532D">
      <w:pPr>
        <w:ind w:firstLine="495"/>
        <w:divId w:val="292641219"/>
        <w:rPr>
          <w:rFonts w:eastAsia="Times New Roman"/>
        </w:rPr>
      </w:pPr>
      <w:r>
        <w:rPr>
          <w:rFonts w:eastAsia="Times New Roman"/>
          <w:color w:val="000000"/>
          <w:sz w:val="20"/>
          <w:szCs w:val="20"/>
        </w:rPr>
        <w:t>On December 10, 2020, the Company made a loan (the “Partnership Loan”) to the Company’s joint venture in Fashion District Philadelphia to fund the entirety of a $100,000 repayment to reduce the mortgage loan on Fashion District Phila</w:t>
      </w:r>
      <w:r>
        <w:rPr>
          <w:rFonts w:eastAsia="Times New Roman"/>
          <w:color w:val="000000"/>
          <w:sz w:val="20"/>
          <w:szCs w:val="20"/>
        </w:rPr>
        <w:t>delphia from $301,000 to $201,000. This mortgage loan now matures on January 22, 2024, including a one-year extension option, and bears interest at LIBOR plus 3.5%, with a LIBOR floor of 0.50%. The partnership agreement for the joint venture was amended in</w:t>
      </w:r>
      <w:r>
        <w:rPr>
          <w:rFonts w:eastAsia="Times New Roman"/>
          <w:color w:val="000000"/>
          <w:sz w:val="20"/>
          <w:szCs w:val="20"/>
        </w:rPr>
        <w:t xml:space="preserve"> connection with the Partnership Loan, and pursuant to the amended agreement, the Partnership Loan plus 15% accrued interest must be repaid prior to the resumption of 50/50 cash distributions to the Company and its joint venture partner. As a result of the</w:t>
      </w:r>
      <w:r>
        <w:rPr>
          <w:rFonts w:eastAsia="Times New Roman"/>
          <w:color w:val="000000"/>
          <w:sz w:val="20"/>
          <w:szCs w:val="20"/>
        </w:rPr>
        <w:t xml:space="preserve"> substantive participation rights of the Company’s joint venture partner being terminated in the amended agreement, the Company determined that the joint venture is a VIE and the Company is the primary beneficiary. Effective December 10, 2020, the Company </w:t>
      </w:r>
      <w:r>
        <w:rPr>
          <w:rFonts w:eastAsia="Times New Roman"/>
          <w:color w:val="000000"/>
          <w:sz w:val="20"/>
          <w:szCs w:val="20"/>
        </w:rPr>
        <w:t>has consolidated the results of the joint venture into the consolidated financial statements of the Company.</w:t>
      </w:r>
    </w:p>
    <w:p w:rsidR="00000000" w:rsidRDefault="009D532D">
      <w:pPr>
        <w:ind w:firstLine="495"/>
        <w:divId w:val="1097367017"/>
        <w:rPr>
          <w:rFonts w:eastAsia="Times New Roman"/>
        </w:rPr>
      </w:pPr>
      <w:r>
        <w:rPr>
          <w:rFonts w:eastAsia="Times New Roman"/>
          <w:color w:val="000000"/>
          <w:sz w:val="20"/>
          <w:szCs w:val="20"/>
        </w:rPr>
        <w:t>On December 29, 2020, the Company’s joint venture in FlatIron Crossing closed on a one-year maturity date extension for the existing loan to Januar</w:t>
      </w:r>
      <w:r>
        <w:rPr>
          <w:rFonts w:eastAsia="Times New Roman"/>
          <w:color w:val="000000"/>
          <w:sz w:val="20"/>
          <w:szCs w:val="20"/>
        </w:rPr>
        <w:t>y 5, 2022. The interest rate increased from 3.85% to 4.10%, and the Company’s joint venture repaid $15,000, $7,650 at the Company's pro rata share, of the outstanding loan balance at closing.</w:t>
      </w:r>
    </w:p>
    <w:p w:rsidR="00000000" w:rsidRDefault="009D532D">
      <w:pPr>
        <w:jc w:val="center"/>
        <w:divId w:val="2003898038"/>
        <w:rPr>
          <w:rFonts w:eastAsia="Times New Roman"/>
        </w:rPr>
      </w:pPr>
      <w:r>
        <w:rPr>
          <w:rFonts w:eastAsia="Times New Roman"/>
          <w:color w:val="000000"/>
          <w:sz w:val="20"/>
          <w:szCs w:val="20"/>
        </w:rPr>
        <w:t>11</w:t>
      </w:r>
    </w:p>
    <w:p w:rsidR="00000000" w:rsidRDefault="009D532D">
      <w:pPr>
        <w:rPr>
          <w:rFonts w:eastAsia="Times New Roman"/>
        </w:rPr>
      </w:pPr>
      <w:r>
        <w:rPr>
          <w:rFonts w:eastAsia="Times New Roman"/>
        </w:rPr>
        <w:pict>
          <v:rect id="_x0000_i1035" style="width:0;height:1.5pt" o:hralign="center" o:hrstd="t" o:hr="t" fillcolor="#a0a0a0" stroked="f"/>
        </w:pict>
      </w:r>
    </w:p>
    <w:p w:rsidR="00000000" w:rsidRDefault="009D532D">
      <w:pPr>
        <w:jc w:val="center"/>
        <w:divId w:val="199098564"/>
        <w:rPr>
          <w:rFonts w:eastAsia="Times New Roman"/>
        </w:rPr>
      </w:pPr>
      <w:r>
        <w:rPr>
          <w:rFonts w:eastAsia="Times New Roman"/>
          <w:b/>
          <w:bCs/>
          <w:color w:val="000000"/>
          <w:sz w:val="20"/>
          <w:szCs w:val="20"/>
        </w:rPr>
        <w:t>THE MACERICH COMPANY</w:t>
      </w:r>
    </w:p>
    <w:p w:rsidR="00000000" w:rsidRDefault="009D532D">
      <w:pPr>
        <w:jc w:val="center"/>
        <w:divId w:val="1589849218"/>
        <w:rPr>
          <w:rFonts w:eastAsia="Times New Roman"/>
        </w:rPr>
      </w:pPr>
      <w:r>
        <w:rPr>
          <w:rFonts w:eastAsia="Times New Roman"/>
          <w:b/>
          <w:bCs/>
          <w:color w:val="000000"/>
          <w:sz w:val="20"/>
          <w:szCs w:val="20"/>
        </w:rPr>
        <w:t>NOTES TO CONSOLIDATED FINANCIAL STATEMENTS (Continued)</w:t>
      </w:r>
    </w:p>
    <w:p w:rsidR="00000000" w:rsidRDefault="009D532D">
      <w:pPr>
        <w:jc w:val="center"/>
        <w:divId w:val="236214171"/>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1830441231"/>
        <w:rPr>
          <w:rFonts w:eastAsia="Times New Roman"/>
        </w:rPr>
      </w:pPr>
      <w:r>
        <w:rPr>
          <w:rFonts w:eastAsia="Times New Roman"/>
          <w:b/>
          <w:bCs/>
          <w:color w:val="000000"/>
          <w:sz w:val="20"/>
          <w:szCs w:val="20"/>
        </w:rPr>
        <w:t>(Unaudited)</w:t>
      </w:r>
    </w:p>
    <w:p w:rsidR="00000000" w:rsidRDefault="009D532D">
      <w:pPr>
        <w:divId w:val="1179075654"/>
        <w:rPr>
          <w:rFonts w:eastAsia="Times New Roman"/>
        </w:rPr>
      </w:pPr>
      <w:r>
        <w:rPr>
          <w:rFonts w:eastAsia="Times New Roman"/>
          <w:b/>
          <w:bCs/>
          <w:color w:val="000000"/>
          <w:sz w:val="20"/>
          <w:szCs w:val="20"/>
        </w:rPr>
        <w:t>4. Investments in Unconsolidated Joint Ventures: (Continued)</w:t>
      </w:r>
    </w:p>
    <w:p w:rsidR="00000000" w:rsidRDefault="009D532D">
      <w:pPr>
        <w:ind w:firstLine="495"/>
        <w:divId w:val="1861122968"/>
        <w:rPr>
          <w:rFonts w:eastAsia="Times New Roman"/>
        </w:rPr>
      </w:pPr>
      <w:r>
        <w:rPr>
          <w:rFonts w:eastAsia="Times New Roman"/>
          <w:color w:val="000000"/>
          <w:sz w:val="20"/>
          <w:szCs w:val="20"/>
        </w:rPr>
        <w:t xml:space="preserve">On December 31, 2020, the Company and its </w:t>
      </w:r>
      <w:r>
        <w:rPr>
          <w:rFonts w:eastAsia="Times New Roman"/>
          <w:color w:val="000000"/>
          <w:sz w:val="20"/>
          <w:szCs w:val="20"/>
        </w:rPr>
        <w:t>joint venture partner in MS Portfolio LLC entered into a distribution agreement. The joint venture owned nine properties, including the former Sears parcels at the South Plains Mall and the Arrowhead Towne Center. The joint venture distributed the former S</w:t>
      </w:r>
      <w:r>
        <w:rPr>
          <w:rFonts w:eastAsia="Times New Roman"/>
          <w:color w:val="000000"/>
          <w:sz w:val="20"/>
          <w:szCs w:val="20"/>
        </w:rPr>
        <w:t>ears parcel at South Plains Mall to the Company and the former Sears parcel at Arrowhead Towne Center to the joint venture partner. The joint venture partners agreed that the distributed properties were of equal value. The Company now owns 100% of the form</w:t>
      </w:r>
      <w:r>
        <w:rPr>
          <w:rFonts w:eastAsia="Times New Roman"/>
          <w:color w:val="000000"/>
          <w:sz w:val="20"/>
          <w:szCs w:val="20"/>
        </w:rPr>
        <w:t>er Sears parcel at South Plains Mall. Effective December 31, 2020, the Company consolidated its 100% interest in the Sears parcel at South Plains Mall in its consolidated financial statements.</w:t>
      </w:r>
    </w:p>
    <w:p w:rsidR="00000000" w:rsidRDefault="009D532D">
      <w:pPr>
        <w:ind w:firstLine="495"/>
        <w:divId w:val="828062149"/>
        <w:rPr>
          <w:rFonts w:eastAsia="Times New Roman"/>
        </w:rPr>
      </w:pPr>
      <w:r>
        <w:rPr>
          <w:rFonts w:eastAsia="Times New Roman"/>
          <w:color w:val="000000"/>
          <w:sz w:val="20"/>
          <w:szCs w:val="20"/>
        </w:rPr>
        <w:t xml:space="preserve">On March 29, 2021, concurrent with the sale of Paradise Valley </w:t>
      </w:r>
      <w:r>
        <w:rPr>
          <w:rFonts w:eastAsia="Times New Roman"/>
          <w:color w:val="000000"/>
          <w:sz w:val="20"/>
          <w:szCs w:val="20"/>
        </w:rPr>
        <w:t>Mall (see Note 15 – Dispositions), the Company elected to reinvest into the newly formed joint venture at a 5% ownership interest for $3,819 in cash that is accounted for under the equity method of accounting.</w:t>
      </w:r>
    </w:p>
    <w:p w:rsidR="00000000" w:rsidRDefault="009D532D">
      <w:pPr>
        <w:ind w:firstLine="495"/>
        <w:divId w:val="1235820301"/>
        <w:rPr>
          <w:rFonts w:eastAsia="Times New Roman"/>
        </w:rPr>
      </w:pPr>
      <w:r>
        <w:rPr>
          <w:rFonts w:eastAsia="Times New Roman"/>
          <w:color w:val="000000"/>
          <w:sz w:val="20"/>
          <w:szCs w:val="20"/>
        </w:rPr>
        <w:t>Combined and condensed balance sheets and stat</w:t>
      </w:r>
      <w:r>
        <w:rPr>
          <w:rFonts w:eastAsia="Times New Roman"/>
          <w:color w:val="000000"/>
          <w:sz w:val="20"/>
          <w:szCs w:val="20"/>
        </w:rPr>
        <w:t>ements of operations are presented below for all unconsolidated joint ventures.</w:t>
      </w:r>
    </w:p>
    <w:p w:rsidR="00000000" w:rsidRDefault="009D532D">
      <w:pPr>
        <w:ind w:firstLine="495"/>
        <w:divId w:val="911358226"/>
        <w:rPr>
          <w:rFonts w:eastAsia="Times New Roman"/>
        </w:rPr>
      </w:pPr>
      <w:r>
        <w:rPr>
          <w:rFonts w:eastAsia="Times New Roman"/>
          <w:b/>
          <w:bCs/>
          <w:color w:val="000000"/>
          <w:sz w:val="20"/>
          <w:szCs w:val="20"/>
        </w:rPr>
        <w:t>Combined and Condensed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911358226"/>
        </w:trPr>
        <w:tc>
          <w:tcPr>
            <w:tcW w:w="50" w:type="pct"/>
            <w:vAlign w:val="center"/>
            <w:hideMark/>
          </w:tcPr>
          <w:p w:rsidR="00000000" w:rsidRDefault="009D532D">
            <w:pPr>
              <w:ind w:firstLine="495"/>
              <w:rPr>
                <w:rFonts w:eastAsia="Times New Roman"/>
              </w:rPr>
            </w:pPr>
          </w:p>
        </w:tc>
        <w:tc>
          <w:tcPr>
            <w:tcW w:w="363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911358226"/>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91135822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8,819,934 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8,721,551 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789,122 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774,583 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9,609,056 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6,030,109 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5,942,478 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385,794 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397,483 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1,709,598 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1,483,555 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1,444,229 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9,609,056 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911358226"/>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1,709,598 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(472,290)</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(479,678)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1,237,308 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Height w:val="300"/>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911358226"/>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Assets—</w:t>
            </w:r>
            <w:r>
              <w:rPr>
                <w:rFonts w:eastAsia="Times New Roman"/>
                <w:color w:val="000000"/>
                <w:sz w:val="20"/>
                <w:szCs w:val="20"/>
              </w:rPr>
              <w:t>Investments in unconsolidated joint ventures</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1,356,426 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1,340,647 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Liabilities—Distributions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(119,118)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(108,381)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1358226"/>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1,237,308 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9D532D">
            <w:pPr>
              <w:ind w:firstLine="495"/>
              <w:rPr>
                <w:rFonts w:eastAsia="Times New Roman"/>
              </w:rPr>
            </w:pPr>
          </w:p>
        </w:tc>
        <w:tc>
          <w:tcPr>
            <w:tcW w:w="14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67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01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ind w:hanging="450"/>
        <w:divId w:val="2142768275"/>
        <w:rPr>
          <w:rFonts w:eastAsia="Times New Roman"/>
        </w:rPr>
      </w:pPr>
      <w:r>
        <w:rPr>
          <w:rFonts w:eastAsia="Times New Roman"/>
          <w:color w:val="000000"/>
          <w:sz w:val="16"/>
          <w:szCs w:val="16"/>
        </w:rPr>
        <w:t xml:space="preserve">(1)     These amounts include assets of $2,840,770 and $2,857,757 of Pacific Premier Retail LLC (the "PPR Portfolio") as of March 31, 2021 and December 31, 2020, respectively, and liabilities of $1,683,155 and $1,687,042 </w:t>
      </w:r>
      <w:r>
        <w:rPr>
          <w:rFonts w:eastAsia="Times New Roman"/>
          <w:color w:val="000000"/>
          <w:sz w:val="16"/>
          <w:szCs w:val="16"/>
        </w:rPr>
        <w:t>of the PPR Portfolio as of March 31, 2021 and December 31, 2020, respectively.</w:t>
      </w:r>
    </w:p>
    <w:p w:rsidR="00000000" w:rsidRDefault="009D532D">
      <w:pPr>
        <w:ind w:hanging="450"/>
        <w:divId w:val="1621766424"/>
        <w:rPr>
          <w:rFonts w:eastAsia="Times New Roman"/>
        </w:rPr>
      </w:pPr>
      <w:r>
        <w:rPr>
          <w:rFonts w:eastAsia="Times New Roman"/>
          <w:color w:val="000000"/>
          <w:sz w:val="16"/>
          <w:szCs w:val="16"/>
        </w:rPr>
        <w:t>(2)     The Company amortizes the difference between the cost of its investments in unconsolidated joint ventures and the book value of the underlying equity into income on a st</w:t>
      </w:r>
      <w:r>
        <w:rPr>
          <w:rFonts w:eastAsia="Times New Roman"/>
          <w:color w:val="000000"/>
          <w:sz w:val="16"/>
          <w:szCs w:val="16"/>
        </w:rPr>
        <w:t>raight-line basis consistent with the lives of the underlying assets. The amortization of this difference was $2,243 and $3,999 for the three months ended March 31, 2021 and 2020, respectively.</w:t>
      </w:r>
    </w:p>
    <w:p w:rsidR="00000000" w:rsidRDefault="009D532D">
      <w:pPr>
        <w:jc w:val="center"/>
        <w:divId w:val="2057896625"/>
        <w:rPr>
          <w:rFonts w:eastAsia="Times New Roman"/>
        </w:rPr>
      </w:pPr>
      <w:r>
        <w:rPr>
          <w:rFonts w:eastAsia="Times New Roman"/>
          <w:color w:val="000000"/>
          <w:sz w:val="20"/>
          <w:szCs w:val="20"/>
        </w:rPr>
        <w:t>12</w:t>
      </w:r>
    </w:p>
    <w:p w:rsidR="00000000" w:rsidRDefault="009D532D">
      <w:pPr>
        <w:rPr>
          <w:rFonts w:eastAsia="Times New Roman"/>
        </w:rPr>
      </w:pPr>
      <w:r>
        <w:rPr>
          <w:rFonts w:eastAsia="Times New Roman"/>
        </w:rPr>
        <w:pict>
          <v:rect id="_x0000_i1036" style="width:0;height:1.5pt" o:hralign="center" o:hrstd="t" o:hr="t" fillcolor="#a0a0a0" stroked="f"/>
        </w:pict>
      </w:r>
    </w:p>
    <w:p w:rsidR="00000000" w:rsidRDefault="009D532D">
      <w:pPr>
        <w:divId w:val="175848217"/>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396706269"/>
        <w:rPr>
          <w:rFonts w:eastAsia="Times New Roman"/>
        </w:rPr>
      </w:pPr>
      <w:r>
        <w:rPr>
          <w:rFonts w:eastAsia="Times New Roman"/>
          <w:b/>
          <w:bCs/>
          <w:color w:val="000000"/>
          <w:sz w:val="20"/>
          <w:szCs w:val="20"/>
        </w:rPr>
        <w:t>THE MACERICH COMPANY</w:t>
      </w:r>
    </w:p>
    <w:p w:rsidR="00000000" w:rsidRDefault="009D532D">
      <w:pPr>
        <w:jc w:val="center"/>
        <w:divId w:val="388580369"/>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862546528"/>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1853180693"/>
        <w:rPr>
          <w:rFonts w:eastAsia="Times New Roman"/>
        </w:rPr>
      </w:pPr>
      <w:r>
        <w:rPr>
          <w:rFonts w:eastAsia="Times New Roman"/>
          <w:b/>
          <w:bCs/>
          <w:color w:val="000000"/>
          <w:sz w:val="20"/>
          <w:szCs w:val="20"/>
        </w:rPr>
        <w:t>(Unaudited)</w:t>
      </w:r>
    </w:p>
    <w:p w:rsidR="00000000" w:rsidRDefault="009D532D">
      <w:pPr>
        <w:divId w:val="1911423232"/>
        <w:rPr>
          <w:rFonts w:eastAsia="Times New Roman"/>
        </w:rPr>
      </w:pPr>
      <w:r>
        <w:rPr>
          <w:rFonts w:eastAsia="Times New Roman"/>
          <w:b/>
          <w:bCs/>
          <w:color w:val="000000"/>
          <w:sz w:val="20"/>
          <w:szCs w:val="20"/>
        </w:rPr>
        <w:t xml:space="preserve">4. Investments in Unconsolidated Joint Ventures: </w:t>
      </w:r>
      <w:r>
        <w:rPr>
          <w:rFonts w:eastAsia="Times New Roman"/>
          <w:b/>
          <w:bCs/>
          <w:color w:val="000000"/>
          <w:sz w:val="20"/>
          <w:szCs w:val="20"/>
        </w:rPr>
        <w:t>(Continued)</w:t>
      </w:r>
    </w:p>
    <w:p w:rsidR="00000000" w:rsidRDefault="009D532D">
      <w:pPr>
        <w:ind w:firstLine="495"/>
        <w:divId w:val="151065087"/>
        <w:rPr>
          <w:rFonts w:eastAsia="Times New Roman"/>
        </w:rPr>
      </w:pPr>
      <w:r>
        <w:rPr>
          <w:rFonts w:eastAsia="Times New Roman"/>
          <w:b/>
          <w:bCs/>
          <w:color w:val="000000"/>
          <w:sz w:val="20"/>
          <w:szCs w:val="20"/>
        </w:rPr>
        <w:t>Combined and Condensed Statements of Operations of Unconsolidated Joint Ventures:</w:t>
      </w:r>
    </w:p>
    <w:p w:rsidR="00000000" w:rsidRDefault="009D532D">
      <w:pPr>
        <w:ind w:firstLine="495"/>
        <w:divId w:val="1619876679"/>
        <w:rPr>
          <w:rFonts w:eastAsia="Times New Roman"/>
        </w:rPr>
      </w:pP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trPr>
          <w:jc w:val="center"/>
        </w:trPr>
        <w:tc>
          <w:tcPr>
            <w:tcW w:w="50" w:type="pct"/>
            <w:vAlign w:val="center"/>
            <w:hideMark/>
          </w:tcPr>
          <w:p w:rsidR="00000000" w:rsidRDefault="009D532D">
            <w:pPr>
              <w:ind w:firstLine="495"/>
              <w:rPr>
                <w:rFonts w:eastAsia="Times New Roman"/>
              </w:rPr>
            </w:pPr>
          </w:p>
        </w:tc>
        <w:tc>
          <w:tcPr>
            <w:tcW w:w="265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i/>
                <w:iCs/>
                <w:color w:val="000000"/>
                <w:sz w:val="20"/>
                <w:szCs w:val="20"/>
              </w:rPr>
              <w:t>Three Months Ended March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36,771 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149,319 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186,090 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16,965 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17,059 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166,284 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203,149 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9,365 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58,842 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68,207 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1,353 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1,756 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15,803 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37,213 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53,016 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24,307 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66,540 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90,847 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163,948 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(13,013)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(10,623)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(5,507)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7,417 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i/>
                <w:iCs/>
                <w:color w:val="000000"/>
                <w:sz w:val="20"/>
                <w:szCs w:val="20"/>
              </w:rPr>
              <w:t>Three Months Ended March 31, 2020</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58,378 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172,245 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230,623 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6,888 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6,939 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58,429 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179,133 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237,562 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9,642 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61,509 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71,151 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1,295 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1,768 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16,094 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38,141 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54,235 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28,618 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68,360 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96,978 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54,827 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169,305 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224,132 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Company's equity in net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4,721 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4,977 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9,698 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hanging="450"/>
        <w:divId w:val="983048481"/>
        <w:rPr>
          <w:rFonts w:eastAsia="Times New Roman"/>
        </w:rPr>
      </w:pPr>
    </w:p>
    <w:p w:rsidR="00000000" w:rsidRDefault="009D532D">
      <w:pPr>
        <w:ind w:firstLine="495"/>
        <w:divId w:val="1897088323"/>
        <w:rPr>
          <w:rFonts w:eastAsia="Times New Roman"/>
        </w:rPr>
      </w:pPr>
      <w:r>
        <w:rPr>
          <w:rFonts w:eastAsia="Times New Roman"/>
          <w:color w:val="000000"/>
          <w:sz w:val="20"/>
          <w:szCs w:val="20"/>
        </w:rPr>
        <w:t>Significant accounting policies used by the unconsolidated joint ventures are similar to those used by the Company.</w:t>
      </w:r>
    </w:p>
    <w:p w:rsidR="00000000" w:rsidRDefault="009D532D">
      <w:pPr>
        <w:ind w:firstLine="495"/>
        <w:divId w:val="832523764"/>
        <w:rPr>
          <w:rFonts w:eastAsia="Times New Roman"/>
        </w:rPr>
      </w:pPr>
    </w:p>
    <w:p w:rsidR="00000000" w:rsidRDefault="009D532D">
      <w:pPr>
        <w:jc w:val="center"/>
        <w:divId w:val="768047224"/>
        <w:rPr>
          <w:rFonts w:eastAsia="Times New Roman"/>
        </w:rPr>
      </w:pPr>
      <w:r>
        <w:rPr>
          <w:rFonts w:eastAsia="Times New Roman"/>
          <w:color w:val="000000"/>
          <w:sz w:val="20"/>
          <w:szCs w:val="20"/>
        </w:rPr>
        <w:t>13</w:t>
      </w:r>
    </w:p>
    <w:p w:rsidR="00000000" w:rsidRDefault="009D532D">
      <w:pPr>
        <w:rPr>
          <w:rFonts w:eastAsia="Times New Roman"/>
        </w:rPr>
      </w:pPr>
      <w:r>
        <w:rPr>
          <w:rFonts w:eastAsia="Times New Roman"/>
        </w:rPr>
        <w:pict>
          <v:rect id="_x0000_i1037" style="width:0;height:1.5pt" o:hralign="center" o:hrstd="t" o:hr="t" fillcolor="#a0a0a0" stroked="f"/>
        </w:pict>
      </w:r>
    </w:p>
    <w:p w:rsidR="00000000" w:rsidRDefault="009D532D">
      <w:pPr>
        <w:divId w:val="1381827114"/>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277953937"/>
        <w:rPr>
          <w:rFonts w:eastAsia="Times New Roman"/>
        </w:rPr>
      </w:pPr>
      <w:r>
        <w:rPr>
          <w:rFonts w:eastAsia="Times New Roman"/>
          <w:b/>
          <w:bCs/>
          <w:color w:val="000000"/>
          <w:sz w:val="20"/>
          <w:szCs w:val="20"/>
        </w:rPr>
        <w:t>THE MACERICH COMPANY</w:t>
      </w:r>
    </w:p>
    <w:p w:rsidR="00000000" w:rsidRDefault="009D532D">
      <w:pPr>
        <w:jc w:val="center"/>
        <w:divId w:val="1917855981"/>
        <w:rPr>
          <w:rFonts w:eastAsia="Times New Roman"/>
        </w:rPr>
      </w:pPr>
      <w:r>
        <w:rPr>
          <w:rFonts w:eastAsia="Times New Roman"/>
          <w:b/>
          <w:bCs/>
          <w:color w:val="000000"/>
          <w:sz w:val="20"/>
          <w:szCs w:val="20"/>
        </w:rPr>
        <w:t>NOTES TO CONSOLIDATED FINANCIAL STATEMENTS (Continued)</w:t>
      </w:r>
    </w:p>
    <w:p w:rsidR="00000000" w:rsidRDefault="009D532D">
      <w:pPr>
        <w:jc w:val="center"/>
        <w:divId w:val="547227351"/>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1915698413"/>
        <w:rPr>
          <w:rFonts w:eastAsia="Times New Roman"/>
        </w:rPr>
      </w:pPr>
      <w:r>
        <w:rPr>
          <w:rFonts w:eastAsia="Times New Roman"/>
          <w:b/>
          <w:bCs/>
          <w:color w:val="000000"/>
          <w:sz w:val="20"/>
          <w:szCs w:val="20"/>
        </w:rPr>
        <w:t>(Unaudited)</w:t>
      </w:r>
    </w:p>
    <w:p w:rsidR="00000000" w:rsidRDefault="009D532D">
      <w:pPr>
        <w:divId w:val="234702970"/>
        <w:rPr>
          <w:rFonts w:eastAsia="Times New Roman"/>
        </w:rPr>
      </w:pPr>
      <w:r>
        <w:rPr>
          <w:rFonts w:eastAsia="Times New Roman"/>
          <w:b/>
          <w:bCs/>
          <w:color w:val="000000"/>
          <w:sz w:val="20"/>
          <w:szCs w:val="20"/>
        </w:rPr>
        <w:t>5. Derivative Instr</w:t>
      </w:r>
      <w:r>
        <w:rPr>
          <w:rFonts w:eastAsia="Times New Roman"/>
          <w:b/>
          <w:bCs/>
          <w:color w:val="000000"/>
          <w:sz w:val="20"/>
          <w:szCs w:val="20"/>
        </w:rPr>
        <w:t>uments and Hedging Activities:</w:t>
      </w:r>
    </w:p>
    <w:p w:rsidR="00000000" w:rsidRDefault="009D532D">
      <w:pPr>
        <w:ind w:firstLine="495"/>
        <w:divId w:val="467940881"/>
        <w:rPr>
          <w:rFonts w:eastAsia="Times New Roman"/>
        </w:rPr>
      </w:pPr>
      <w:r>
        <w:rPr>
          <w:rFonts w:eastAsia="Times New Roman"/>
          <w:color w:val="000000"/>
          <w:sz w:val="20"/>
          <w:szCs w:val="20"/>
        </w:rPr>
        <w:t xml:space="preserve">The Company uses an interest rate cap and four interest rate swap agreements to manage the interest rate risk of its floating rate debt. The Company recorded other comprehensive income (loss) related to the marking-to-market </w:t>
      </w:r>
      <w:r>
        <w:rPr>
          <w:rFonts w:eastAsia="Times New Roman"/>
          <w:color w:val="000000"/>
          <w:sz w:val="20"/>
          <w:szCs w:val="20"/>
        </w:rPr>
        <w:t xml:space="preserve">of derivative instruments of $2,694 and $(6,395) for the three months ended March 31, 2021 and 2020, respectively. </w:t>
      </w:r>
    </w:p>
    <w:p w:rsidR="00000000" w:rsidRDefault="009D532D">
      <w:pPr>
        <w:ind w:firstLine="495"/>
        <w:divId w:val="875388661"/>
        <w:rPr>
          <w:rFonts w:eastAsia="Times New Roman"/>
        </w:rPr>
      </w:pPr>
      <w:r>
        <w:rPr>
          <w:rFonts w:eastAsia="Times New Roman"/>
          <w:color w:val="000000"/>
          <w:sz w:val="20"/>
          <w:szCs w:val="20"/>
        </w:rPr>
        <w:t>The following derivatives were outstanding at March 31, 2021:</w:t>
      </w:r>
    </w:p>
    <w:tbl>
      <w:tblPr>
        <w:tblW w:w="4261" w:type="pct"/>
        <w:tblCellMar>
          <w:top w:w="15" w:type="dxa"/>
          <w:left w:w="15" w:type="dxa"/>
          <w:bottom w:w="15" w:type="dxa"/>
          <w:right w:w="15" w:type="dxa"/>
        </w:tblCellMar>
        <w:tblLook w:val="04A0" w:firstRow="1" w:lastRow="0" w:firstColumn="1" w:lastColumn="0" w:noHBand="0" w:noVBand="1"/>
      </w:tblPr>
      <w:tblGrid>
        <w:gridCol w:w="38"/>
        <w:gridCol w:w="1736"/>
        <w:gridCol w:w="37"/>
        <w:gridCol w:w="36"/>
        <w:gridCol w:w="36"/>
        <w:gridCol w:w="36"/>
        <w:gridCol w:w="110"/>
        <w:gridCol w:w="767"/>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0"/>
        <w:gridCol w:w="541"/>
        <w:gridCol w:w="36"/>
        <w:gridCol w:w="36"/>
        <w:gridCol w:w="36"/>
        <w:gridCol w:w="36"/>
        <w:gridCol w:w="111"/>
        <w:gridCol w:w="730"/>
        <w:gridCol w:w="36"/>
      </w:tblGrid>
      <w:tr w:rsidR="00000000">
        <w:trPr>
          <w:divId w:val="875388661"/>
        </w:trPr>
        <w:tc>
          <w:tcPr>
            <w:tcW w:w="50" w:type="pct"/>
            <w:vAlign w:val="center"/>
            <w:hideMark/>
          </w:tcPr>
          <w:p w:rsidR="00000000" w:rsidRDefault="009D532D">
            <w:pPr>
              <w:ind w:firstLine="495"/>
              <w:rPr>
                <w:rFonts w:eastAsia="Times New Roman"/>
              </w:rPr>
            </w:pPr>
          </w:p>
        </w:tc>
        <w:tc>
          <w:tcPr>
            <w:tcW w:w="129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36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5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9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9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875388661"/>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Fair Value</w:t>
            </w:r>
          </w:p>
        </w:tc>
      </w:tr>
      <w:tr w:rsidR="00000000">
        <w:trPr>
          <w:divId w:val="875388661"/>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87538866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8"/>
                <w:szCs w:val="18"/>
              </w:rPr>
              <w:t>12/9/2021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5388661"/>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The Macerich Partnership, L.P.</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(5,514)</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(8,208)</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285084971"/>
        <w:rPr>
          <w:rFonts w:eastAsia="Times New Roman"/>
        </w:rPr>
      </w:pPr>
      <w:r>
        <w:rPr>
          <w:rFonts w:eastAsia="Times New Roman"/>
          <w:color w:val="000000"/>
          <w:sz w:val="20"/>
          <w:szCs w:val="20"/>
        </w:rPr>
        <w:t>The above derivative instruments were designated as hedging instruments with an aggregate fair value (Level 2 measurement) and were included in other accrued li</w:t>
      </w:r>
      <w:r>
        <w:rPr>
          <w:rFonts w:eastAsia="Times New Roman"/>
          <w:color w:val="000000"/>
          <w:sz w:val="20"/>
          <w:szCs w:val="20"/>
        </w:rPr>
        <w:t xml:space="preserve">abilities. The fair value of the Company's interest rate derivatives was determined using discounted cash flow analysis on the expected cash flows of each derivative. This analysis reflects the contractual terms of the derivatives, including the period to </w:t>
      </w:r>
      <w:r>
        <w:rPr>
          <w:rFonts w:eastAsia="Times New Roman"/>
          <w:color w:val="000000"/>
          <w:sz w:val="20"/>
          <w:szCs w:val="20"/>
        </w:rPr>
        <w:t>maturity, and uses observable market-based inputs, including interest rate curves and implied volatilities. The Company incorporates credit valuation adjustments to appropriately reflect both its own nonperformance risk and the respective counterparty's no</w:t>
      </w:r>
      <w:r>
        <w:rPr>
          <w:rFonts w:eastAsia="Times New Roman"/>
          <w:color w:val="000000"/>
          <w:sz w:val="20"/>
          <w:szCs w:val="20"/>
        </w:rPr>
        <w:t>nperformance risk in the fair value measurements.</w:t>
      </w:r>
    </w:p>
    <w:p w:rsidR="00000000" w:rsidRDefault="009D532D">
      <w:pPr>
        <w:ind w:firstLine="495"/>
        <w:divId w:val="963577887"/>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deriva</w:t>
      </w:r>
      <w:r>
        <w:rPr>
          <w:rFonts w:eastAsia="Times New Roman"/>
          <w:color w:val="000000"/>
          <w:sz w:val="20"/>
          <w:szCs w:val="20"/>
        </w:rPr>
        <w:t>tives utilize Level 3 inputs, such as estimates of current credit spreads, to evaluate the likelihood of default by the Company and its counterparties. The Company has assessed the significance of the impact of the credit valuation adjustments on the overa</w:t>
      </w:r>
      <w:r>
        <w:rPr>
          <w:rFonts w:eastAsia="Times New Roman"/>
          <w:color w:val="000000"/>
          <w:sz w:val="20"/>
          <w:szCs w:val="20"/>
        </w:rPr>
        <w:t xml:space="preserve">ll valuation of its derivative positions and has determined that the credit valuation adjustments are not significant to the overall valuation of its interest rate swap. As a result, the Company determined that its interest rate cap and swap valuations in </w:t>
      </w:r>
      <w:r>
        <w:rPr>
          <w:rFonts w:eastAsia="Times New Roman"/>
          <w:color w:val="000000"/>
          <w:sz w:val="20"/>
          <w:szCs w:val="20"/>
        </w:rPr>
        <w:t>their entirety are classified in Level 2 of the fair value hierarchy.</w:t>
      </w:r>
    </w:p>
    <w:p w:rsidR="00000000" w:rsidRDefault="009D532D">
      <w:pPr>
        <w:divId w:val="388572480"/>
        <w:rPr>
          <w:rFonts w:eastAsia="Times New Roman"/>
        </w:rPr>
      </w:pPr>
      <w:r>
        <w:rPr>
          <w:rFonts w:eastAsia="Times New Roman"/>
          <w:b/>
          <w:bCs/>
          <w:color w:val="000000"/>
          <w:sz w:val="20"/>
          <w:szCs w:val="20"/>
        </w:rPr>
        <w:t>6. Property, net:</w:t>
      </w:r>
    </w:p>
    <w:p w:rsidR="00000000" w:rsidRDefault="009D532D">
      <w:pPr>
        <w:ind w:firstLine="495"/>
        <w:divId w:val="669254482"/>
        <w:rPr>
          <w:rFonts w:eastAsia="Times New Roman"/>
        </w:rPr>
      </w:pPr>
      <w:r>
        <w:rPr>
          <w:rFonts w:eastAsia="Times New Roman"/>
          <w:color w:val="000000"/>
          <w:sz w:val="20"/>
          <w:szCs w:val="20"/>
        </w:rPr>
        <w:t>Property, net consists of the following:</w:t>
      </w:r>
    </w:p>
    <w:p w:rsidR="00000000" w:rsidRDefault="009D532D">
      <w:pPr>
        <w:ind w:firstLine="495"/>
        <w:divId w:val="1464035030"/>
        <w:rPr>
          <w:rFonts w:eastAsia="Times New Roman"/>
        </w:rPr>
      </w:pPr>
      <w:r>
        <w:rPr>
          <w:rFonts w:eastAsia="Times New Roman"/>
          <w:color w:val="000000"/>
          <w:sz w:val="20"/>
          <w:szCs w:val="20"/>
        </w:rPr>
        <w:t>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trPr>
          <w:divId w:val="1464035030"/>
        </w:trPr>
        <w:tc>
          <w:tcPr>
            <w:tcW w:w="50" w:type="pct"/>
            <w:vAlign w:val="center"/>
            <w:hideMark/>
          </w:tcPr>
          <w:p w:rsidR="00000000" w:rsidRDefault="009D532D">
            <w:pPr>
              <w:ind w:firstLine="495"/>
              <w:rPr>
                <w:rFonts w:eastAsia="Times New Roman"/>
              </w:rPr>
            </w:pPr>
          </w:p>
        </w:tc>
        <w:tc>
          <w:tcPr>
            <w:tcW w:w="342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464035030"/>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464035030"/>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1,496,749 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1,538,270 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6,427,670 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6,620,708 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730,077 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750,250 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191,664 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194,231 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174,077 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153,253 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9,020,237 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(2,502,385)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(2,562,133)</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64035030"/>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6,517,852 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6,694,579 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hanging="540"/>
        <w:divId w:val="965814606"/>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March 31, 2021 and December 31, 2020 (See Note 8—Leases). </w:t>
      </w:r>
    </w:p>
    <w:p w:rsidR="00000000" w:rsidRDefault="009D532D">
      <w:pPr>
        <w:ind w:firstLine="495"/>
        <w:divId w:val="618494469"/>
        <w:rPr>
          <w:rFonts w:eastAsia="Times New Roman"/>
        </w:rPr>
      </w:pPr>
      <w:r>
        <w:rPr>
          <w:rFonts w:eastAsia="Times New Roman"/>
          <w:color w:val="000000"/>
          <w:sz w:val="20"/>
          <w:szCs w:val="20"/>
        </w:rPr>
        <w:t>Depreciation expense was $71,664 and $72,687 for the three months ended March 31, 2021 and 2020, respectively.</w:t>
      </w:r>
    </w:p>
    <w:p w:rsidR="00000000" w:rsidRDefault="009D532D">
      <w:pPr>
        <w:jc w:val="center"/>
        <w:divId w:val="1099371914"/>
        <w:rPr>
          <w:rFonts w:eastAsia="Times New Roman"/>
        </w:rPr>
      </w:pPr>
      <w:r>
        <w:rPr>
          <w:rFonts w:eastAsia="Times New Roman"/>
          <w:color w:val="000000"/>
          <w:sz w:val="20"/>
          <w:szCs w:val="20"/>
        </w:rPr>
        <w:t>14</w:t>
      </w:r>
    </w:p>
    <w:p w:rsidR="00000000" w:rsidRDefault="009D532D">
      <w:pPr>
        <w:rPr>
          <w:rFonts w:eastAsia="Times New Roman"/>
        </w:rPr>
      </w:pPr>
      <w:r>
        <w:rPr>
          <w:rFonts w:eastAsia="Times New Roman"/>
        </w:rPr>
        <w:pict>
          <v:rect id="_x0000_i1038" style="width:0;height:1.5pt" o:hralign="center" o:hrstd="t" o:hr="t" fillcolor="#a0a0a0" stroked="f"/>
        </w:pict>
      </w:r>
    </w:p>
    <w:p w:rsidR="00000000" w:rsidRDefault="009D532D">
      <w:pPr>
        <w:divId w:val="347871801"/>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2124878827"/>
        <w:rPr>
          <w:rFonts w:eastAsia="Times New Roman"/>
        </w:rPr>
      </w:pPr>
      <w:r>
        <w:rPr>
          <w:rFonts w:eastAsia="Times New Roman"/>
          <w:b/>
          <w:bCs/>
          <w:color w:val="000000"/>
          <w:sz w:val="20"/>
          <w:szCs w:val="20"/>
        </w:rPr>
        <w:t>THE MACERICH COMPANY</w:t>
      </w:r>
    </w:p>
    <w:p w:rsidR="00000000" w:rsidRDefault="009D532D">
      <w:pPr>
        <w:jc w:val="center"/>
        <w:divId w:val="462163447"/>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104575051"/>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756250946"/>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9D532D">
      <w:pPr>
        <w:divId w:val="2067023578"/>
        <w:rPr>
          <w:rFonts w:eastAsia="Times New Roman"/>
        </w:rPr>
      </w:pPr>
      <w:r>
        <w:rPr>
          <w:rFonts w:eastAsia="Times New Roman"/>
          <w:b/>
          <w:bCs/>
          <w:color w:val="000000"/>
          <w:sz w:val="20"/>
          <w:szCs w:val="20"/>
        </w:rPr>
        <w:t>6. Property, net: (Continued)</w:t>
      </w:r>
    </w:p>
    <w:p w:rsidR="00000000" w:rsidRDefault="009D532D">
      <w:pPr>
        <w:divId w:val="611985533"/>
        <w:rPr>
          <w:rFonts w:eastAsia="Times New Roman"/>
        </w:rPr>
      </w:pPr>
    </w:p>
    <w:p w:rsidR="00000000" w:rsidRDefault="009D532D">
      <w:pPr>
        <w:ind w:firstLine="495"/>
        <w:divId w:val="1196044606"/>
        <w:rPr>
          <w:rFonts w:eastAsia="Times New Roman"/>
        </w:rPr>
      </w:pPr>
      <w:r>
        <w:rPr>
          <w:rFonts w:eastAsia="Times New Roman"/>
          <w:color w:val="000000"/>
          <w:sz w:val="20"/>
          <w:szCs w:val="20"/>
        </w:rPr>
        <w:t>The gain (loss) on sale or write-down of assets, net for the three months ended March 31, 2021 and 2020 consist of the following:</w:t>
      </w:r>
    </w:p>
    <w:tbl>
      <w:tblPr>
        <w:tblW w:w="3479" w:type="pct"/>
        <w:tblCellMar>
          <w:top w:w="15" w:type="dxa"/>
          <w:left w:w="15" w:type="dxa"/>
          <w:bottom w:w="15" w:type="dxa"/>
          <w:right w:w="15" w:type="dxa"/>
        </w:tblCellMar>
        <w:tblLook w:val="04A0" w:firstRow="1" w:lastRow="0" w:firstColumn="1" w:lastColumn="0" w:noHBand="0" w:noVBand="1"/>
      </w:tblPr>
      <w:tblGrid>
        <w:gridCol w:w="37"/>
        <w:gridCol w:w="3666"/>
        <w:gridCol w:w="36"/>
        <w:gridCol w:w="36"/>
        <w:gridCol w:w="36"/>
        <w:gridCol w:w="36"/>
        <w:gridCol w:w="36"/>
        <w:gridCol w:w="36"/>
        <w:gridCol w:w="36"/>
        <w:gridCol w:w="36"/>
        <w:gridCol w:w="120"/>
        <w:gridCol w:w="684"/>
        <w:gridCol w:w="36"/>
        <w:gridCol w:w="36"/>
        <w:gridCol w:w="36"/>
        <w:gridCol w:w="36"/>
        <w:gridCol w:w="120"/>
        <w:gridCol w:w="684"/>
        <w:gridCol w:w="36"/>
      </w:tblGrid>
      <w:tr w:rsidR="00000000">
        <w:trPr>
          <w:divId w:val="223686497"/>
        </w:trPr>
        <w:tc>
          <w:tcPr>
            <w:tcW w:w="50" w:type="pct"/>
            <w:vAlign w:val="center"/>
            <w:hideMark/>
          </w:tcPr>
          <w:p w:rsidR="00000000" w:rsidRDefault="009D532D">
            <w:pPr>
              <w:ind w:firstLine="495"/>
              <w:rPr>
                <w:rFonts w:eastAsia="Times New Roman"/>
              </w:rPr>
            </w:pPr>
          </w:p>
        </w:tc>
        <w:tc>
          <w:tcPr>
            <w:tcW w:w="339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4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4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23686497"/>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223686497"/>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223686497"/>
        </w:trPr>
        <w:tc>
          <w:tcPr>
            <w:tcW w:w="0" w:type="auto"/>
            <w:gridSpan w:val="3"/>
            <w:vAlign w:val="center"/>
            <w:hideMark/>
          </w:tcPr>
          <w:p w:rsidR="00000000" w:rsidRDefault="009D532D">
            <w:pPr>
              <w:spacing w:after="100"/>
              <w:jc w:val="center"/>
              <w:rPr>
                <w:rFonts w:eastAsia="Times New Roman"/>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22368649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Gain on property sales(1)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2368649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Write-down of assets(2)</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(29,608)</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(36,703)</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23686497"/>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22368649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Gain on land sales(3)</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4,096 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23686497"/>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(21,283)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hanging="450"/>
        <w:divId w:val="918101401"/>
        <w:rPr>
          <w:rFonts w:eastAsia="Times New Roman"/>
        </w:rPr>
      </w:pPr>
      <w:r>
        <w:rPr>
          <w:rFonts w:eastAsia="Times New Roman"/>
          <w:color w:val="000000"/>
          <w:sz w:val="16"/>
          <w:szCs w:val="16"/>
        </w:rPr>
        <w:t>(1)      Related to Paradise Valley Mall (See Note 15-Dispositions).</w:t>
      </w:r>
    </w:p>
    <w:p w:rsidR="00000000" w:rsidRDefault="009D532D">
      <w:pPr>
        <w:ind w:hanging="450"/>
        <w:divId w:val="91363629"/>
        <w:rPr>
          <w:rFonts w:eastAsia="Times New Roman"/>
        </w:rPr>
      </w:pPr>
      <w:r>
        <w:rPr>
          <w:rFonts w:eastAsia="Times New Roman"/>
          <w:color w:val="000000"/>
          <w:sz w:val="16"/>
          <w:szCs w:val="16"/>
        </w:rPr>
        <w:t xml:space="preserve">(2)      Includes impairment loss of $27,281 on Estrella Falls during the three months ended March 31, 2021 and impairment losses of $30,063 </w:t>
      </w:r>
      <w:r>
        <w:rPr>
          <w:rFonts w:eastAsia="Times New Roman"/>
          <w:color w:val="000000"/>
          <w:sz w:val="16"/>
          <w:szCs w:val="16"/>
        </w:rPr>
        <w:t>on Wilton Mall and $6,640 on Paradise Valley Mall during the three months ended March 31, 2020. The impairment losses were due to the reduction of the estimated holding periods of the properties. The remaining amounts for the three months ended March 31, 2</w:t>
      </w:r>
      <w:r>
        <w:rPr>
          <w:rFonts w:eastAsia="Times New Roman"/>
          <w:color w:val="000000"/>
          <w:sz w:val="16"/>
          <w:szCs w:val="16"/>
        </w:rPr>
        <w:t>021 mainly pertain to the write off of development costs.</w:t>
      </w:r>
    </w:p>
    <w:p w:rsidR="00000000" w:rsidRDefault="009D532D">
      <w:pPr>
        <w:ind w:hanging="450"/>
        <w:divId w:val="1949584020"/>
        <w:rPr>
          <w:rFonts w:eastAsia="Times New Roman"/>
        </w:rPr>
      </w:pPr>
      <w:r>
        <w:rPr>
          <w:rFonts w:eastAsia="Times New Roman"/>
          <w:color w:val="000000"/>
          <w:sz w:val="16"/>
          <w:szCs w:val="16"/>
        </w:rPr>
        <w:t>(3)    This includes $1,334 related to the sale of Paradise Valley Mall (See Note 15-Dispositions).</w:t>
      </w:r>
    </w:p>
    <w:p w:rsidR="00000000" w:rsidRDefault="009D532D">
      <w:pPr>
        <w:ind w:hanging="450"/>
        <w:divId w:val="799230544"/>
        <w:rPr>
          <w:rFonts w:eastAsia="Times New Roman"/>
        </w:rPr>
      </w:pPr>
    </w:p>
    <w:p w:rsidR="00000000" w:rsidRDefault="009D532D">
      <w:pPr>
        <w:ind w:firstLine="720"/>
        <w:divId w:val="1610772919"/>
        <w:rPr>
          <w:rFonts w:eastAsia="Times New Roman"/>
        </w:rPr>
      </w:pPr>
      <w:r>
        <w:rPr>
          <w:rFonts w:eastAsia="Times New Roman"/>
          <w:color w:val="000000"/>
          <w:sz w:val="20"/>
          <w:szCs w:val="20"/>
        </w:rPr>
        <w:t>The following table summarizes certain of the Company's assets that were measured on a nonrecurr</w:t>
      </w:r>
      <w:r>
        <w:rPr>
          <w:rFonts w:eastAsia="Times New Roman"/>
          <w:color w:val="000000"/>
          <w:sz w:val="20"/>
          <w:szCs w:val="20"/>
        </w:rPr>
        <w:t>ing basis as a result of the impairment losses recorded for the three months ended March 31, 2021 and 2020,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trPr>
          <w:divId w:val="1610772919"/>
        </w:trPr>
        <w:tc>
          <w:tcPr>
            <w:tcW w:w="50" w:type="pct"/>
            <w:vAlign w:val="center"/>
            <w:hideMark/>
          </w:tcPr>
          <w:p w:rsidR="00000000" w:rsidRDefault="009D532D">
            <w:pPr>
              <w:ind w:firstLine="720"/>
              <w:rPr>
                <w:rFonts w:eastAsia="Times New Roman"/>
              </w:rPr>
            </w:pPr>
          </w:p>
        </w:tc>
        <w:tc>
          <w:tcPr>
            <w:tcW w:w="145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7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5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610772919"/>
          <w:trHeight w:val="880"/>
        </w:trPr>
        <w:tc>
          <w:tcPr>
            <w:tcW w:w="0" w:type="auto"/>
            <w:gridSpan w:val="3"/>
            <w:vMerge w:val="restart"/>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Significant Unobservable Inputs</w:t>
            </w:r>
          </w:p>
        </w:tc>
      </w:tr>
      <w:tr w:rsidR="00000000">
        <w:trPr>
          <w:divId w:val="1610772919"/>
          <w:trHeight w:val="300"/>
        </w:trPr>
        <w:tc>
          <w:tcPr>
            <w:tcW w:w="0" w:type="auto"/>
            <w:gridSpan w:val="3"/>
            <w:vMerge/>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vMerge/>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(Level 3)</w:t>
            </w:r>
          </w:p>
        </w:tc>
      </w:tr>
      <w:tr w:rsidR="00000000">
        <w:trPr>
          <w:divId w:val="161077291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March 31, 2020</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610772919"/>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March 31, 2021</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18,970 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18,970 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610772919"/>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610772919"/>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bl>
    <w:p w:rsidR="00000000" w:rsidRDefault="009D532D">
      <w:pPr>
        <w:ind w:firstLine="495"/>
        <w:divId w:val="501622368"/>
        <w:rPr>
          <w:rFonts w:eastAsia="Times New Roman"/>
        </w:rPr>
      </w:pPr>
      <w:r>
        <w:rPr>
          <w:rFonts w:eastAsia="Times New Roman"/>
          <w:color w:val="000000"/>
          <w:sz w:val="20"/>
          <w:szCs w:val="20"/>
        </w:rPr>
        <w:t>The fair values relating to the 2020 impairments were based on sales contracts and are classified within Level 2 of the fair value hierarchy. The fair value (Level 3 measurement) related to the 2021 impairment was based upon an income approach, using an es</w:t>
      </w:r>
      <w:r>
        <w:rPr>
          <w:rFonts w:eastAsia="Times New Roman"/>
          <w:color w:val="000000"/>
          <w:sz w:val="20"/>
          <w:szCs w:val="20"/>
        </w:rPr>
        <w:t>timated terminal capitalization rate, discount rate, and in-place contractual rent and other income. The fair value is sensitive to these significant unobservable inputs.</w:t>
      </w:r>
    </w:p>
    <w:p w:rsidR="00000000" w:rsidRDefault="009D532D">
      <w:pPr>
        <w:divId w:val="1075543280"/>
        <w:rPr>
          <w:rFonts w:eastAsia="Times New Roman"/>
        </w:rPr>
      </w:pPr>
      <w:r>
        <w:rPr>
          <w:rFonts w:eastAsia="Times New Roman"/>
          <w:b/>
          <w:bCs/>
          <w:color w:val="000000"/>
          <w:sz w:val="20"/>
          <w:szCs w:val="20"/>
        </w:rPr>
        <w:t>7. Tenant and Other Receivables, net:</w:t>
      </w:r>
    </w:p>
    <w:p w:rsidR="00000000" w:rsidRDefault="009D532D">
      <w:pPr>
        <w:ind w:firstLine="495"/>
        <w:divId w:val="575748411"/>
        <w:rPr>
          <w:rFonts w:eastAsia="Times New Roman"/>
        </w:rPr>
      </w:pPr>
      <w:r>
        <w:rPr>
          <w:rFonts w:eastAsia="Times New Roman"/>
          <w:color w:val="000000"/>
          <w:sz w:val="20"/>
          <w:szCs w:val="20"/>
        </w:rPr>
        <w:t xml:space="preserve">Included in tenant and other receivables, net is an allowance for doubtful accounts of $35,941 and $37,545 at March 31, 2021 and December 31, 2020, respectively. Also included in tenant and other receivables, net are accrued percentage rents of $2,337 and </w:t>
      </w:r>
      <w:r>
        <w:rPr>
          <w:rFonts w:eastAsia="Times New Roman"/>
          <w:color w:val="000000"/>
          <w:sz w:val="20"/>
          <w:szCs w:val="20"/>
        </w:rPr>
        <w:t>$4,673 at March 31, 2021 and December 31, 2020, respectively, and a deferred rent receivable due to straight-line rent adjustments of $111,693 and $107,003 at March 31, 2021 and December 31, 2020, respectively.</w:t>
      </w:r>
    </w:p>
    <w:p w:rsidR="00000000" w:rsidRDefault="009D532D">
      <w:pPr>
        <w:divId w:val="389035491"/>
        <w:rPr>
          <w:rFonts w:eastAsia="Times New Roman"/>
        </w:rPr>
      </w:pPr>
      <w:r>
        <w:rPr>
          <w:rFonts w:eastAsia="Times New Roman"/>
          <w:b/>
          <w:bCs/>
          <w:color w:val="000000"/>
          <w:sz w:val="20"/>
          <w:szCs w:val="20"/>
        </w:rPr>
        <w:t>8. Leases:</w:t>
      </w:r>
    </w:p>
    <w:p w:rsidR="00000000" w:rsidRDefault="009D532D">
      <w:pPr>
        <w:ind w:firstLine="450"/>
        <w:divId w:val="1582250992"/>
        <w:rPr>
          <w:rFonts w:eastAsia="Times New Roman"/>
        </w:rPr>
      </w:pPr>
      <w:r>
        <w:rPr>
          <w:rFonts w:eastAsia="Times New Roman"/>
          <w:i/>
          <w:iCs/>
          <w:color w:val="000000"/>
          <w:sz w:val="20"/>
          <w:szCs w:val="20"/>
        </w:rPr>
        <w:t>Lessor Leases:</w:t>
      </w:r>
    </w:p>
    <w:p w:rsidR="00000000" w:rsidRDefault="009D532D">
      <w:pPr>
        <w:ind w:firstLine="495"/>
        <w:divId w:val="51084030"/>
        <w:rPr>
          <w:rFonts w:eastAsia="Times New Roman"/>
        </w:rPr>
      </w:pPr>
      <w:r>
        <w:rPr>
          <w:rFonts w:eastAsia="Times New Roman"/>
          <w:color w:val="000000"/>
          <w:sz w:val="20"/>
          <w:szCs w:val="20"/>
        </w:rPr>
        <w:t xml:space="preserve">The Company leases </w:t>
      </w:r>
      <w:r>
        <w:rPr>
          <w:rFonts w:eastAsia="Times New Roman"/>
          <w:color w:val="000000"/>
          <w:sz w:val="20"/>
          <w:szCs w:val="20"/>
        </w:rPr>
        <w:t>its Centers under agreements that are classified as operating leases. These leases generally include minimum rents, percentage rents and recoveries of real estate taxes, insurance and other shopping center operating expenses. Minimum rental revenues are re</w:t>
      </w:r>
      <w:r>
        <w:rPr>
          <w:rFonts w:eastAsia="Times New Roman"/>
          <w:color w:val="000000"/>
          <w:sz w:val="20"/>
          <w:szCs w:val="20"/>
        </w:rPr>
        <w:t>cognized on a straight-line basis over the terms of the related leases. Percentage rents are recognized and accrued when tenants' specified sales targets have been met. Estimated recoveries from certain tenants for their pro rata share of real estate taxes</w:t>
      </w:r>
      <w:r>
        <w:rPr>
          <w:rFonts w:eastAsia="Times New Roman"/>
          <w:color w:val="000000"/>
          <w:sz w:val="20"/>
          <w:szCs w:val="20"/>
        </w:rPr>
        <w:t xml:space="preserve">, insurance and other shopping center operating expenses are recognized as revenues in the period the applicable expenses are incurred. Other tenants pay a fixed rate and these tenant recoveries are recognized as revenues on a straight-line basis over the </w:t>
      </w:r>
      <w:r>
        <w:rPr>
          <w:rFonts w:eastAsia="Times New Roman"/>
          <w:color w:val="000000"/>
          <w:sz w:val="20"/>
          <w:szCs w:val="20"/>
        </w:rPr>
        <w:t xml:space="preserve">term of the related leases. For leasing revenues in which collectability is not considered probable, lease income is recognized on a cash basis and all previously recognized tenant accounts receivables, </w:t>
      </w:r>
    </w:p>
    <w:p w:rsidR="00000000" w:rsidRDefault="009D532D">
      <w:pPr>
        <w:jc w:val="center"/>
        <w:divId w:val="119761711"/>
        <w:rPr>
          <w:rFonts w:eastAsia="Times New Roman"/>
        </w:rPr>
      </w:pPr>
      <w:r>
        <w:rPr>
          <w:rFonts w:eastAsia="Times New Roman"/>
          <w:color w:val="000000"/>
          <w:sz w:val="20"/>
          <w:szCs w:val="20"/>
        </w:rPr>
        <w:t>15</w:t>
      </w:r>
    </w:p>
    <w:p w:rsidR="00000000" w:rsidRDefault="009D532D">
      <w:pPr>
        <w:rPr>
          <w:rFonts w:eastAsia="Times New Roman"/>
        </w:rPr>
      </w:pPr>
      <w:r>
        <w:rPr>
          <w:rFonts w:eastAsia="Times New Roman"/>
        </w:rPr>
        <w:pict>
          <v:rect id="_x0000_i1039" style="width:0;height:1.5pt" o:hralign="center" o:hrstd="t" o:hr="t" fillcolor="#a0a0a0" stroked="f"/>
        </w:pict>
      </w:r>
    </w:p>
    <w:p w:rsidR="00000000" w:rsidRDefault="009D532D">
      <w:pPr>
        <w:divId w:val="182727881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452020097"/>
        <w:rPr>
          <w:rFonts w:eastAsia="Times New Roman"/>
        </w:rPr>
      </w:pPr>
      <w:r>
        <w:rPr>
          <w:rFonts w:eastAsia="Times New Roman"/>
          <w:b/>
          <w:bCs/>
          <w:color w:val="000000"/>
          <w:sz w:val="20"/>
          <w:szCs w:val="20"/>
        </w:rPr>
        <w:t>THE MACERICH COMPANY</w:t>
      </w:r>
    </w:p>
    <w:p w:rsidR="00000000" w:rsidRDefault="009D532D">
      <w:pPr>
        <w:jc w:val="center"/>
        <w:divId w:val="936711198"/>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629166304"/>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371080229"/>
        <w:rPr>
          <w:rFonts w:eastAsia="Times New Roman"/>
        </w:rPr>
      </w:pPr>
      <w:r>
        <w:rPr>
          <w:rFonts w:eastAsia="Times New Roman"/>
          <w:b/>
          <w:bCs/>
          <w:color w:val="000000"/>
          <w:sz w:val="20"/>
          <w:szCs w:val="20"/>
        </w:rPr>
        <w:t>(Unaudited)</w:t>
      </w:r>
    </w:p>
    <w:p w:rsidR="00000000" w:rsidRDefault="009D532D">
      <w:pPr>
        <w:divId w:val="2034308365"/>
        <w:rPr>
          <w:rFonts w:eastAsia="Times New Roman"/>
        </w:rPr>
      </w:pPr>
      <w:r>
        <w:rPr>
          <w:rFonts w:eastAsia="Times New Roman"/>
          <w:b/>
          <w:bCs/>
          <w:color w:val="000000"/>
          <w:sz w:val="20"/>
          <w:szCs w:val="20"/>
        </w:rPr>
        <w:t>8. Leases: (Continued)</w:t>
      </w:r>
    </w:p>
    <w:p w:rsidR="00000000" w:rsidRDefault="009D532D">
      <w:pPr>
        <w:divId w:val="432895642"/>
        <w:rPr>
          <w:rFonts w:eastAsia="Times New Roman"/>
        </w:rPr>
      </w:pPr>
    </w:p>
    <w:p w:rsidR="00000000" w:rsidRDefault="009D532D">
      <w:pPr>
        <w:divId w:val="1287464989"/>
        <w:rPr>
          <w:rFonts w:eastAsia="Times New Roman"/>
        </w:rPr>
      </w:pPr>
      <w:r>
        <w:rPr>
          <w:rFonts w:eastAsia="Times New Roman"/>
          <w:color w:val="000000"/>
          <w:sz w:val="20"/>
          <w:szCs w:val="20"/>
        </w:rPr>
        <w:t>including stra</w:t>
      </w:r>
      <w:r>
        <w:rPr>
          <w:rFonts w:eastAsia="Times New Roman"/>
          <w:color w:val="000000"/>
          <w:sz w:val="20"/>
          <w:szCs w:val="20"/>
        </w:rPr>
        <w:t xml:space="preserve">ight-line rent, are fully reserved in the period in which the lease income is determined not to be probable of collection. </w:t>
      </w:r>
    </w:p>
    <w:p w:rsidR="00000000" w:rsidRDefault="009D532D">
      <w:pPr>
        <w:ind w:firstLine="495"/>
        <w:divId w:val="1690184196"/>
        <w:rPr>
          <w:rFonts w:eastAsia="Times New Roman"/>
        </w:rPr>
      </w:pPr>
      <w:r>
        <w:rPr>
          <w:rFonts w:eastAsia="Times New Roman"/>
          <w:color w:val="000000"/>
          <w:sz w:val="20"/>
          <w:szCs w:val="20"/>
        </w:rPr>
        <w:t>The following table summarizes the components of leasing revenue for the three months ended March 31, 2021 and 2020:</w:t>
      </w:r>
    </w:p>
    <w:tbl>
      <w:tblPr>
        <w:tblW w:w="2909" w:type="pct"/>
        <w:tblCellMar>
          <w:top w:w="15" w:type="dxa"/>
          <w:left w:w="15" w:type="dxa"/>
          <w:bottom w:w="15" w:type="dxa"/>
          <w:right w:w="15" w:type="dxa"/>
        </w:tblCellMar>
        <w:tblLook w:val="04A0" w:firstRow="1" w:lastRow="0" w:firstColumn="1" w:lastColumn="0" w:noHBand="0" w:noVBand="1"/>
      </w:tblPr>
      <w:tblGrid>
        <w:gridCol w:w="37"/>
        <w:gridCol w:w="2795"/>
        <w:gridCol w:w="36"/>
        <w:gridCol w:w="36"/>
        <w:gridCol w:w="36"/>
        <w:gridCol w:w="36"/>
        <w:gridCol w:w="36"/>
        <w:gridCol w:w="120"/>
        <w:gridCol w:w="700"/>
        <w:gridCol w:w="36"/>
        <w:gridCol w:w="36"/>
        <w:gridCol w:w="36"/>
        <w:gridCol w:w="36"/>
        <w:gridCol w:w="120"/>
        <w:gridCol w:w="700"/>
        <w:gridCol w:w="36"/>
      </w:tblGrid>
      <w:tr w:rsidR="00000000">
        <w:trPr>
          <w:divId w:val="1003976207"/>
        </w:trPr>
        <w:tc>
          <w:tcPr>
            <w:tcW w:w="50" w:type="pct"/>
            <w:vAlign w:val="center"/>
            <w:hideMark/>
          </w:tcPr>
          <w:p w:rsidR="00000000" w:rsidRDefault="009D532D">
            <w:pPr>
              <w:ind w:firstLine="495"/>
              <w:rPr>
                <w:rFonts w:eastAsia="Times New Roman"/>
              </w:rPr>
            </w:pPr>
          </w:p>
        </w:tc>
        <w:tc>
          <w:tcPr>
            <w:tcW w:w="337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9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9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003976207"/>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003976207"/>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00397620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revenue—fixed payments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131,495 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159,557 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00397620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revenue—variable payments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51,248 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52,078 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00397620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Provision for doubtful accounts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(3,208)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(914)</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003976207"/>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179,535 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210,721 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1186167484"/>
        <w:rPr>
          <w:rFonts w:eastAsia="Times New Roman"/>
        </w:rPr>
      </w:pPr>
    </w:p>
    <w:p w:rsidR="00000000" w:rsidRDefault="009D532D">
      <w:pPr>
        <w:ind w:firstLine="495"/>
        <w:divId w:val="741177368"/>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7"/>
        <w:gridCol w:w="36"/>
        <w:gridCol w:w="238"/>
        <w:gridCol w:w="36"/>
        <w:gridCol w:w="120"/>
        <w:gridCol w:w="957"/>
        <w:gridCol w:w="36"/>
      </w:tblGrid>
      <w:tr w:rsidR="00000000">
        <w:trPr>
          <w:divId w:val="215093445"/>
        </w:trPr>
        <w:tc>
          <w:tcPr>
            <w:tcW w:w="50" w:type="pct"/>
            <w:vAlign w:val="center"/>
            <w:hideMark/>
          </w:tcPr>
          <w:p w:rsidR="00000000" w:rsidRDefault="009D532D">
            <w:pPr>
              <w:ind w:firstLine="495"/>
              <w:rPr>
                <w:rFonts w:eastAsia="Times New Roman"/>
              </w:rPr>
            </w:pPr>
          </w:p>
        </w:tc>
        <w:tc>
          <w:tcPr>
            <w:tcW w:w="386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0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6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1509344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Twelve months ending March 31,</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 </w:t>
            </w:r>
          </w:p>
        </w:tc>
      </w:tr>
      <w:tr w:rsidR="00000000">
        <w:trPr>
          <w:divId w:val="2150934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398,867 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352,690 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303,411 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244,495 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199,323 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592,782 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15093445"/>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2,091,568 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divId w:val="1583022222"/>
        <w:rPr>
          <w:rFonts w:eastAsia="Times New Roman"/>
        </w:rPr>
      </w:pPr>
    </w:p>
    <w:p w:rsidR="00000000" w:rsidRDefault="009D532D">
      <w:pPr>
        <w:ind w:firstLine="495"/>
        <w:divId w:val="1565486038"/>
        <w:rPr>
          <w:rFonts w:eastAsia="Times New Roman"/>
        </w:rPr>
      </w:pPr>
      <w:r>
        <w:rPr>
          <w:rFonts w:eastAsia="Times New Roman"/>
          <w:i/>
          <w:iCs/>
          <w:color w:val="000000"/>
          <w:sz w:val="20"/>
          <w:szCs w:val="20"/>
        </w:rPr>
        <w:t>Lessee Leases:</w:t>
      </w:r>
    </w:p>
    <w:p w:rsidR="00000000" w:rsidRDefault="009D532D">
      <w:pPr>
        <w:ind w:firstLine="495"/>
        <w:divId w:val="141241256"/>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rsidR="00000000" w:rsidRDefault="009D532D">
      <w:pPr>
        <w:ind w:firstLine="495"/>
        <w:divId w:val="1935355477"/>
        <w:rPr>
          <w:rFonts w:eastAsia="Times New Roman"/>
        </w:rPr>
      </w:pPr>
      <w:r>
        <w:rPr>
          <w:rFonts w:eastAsia="Times New Roman"/>
          <w:color w:val="000000"/>
          <w:sz w:val="20"/>
          <w:szCs w:val="20"/>
        </w:rPr>
        <w:t xml:space="preserve">The following table summarizes the lease costs for the three months ended March 31, 2021 and </w:t>
      </w:r>
      <w:r>
        <w:rPr>
          <w:rFonts w:eastAsia="Times New Roman"/>
          <w:color w:val="000000"/>
          <w:sz w:val="20"/>
          <w:szCs w:val="20"/>
        </w:rPr>
        <w:t>2020:</w:t>
      </w:r>
    </w:p>
    <w:tbl>
      <w:tblPr>
        <w:tblW w:w="2975" w:type="pct"/>
        <w:tblCellMar>
          <w:top w:w="15" w:type="dxa"/>
          <w:left w:w="15" w:type="dxa"/>
          <w:bottom w:w="15" w:type="dxa"/>
          <w:right w:w="15" w:type="dxa"/>
        </w:tblCellMar>
        <w:tblLook w:val="04A0" w:firstRow="1" w:lastRow="0" w:firstColumn="1" w:lastColumn="0" w:noHBand="0" w:noVBand="1"/>
      </w:tblPr>
      <w:tblGrid>
        <w:gridCol w:w="38"/>
        <w:gridCol w:w="3139"/>
        <w:gridCol w:w="37"/>
        <w:gridCol w:w="36"/>
        <w:gridCol w:w="36"/>
        <w:gridCol w:w="36"/>
        <w:gridCol w:w="36"/>
        <w:gridCol w:w="120"/>
        <w:gridCol w:w="582"/>
        <w:gridCol w:w="36"/>
        <w:gridCol w:w="36"/>
        <w:gridCol w:w="36"/>
        <w:gridCol w:w="36"/>
        <w:gridCol w:w="120"/>
        <w:gridCol w:w="582"/>
        <w:gridCol w:w="36"/>
      </w:tblGrid>
      <w:tr w:rsidR="00000000">
        <w:trPr>
          <w:divId w:val="1788888429"/>
        </w:trPr>
        <w:tc>
          <w:tcPr>
            <w:tcW w:w="50" w:type="pct"/>
            <w:vAlign w:val="center"/>
            <w:hideMark/>
          </w:tcPr>
          <w:p w:rsidR="00000000" w:rsidRDefault="009D532D">
            <w:pPr>
              <w:ind w:firstLine="495"/>
              <w:rPr>
                <w:rFonts w:eastAsia="Times New Roman"/>
              </w:rPr>
            </w:pPr>
          </w:p>
        </w:tc>
        <w:tc>
          <w:tcPr>
            <w:tcW w:w="338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6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8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788888429"/>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788888429"/>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78888842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Operating lease costs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78888842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Finance lease costs: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78888842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r>
              <w:rPr>
                <w:rFonts w:eastAsia="Times New Roman"/>
                <w:color w:val="000000"/>
                <w:sz w:val="20"/>
                <w:szCs w:val="20"/>
              </w:rPr>
              <w:t>Amortization of ROU assets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78888842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Interest on lease liabilities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788888429"/>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1963611651"/>
        <w:rPr>
          <w:rFonts w:eastAsia="Times New Roman"/>
        </w:rPr>
      </w:pPr>
    </w:p>
    <w:p w:rsidR="00000000" w:rsidRDefault="009D532D">
      <w:pPr>
        <w:jc w:val="center"/>
        <w:divId w:val="1117455188"/>
        <w:rPr>
          <w:rFonts w:eastAsia="Times New Roman"/>
        </w:rPr>
      </w:pPr>
      <w:r>
        <w:rPr>
          <w:rFonts w:eastAsia="Times New Roman"/>
          <w:color w:val="000000"/>
          <w:sz w:val="20"/>
          <w:szCs w:val="20"/>
        </w:rPr>
        <w:t>16</w:t>
      </w:r>
    </w:p>
    <w:p w:rsidR="00000000" w:rsidRDefault="009D532D">
      <w:pPr>
        <w:rPr>
          <w:rFonts w:eastAsia="Times New Roman"/>
        </w:rPr>
      </w:pPr>
      <w:r>
        <w:rPr>
          <w:rFonts w:eastAsia="Times New Roman"/>
        </w:rPr>
        <w:pict>
          <v:rect id="_x0000_i1040" style="width:0;height:1.5pt" o:hralign="center" o:hrstd="t" o:hr="t" fillcolor="#a0a0a0" stroked="f"/>
        </w:pict>
      </w:r>
    </w:p>
    <w:p w:rsidR="00000000" w:rsidRDefault="009D532D">
      <w:pPr>
        <w:divId w:val="1849909640"/>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847258047"/>
        <w:rPr>
          <w:rFonts w:eastAsia="Times New Roman"/>
        </w:rPr>
      </w:pPr>
      <w:r>
        <w:rPr>
          <w:rFonts w:eastAsia="Times New Roman"/>
          <w:b/>
          <w:bCs/>
          <w:color w:val="000000"/>
          <w:sz w:val="20"/>
          <w:szCs w:val="20"/>
        </w:rPr>
        <w:t>THE MACERICH COMPANY</w:t>
      </w:r>
    </w:p>
    <w:p w:rsidR="00000000" w:rsidRDefault="009D532D">
      <w:pPr>
        <w:jc w:val="center"/>
        <w:divId w:val="468131640"/>
        <w:rPr>
          <w:rFonts w:eastAsia="Times New Roman"/>
        </w:rPr>
      </w:pPr>
      <w:r>
        <w:rPr>
          <w:rFonts w:eastAsia="Times New Roman"/>
          <w:b/>
          <w:bCs/>
          <w:color w:val="000000"/>
          <w:sz w:val="20"/>
          <w:szCs w:val="20"/>
        </w:rPr>
        <w:t>NOTES TO CONSOLIDATED FINANCIAL STATEMENTS (Continued)</w:t>
      </w:r>
    </w:p>
    <w:p w:rsidR="00000000" w:rsidRDefault="009D532D">
      <w:pPr>
        <w:jc w:val="center"/>
        <w:divId w:val="861481444"/>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828403362"/>
        <w:rPr>
          <w:rFonts w:eastAsia="Times New Roman"/>
        </w:rPr>
      </w:pPr>
      <w:r>
        <w:rPr>
          <w:rFonts w:eastAsia="Times New Roman"/>
          <w:b/>
          <w:bCs/>
          <w:color w:val="000000"/>
          <w:sz w:val="20"/>
          <w:szCs w:val="20"/>
        </w:rPr>
        <w:t>(Unaudited)</w:t>
      </w:r>
    </w:p>
    <w:p w:rsidR="00000000" w:rsidRDefault="009D532D">
      <w:pPr>
        <w:divId w:val="1909806715"/>
        <w:rPr>
          <w:rFonts w:eastAsia="Times New Roman"/>
        </w:rPr>
      </w:pPr>
      <w:r>
        <w:rPr>
          <w:rFonts w:eastAsia="Times New Roman"/>
          <w:b/>
          <w:bCs/>
          <w:color w:val="000000"/>
          <w:sz w:val="20"/>
          <w:szCs w:val="20"/>
        </w:rPr>
        <w:t>8. Leases: (Continued)</w:t>
      </w:r>
    </w:p>
    <w:p w:rsidR="00000000" w:rsidRDefault="009D532D">
      <w:pPr>
        <w:divId w:val="1325470750"/>
        <w:rPr>
          <w:rFonts w:eastAsia="Times New Roman"/>
        </w:rPr>
      </w:pPr>
    </w:p>
    <w:p w:rsidR="00000000" w:rsidRDefault="009D532D">
      <w:pPr>
        <w:ind w:firstLine="495"/>
        <w:divId w:val="236324337"/>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trPr>
          <w:divId w:val="236324337"/>
        </w:trPr>
        <w:tc>
          <w:tcPr>
            <w:tcW w:w="50" w:type="pct"/>
            <w:vAlign w:val="center"/>
            <w:hideMark/>
          </w:tcPr>
          <w:p w:rsidR="00000000" w:rsidRDefault="009D532D">
            <w:pPr>
              <w:ind w:firstLine="495"/>
              <w:rPr>
                <w:rFonts w:eastAsia="Times New Roman"/>
              </w:rPr>
            </w:pPr>
          </w:p>
        </w:tc>
        <w:tc>
          <w:tcPr>
            <w:tcW w:w="21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5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9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7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0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36324337"/>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 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 2020</w:t>
            </w:r>
          </w:p>
        </w:tc>
      </w:tr>
      <w:tr w:rsidR="00000000">
        <w:trPr>
          <w:divId w:val="236324337"/>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Finance Leases</w:t>
            </w:r>
          </w:p>
        </w:tc>
      </w:tr>
      <w:tr w:rsidR="00000000">
        <w:trPr>
          <w:divId w:val="23632433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14,883 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14,558 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9,076 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7,094 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6,759 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7,136 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116,918 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116,660 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166,370 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168,214 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(93,195)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(1,151)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(94,375)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(599)</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73,175 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73,839 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23632433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34.5 years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0.9 years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34.5 years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1.1 years</w:t>
            </w:r>
          </w:p>
        </w:tc>
      </w:tr>
      <w:tr w:rsidR="00000000">
        <w:trPr>
          <w:divId w:val="23632433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r>
    </w:tbl>
    <w:p w:rsidR="00000000" w:rsidRDefault="009D532D">
      <w:pPr>
        <w:ind w:firstLine="495"/>
        <w:divId w:val="1855487753"/>
        <w:rPr>
          <w:rFonts w:eastAsia="Times New Roman"/>
        </w:rPr>
      </w:pPr>
    </w:p>
    <w:p w:rsidR="00000000" w:rsidRDefault="009D532D">
      <w:pPr>
        <w:divId w:val="407577877"/>
        <w:rPr>
          <w:rFonts w:eastAsia="Times New Roman"/>
        </w:rPr>
      </w:pPr>
      <w:r>
        <w:rPr>
          <w:rFonts w:eastAsia="Times New Roman"/>
          <w:b/>
          <w:bCs/>
          <w:color w:val="000000"/>
          <w:sz w:val="20"/>
          <w:szCs w:val="20"/>
        </w:rPr>
        <w:t>9. Deferred Charges and Oth</w:t>
      </w:r>
      <w:r>
        <w:rPr>
          <w:rFonts w:eastAsia="Times New Roman"/>
          <w:b/>
          <w:bCs/>
          <w:color w:val="000000"/>
          <w:sz w:val="20"/>
          <w:szCs w:val="20"/>
        </w:rPr>
        <w:t>er Assets, net:</w:t>
      </w:r>
    </w:p>
    <w:p w:rsidR="00000000" w:rsidRDefault="009D532D">
      <w:pPr>
        <w:ind w:firstLine="495"/>
        <w:divId w:val="597252619"/>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trPr>
          <w:divId w:val="597252619"/>
        </w:trPr>
        <w:tc>
          <w:tcPr>
            <w:tcW w:w="50" w:type="pct"/>
            <w:vAlign w:val="center"/>
            <w:hideMark/>
          </w:tcPr>
          <w:p w:rsidR="00000000" w:rsidRDefault="009D532D">
            <w:pPr>
              <w:ind w:firstLine="495"/>
              <w:rPr>
                <w:rFonts w:eastAsia="Times New Roman"/>
              </w:rPr>
            </w:pPr>
          </w:p>
        </w:tc>
        <w:tc>
          <w:tcPr>
            <w:tcW w:w="34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597252619"/>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59725261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141,724 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597252619"/>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69,874 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74,298 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19,517 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21,096 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77,740 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80,120 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28,528 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30,767 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60,834 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62,874 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62,208 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61,553 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460,425 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493,360 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(166,635)</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(186,401)</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97252619"/>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293,790 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306,959 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9D532D">
            <w:pPr>
              <w:ind w:firstLine="495"/>
              <w:rPr>
                <w:rFonts w:eastAsia="Times New Roman"/>
              </w:rPr>
            </w:pPr>
          </w:p>
        </w:tc>
        <w:tc>
          <w:tcPr>
            <w:tcW w:w="14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67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01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ind w:hanging="360"/>
        <w:divId w:val="20015506"/>
        <w:rPr>
          <w:rFonts w:eastAsia="Times New Roman"/>
        </w:rPr>
      </w:pPr>
      <w:r>
        <w:rPr>
          <w:rFonts w:eastAsia="Times New Roman"/>
          <w:color w:val="000000"/>
          <w:sz w:val="16"/>
          <w:szCs w:val="16"/>
        </w:rPr>
        <w:t xml:space="preserve">(1)   Accumulated amortization includes $44,802 and $47,249 </w:t>
      </w:r>
      <w:r>
        <w:rPr>
          <w:rFonts w:eastAsia="Times New Roman"/>
          <w:color w:val="000000"/>
          <w:sz w:val="16"/>
          <w:szCs w:val="16"/>
        </w:rPr>
        <w:t>relating to in-place lease values, leasing commissions and legal costs at March 31, 2021 and December 31, 2020, respectively. Amortization expense of in-place lease values, leasing commissions and legal costs was $2,203 and $3,719 for the three months ende</w:t>
      </w:r>
      <w:r>
        <w:rPr>
          <w:rFonts w:eastAsia="Times New Roman"/>
          <w:color w:val="000000"/>
          <w:sz w:val="16"/>
          <w:szCs w:val="16"/>
        </w:rPr>
        <w:t>d March 31, 2021 and 2020, respectively.</w:t>
      </w:r>
    </w:p>
    <w:p w:rsidR="00000000" w:rsidRDefault="009D532D">
      <w:pPr>
        <w:ind w:hanging="360"/>
        <w:divId w:val="756899718"/>
        <w:rPr>
          <w:rFonts w:eastAsia="Times New Roman"/>
        </w:rPr>
      </w:pPr>
    </w:p>
    <w:p w:rsidR="00000000" w:rsidRDefault="009D532D">
      <w:pPr>
        <w:jc w:val="center"/>
        <w:divId w:val="1296445418"/>
        <w:rPr>
          <w:rFonts w:eastAsia="Times New Roman"/>
        </w:rPr>
      </w:pPr>
      <w:r>
        <w:rPr>
          <w:rFonts w:eastAsia="Times New Roman"/>
          <w:color w:val="000000"/>
          <w:sz w:val="20"/>
          <w:szCs w:val="20"/>
        </w:rPr>
        <w:t>17</w:t>
      </w:r>
    </w:p>
    <w:p w:rsidR="00000000" w:rsidRDefault="009D532D">
      <w:pPr>
        <w:rPr>
          <w:rFonts w:eastAsia="Times New Roman"/>
        </w:rPr>
      </w:pPr>
      <w:r>
        <w:rPr>
          <w:rFonts w:eastAsia="Times New Roman"/>
        </w:rPr>
        <w:pict>
          <v:rect id="_x0000_i1041" style="width:0;height:1.5pt" o:hralign="center" o:hrstd="t" o:hr="t" fillcolor="#a0a0a0" stroked="f"/>
        </w:pict>
      </w:r>
    </w:p>
    <w:p w:rsidR="00000000" w:rsidRDefault="009D532D">
      <w:pPr>
        <w:divId w:val="1740399588"/>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271937798"/>
        <w:rPr>
          <w:rFonts w:eastAsia="Times New Roman"/>
        </w:rPr>
      </w:pPr>
      <w:r>
        <w:rPr>
          <w:rFonts w:eastAsia="Times New Roman"/>
          <w:b/>
          <w:bCs/>
          <w:color w:val="000000"/>
          <w:sz w:val="20"/>
          <w:szCs w:val="20"/>
        </w:rPr>
        <w:t>THE MACERICH COMPANY</w:t>
      </w:r>
    </w:p>
    <w:p w:rsidR="00000000" w:rsidRDefault="009D532D">
      <w:pPr>
        <w:jc w:val="center"/>
        <w:divId w:val="1628579784"/>
        <w:rPr>
          <w:rFonts w:eastAsia="Times New Roman"/>
        </w:rPr>
      </w:pPr>
      <w:r>
        <w:rPr>
          <w:rFonts w:eastAsia="Times New Roman"/>
          <w:b/>
          <w:bCs/>
          <w:color w:val="000000"/>
          <w:sz w:val="20"/>
          <w:szCs w:val="20"/>
        </w:rPr>
        <w:t>NOTES TO CONSOLIDATED FINANCIAL STATEMENTS (Continued)</w:t>
      </w:r>
    </w:p>
    <w:p w:rsidR="00000000" w:rsidRDefault="009D532D">
      <w:pPr>
        <w:jc w:val="center"/>
        <w:divId w:val="738211668"/>
        <w:rPr>
          <w:rFonts w:eastAsia="Times New Roman"/>
        </w:rPr>
      </w:pPr>
      <w:r>
        <w:rPr>
          <w:rFonts w:eastAsia="Times New Roman"/>
          <w:b/>
          <w:bCs/>
          <w:color w:val="000000"/>
          <w:sz w:val="20"/>
          <w:szCs w:val="20"/>
        </w:rPr>
        <w:t>(Dollars in thousands,</w:t>
      </w:r>
      <w:r>
        <w:rPr>
          <w:rFonts w:eastAsia="Times New Roman"/>
          <w:b/>
          <w:bCs/>
          <w:color w:val="000000"/>
          <w:sz w:val="20"/>
          <w:szCs w:val="20"/>
        </w:rPr>
        <w:t xml:space="preserve"> except per share and square foot amounts)</w:t>
      </w:r>
    </w:p>
    <w:p w:rsidR="00000000" w:rsidRDefault="009D532D">
      <w:pPr>
        <w:jc w:val="center"/>
        <w:divId w:val="958293975"/>
        <w:rPr>
          <w:rFonts w:eastAsia="Times New Roman"/>
        </w:rPr>
      </w:pPr>
      <w:r>
        <w:rPr>
          <w:rFonts w:eastAsia="Times New Roman"/>
          <w:b/>
          <w:bCs/>
          <w:color w:val="000000"/>
          <w:sz w:val="20"/>
          <w:szCs w:val="20"/>
        </w:rPr>
        <w:t>(Unaudited)</w:t>
      </w:r>
    </w:p>
    <w:p w:rsidR="00000000" w:rsidRDefault="009D532D">
      <w:pPr>
        <w:divId w:val="1039624087"/>
        <w:rPr>
          <w:rFonts w:eastAsia="Times New Roman"/>
        </w:rPr>
      </w:pPr>
      <w:r>
        <w:rPr>
          <w:rFonts w:eastAsia="Times New Roman"/>
          <w:b/>
          <w:bCs/>
          <w:color w:val="000000"/>
          <w:sz w:val="20"/>
          <w:szCs w:val="20"/>
        </w:rPr>
        <w:t>9. Deferred Charges and Other Assets, net: (Continued)</w:t>
      </w:r>
    </w:p>
    <w:p w:rsidR="00000000" w:rsidRDefault="009D532D">
      <w:pPr>
        <w:ind w:firstLine="495"/>
        <w:divId w:val="1936478528"/>
        <w:rPr>
          <w:rFonts w:eastAsia="Times New Roman"/>
        </w:rPr>
      </w:pPr>
      <w:r>
        <w:rPr>
          <w:rFonts w:eastAsia="Times New Roman"/>
          <w:color w:val="000000"/>
          <w:sz w:val="20"/>
          <w:szCs w:val="20"/>
        </w:rPr>
        <w:t>The allocated values of above-market leases and below-market leases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0"/>
        <w:gridCol w:w="929"/>
        <w:gridCol w:w="36"/>
        <w:gridCol w:w="36"/>
        <w:gridCol w:w="36"/>
        <w:gridCol w:w="36"/>
        <w:gridCol w:w="120"/>
        <w:gridCol w:w="891"/>
        <w:gridCol w:w="36"/>
      </w:tblGrid>
      <w:tr w:rsidR="00000000">
        <w:trPr>
          <w:divId w:val="1936478528"/>
        </w:trPr>
        <w:tc>
          <w:tcPr>
            <w:tcW w:w="50" w:type="pct"/>
            <w:vAlign w:val="center"/>
            <w:hideMark/>
          </w:tcPr>
          <w:p w:rsidR="00000000" w:rsidRDefault="009D532D">
            <w:pPr>
              <w:ind w:firstLine="495"/>
              <w:rPr>
                <w:rFonts w:eastAsia="Times New Roman"/>
              </w:rPr>
            </w:pPr>
          </w:p>
        </w:tc>
        <w:tc>
          <w:tcPr>
            <w:tcW w:w="343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8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936478528"/>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93647852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93647852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77,740 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80,120 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3647852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(32,503)</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(33,271)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36478528"/>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3647852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93647852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105,013 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114,790 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3647852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(35,907)</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(43,656)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36478528"/>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69,106 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9D532D">
            <w:pPr>
              <w:ind w:firstLine="495"/>
              <w:rPr>
                <w:rFonts w:eastAsia="Times New Roman"/>
              </w:rPr>
            </w:pPr>
          </w:p>
        </w:tc>
        <w:tc>
          <w:tcPr>
            <w:tcW w:w="14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67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01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ind w:hanging="360"/>
        <w:divId w:val="715743278"/>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p>
    <w:p w:rsidR="00000000" w:rsidRDefault="009D532D">
      <w:pPr>
        <w:ind w:hanging="360"/>
        <w:divId w:val="1692145101"/>
        <w:rPr>
          <w:rFonts w:eastAsia="Times New Roman"/>
        </w:rPr>
      </w:pPr>
    </w:p>
    <w:p w:rsidR="00000000" w:rsidRDefault="009D532D">
      <w:pPr>
        <w:divId w:val="1444688270"/>
        <w:rPr>
          <w:rFonts w:eastAsia="Times New Roman"/>
        </w:rPr>
      </w:pPr>
      <w:r>
        <w:rPr>
          <w:rFonts w:eastAsia="Times New Roman"/>
          <w:b/>
          <w:bCs/>
          <w:color w:val="000000"/>
          <w:sz w:val="20"/>
          <w:szCs w:val="20"/>
        </w:rPr>
        <w:t>10. Mortgage Notes Payable:</w:t>
      </w:r>
    </w:p>
    <w:p w:rsidR="00000000" w:rsidRDefault="009D532D">
      <w:pPr>
        <w:ind w:firstLine="495"/>
        <w:divId w:val="714159743"/>
        <w:rPr>
          <w:rFonts w:eastAsia="Times New Roman"/>
        </w:rPr>
      </w:pPr>
      <w:r>
        <w:rPr>
          <w:rFonts w:eastAsia="Times New Roman"/>
          <w:color w:val="000000"/>
          <w:sz w:val="20"/>
          <w:szCs w:val="20"/>
        </w:rPr>
        <w:t>Mortgage notes payable at March 31, 2021 and December 31, 2020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40"/>
        <w:gridCol w:w="2368"/>
        <w:gridCol w:w="39"/>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trPr>
          <w:divId w:val="714159743"/>
        </w:trPr>
        <w:tc>
          <w:tcPr>
            <w:tcW w:w="50" w:type="pct"/>
            <w:vAlign w:val="center"/>
            <w:hideMark/>
          </w:tcPr>
          <w:p w:rsidR="00000000" w:rsidRDefault="009D532D">
            <w:pPr>
              <w:ind w:firstLine="495"/>
              <w:rPr>
                <w:rFonts w:eastAsia="Times New Roman"/>
              </w:rPr>
            </w:pPr>
          </w:p>
        </w:tc>
        <w:tc>
          <w:tcPr>
            <w:tcW w:w="19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6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1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5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5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3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714159743"/>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714159743"/>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trPr>
          <w:divId w:val="71415974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255,407 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255,361 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2024</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184,775 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186,741 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5.56 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2021</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Fashion District Philadelphia</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201,000 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201,000 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2024</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299,213 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299,193 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2031</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100,820 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101,463 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2023</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398,588 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398,545 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2029</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323,907 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323,857 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2026</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Green Acres Commons(7)</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124,631 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129,847 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2023</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Green Acres Mall(8)</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257,115 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270,570 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2023</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Kings Plaza Shopping Center</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535,542 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535,413 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2030</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Oaks, The</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180,731 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183,108 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2022</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Pacific View</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114,065 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114,909 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2022</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Queens Center</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2025</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Santa Monica Place(9)</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298,753 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298,566 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2022</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219,254 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219,233 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2029</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Towne Mall</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19,690 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19,815 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2022</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Tucson La Encantada</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61,480 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62,018 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2022</w:t>
            </w:r>
          </w:p>
        </w:tc>
      </w:tr>
      <w:tr w:rsidR="00000000">
        <w:trPr>
          <w:divId w:val="714159743"/>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Victor Valley, Mall of</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114,806 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114,791 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2024</w:t>
            </w:r>
          </w:p>
        </w:tc>
      </w:tr>
      <w:tr w:rsidR="00000000">
        <w:trPr>
          <w:divId w:val="714159743"/>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Vintage Faire Mall</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244,808 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246,380 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1,256 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2026</w:t>
            </w:r>
          </w:p>
        </w:tc>
      </w:tr>
      <w:tr w:rsidR="00000000">
        <w:trPr>
          <w:divId w:val="714159743"/>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4,534,585 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4,560,810 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r>
    </w:tbl>
    <w:p w:rsidR="00000000" w:rsidRDefault="009D532D">
      <w:pPr>
        <w:jc w:val="center"/>
        <w:rPr>
          <w:rFonts w:eastAsia="Times New Roman"/>
        </w:rPr>
      </w:pPr>
    </w:p>
    <w:p w:rsidR="00000000" w:rsidRDefault="009D532D">
      <w:pPr>
        <w:ind w:hanging="450"/>
        <w:divId w:val="907424503"/>
        <w:rPr>
          <w:rFonts w:eastAsia="Times New Roman"/>
        </w:rPr>
      </w:pPr>
      <w:r>
        <w:rPr>
          <w:rFonts w:eastAsia="Times New Roman"/>
          <w:color w:val="000000"/>
          <w:sz w:val="16"/>
          <w:szCs w:val="16"/>
        </w:rPr>
        <w:t>(1)</w:t>
      </w:r>
      <w:r>
        <w:rPr>
          <w:rFonts w:eastAsia="Times New Roman"/>
          <w:color w:val="000000"/>
          <w:sz w:val="16"/>
          <w:szCs w:val="16"/>
        </w:rPr>
        <w:t xml:space="preserve">The mortgage notes payable also include unamortized deferred finance costs that are amortized into interest expense over the remaining term of the related debt in a manner that approximates the effective interest method. Unamortized deferred finance costs </w:t>
      </w:r>
      <w:r>
        <w:rPr>
          <w:rFonts w:eastAsia="Times New Roman"/>
          <w:color w:val="000000"/>
          <w:sz w:val="16"/>
          <w:szCs w:val="16"/>
        </w:rPr>
        <w:t>were $16,325 and $14,085 at March 31, 2021 and December 31, 2020, respectively.</w:t>
      </w:r>
    </w:p>
    <w:p w:rsidR="00000000" w:rsidRDefault="009D532D">
      <w:pPr>
        <w:jc w:val="center"/>
        <w:divId w:val="1350060979"/>
        <w:rPr>
          <w:rFonts w:eastAsia="Times New Roman"/>
        </w:rPr>
      </w:pPr>
      <w:r>
        <w:rPr>
          <w:rFonts w:eastAsia="Times New Roman"/>
          <w:color w:val="000000"/>
          <w:sz w:val="20"/>
          <w:szCs w:val="20"/>
        </w:rPr>
        <w:t>18</w:t>
      </w:r>
    </w:p>
    <w:p w:rsidR="00000000" w:rsidRDefault="009D532D">
      <w:pPr>
        <w:rPr>
          <w:rFonts w:eastAsia="Times New Roman"/>
        </w:rPr>
      </w:pPr>
      <w:r>
        <w:rPr>
          <w:rFonts w:eastAsia="Times New Roman"/>
        </w:rPr>
        <w:pict>
          <v:rect id="_x0000_i1042" style="width:0;height:1.5pt" o:hralign="center" o:hrstd="t" o:hr="t" fillcolor="#a0a0a0" stroked="f"/>
        </w:pict>
      </w:r>
    </w:p>
    <w:p w:rsidR="00000000" w:rsidRDefault="009D532D">
      <w:pPr>
        <w:divId w:val="416949620"/>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540242850"/>
        <w:rPr>
          <w:rFonts w:eastAsia="Times New Roman"/>
        </w:rPr>
      </w:pPr>
      <w:r>
        <w:rPr>
          <w:rFonts w:eastAsia="Times New Roman"/>
          <w:b/>
          <w:bCs/>
          <w:color w:val="000000"/>
          <w:sz w:val="20"/>
          <w:szCs w:val="20"/>
        </w:rPr>
        <w:t>THE MACERICH COMPANY</w:t>
      </w:r>
    </w:p>
    <w:p w:rsidR="00000000" w:rsidRDefault="009D532D">
      <w:pPr>
        <w:jc w:val="center"/>
        <w:divId w:val="102305883"/>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 (Continued)</w:t>
      </w:r>
    </w:p>
    <w:p w:rsidR="00000000" w:rsidRDefault="009D532D">
      <w:pPr>
        <w:jc w:val="center"/>
        <w:divId w:val="1960799813"/>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1794975925"/>
        <w:rPr>
          <w:rFonts w:eastAsia="Times New Roman"/>
        </w:rPr>
      </w:pPr>
      <w:r>
        <w:rPr>
          <w:rFonts w:eastAsia="Times New Roman"/>
          <w:b/>
          <w:bCs/>
          <w:color w:val="000000"/>
          <w:sz w:val="20"/>
          <w:szCs w:val="20"/>
        </w:rPr>
        <w:t>(Unaudited)</w:t>
      </w:r>
    </w:p>
    <w:p w:rsidR="00000000" w:rsidRDefault="009D532D">
      <w:pPr>
        <w:divId w:val="1113281857"/>
        <w:rPr>
          <w:rFonts w:eastAsia="Times New Roman"/>
        </w:rPr>
      </w:pPr>
      <w:r>
        <w:rPr>
          <w:rFonts w:eastAsia="Times New Roman"/>
          <w:b/>
          <w:bCs/>
          <w:color w:val="000000"/>
          <w:sz w:val="20"/>
          <w:szCs w:val="20"/>
        </w:rPr>
        <w:t>10. Mortgage Notes Payable: (Continued)</w:t>
      </w:r>
    </w:p>
    <w:p w:rsidR="00000000" w:rsidRDefault="009D532D">
      <w:pPr>
        <w:ind w:hanging="450"/>
        <w:divId w:val="384330382"/>
        <w:rPr>
          <w:rFonts w:eastAsia="Times New Roman"/>
        </w:rPr>
      </w:pPr>
      <w:r>
        <w:rPr>
          <w:rFonts w:eastAsia="Times New Roman"/>
          <w:color w:val="000000"/>
          <w:sz w:val="16"/>
          <w:szCs w:val="16"/>
        </w:rPr>
        <w:t>(2)The interest rate disclosed represents the effective interest rate, including the impact of debt premium and deferred fi</w:t>
      </w:r>
      <w:r>
        <w:rPr>
          <w:rFonts w:eastAsia="Times New Roman"/>
          <w:color w:val="000000"/>
          <w:sz w:val="16"/>
          <w:szCs w:val="16"/>
        </w:rPr>
        <w:t>nance costs.</w:t>
      </w:r>
    </w:p>
    <w:p w:rsidR="00000000" w:rsidRDefault="009D532D">
      <w:pPr>
        <w:ind w:hanging="450"/>
        <w:divId w:val="1665275120"/>
        <w:rPr>
          <w:rFonts w:eastAsia="Times New Roman"/>
        </w:rPr>
      </w:pPr>
      <w:r>
        <w:rPr>
          <w:rFonts w:eastAsia="Times New Roman"/>
          <w:color w:val="000000"/>
          <w:sz w:val="16"/>
          <w:szCs w:val="16"/>
        </w:rPr>
        <w:t>(3)The monthly debt service represents the payment of principal and interest.</w:t>
      </w:r>
    </w:p>
    <w:p w:rsidR="00000000" w:rsidRDefault="009D532D">
      <w:pPr>
        <w:ind w:hanging="450"/>
        <w:divId w:val="963265821"/>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w:t>
      </w:r>
      <w:r>
        <w:rPr>
          <w:rFonts w:eastAsia="Times New Roman"/>
          <w:color w:val="000000"/>
          <w:sz w:val="16"/>
          <w:szCs w:val="16"/>
        </w:rPr>
        <w:t>sion options are at the Company's discretion, subject to certain conditions, which the Company believes will be met.</w:t>
      </w:r>
    </w:p>
    <w:p w:rsidR="00000000" w:rsidRDefault="009D532D">
      <w:pPr>
        <w:ind w:hanging="450"/>
        <w:divId w:val="332727157"/>
        <w:rPr>
          <w:rFonts w:eastAsia="Times New Roman"/>
        </w:rPr>
      </w:pPr>
      <w:r>
        <w:rPr>
          <w:rFonts w:eastAsia="Times New Roman"/>
          <w:color w:val="000000"/>
          <w:sz w:val="16"/>
          <w:szCs w:val="16"/>
        </w:rPr>
        <w:t xml:space="preserve">(5)A 49.9% interest in the loan has been assumed by a third party in connection with the Company's joint venture in Chandler Freehold (See </w:t>
      </w:r>
      <w:r>
        <w:rPr>
          <w:rFonts w:eastAsia="Times New Roman"/>
          <w:color w:val="000000"/>
          <w:sz w:val="16"/>
          <w:szCs w:val="16"/>
        </w:rPr>
        <w:t>Note 12—Financing Arrangement).</w:t>
      </w:r>
    </w:p>
    <w:p w:rsidR="00000000" w:rsidRDefault="009D532D">
      <w:pPr>
        <w:ind w:hanging="450"/>
        <w:divId w:val="539708128"/>
        <w:rPr>
          <w:rFonts w:eastAsia="Times New Roman"/>
        </w:rPr>
      </w:pPr>
      <w:r>
        <w:rPr>
          <w:rFonts w:eastAsia="Times New Roman"/>
          <w:color w:val="000000"/>
          <w:sz w:val="16"/>
          <w:szCs w:val="16"/>
        </w:rPr>
        <w:t xml:space="preserve">(6)On September 15, 2020, the Company closed on a loan extension agreement for Danbury Fair Mall. Under the extension agreement, the original loan maturity date of October 1, 2020 was extended to April 1, 2021. The loan was </w:t>
      </w:r>
      <w:r>
        <w:rPr>
          <w:rFonts w:eastAsia="Times New Roman"/>
          <w:color w:val="000000"/>
          <w:sz w:val="16"/>
          <w:szCs w:val="16"/>
        </w:rPr>
        <w:t>further extended to July 1, 2021, based on certain conditions. The loan amount and interest rate are unchanged following the extension.</w:t>
      </w:r>
    </w:p>
    <w:p w:rsidR="00000000" w:rsidRDefault="009D532D">
      <w:pPr>
        <w:ind w:hanging="450"/>
        <w:divId w:val="468783252"/>
        <w:rPr>
          <w:rFonts w:eastAsia="Times New Roman"/>
        </w:rPr>
      </w:pPr>
      <w:r>
        <w:rPr>
          <w:rFonts w:eastAsia="Times New Roman"/>
          <w:color w:val="000000"/>
          <w:sz w:val="16"/>
          <w:szCs w:val="16"/>
        </w:rPr>
        <w:t>(7)On March 25, 2021, the Company closed on a two-year extension of the loan to March 29, 2023. The interest rate is LIB</w:t>
      </w:r>
      <w:r>
        <w:rPr>
          <w:rFonts w:eastAsia="Times New Roman"/>
          <w:color w:val="000000"/>
          <w:sz w:val="16"/>
          <w:szCs w:val="16"/>
        </w:rPr>
        <w:t xml:space="preserve">OR plus 2.75% and the Company repaid $4,680 of the outstanding loan balance at closing. </w:t>
      </w:r>
    </w:p>
    <w:p w:rsidR="00000000" w:rsidRDefault="009D532D">
      <w:pPr>
        <w:ind w:hanging="450"/>
        <w:divId w:val="426119439"/>
        <w:rPr>
          <w:rFonts w:eastAsia="Times New Roman"/>
        </w:rPr>
      </w:pPr>
      <w:r>
        <w:rPr>
          <w:rFonts w:eastAsia="Times New Roman"/>
          <w:color w:val="000000"/>
          <w:sz w:val="16"/>
          <w:szCs w:val="16"/>
        </w:rPr>
        <w:t>(8)On January 22, 2021, the Company closed on a one-year extension of the loan to February 3, 2022, which also includes a one-year extension option to February 3, 2023</w:t>
      </w:r>
      <w:r>
        <w:rPr>
          <w:rFonts w:eastAsia="Times New Roman"/>
          <w:color w:val="000000"/>
          <w:sz w:val="16"/>
          <w:szCs w:val="16"/>
        </w:rPr>
        <w:t>. The interest rate remained unchanged, and the Company repaid $9,000 of the outstanding loan balance at closing.</w:t>
      </w:r>
    </w:p>
    <w:p w:rsidR="00000000" w:rsidRDefault="009D532D">
      <w:pPr>
        <w:ind w:hanging="450"/>
        <w:divId w:val="36972179"/>
        <w:rPr>
          <w:rFonts w:eastAsia="Times New Roman"/>
        </w:rPr>
      </w:pPr>
      <w:r>
        <w:rPr>
          <w:rFonts w:eastAsia="Times New Roman"/>
          <w:color w:val="000000"/>
          <w:sz w:val="16"/>
          <w:szCs w:val="16"/>
        </w:rPr>
        <w:t>(9)The loan bears interest at LIBOR plus 1.48%. The loan is covered by an interest rate cap agreement that effectively prevents LIBOR from exc</w:t>
      </w:r>
      <w:r>
        <w:rPr>
          <w:rFonts w:eastAsia="Times New Roman"/>
          <w:color w:val="000000"/>
          <w:sz w:val="16"/>
          <w:szCs w:val="16"/>
        </w:rPr>
        <w:t>eeding 4% during the period ending December 9, 2021 (See Note 5—Derivative Instruments and Hedging Activities). At March 31, 2021 and December 31, 2020, the total interest rate was 1.83% and 1.88%, respectively.</w:t>
      </w:r>
    </w:p>
    <w:p w:rsidR="00000000" w:rsidRDefault="009D532D">
      <w:pPr>
        <w:ind w:firstLine="495"/>
        <w:divId w:val="1895659284"/>
        <w:rPr>
          <w:rFonts w:eastAsia="Times New Roman"/>
        </w:rPr>
      </w:pPr>
      <w:r>
        <w:rPr>
          <w:rFonts w:eastAsia="Times New Roman"/>
          <w:color w:val="000000"/>
          <w:sz w:val="20"/>
          <w:szCs w:val="20"/>
        </w:rPr>
        <w:t>Most of the mortgage loan agreements contain</w:t>
      </w:r>
      <w:r>
        <w:rPr>
          <w:rFonts w:eastAsia="Times New Roman"/>
          <w:color w:val="000000"/>
          <w:sz w:val="20"/>
          <w:szCs w:val="20"/>
        </w:rPr>
        <w:t xml:space="preserve"> a prepayment penalty provision for the early extinguishment of the debt.</w:t>
      </w:r>
    </w:p>
    <w:p w:rsidR="00000000" w:rsidRDefault="009D532D">
      <w:pPr>
        <w:ind w:firstLine="495"/>
        <w:divId w:val="1602953426"/>
        <w:rPr>
          <w:rFonts w:eastAsia="Times New Roman"/>
        </w:rPr>
      </w:pPr>
      <w:r>
        <w:rPr>
          <w:rFonts w:eastAsia="Times New Roman"/>
          <w:color w:val="000000"/>
          <w:sz w:val="20"/>
          <w:szCs w:val="20"/>
        </w:rPr>
        <w:t xml:space="preserve">The Company's mortgage notes payable are secured by the properties on which they are placed and are non-recourse to the Company. </w:t>
      </w:r>
    </w:p>
    <w:p w:rsidR="00000000" w:rsidRDefault="009D532D">
      <w:pPr>
        <w:ind w:firstLine="495"/>
        <w:divId w:val="620377090"/>
        <w:rPr>
          <w:rFonts w:eastAsia="Times New Roman"/>
        </w:rPr>
      </w:pPr>
      <w:r>
        <w:rPr>
          <w:rFonts w:eastAsia="Times New Roman"/>
          <w:color w:val="000000"/>
          <w:sz w:val="20"/>
          <w:szCs w:val="20"/>
        </w:rPr>
        <w:t xml:space="preserve">The Company expects that all loan maturities during </w:t>
      </w:r>
      <w:r>
        <w:rPr>
          <w:rFonts w:eastAsia="Times New Roman"/>
          <w:color w:val="000000"/>
          <w:sz w:val="20"/>
          <w:szCs w:val="20"/>
        </w:rPr>
        <w:t>the next twelve months will be refinanced, restructured, extended and/or paid off from the Company's line of credit or with cash on hand.</w:t>
      </w:r>
    </w:p>
    <w:p w:rsidR="00000000" w:rsidRDefault="009D532D">
      <w:pPr>
        <w:ind w:firstLine="495"/>
        <w:divId w:val="1487866909"/>
        <w:rPr>
          <w:rFonts w:eastAsia="Times New Roman"/>
        </w:rPr>
      </w:pPr>
      <w:r>
        <w:rPr>
          <w:rFonts w:eastAsia="Times New Roman"/>
          <w:color w:val="000000"/>
          <w:sz w:val="20"/>
          <w:szCs w:val="20"/>
        </w:rPr>
        <w:t>Total interest expense capitalized was $1,462 and $1,295 for the three months ended March 31, 2021 and 2020, respectiv</w:t>
      </w:r>
      <w:r>
        <w:rPr>
          <w:rFonts w:eastAsia="Times New Roman"/>
          <w:color w:val="000000"/>
          <w:sz w:val="20"/>
          <w:szCs w:val="20"/>
        </w:rPr>
        <w:t>ely.</w:t>
      </w:r>
    </w:p>
    <w:p w:rsidR="00000000" w:rsidRDefault="009D532D">
      <w:pPr>
        <w:ind w:firstLine="495"/>
        <w:divId w:val="1137574505"/>
        <w:rPr>
          <w:rFonts w:eastAsia="Times New Roman"/>
        </w:rPr>
      </w:pPr>
      <w:r>
        <w:rPr>
          <w:rFonts w:eastAsia="Times New Roman"/>
          <w:color w:val="000000"/>
          <w:sz w:val="20"/>
          <w:szCs w:val="20"/>
        </w:rPr>
        <w:t>The estimated fair value (Level 2 measurement) of mortgage notes payable at March 31, 2021 and December 31, 2020 was $4,466,749 and $4,459,797, respectively, based on current interest rates for comparable loans. Fair value was determined using a prese</w:t>
      </w:r>
      <w:r>
        <w:rPr>
          <w:rFonts w:eastAsia="Times New Roman"/>
          <w:color w:val="000000"/>
          <w:sz w:val="20"/>
          <w:szCs w:val="20"/>
        </w:rPr>
        <w:t>nt value model and an interest rate that included a credit value adjustment based on the estimated value of the property that serves as collateral for the underlying debt.</w:t>
      </w:r>
    </w:p>
    <w:p w:rsidR="00000000" w:rsidRDefault="009D532D">
      <w:pPr>
        <w:divId w:val="2025159405"/>
        <w:rPr>
          <w:rFonts w:eastAsia="Times New Roman"/>
        </w:rPr>
      </w:pPr>
      <w:r>
        <w:rPr>
          <w:rFonts w:eastAsia="Times New Roman"/>
          <w:b/>
          <w:bCs/>
          <w:color w:val="000000"/>
          <w:sz w:val="20"/>
          <w:szCs w:val="20"/>
        </w:rPr>
        <w:t>11. Bank and Other Notes Payable:</w:t>
      </w:r>
    </w:p>
    <w:p w:rsidR="00000000" w:rsidRDefault="009D532D">
      <w:pPr>
        <w:ind w:firstLine="495"/>
        <w:divId w:val="2025285878"/>
        <w:rPr>
          <w:rFonts w:eastAsia="Times New Roman"/>
        </w:rPr>
      </w:pPr>
      <w:r>
        <w:rPr>
          <w:rFonts w:eastAsia="Times New Roman"/>
          <w:color w:val="000000"/>
          <w:sz w:val="20"/>
          <w:szCs w:val="20"/>
        </w:rPr>
        <w:t>Bank and other notes payable consist of the follow</w:t>
      </w:r>
      <w:r>
        <w:rPr>
          <w:rFonts w:eastAsia="Times New Roman"/>
          <w:color w:val="000000"/>
          <w:sz w:val="20"/>
          <w:szCs w:val="20"/>
        </w:rPr>
        <w:t>ing:</w:t>
      </w:r>
    </w:p>
    <w:p w:rsidR="00000000" w:rsidRDefault="009D532D">
      <w:pPr>
        <w:ind w:firstLine="450"/>
        <w:divId w:val="1438870098"/>
        <w:rPr>
          <w:rFonts w:eastAsia="Times New Roman"/>
        </w:rPr>
      </w:pPr>
      <w:r>
        <w:rPr>
          <w:rFonts w:eastAsia="Times New Roman"/>
          <w:i/>
          <w:iCs/>
          <w:color w:val="000000"/>
          <w:sz w:val="20"/>
          <w:szCs w:val="20"/>
        </w:rPr>
        <w:t>Line of Credit:</w:t>
      </w:r>
    </w:p>
    <w:p w:rsidR="00000000" w:rsidRDefault="009D532D">
      <w:pPr>
        <w:ind w:firstLine="495"/>
        <w:divId w:val="1642072067"/>
        <w:rPr>
          <w:rFonts w:eastAsia="Times New Roman"/>
        </w:rPr>
      </w:pPr>
      <w:r>
        <w:rPr>
          <w:rFonts w:eastAsia="Times New Roman"/>
          <w:color w:val="000000"/>
          <w:sz w:val="20"/>
          <w:szCs w:val="20"/>
        </w:rPr>
        <w:t>The Company had a $1,500,000 revolving line of credit that bore interest at LIBOR plus a spread of 1.30% to 1.90%, depending on the Company's overall leverage level, and was to mature on July 6, 2020. On April 8, 2020, the Company exer</w:t>
      </w:r>
      <w:r>
        <w:rPr>
          <w:rFonts w:eastAsia="Times New Roman"/>
          <w:color w:val="000000"/>
          <w:sz w:val="20"/>
          <w:szCs w:val="20"/>
        </w:rPr>
        <w:t xml:space="preserve">cised its option to extend the maturity of the facility to July 6, 2021. The line of credit could be expanded, depending on certain conditions, up to a total facility of $2,000,000. Based on the Company's leverage level as of March 31, 2021, the borrowing </w:t>
      </w:r>
      <w:r>
        <w:rPr>
          <w:rFonts w:eastAsia="Times New Roman"/>
          <w:color w:val="000000"/>
          <w:sz w:val="20"/>
          <w:szCs w:val="20"/>
        </w:rPr>
        <w:t>rate on the facility was LIBOR plus 1.65%. The Company has four interest rate swap agreements that effectively convert a total of $400,000 of the outstanding balance from floating rate debt of LIBOR plus 1.65% to fixed rate debt of 4.50% until September 30</w:t>
      </w:r>
      <w:r>
        <w:rPr>
          <w:rFonts w:eastAsia="Times New Roman"/>
          <w:color w:val="000000"/>
          <w:sz w:val="20"/>
          <w:szCs w:val="20"/>
        </w:rPr>
        <w:t>, 2021 (See Note 5—Derivative Instruments and Hedging Activities). As of March 31, 2021 and December 31, 2020, borrowings under the line of credit were $1,480,000 and $1,480,000, respectively, less unamortized deferred finance costs of $1,284 and $2,460, r</w:t>
      </w:r>
      <w:r>
        <w:rPr>
          <w:rFonts w:eastAsia="Times New Roman"/>
          <w:color w:val="000000"/>
          <w:sz w:val="20"/>
          <w:szCs w:val="20"/>
        </w:rPr>
        <w:t>espectively, at a total interest rate of 2.73% and 2.73%, respectively. As of March 31, 2021 and December 31, 2020, the Company's availability under the line of credit for additional borrowings was $19,719 and $19,719, respectively. The estimated fair valu</w:t>
      </w:r>
      <w:r>
        <w:rPr>
          <w:rFonts w:eastAsia="Times New Roman"/>
          <w:color w:val="000000"/>
          <w:sz w:val="20"/>
          <w:szCs w:val="20"/>
        </w:rPr>
        <w:t>e (Level 2 measurement) of the line of credit at March 31, 2021 and December 31, 2020 was $1,483,027 and $1,485,598, respectively, based on a present value model using a credit interest rate spread offered to the Company for comparable debt.</w:t>
      </w:r>
    </w:p>
    <w:p w:rsidR="00000000" w:rsidRDefault="009D532D">
      <w:pPr>
        <w:jc w:val="center"/>
        <w:divId w:val="1484468939"/>
        <w:rPr>
          <w:rFonts w:eastAsia="Times New Roman"/>
        </w:rPr>
      </w:pPr>
      <w:r>
        <w:rPr>
          <w:rFonts w:eastAsia="Times New Roman"/>
          <w:color w:val="000000"/>
          <w:sz w:val="20"/>
          <w:szCs w:val="20"/>
        </w:rPr>
        <w:t>19</w:t>
      </w:r>
    </w:p>
    <w:p w:rsidR="00000000" w:rsidRDefault="009D532D">
      <w:pPr>
        <w:rPr>
          <w:rFonts w:eastAsia="Times New Roman"/>
        </w:rPr>
      </w:pPr>
      <w:r>
        <w:rPr>
          <w:rFonts w:eastAsia="Times New Roman"/>
        </w:rPr>
        <w:pict>
          <v:rect id="_x0000_i1043" style="width:0;height:1.5pt" o:hralign="center" o:hrstd="t" o:hr="t" fillcolor="#a0a0a0" stroked="f"/>
        </w:pict>
      </w:r>
    </w:p>
    <w:p w:rsidR="00000000" w:rsidRDefault="009D532D">
      <w:pPr>
        <w:divId w:val="577516504"/>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44785326"/>
        <w:rPr>
          <w:rFonts w:eastAsia="Times New Roman"/>
        </w:rPr>
      </w:pPr>
      <w:r>
        <w:rPr>
          <w:rFonts w:eastAsia="Times New Roman"/>
          <w:b/>
          <w:bCs/>
          <w:color w:val="000000"/>
          <w:sz w:val="20"/>
          <w:szCs w:val="20"/>
        </w:rPr>
        <w:t>THE MACERICH COMPANY</w:t>
      </w:r>
    </w:p>
    <w:p w:rsidR="00000000" w:rsidRDefault="009D532D">
      <w:pPr>
        <w:jc w:val="center"/>
        <w:divId w:val="566648284"/>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971784605"/>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258146772"/>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9D532D">
      <w:pPr>
        <w:divId w:val="545921069"/>
        <w:rPr>
          <w:rFonts w:eastAsia="Times New Roman"/>
        </w:rPr>
      </w:pPr>
      <w:r>
        <w:rPr>
          <w:rFonts w:eastAsia="Times New Roman"/>
          <w:b/>
          <w:bCs/>
          <w:color w:val="000000"/>
          <w:sz w:val="20"/>
          <w:szCs w:val="20"/>
        </w:rPr>
        <w:t>11. Bank and Other Notes Payable: (Continued)</w:t>
      </w:r>
    </w:p>
    <w:p w:rsidR="00000000" w:rsidRDefault="009D532D">
      <w:pPr>
        <w:ind w:firstLine="495"/>
        <w:divId w:val="1184125250"/>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$700,000 facility, including a $525,000 revolving loan fa</w:t>
      </w:r>
      <w:r>
        <w:rPr>
          <w:rFonts w:eastAsia="Times New Roman"/>
          <w:color w:val="000000"/>
          <w:sz w:val="20"/>
          <w:szCs w:val="20"/>
        </w:rPr>
        <w:t>cility that matures on April 14, 2023, with a one-year extension option, and a $175,000 term loan facility that matures on April 14, 2024. The revolving loan facility can be expanded up to $800,000, subject to receipt of lender commitments and other condit</w:t>
      </w:r>
      <w:r>
        <w:rPr>
          <w:rFonts w:eastAsia="Times New Roman"/>
          <w:color w:val="000000"/>
          <w:sz w:val="20"/>
          <w:szCs w:val="20"/>
        </w:rPr>
        <w:t>ions. Concurrently with entering into the new credit agreement, the Company drew the $175,000 term loan in its entirety and drew $320,000 of the amount available under the revolving loan facility. Simultaneously with entering into the new credit agreement,</w:t>
      </w:r>
      <w:r>
        <w:rPr>
          <w:rFonts w:eastAsia="Times New Roman"/>
          <w:color w:val="000000"/>
          <w:sz w:val="20"/>
          <w:szCs w:val="20"/>
        </w:rPr>
        <w:t xml:space="preserve"> the Company repaid $985,000 of debt, which included terminating and repaying all amounts outstanding under its prior revolving line of credit facility. All obligations under the facility are guaranteed unconditionally by the Company and are secured in the</w:t>
      </w:r>
      <w:r>
        <w:rPr>
          <w:rFonts w:eastAsia="Times New Roman"/>
          <w:color w:val="000000"/>
          <w:sz w:val="20"/>
          <w:szCs w:val="20"/>
        </w:rPr>
        <w:t xml:space="preserve"> form of mortgages on certain wholly-owned assets and pledges of equity interests held by certain of the Company’s subsidiaries. As of April 14, 2021, the borrowing rate was LIBOR plus 2.75%.</w:t>
      </w:r>
    </w:p>
    <w:p w:rsidR="00000000" w:rsidRDefault="009D532D">
      <w:pPr>
        <w:ind w:firstLine="495"/>
        <w:divId w:val="1681005404"/>
        <w:rPr>
          <w:rFonts w:eastAsia="Times New Roman"/>
        </w:rPr>
      </w:pPr>
      <w:r>
        <w:rPr>
          <w:rFonts w:eastAsia="Times New Roman"/>
          <w:color w:val="000000"/>
          <w:sz w:val="20"/>
          <w:szCs w:val="20"/>
        </w:rPr>
        <w:t>As of March 31, 2021 and December 31, 2020, the Company was in c</w:t>
      </w:r>
      <w:r>
        <w:rPr>
          <w:rFonts w:eastAsia="Times New Roman"/>
          <w:color w:val="000000"/>
          <w:sz w:val="20"/>
          <w:szCs w:val="20"/>
        </w:rPr>
        <w:t>ompliance with all applicable financial loan covenants.</w:t>
      </w:r>
    </w:p>
    <w:p w:rsidR="00000000" w:rsidRDefault="009D532D">
      <w:pPr>
        <w:divId w:val="401759540"/>
        <w:rPr>
          <w:rFonts w:eastAsia="Times New Roman"/>
        </w:rPr>
      </w:pPr>
      <w:r>
        <w:rPr>
          <w:rFonts w:eastAsia="Times New Roman"/>
          <w:b/>
          <w:bCs/>
          <w:color w:val="000000"/>
          <w:sz w:val="20"/>
          <w:szCs w:val="20"/>
        </w:rPr>
        <w:t>12. Financing Arrangement:</w:t>
      </w:r>
    </w:p>
    <w:p w:rsidR="00000000" w:rsidRDefault="009D532D">
      <w:pPr>
        <w:ind w:firstLine="495"/>
        <w:divId w:val="782067800"/>
        <w:rPr>
          <w:rFonts w:eastAsia="Times New Roman"/>
        </w:rPr>
      </w:pPr>
      <w:r>
        <w:rPr>
          <w:rFonts w:eastAsia="Times New Roman"/>
          <w:color w:val="000000"/>
          <w:sz w:val="20"/>
          <w:szCs w:val="20"/>
        </w:rPr>
        <w:t>On September 30, 2009, the Company formed a joint venture whereby a third party acquired a 49.9% interest in Chandler Fashion Center, a 1,318,000 square foot regional shoppi</w:t>
      </w:r>
      <w:r>
        <w:rPr>
          <w:rFonts w:eastAsia="Times New Roman"/>
          <w:color w:val="000000"/>
          <w:sz w:val="20"/>
          <w:szCs w:val="20"/>
        </w:rPr>
        <w:t>ng center in Chandler, Arizona, and Freehold Raceway Mall, a 1,552,000 square foot regional shopping center in Freehold, New Jersey (collectively referred to herein as "Chandler Freehold"). As a result of the Company having certain rights under the agreeme</w:t>
      </w:r>
      <w:r>
        <w:rPr>
          <w:rFonts w:eastAsia="Times New Roman"/>
          <w:color w:val="000000"/>
          <w:sz w:val="20"/>
          <w:szCs w:val="20"/>
        </w:rPr>
        <w:t>nt to repurchase the assets after the seventh year of the formation of Chandler Freehold, the transaction did not qualify for sale treatment. The Company, however, is not obligated to repurchase the assets. The Company accounts for its investment in Chandl</w:t>
      </w:r>
      <w:r>
        <w:rPr>
          <w:rFonts w:eastAsia="Times New Roman"/>
          <w:color w:val="000000"/>
          <w:sz w:val="20"/>
          <w:szCs w:val="20"/>
        </w:rPr>
        <w:t>er Freehold as a financing arrangement. The fair value (Level 3 measurement) of the financing arrangement obligation at March 31, 2021 and December 31, 2020 was based upon a terminal capitalization rate of 5.75% and 5.5%, respectively, a discount rate of 7</w:t>
      </w:r>
      <w:r>
        <w:rPr>
          <w:rFonts w:eastAsia="Times New Roman"/>
          <w:color w:val="000000"/>
          <w:sz w:val="20"/>
          <w:szCs w:val="20"/>
        </w:rPr>
        <w:t xml:space="preserve">.25% and 7.0%, respectively, and market rents per square foot of $35 to $105. The fair value of the financing arrangement obligation is sensitive to these significant unobservable inputs and a change in these inputs may result in a significantly higher or </w:t>
      </w:r>
      <w:r>
        <w:rPr>
          <w:rFonts w:eastAsia="Times New Roman"/>
          <w:color w:val="000000"/>
          <w:sz w:val="20"/>
          <w:szCs w:val="20"/>
        </w:rPr>
        <w:t>lower fair value measurement. Distributions to the partner, excluding distributions of excess loan proceeds, and changes in fair value of the financing arrangement obligation are recognized as interest (income) expense in the Company's consolidated stateme</w:t>
      </w:r>
      <w:r>
        <w:rPr>
          <w:rFonts w:eastAsia="Times New Roman"/>
          <w:color w:val="000000"/>
          <w:sz w:val="20"/>
          <w:szCs w:val="20"/>
        </w:rPr>
        <w:t xml:space="preserve">nts of operations. </w:t>
      </w:r>
    </w:p>
    <w:p w:rsidR="00000000" w:rsidRDefault="009D532D">
      <w:pPr>
        <w:ind w:firstLine="495"/>
        <w:divId w:val="634411798"/>
        <w:rPr>
          <w:rFonts w:eastAsia="Times New Roman"/>
        </w:rPr>
      </w:pPr>
      <w:r>
        <w:rPr>
          <w:rFonts w:eastAsia="Times New Roman"/>
          <w:color w:val="000000"/>
          <w:sz w:val="20"/>
          <w:szCs w:val="20"/>
        </w:rPr>
        <w:t>During the three months ended March 31, 2021 and 2020, the Company incurred interest income in connection with the financing arrangement as follows:</w:t>
      </w:r>
    </w:p>
    <w:p w:rsidR="00000000" w:rsidRDefault="009D532D">
      <w:pPr>
        <w:ind w:firstLine="495"/>
        <w:divId w:val="237399300"/>
        <w:rPr>
          <w:rFonts w:eastAsia="Times New Roman"/>
        </w:rPr>
      </w:pPr>
    </w:p>
    <w:tbl>
      <w:tblPr>
        <w:tblW w:w="3662" w:type="pct"/>
        <w:tblCellMar>
          <w:top w:w="15" w:type="dxa"/>
          <w:left w:w="15" w:type="dxa"/>
          <w:bottom w:w="15" w:type="dxa"/>
          <w:right w:w="15" w:type="dxa"/>
        </w:tblCellMar>
        <w:tblLook w:val="04A0" w:firstRow="1" w:lastRow="0" w:firstColumn="1" w:lastColumn="0" w:noHBand="0" w:noVBand="1"/>
      </w:tblPr>
      <w:tblGrid>
        <w:gridCol w:w="37"/>
        <w:gridCol w:w="4178"/>
        <w:gridCol w:w="36"/>
        <w:gridCol w:w="36"/>
        <w:gridCol w:w="36"/>
        <w:gridCol w:w="36"/>
        <w:gridCol w:w="36"/>
        <w:gridCol w:w="120"/>
        <w:gridCol w:w="584"/>
        <w:gridCol w:w="36"/>
        <w:gridCol w:w="36"/>
        <w:gridCol w:w="36"/>
        <w:gridCol w:w="36"/>
        <w:gridCol w:w="120"/>
        <w:gridCol w:w="684"/>
        <w:gridCol w:w="36"/>
      </w:tblGrid>
      <w:tr w:rsidR="00000000">
        <w:trPr>
          <w:divId w:val="916287176"/>
        </w:trPr>
        <w:tc>
          <w:tcPr>
            <w:tcW w:w="50" w:type="pct"/>
            <w:vAlign w:val="center"/>
            <w:hideMark/>
          </w:tcPr>
          <w:p w:rsidR="00000000" w:rsidRDefault="009D532D">
            <w:pPr>
              <w:ind w:firstLine="495"/>
              <w:rPr>
                <w:rFonts w:eastAsia="Times New Roman"/>
              </w:rPr>
            </w:pPr>
          </w:p>
        </w:tc>
        <w:tc>
          <w:tcPr>
            <w:tcW w:w="373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916287176"/>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916287176"/>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91628717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Distributions equal to the partner's share of net (loss)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6287176"/>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Distributions in excess of the partner's share of net income</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3,414 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2,677 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628717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Adjustment to fair value of financing arrangement obligation</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(48,384)</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6287176"/>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(44,243)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divId w:val="134414426"/>
        <w:rPr>
          <w:rFonts w:eastAsia="Times New Roman"/>
        </w:rPr>
      </w:pPr>
      <w:r>
        <w:rPr>
          <w:rFonts w:eastAsia="Times New Roman"/>
          <w:b/>
          <w:bCs/>
          <w:color w:val="000000"/>
          <w:sz w:val="20"/>
          <w:szCs w:val="20"/>
        </w:rPr>
        <w:t>13. Noncontrolling Interests:</w:t>
      </w:r>
    </w:p>
    <w:p w:rsidR="00000000" w:rsidRDefault="009D532D">
      <w:pPr>
        <w:ind w:firstLine="495"/>
        <w:divId w:val="67461630"/>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Company is reflec</w:t>
      </w:r>
      <w:r>
        <w:rPr>
          <w:rFonts w:eastAsia="Times New Roman"/>
          <w:color w:val="000000"/>
          <w:sz w:val="20"/>
          <w:szCs w:val="20"/>
        </w:rPr>
        <w:t>ted in the consolidated statements of operations as noncontrolling interests. The Company adjusts the noncontrolling interests in the Operating Partnership at the end of each period to reflect its ownership interest in the Company. The Company had a 95% an</w:t>
      </w:r>
      <w:r>
        <w:rPr>
          <w:rFonts w:eastAsia="Times New Roman"/>
          <w:color w:val="000000"/>
          <w:sz w:val="20"/>
          <w:szCs w:val="20"/>
        </w:rPr>
        <w:t>d 93% ownership interest in the Operating Partnership as of March 31, 2021 and December 31, 2020, respectively. The remaining 5% and 7% limited partnership interest as of March 31, 2021 and December 31, 2020, respectively, was owned by certain of the Compa</w:t>
      </w:r>
      <w:r>
        <w:rPr>
          <w:rFonts w:eastAsia="Times New Roman"/>
          <w:color w:val="000000"/>
          <w:sz w:val="20"/>
          <w:szCs w:val="20"/>
        </w:rPr>
        <w:t xml:space="preserve">ny's executive officers and directors, certain of their affiliates and other third party investors in the form of OP Units. The OP Units may be redeemed for shares of stock or cash, at the Company's option. The redemption value for each OP Unit as </w:t>
      </w:r>
    </w:p>
    <w:p w:rsidR="00000000" w:rsidRDefault="009D532D">
      <w:pPr>
        <w:jc w:val="center"/>
        <w:divId w:val="2010055061"/>
        <w:rPr>
          <w:rFonts w:eastAsia="Times New Roman"/>
        </w:rPr>
      </w:pPr>
      <w:r>
        <w:rPr>
          <w:rFonts w:eastAsia="Times New Roman"/>
          <w:color w:val="000000"/>
          <w:sz w:val="20"/>
          <w:szCs w:val="20"/>
        </w:rPr>
        <w:t>20</w:t>
      </w:r>
    </w:p>
    <w:p w:rsidR="00000000" w:rsidRDefault="009D532D">
      <w:pPr>
        <w:rPr>
          <w:rFonts w:eastAsia="Times New Roman"/>
        </w:rPr>
      </w:pPr>
      <w:r>
        <w:rPr>
          <w:rFonts w:eastAsia="Times New Roman"/>
        </w:rPr>
        <w:pict>
          <v:rect id="_x0000_i1044" style="width:0;height:1.5pt" o:hralign="center" o:hrstd="t" o:hr="t" fillcolor="#a0a0a0" stroked="f"/>
        </w:pict>
      </w:r>
    </w:p>
    <w:p w:rsidR="00000000" w:rsidRDefault="009D532D">
      <w:pPr>
        <w:divId w:val="566036975"/>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764543097"/>
        <w:rPr>
          <w:rFonts w:eastAsia="Times New Roman"/>
        </w:rPr>
      </w:pPr>
      <w:r>
        <w:rPr>
          <w:rFonts w:eastAsia="Times New Roman"/>
          <w:b/>
          <w:bCs/>
          <w:color w:val="000000"/>
          <w:sz w:val="20"/>
          <w:szCs w:val="20"/>
        </w:rPr>
        <w:t>THE MACERICH COMPANY</w:t>
      </w:r>
    </w:p>
    <w:p w:rsidR="00000000" w:rsidRDefault="009D532D">
      <w:pPr>
        <w:jc w:val="center"/>
        <w:divId w:val="848525734"/>
        <w:rPr>
          <w:rFonts w:eastAsia="Times New Roman"/>
        </w:rPr>
      </w:pPr>
      <w:r>
        <w:rPr>
          <w:rFonts w:eastAsia="Times New Roman"/>
          <w:b/>
          <w:bCs/>
          <w:color w:val="000000"/>
          <w:sz w:val="20"/>
          <w:szCs w:val="20"/>
        </w:rPr>
        <w:t>NOTES TO CONSOLIDATED FINANCIAL STATEMENTS (Continued)</w:t>
      </w:r>
    </w:p>
    <w:p w:rsidR="00000000" w:rsidRDefault="009D532D">
      <w:pPr>
        <w:jc w:val="center"/>
        <w:divId w:val="2102480919"/>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892817032"/>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9D532D">
      <w:pPr>
        <w:divId w:val="1260748787"/>
        <w:rPr>
          <w:rFonts w:eastAsia="Times New Roman"/>
        </w:rPr>
      </w:pPr>
      <w:r>
        <w:rPr>
          <w:rFonts w:eastAsia="Times New Roman"/>
          <w:b/>
          <w:bCs/>
          <w:color w:val="000000"/>
          <w:sz w:val="20"/>
          <w:szCs w:val="20"/>
        </w:rPr>
        <w:t>13. Noncontrolling Interests: (Continued)</w:t>
      </w:r>
    </w:p>
    <w:p w:rsidR="00000000" w:rsidRDefault="009D532D">
      <w:pPr>
        <w:divId w:val="391805773"/>
        <w:rPr>
          <w:rFonts w:eastAsia="Times New Roman"/>
        </w:rPr>
      </w:pPr>
      <w:r>
        <w:rPr>
          <w:rFonts w:eastAsia="Times New Roman"/>
          <w:color w:val="000000"/>
          <w:sz w:val="20"/>
          <w:szCs w:val="20"/>
        </w:rPr>
        <w:t>of any balance sheet date is the amount equal to the average of the closing price per share of the Company's common stock, par value $0.01 per share, as reported on the New York Stock Exchange for the 10 t</w:t>
      </w:r>
      <w:r>
        <w:rPr>
          <w:rFonts w:eastAsia="Times New Roman"/>
          <w:color w:val="000000"/>
          <w:sz w:val="20"/>
          <w:szCs w:val="20"/>
        </w:rPr>
        <w:t>rading days ending on the respective balance sheet date. Accordingly, as of March 31, 2021 and December 31, 2020, the aggregate redemption value of the then-outstanding OP Units not owned by the Company was $120,767 and $117,602, respectively.</w:t>
      </w:r>
    </w:p>
    <w:p w:rsidR="00000000" w:rsidRDefault="009D532D">
      <w:pPr>
        <w:ind w:firstLine="495"/>
        <w:divId w:val="1908416875"/>
        <w:rPr>
          <w:rFonts w:eastAsia="Times New Roman"/>
        </w:rPr>
      </w:pPr>
      <w:r>
        <w:rPr>
          <w:rFonts w:eastAsia="Times New Roman"/>
          <w:color w:val="000000"/>
          <w:sz w:val="20"/>
          <w:szCs w:val="20"/>
        </w:rPr>
        <w:t xml:space="preserve">The Company </w:t>
      </w:r>
      <w:r>
        <w:rPr>
          <w:rFonts w:eastAsia="Times New Roman"/>
          <w:color w:val="000000"/>
          <w:sz w:val="20"/>
          <w:szCs w:val="20"/>
        </w:rPr>
        <w:t>issued common and preferred units of MACWH, LP in April 2005 in connection with the acquisition of the Wilmorite portfolio. The common and preferred units of MACWH, LP are redeemable at the election of the holder. The Company may redeem them for cash or sh</w:t>
      </w:r>
      <w:r>
        <w:rPr>
          <w:rFonts w:eastAsia="Times New Roman"/>
          <w:color w:val="000000"/>
          <w:sz w:val="20"/>
          <w:szCs w:val="20"/>
        </w:rPr>
        <w:t>ares of the Company's stock at the Company's option and they are classified as permanent equity.</w:t>
      </w:r>
    </w:p>
    <w:p w:rsidR="00000000" w:rsidRDefault="009D532D">
      <w:pPr>
        <w:ind w:firstLine="495"/>
        <w:divId w:val="611399459"/>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w:t>
      </w:r>
      <w:r>
        <w:rPr>
          <w:rFonts w:eastAsia="Times New Roman"/>
          <w:color w:val="000000"/>
          <w:sz w:val="20"/>
          <w:szCs w:val="20"/>
        </w:rPr>
        <w:t>pany to redeem the ownership interests in either cash or stock.</w:t>
      </w:r>
    </w:p>
    <w:p w:rsidR="00000000" w:rsidRDefault="009D532D">
      <w:pPr>
        <w:divId w:val="1656765488"/>
        <w:rPr>
          <w:rFonts w:eastAsia="Times New Roman"/>
        </w:rPr>
      </w:pPr>
      <w:r>
        <w:rPr>
          <w:rFonts w:eastAsia="Times New Roman"/>
          <w:b/>
          <w:bCs/>
          <w:color w:val="000000"/>
          <w:sz w:val="20"/>
          <w:szCs w:val="20"/>
        </w:rPr>
        <w:t>14. Stockholders' Equity:</w:t>
      </w:r>
    </w:p>
    <w:p w:rsidR="00000000" w:rsidRDefault="009D532D">
      <w:pPr>
        <w:ind w:firstLine="495"/>
        <w:divId w:val="641082503"/>
        <w:rPr>
          <w:rFonts w:eastAsia="Times New Roman"/>
        </w:rPr>
      </w:pPr>
      <w:r>
        <w:rPr>
          <w:rFonts w:eastAsia="Times New Roman"/>
          <w:i/>
          <w:iCs/>
          <w:color w:val="000000"/>
          <w:sz w:val="20"/>
          <w:szCs w:val="20"/>
        </w:rPr>
        <w:t xml:space="preserve">Stock Dividend </w:t>
      </w:r>
    </w:p>
    <w:p w:rsidR="00000000" w:rsidRDefault="009D532D">
      <w:pPr>
        <w:ind w:firstLine="495"/>
        <w:divId w:val="1830125247"/>
        <w:rPr>
          <w:rFonts w:eastAsia="Times New Roman"/>
        </w:rPr>
      </w:pPr>
      <w:r>
        <w:rPr>
          <w:rFonts w:eastAsia="Times New Roman"/>
          <w:color w:val="000000"/>
          <w:sz w:val="20"/>
          <w:szCs w:val="20"/>
        </w:rPr>
        <w:t>On June 3, 2020, the Company issued 7,759,280 common shares to its common stockholders in connection with the quarterly dividend of $0.50 per share of</w:t>
      </w:r>
      <w:r>
        <w:rPr>
          <w:rFonts w:eastAsia="Times New Roman"/>
          <w:color w:val="000000"/>
          <w:sz w:val="20"/>
          <w:szCs w:val="20"/>
        </w:rPr>
        <w:t xml:space="preserve"> common stock declared on March 16, 2020. The dividend consisted of a combination of cash and shares of the Company's common stock. The cash component of the dividend (not including cash paid in lieu of fractional shares) was 20% in the aggregate, or $0.10</w:t>
      </w:r>
      <w:r>
        <w:rPr>
          <w:rFonts w:eastAsia="Times New Roman"/>
          <w:color w:val="000000"/>
          <w:sz w:val="20"/>
          <w:szCs w:val="20"/>
        </w:rPr>
        <w:t xml:space="preserve"> per share, with the balance paid in shares of the Company's common stock.</w:t>
      </w:r>
    </w:p>
    <w:p w:rsidR="00000000" w:rsidRDefault="009D532D">
      <w:pPr>
        <w:ind w:firstLine="495"/>
        <w:divId w:val="527765919"/>
        <w:rPr>
          <w:rFonts w:eastAsia="Times New Roman"/>
        </w:rPr>
      </w:pPr>
      <w:r>
        <w:rPr>
          <w:rFonts w:eastAsia="Times New Roman"/>
          <w:color w:val="000000"/>
          <w:sz w:val="20"/>
          <w:szCs w:val="20"/>
        </w:rPr>
        <w:t>In accordance with the provisions of Internal Revenue Service Revenue Procedure 2017-45, stockholders were asked to make an election to receive the dividend all in cash or all in sh</w:t>
      </w:r>
      <w:r>
        <w:rPr>
          <w:rFonts w:eastAsia="Times New Roman"/>
          <w:color w:val="000000"/>
          <w:sz w:val="20"/>
          <w:szCs w:val="20"/>
        </w:rPr>
        <w:t>ares. To the extent that more than 20% of cash was elected in the aggregate, the cash portion was prorated. Stockholders who elected to receive the dividend in cash received a cash payment of at least $0.10 per share. Stockholders who did not make an elect</w:t>
      </w:r>
      <w:r>
        <w:rPr>
          <w:rFonts w:eastAsia="Times New Roman"/>
          <w:color w:val="000000"/>
          <w:sz w:val="20"/>
          <w:szCs w:val="20"/>
        </w:rPr>
        <w:t>ion received 20% in cash and 80% in shares of common stock. The number of shares issued as a result of the dividend was calculated based on the volume weighted average trading price of the Company's common stock on the New York Stock Exchange on May 20, Ma</w:t>
      </w:r>
      <w:r>
        <w:rPr>
          <w:rFonts w:eastAsia="Times New Roman"/>
          <w:color w:val="000000"/>
          <w:sz w:val="20"/>
          <w:szCs w:val="20"/>
        </w:rPr>
        <w:t>y 21 and May 22, 2020 of $7.2956.</w:t>
      </w:r>
    </w:p>
    <w:p w:rsidR="00000000" w:rsidRDefault="009D532D">
      <w:pPr>
        <w:ind w:firstLine="495"/>
        <w:divId w:val="174928182"/>
        <w:rPr>
          <w:rFonts w:eastAsia="Times New Roman"/>
        </w:rPr>
      </w:pPr>
      <w:r>
        <w:rPr>
          <w:rFonts w:eastAsia="Times New Roman"/>
          <w:color w:val="000000"/>
          <w:sz w:val="20"/>
          <w:szCs w:val="20"/>
        </w:rPr>
        <w:t>The Company accounted for the stock portion of its distribution as a stock issuance as opposed to a stock dividend. Accordingly, the impact of the shares issued is reflected in the Company'e earnings per share calculation on a prospective basis.</w:t>
      </w:r>
    </w:p>
    <w:p w:rsidR="00000000" w:rsidRDefault="009D532D">
      <w:pPr>
        <w:ind w:firstLine="495"/>
        <w:divId w:val="1992556936"/>
        <w:rPr>
          <w:rFonts w:eastAsia="Times New Roman"/>
        </w:rPr>
      </w:pPr>
      <w:r>
        <w:rPr>
          <w:rFonts w:eastAsia="Times New Roman"/>
          <w:i/>
          <w:iCs/>
          <w:color w:val="000000"/>
          <w:sz w:val="20"/>
          <w:szCs w:val="20"/>
        </w:rPr>
        <w:t>Stock Offe</w:t>
      </w:r>
      <w:r>
        <w:rPr>
          <w:rFonts w:eastAsia="Times New Roman"/>
          <w:i/>
          <w:iCs/>
          <w:color w:val="000000"/>
          <w:sz w:val="20"/>
          <w:szCs w:val="20"/>
        </w:rPr>
        <w:t>rings</w:t>
      </w:r>
    </w:p>
    <w:p w:rsidR="00000000" w:rsidRDefault="009D532D">
      <w:pPr>
        <w:ind w:firstLine="495"/>
        <w:divId w:val="969290611"/>
        <w:rPr>
          <w:rFonts w:eastAsia="Times New Roman"/>
        </w:rPr>
      </w:pPr>
      <w:r>
        <w:rPr>
          <w:rFonts w:eastAsia="Times New Roman"/>
          <w:color w:val="000000"/>
          <w:sz w:val="20"/>
          <w:szCs w:val="20"/>
        </w:rPr>
        <w:t>In connection with the commencement of separate “at the market” offering programs, on each of February 1, 2021 and March 26, 2021, which are referred to as the “February 2021 ATM Program” and the “March 2021 ATM Program,” respectively, and collective</w:t>
      </w:r>
      <w:r>
        <w:rPr>
          <w:rFonts w:eastAsia="Times New Roman"/>
          <w:color w:val="000000"/>
          <w:sz w:val="20"/>
          <w:szCs w:val="20"/>
        </w:rPr>
        <w:t>ly as the “ATM Programs,” the Company entered into separate equity distribution agreements with certain sales agents pursuant to which the Company may issue and sell shares of its common stock having an aggregate offering price of up to $500,000 under each</w:t>
      </w:r>
      <w:r>
        <w:rPr>
          <w:rFonts w:eastAsia="Times New Roman"/>
          <w:color w:val="000000"/>
          <w:sz w:val="20"/>
          <w:szCs w:val="20"/>
        </w:rPr>
        <w:t xml:space="preserve"> of the February 2021 ATM Program and the March 2021 ATM Program, or a total of $1,000,000 under the ATM Programs.</w:t>
      </w:r>
    </w:p>
    <w:p w:rsidR="00000000" w:rsidRDefault="009D532D">
      <w:pPr>
        <w:ind w:firstLine="495"/>
        <w:divId w:val="1680502433"/>
        <w:rPr>
          <w:rFonts w:eastAsia="Times New Roman"/>
        </w:rPr>
      </w:pPr>
      <w:r>
        <w:rPr>
          <w:rFonts w:eastAsia="Times New Roman"/>
          <w:color w:val="000000"/>
          <w:sz w:val="20"/>
          <w:szCs w:val="20"/>
        </w:rPr>
        <w:t>During the three months ended March 31, 2021, the Company issued 45,992,318 shares of common stock under the ATM Programs for aggregate gross</w:t>
      </w:r>
      <w:r>
        <w:rPr>
          <w:rFonts w:eastAsia="Times New Roman"/>
          <w:color w:val="000000"/>
          <w:sz w:val="20"/>
          <w:szCs w:val="20"/>
        </w:rPr>
        <w:t xml:space="preserve"> proceeds of $609,739 and net proceeds of $597,007 after commissions and other transaction costs. In addition, under the ATM Programs, the Company sold additional common shares at the end of the quarter ending March 31, 2021 for aggregate gross proceeds of</w:t>
      </w:r>
      <w:r>
        <w:rPr>
          <w:rFonts w:eastAsia="Times New Roman"/>
          <w:color w:val="000000"/>
          <w:sz w:val="20"/>
          <w:szCs w:val="20"/>
        </w:rPr>
        <w:t xml:space="preserve"> $41,977 and net proceeds of $41,137 after commissions, of which the shares settled and the proceeds were received in April 2021. The proceeds from the sales under the ATM Programs were used to pay down the Company’s line of credit (See Note 11 – Bank and </w:t>
      </w:r>
      <w:r>
        <w:rPr>
          <w:rFonts w:eastAsia="Times New Roman"/>
          <w:color w:val="000000"/>
          <w:sz w:val="20"/>
          <w:szCs w:val="20"/>
        </w:rPr>
        <w:t>Other Notes Payable). As of March 31, 2021, $348,284 remained available to be sold under the ATM Programs. Actual future sales will depend upon a variety of factors including, but not limited to, market conditions, the trading price of the Company’s common</w:t>
      </w:r>
      <w:r>
        <w:rPr>
          <w:rFonts w:eastAsia="Times New Roman"/>
          <w:color w:val="000000"/>
          <w:sz w:val="20"/>
          <w:szCs w:val="20"/>
        </w:rPr>
        <w:t xml:space="preserve"> stock and the Company’s capital needs. The Company has no obligation to sell the remaining shares available for sale under the ATM Programs.</w:t>
      </w:r>
    </w:p>
    <w:p w:rsidR="00000000" w:rsidRDefault="009D532D">
      <w:pPr>
        <w:ind w:firstLine="495"/>
        <w:divId w:val="1358433648"/>
        <w:rPr>
          <w:rFonts w:eastAsia="Times New Roman"/>
        </w:rPr>
      </w:pPr>
    </w:p>
    <w:p w:rsidR="00000000" w:rsidRDefault="009D532D">
      <w:pPr>
        <w:ind w:firstLine="495"/>
        <w:divId w:val="222721909"/>
        <w:rPr>
          <w:rFonts w:eastAsia="Times New Roman"/>
        </w:rPr>
      </w:pPr>
    </w:p>
    <w:p w:rsidR="00000000" w:rsidRDefault="009D532D">
      <w:pPr>
        <w:jc w:val="center"/>
        <w:divId w:val="2065526129"/>
        <w:rPr>
          <w:rFonts w:eastAsia="Times New Roman"/>
        </w:rPr>
      </w:pPr>
      <w:r>
        <w:rPr>
          <w:rFonts w:eastAsia="Times New Roman"/>
          <w:color w:val="000000"/>
          <w:sz w:val="20"/>
          <w:szCs w:val="20"/>
        </w:rPr>
        <w:t>21</w:t>
      </w:r>
    </w:p>
    <w:p w:rsidR="00000000" w:rsidRDefault="009D532D">
      <w:pPr>
        <w:rPr>
          <w:rFonts w:eastAsia="Times New Roman"/>
        </w:rPr>
      </w:pPr>
      <w:r>
        <w:rPr>
          <w:rFonts w:eastAsia="Times New Roman"/>
        </w:rPr>
        <w:pict>
          <v:rect id="_x0000_i1045" style="width:0;height:1.5pt" o:hralign="center" o:hrstd="t" o:hr="t" fillcolor="#a0a0a0" stroked="f"/>
        </w:pict>
      </w:r>
    </w:p>
    <w:p w:rsidR="00000000" w:rsidRDefault="009D532D">
      <w:pPr>
        <w:divId w:val="857620393"/>
        <w:rPr>
          <w:rFonts w:eastAsia="Times New Roman"/>
        </w:rPr>
      </w:pPr>
      <w:hyperlink w:anchor="id541c1df58744aaebc41b5947eb4480a_7" w:history="1">
        <w:r>
          <w:rPr>
            <w:rStyle w:val="a3"/>
            <w:rFonts w:eastAsia="Times New Roman"/>
            <w:sz w:val="16"/>
            <w:szCs w:val="16"/>
          </w:rPr>
          <w:t>Table of Con</w:t>
        </w:r>
        <w:r>
          <w:rPr>
            <w:rStyle w:val="a3"/>
            <w:rFonts w:eastAsia="Times New Roman"/>
            <w:sz w:val="16"/>
            <w:szCs w:val="16"/>
          </w:rPr>
          <w:t>tents</w:t>
        </w:r>
      </w:hyperlink>
    </w:p>
    <w:p w:rsidR="00000000" w:rsidRDefault="009D532D">
      <w:pPr>
        <w:jc w:val="center"/>
        <w:divId w:val="1356343985"/>
        <w:rPr>
          <w:rFonts w:eastAsia="Times New Roman"/>
        </w:rPr>
      </w:pPr>
      <w:r>
        <w:rPr>
          <w:rFonts w:eastAsia="Times New Roman"/>
          <w:b/>
          <w:bCs/>
          <w:color w:val="000000"/>
          <w:sz w:val="20"/>
          <w:szCs w:val="20"/>
        </w:rPr>
        <w:t>THE MACERICH COMPANY</w:t>
      </w:r>
    </w:p>
    <w:p w:rsidR="00000000" w:rsidRDefault="009D532D">
      <w:pPr>
        <w:jc w:val="center"/>
        <w:divId w:val="1376389796"/>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282802881"/>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2058242120"/>
        <w:rPr>
          <w:rFonts w:eastAsia="Times New Roman"/>
        </w:rPr>
      </w:pPr>
      <w:r>
        <w:rPr>
          <w:rFonts w:eastAsia="Times New Roman"/>
          <w:b/>
          <w:bCs/>
          <w:color w:val="000000"/>
          <w:sz w:val="20"/>
          <w:szCs w:val="20"/>
        </w:rPr>
        <w:t>(Unaudited)</w:t>
      </w:r>
    </w:p>
    <w:p w:rsidR="00000000" w:rsidRDefault="009D532D">
      <w:pPr>
        <w:divId w:val="395980595"/>
        <w:rPr>
          <w:rFonts w:eastAsia="Times New Roman"/>
        </w:rPr>
      </w:pPr>
      <w:r>
        <w:rPr>
          <w:rFonts w:eastAsia="Times New Roman"/>
          <w:b/>
          <w:bCs/>
          <w:color w:val="000000"/>
          <w:sz w:val="20"/>
          <w:szCs w:val="20"/>
        </w:rPr>
        <w:t>14. Stockholders' Equity: (Continued)</w:t>
      </w:r>
    </w:p>
    <w:p w:rsidR="00000000" w:rsidRDefault="009D532D">
      <w:pPr>
        <w:ind w:firstLine="495"/>
        <w:divId w:val="585924309"/>
        <w:rPr>
          <w:rFonts w:eastAsia="Times New Roman"/>
        </w:rPr>
      </w:pPr>
      <w:r>
        <w:rPr>
          <w:rFonts w:eastAsia="Times New Roman"/>
          <w:i/>
          <w:iCs/>
          <w:color w:val="000000"/>
          <w:sz w:val="20"/>
          <w:szCs w:val="20"/>
        </w:rPr>
        <w:t>Stock Buyback Program</w:t>
      </w:r>
    </w:p>
    <w:p w:rsidR="00000000" w:rsidRDefault="009D532D">
      <w:pPr>
        <w:ind w:firstLine="495"/>
        <w:divId w:val="1368942961"/>
        <w:rPr>
          <w:rFonts w:eastAsia="Times New Roman"/>
        </w:rPr>
      </w:pPr>
      <w:r>
        <w:rPr>
          <w:rFonts w:eastAsia="Times New Roman"/>
          <w:color w:val="000000"/>
          <w:sz w:val="20"/>
          <w:szCs w:val="20"/>
        </w:rPr>
        <w:t>On February </w:t>
      </w:r>
      <w:r>
        <w:rPr>
          <w:rFonts w:eastAsia="Times New Roman"/>
          <w:color w:val="000000"/>
          <w:sz w:val="20"/>
          <w:szCs w:val="20"/>
        </w:rPr>
        <w:t>12, 2017, the Company's Board of Directors authorized the repurchase of up to $500,000 of its outstanding common shares as market conditions and the Company’s liquidity warrant. Repurchases may be made through open market purchases, privately negotiated tr</w:t>
      </w:r>
      <w:r>
        <w:rPr>
          <w:rFonts w:eastAsia="Times New Roman"/>
          <w:color w:val="000000"/>
          <w:sz w:val="20"/>
          <w:szCs w:val="20"/>
        </w:rPr>
        <w:t>ansactions, structured or derivative transactions, including ASR transactions, or other methods of acquiring shares, from time to time as permitted by securities laws and other legal requirements. The program is referred to herein as the "Stock Buyback Pro</w:t>
      </w:r>
      <w:r>
        <w:rPr>
          <w:rFonts w:eastAsia="Times New Roman"/>
          <w:color w:val="000000"/>
          <w:sz w:val="20"/>
          <w:szCs w:val="20"/>
        </w:rPr>
        <w:t>gram".</w:t>
      </w:r>
    </w:p>
    <w:p w:rsidR="00000000" w:rsidRDefault="009D532D">
      <w:pPr>
        <w:ind w:firstLine="495"/>
        <w:divId w:val="1060400676"/>
        <w:rPr>
          <w:rFonts w:eastAsia="Times New Roman"/>
        </w:rPr>
      </w:pPr>
      <w:r>
        <w:rPr>
          <w:rFonts w:eastAsia="Times New Roman"/>
          <w:color w:val="000000"/>
          <w:sz w:val="20"/>
          <w:szCs w:val="20"/>
        </w:rPr>
        <w:t xml:space="preserve">There were no repurchases under the Stock Buyback Program during the three months ended March 31, 2021 or 2020. </w:t>
      </w:r>
    </w:p>
    <w:p w:rsidR="00000000" w:rsidRDefault="009D532D">
      <w:pPr>
        <w:divId w:val="2708336"/>
        <w:rPr>
          <w:rFonts w:eastAsia="Times New Roman"/>
        </w:rPr>
      </w:pPr>
      <w:r>
        <w:rPr>
          <w:rFonts w:eastAsia="Times New Roman"/>
          <w:b/>
          <w:bCs/>
          <w:color w:val="000000"/>
          <w:sz w:val="20"/>
          <w:szCs w:val="20"/>
        </w:rPr>
        <w:t>15. Dispositions:</w:t>
      </w:r>
    </w:p>
    <w:p w:rsidR="00000000" w:rsidRDefault="009D532D">
      <w:pPr>
        <w:ind w:firstLine="495"/>
        <w:divId w:val="183711274"/>
        <w:rPr>
          <w:rFonts w:eastAsia="Times New Roman"/>
        </w:rPr>
      </w:pPr>
      <w:r>
        <w:rPr>
          <w:rFonts w:eastAsia="Times New Roman"/>
          <w:color w:val="000000"/>
          <w:sz w:val="20"/>
          <w:szCs w:val="20"/>
        </w:rPr>
        <w:t>On March 29, 2021, the Company sold Paradise Valley Mall in Phoenix, Arizona to a newly formed joint venture for $100,</w:t>
      </w:r>
      <w:r>
        <w:rPr>
          <w:rFonts w:eastAsia="Times New Roman"/>
          <w:color w:val="000000"/>
          <w:sz w:val="20"/>
          <w:szCs w:val="20"/>
        </w:rPr>
        <w:t xml:space="preserve">000 resulting in a gain on sale of assets and land of $5,563. Concurrent with the sale, the Company elected to reinvest into the new joint venture at a 5% ownership interest (see Note 4 – Investments in Unconsolidated Joint Ventures). The Company used the </w:t>
      </w:r>
      <w:r>
        <w:rPr>
          <w:rFonts w:eastAsia="Times New Roman"/>
          <w:color w:val="000000"/>
          <w:sz w:val="20"/>
          <w:szCs w:val="20"/>
        </w:rPr>
        <w:t>proceeds from the sale to pay down its line of credit and for other general corporate purposes.</w:t>
      </w:r>
    </w:p>
    <w:p w:rsidR="00000000" w:rsidRDefault="009D532D">
      <w:pPr>
        <w:divId w:val="22636524"/>
        <w:rPr>
          <w:rFonts w:eastAsia="Times New Roman"/>
        </w:rPr>
      </w:pPr>
      <w:r>
        <w:rPr>
          <w:rFonts w:eastAsia="Times New Roman"/>
          <w:b/>
          <w:bCs/>
          <w:color w:val="000000"/>
          <w:sz w:val="20"/>
          <w:szCs w:val="20"/>
        </w:rPr>
        <w:t>16. Commitments and Contingencies:</w:t>
      </w:r>
    </w:p>
    <w:p w:rsidR="00000000" w:rsidRDefault="009D532D">
      <w:pPr>
        <w:ind w:firstLine="495"/>
        <w:divId w:val="2087998418"/>
        <w:rPr>
          <w:rFonts w:eastAsia="Times New Roman"/>
        </w:rPr>
      </w:pPr>
      <w:r>
        <w:rPr>
          <w:rFonts w:eastAsia="Times New Roman"/>
          <w:color w:val="000000"/>
          <w:sz w:val="20"/>
          <w:szCs w:val="20"/>
        </w:rPr>
        <w:t>As of March 31, 2021, the Company was contingently liable for $40,915 in letters of credit guaranteeing performance by the Co</w:t>
      </w:r>
      <w:r>
        <w:rPr>
          <w:rFonts w:eastAsia="Times New Roman"/>
          <w:color w:val="000000"/>
          <w:sz w:val="20"/>
          <w:szCs w:val="20"/>
        </w:rPr>
        <w:t>mpany of certain obligations relating to the Centers. As of March 31, 2021, $40,600 of these letters of credit are secured by restricted cash. The Company does not believe that these letters of credit will result in a liability to the Company.</w:t>
      </w:r>
    </w:p>
    <w:p w:rsidR="00000000" w:rsidRDefault="009D532D">
      <w:pPr>
        <w:ind w:firstLine="495"/>
        <w:divId w:val="1149051664"/>
        <w:rPr>
          <w:rFonts w:eastAsia="Times New Roman"/>
        </w:rPr>
      </w:pPr>
      <w:r>
        <w:rPr>
          <w:rFonts w:eastAsia="Times New Roman"/>
          <w:color w:val="000000"/>
          <w:sz w:val="20"/>
          <w:szCs w:val="20"/>
        </w:rPr>
        <w:t xml:space="preserve">The Company </w:t>
      </w:r>
      <w:r>
        <w:rPr>
          <w:rFonts w:eastAsia="Times New Roman"/>
          <w:color w:val="000000"/>
          <w:sz w:val="20"/>
          <w:szCs w:val="20"/>
        </w:rPr>
        <w:t>has entered into a number of construction agreements related to its redevelopment and development activities. Obligations under these agreements are contingent upon the completion of the services within the guidelines specified in the agreements. At March </w:t>
      </w:r>
      <w:r>
        <w:rPr>
          <w:rFonts w:eastAsia="Times New Roman"/>
          <w:color w:val="000000"/>
          <w:sz w:val="20"/>
          <w:szCs w:val="20"/>
        </w:rPr>
        <w:t>31, 2021, the Company had $3,318 in outstanding obligations, which it believes will be settled in the next twelve months.</w:t>
      </w:r>
    </w:p>
    <w:p w:rsidR="00000000" w:rsidRDefault="009D532D">
      <w:pPr>
        <w:divId w:val="853687253"/>
        <w:rPr>
          <w:rFonts w:eastAsia="Times New Roman"/>
        </w:rPr>
      </w:pPr>
    </w:p>
    <w:p w:rsidR="00000000" w:rsidRDefault="009D532D">
      <w:pPr>
        <w:jc w:val="center"/>
        <w:divId w:val="77799755"/>
        <w:rPr>
          <w:rFonts w:eastAsia="Times New Roman"/>
        </w:rPr>
      </w:pPr>
      <w:r>
        <w:rPr>
          <w:rFonts w:eastAsia="Times New Roman"/>
          <w:color w:val="000000"/>
          <w:sz w:val="20"/>
          <w:szCs w:val="20"/>
        </w:rPr>
        <w:t>22</w:t>
      </w:r>
    </w:p>
    <w:p w:rsidR="00000000" w:rsidRDefault="009D532D">
      <w:pPr>
        <w:rPr>
          <w:rFonts w:eastAsia="Times New Roman"/>
        </w:rPr>
      </w:pPr>
      <w:r>
        <w:rPr>
          <w:rFonts w:eastAsia="Times New Roman"/>
        </w:rPr>
        <w:pict>
          <v:rect id="_x0000_i1046" style="width:0;height:1.5pt" o:hralign="center" o:hrstd="t" o:hr="t" fillcolor="#a0a0a0" stroked="f"/>
        </w:pict>
      </w:r>
    </w:p>
    <w:p w:rsidR="00000000" w:rsidRDefault="009D532D">
      <w:pPr>
        <w:divId w:val="49738504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868789380"/>
        <w:rPr>
          <w:rFonts w:eastAsia="Times New Roman"/>
        </w:rPr>
      </w:pPr>
      <w:r>
        <w:rPr>
          <w:rFonts w:eastAsia="Times New Roman"/>
          <w:b/>
          <w:bCs/>
          <w:color w:val="000000"/>
          <w:sz w:val="20"/>
          <w:szCs w:val="20"/>
        </w:rPr>
        <w:t>THE MACERICH COM</w:t>
      </w:r>
      <w:r>
        <w:rPr>
          <w:rFonts w:eastAsia="Times New Roman"/>
          <w:b/>
          <w:bCs/>
          <w:color w:val="000000"/>
          <w:sz w:val="20"/>
          <w:szCs w:val="20"/>
        </w:rPr>
        <w:t>PANY</w:t>
      </w:r>
    </w:p>
    <w:p w:rsidR="00000000" w:rsidRDefault="009D532D">
      <w:pPr>
        <w:jc w:val="center"/>
        <w:divId w:val="1621645532"/>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38084398"/>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2105222894"/>
        <w:rPr>
          <w:rFonts w:eastAsia="Times New Roman"/>
        </w:rPr>
      </w:pPr>
      <w:r>
        <w:rPr>
          <w:rFonts w:eastAsia="Times New Roman"/>
          <w:b/>
          <w:bCs/>
          <w:color w:val="000000"/>
          <w:sz w:val="20"/>
          <w:szCs w:val="20"/>
        </w:rPr>
        <w:t>(Unaudited)</w:t>
      </w:r>
    </w:p>
    <w:p w:rsidR="00000000" w:rsidRDefault="009D532D">
      <w:pPr>
        <w:divId w:val="667055981"/>
        <w:rPr>
          <w:rFonts w:eastAsia="Times New Roman"/>
        </w:rPr>
      </w:pPr>
      <w:r>
        <w:rPr>
          <w:rFonts w:eastAsia="Times New Roman"/>
          <w:b/>
          <w:bCs/>
          <w:color w:val="000000"/>
          <w:sz w:val="20"/>
          <w:szCs w:val="20"/>
        </w:rPr>
        <w:t>17. Related Party Transactions:</w:t>
      </w:r>
    </w:p>
    <w:p w:rsidR="00000000" w:rsidRDefault="009D532D">
      <w:pPr>
        <w:ind w:firstLine="495"/>
        <w:divId w:val="825126395"/>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 employees, leasing agents and project ma</w:t>
      </w:r>
      <w:r>
        <w:rPr>
          <w:rFonts w:eastAsia="Times New Roman"/>
          <w:color w:val="000000"/>
          <w:sz w:val="20"/>
          <w:szCs w:val="20"/>
        </w:rPr>
        <w:t xml:space="preserve">nagers at the Centers, as well as insurance costs and other administrative expenses. </w:t>
      </w:r>
    </w:p>
    <w:p w:rsidR="00000000" w:rsidRDefault="009D532D">
      <w:pPr>
        <w:ind w:firstLine="495"/>
        <w:divId w:val="1594045146"/>
        <w:rPr>
          <w:rFonts w:eastAsia="Times New Roman"/>
        </w:rPr>
      </w:pPr>
    </w:p>
    <w:p w:rsidR="00000000" w:rsidRDefault="009D532D">
      <w:pPr>
        <w:ind w:firstLine="495"/>
        <w:divId w:val="1809585973"/>
        <w:rPr>
          <w:rFonts w:eastAsia="Times New Roman"/>
        </w:rPr>
      </w:pPr>
      <w:r>
        <w:rPr>
          <w:rFonts w:eastAsia="Times New Roman"/>
          <w:color w:val="000000"/>
          <w:sz w:val="20"/>
          <w:szCs w:val="20"/>
        </w:rPr>
        <w:t>The following are fees charged to unconsolidated joint ventures:</w:t>
      </w:r>
    </w:p>
    <w:tbl>
      <w:tblPr>
        <w:tblW w:w="2616" w:type="pct"/>
        <w:tblCellMar>
          <w:top w:w="15" w:type="dxa"/>
          <w:left w:w="15" w:type="dxa"/>
          <w:bottom w:w="15" w:type="dxa"/>
          <w:right w:w="15" w:type="dxa"/>
        </w:tblCellMar>
        <w:tblLook w:val="04A0" w:firstRow="1" w:lastRow="0" w:firstColumn="1" w:lastColumn="0" w:noHBand="0" w:noVBand="1"/>
      </w:tblPr>
      <w:tblGrid>
        <w:gridCol w:w="37"/>
        <w:gridCol w:w="2568"/>
        <w:gridCol w:w="36"/>
        <w:gridCol w:w="36"/>
        <w:gridCol w:w="36"/>
        <w:gridCol w:w="36"/>
        <w:gridCol w:w="36"/>
        <w:gridCol w:w="120"/>
        <w:gridCol w:w="594"/>
        <w:gridCol w:w="36"/>
        <w:gridCol w:w="36"/>
        <w:gridCol w:w="36"/>
        <w:gridCol w:w="36"/>
        <w:gridCol w:w="120"/>
        <w:gridCol w:w="547"/>
        <w:gridCol w:w="36"/>
      </w:tblGrid>
      <w:tr w:rsidR="00000000">
        <w:trPr>
          <w:divId w:val="1243880166"/>
        </w:trPr>
        <w:tc>
          <w:tcPr>
            <w:tcW w:w="50" w:type="pct"/>
            <w:vAlign w:val="center"/>
            <w:hideMark/>
          </w:tcPr>
          <w:p w:rsidR="00000000" w:rsidRDefault="009D532D">
            <w:pPr>
              <w:ind w:firstLine="495"/>
              <w:rPr>
                <w:rFonts w:eastAsia="Times New Roman"/>
              </w:rPr>
            </w:pPr>
          </w:p>
        </w:tc>
        <w:tc>
          <w:tcPr>
            <w:tcW w:w="319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8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8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243880166"/>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243880166"/>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24388016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Management fees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43880166"/>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Development and leasing fees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1,430 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2,084 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43880166"/>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177430393"/>
        <w:rPr>
          <w:rFonts w:eastAsia="Times New Roman"/>
        </w:rPr>
      </w:pPr>
    </w:p>
    <w:p w:rsidR="00000000" w:rsidRDefault="009D532D">
      <w:pPr>
        <w:ind w:firstLine="495"/>
        <w:divId w:val="1042557952"/>
        <w:rPr>
          <w:rFonts w:eastAsia="Times New Roman"/>
        </w:rPr>
      </w:pPr>
      <w:r>
        <w:rPr>
          <w:rFonts w:eastAsia="Times New Roman"/>
          <w:color w:val="000000"/>
          <w:sz w:val="20"/>
          <w:szCs w:val="20"/>
        </w:rPr>
        <w:t xml:space="preserve">Interest expense (income) from related party transactions includes $1,319 and $(44,243) for the three months ended March 31, 2021 and 2020, respectively, in connection with the Financing Arrangement (See Note 12—Financing Arrangement). </w:t>
      </w:r>
    </w:p>
    <w:p w:rsidR="00000000" w:rsidRDefault="009D532D">
      <w:pPr>
        <w:ind w:firstLine="495"/>
        <w:divId w:val="103426880"/>
        <w:rPr>
          <w:rFonts w:eastAsia="Times New Roman"/>
        </w:rPr>
      </w:pPr>
      <w:r>
        <w:rPr>
          <w:rFonts w:eastAsia="Times New Roman"/>
          <w:color w:val="000000"/>
          <w:sz w:val="20"/>
          <w:szCs w:val="20"/>
        </w:rPr>
        <w:t>Due from affil</w:t>
      </w:r>
      <w:r>
        <w:rPr>
          <w:rFonts w:eastAsia="Times New Roman"/>
          <w:color w:val="000000"/>
          <w:sz w:val="20"/>
          <w:szCs w:val="20"/>
        </w:rPr>
        <w:t>iates includes $5,231 and $1,612 of unreimbursed costs and fees from unconsolidated joint ventures due to the Management Companies as of March 31, 2021 and December 31, 2020, respectively.</w:t>
      </w:r>
    </w:p>
    <w:p w:rsidR="00000000" w:rsidRDefault="009D532D">
      <w:pPr>
        <w:divId w:val="999389021"/>
        <w:rPr>
          <w:rFonts w:eastAsia="Times New Roman"/>
        </w:rPr>
      </w:pPr>
      <w:r>
        <w:rPr>
          <w:rFonts w:eastAsia="Times New Roman"/>
          <w:b/>
          <w:bCs/>
          <w:color w:val="000000"/>
          <w:sz w:val="20"/>
          <w:szCs w:val="20"/>
        </w:rPr>
        <w:t>18. Share and Unit-Based Plans:</w:t>
      </w:r>
    </w:p>
    <w:p w:rsidR="00000000" w:rsidRDefault="009D532D">
      <w:pPr>
        <w:ind w:firstLine="495"/>
        <w:divId w:val="1749228756"/>
        <w:rPr>
          <w:rFonts w:eastAsia="Times New Roman"/>
        </w:rPr>
      </w:pPr>
      <w:r>
        <w:rPr>
          <w:rFonts w:eastAsia="Times New Roman"/>
          <w:color w:val="000000"/>
          <w:sz w:val="20"/>
          <w:szCs w:val="20"/>
        </w:rPr>
        <w:t>Under the Long-Term Incentive Plan ("LTIP"), each award recipient is issued a form of units ("LTIP Units") in the Operating Partnership. Upon the occurrence of specified events and subject to the satisfaction of applicable vesting conditions, LTIP Units (a</w:t>
      </w:r>
      <w:r>
        <w:rPr>
          <w:rFonts w:eastAsia="Times New Roman"/>
          <w:color w:val="000000"/>
          <w:sz w:val="20"/>
          <w:szCs w:val="20"/>
        </w:rPr>
        <w:t>fter conversion into OP Units) are ultimately redeemable for common stock of the Company, or cash at the Company's option, on a one-unit for one-share basis. LTIP Units receive cash dividends based on the dividend amount paid on the common stock of the Com</w:t>
      </w:r>
      <w:r>
        <w:rPr>
          <w:rFonts w:eastAsia="Times New Roman"/>
          <w:color w:val="000000"/>
          <w:sz w:val="20"/>
          <w:szCs w:val="20"/>
        </w:rPr>
        <w:t xml:space="preserve">pany. The LTIP may include both market-indexed awards and service-based awards. </w:t>
      </w:r>
    </w:p>
    <w:p w:rsidR="00000000" w:rsidRDefault="009D532D">
      <w:pPr>
        <w:ind w:firstLine="495"/>
        <w:divId w:val="303393658"/>
        <w:rPr>
          <w:rFonts w:eastAsia="Times New Roman"/>
        </w:rPr>
      </w:pPr>
      <w:r>
        <w:rPr>
          <w:rFonts w:eastAsia="Times New Roman"/>
          <w:color w:val="000000"/>
          <w:sz w:val="20"/>
          <w:szCs w:val="20"/>
        </w:rPr>
        <w:t xml:space="preserve">The market-indexed LTIP Units vest over the service period of the award based on certain performance conditions of the Company and on the percentile ranking of the Company in </w:t>
      </w:r>
      <w:r>
        <w:rPr>
          <w:rFonts w:eastAsia="Times New Roman"/>
          <w:color w:val="000000"/>
          <w:sz w:val="20"/>
          <w:szCs w:val="20"/>
        </w:rPr>
        <w:t>terms of total return to stockholders (the "Total Return") per share of common stock relative to the Total Return of a group of peer REITs, as measured at the end of the measurement period.</w:t>
      </w:r>
    </w:p>
    <w:p w:rsidR="00000000" w:rsidRDefault="009D532D">
      <w:pPr>
        <w:ind w:firstLine="495"/>
        <w:divId w:val="1582913171"/>
        <w:rPr>
          <w:rFonts w:eastAsia="Times New Roman"/>
        </w:rPr>
      </w:pPr>
    </w:p>
    <w:p w:rsidR="00000000" w:rsidRDefault="009D532D">
      <w:pPr>
        <w:jc w:val="center"/>
        <w:divId w:val="1982616219"/>
        <w:rPr>
          <w:rFonts w:eastAsia="Times New Roman"/>
        </w:rPr>
      </w:pPr>
      <w:r>
        <w:rPr>
          <w:rFonts w:eastAsia="Times New Roman"/>
          <w:color w:val="000000"/>
          <w:sz w:val="20"/>
          <w:szCs w:val="20"/>
        </w:rPr>
        <w:t>23</w:t>
      </w:r>
    </w:p>
    <w:p w:rsidR="00000000" w:rsidRDefault="009D532D">
      <w:pPr>
        <w:rPr>
          <w:rFonts w:eastAsia="Times New Roman"/>
        </w:rPr>
      </w:pPr>
      <w:r>
        <w:rPr>
          <w:rFonts w:eastAsia="Times New Roman"/>
        </w:rPr>
        <w:pict>
          <v:rect id="_x0000_i1047" style="width:0;height:1.5pt" o:hralign="center" o:hrstd="t" o:hr="t" fillcolor="#a0a0a0" stroked="f"/>
        </w:pict>
      </w:r>
    </w:p>
    <w:p w:rsidR="00000000" w:rsidRDefault="009D532D">
      <w:pPr>
        <w:divId w:val="161744849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383523903"/>
        <w:rPr>
          <w:rFonts w:eastAsia="Times New Roman"/>
        </w:rPr>
      </w:pPr>
      <w:r>
        <w:rPr>
          <w:rFonts w:eastAsia="Times New Roman"/>
          <w:b/>
          <w:bCs/>
          <w:color w:val="000000"/>
          <w:sz w:val="20"/>
          <w:szCs w:val="20"/>
        </w:rPr>
        <w:t>THE MACERICH COMPANY</w:t>
      </w:r>
    </w:p>
    <w:p w:rsidR="00000000" w:rsidRDefault="009D532D">
      <w:pPr>
        <w:jc w:val="center"/>
        <w:divId w:val="442458216"/>
        <w:rPr>
          <w:rFonts w:eastAsia="Times New Roman"/>
        </w:rPr>
      </w:pPr>
      <w:r>
        <w:rPr>
          <w:rFonts w:eastAsia="Times New Roman"/>
          <w:b/>
          <w:bCs/>
          <w:color w:val="000000"/>
          <w:sz w:val="20"/>
          <w:szCs w:val="20"/>
        </w:rPr>
        <w:t>NOTES TO CONSOLIDATED FINANCIAL STATEMENTS (Continued)</w:t>
      </w:r>
    </w:p>
    <w:p w:rsidR="00000000" w:rsidRDefault="009D532D">
      <w:pPr>
        <w:jc w:val="center"/>
        <w:divId w:val="696582605"/>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2128624352"/>
        <w:rPr>
          <w:rFonts w:eastAsia="Times New Roman"/>
        </w:rPr>
      </w:pPr>
      <w:r>
        <w:rPr>
          <w:rFonts w:eastAsia="Times New Roman"/>
          <w:b/>
          <w:bCs/>
          <w:color w:val="000000"/>
          <w:sz w:val="20"/>
          <w:szCs w:val="20"/>
        </w:rPr>
        <w:t>(Unaudited)</w:t>
      </w:r>
    </w:p>
    <w:p w:rsidR="00000000" w:rsidRDefault="009D532D">
      <w:pPr>
        <w:ind w:hanging="360"/>
        <w:divId w:val="298073129"/>
        <w:rPr>
          <w:rFonts w:eastAsia="Times New Roman"/>
        </w:rPr>
      </w:pPr>
      <w:r>
        <w:rPr>
          <w:rFonts w:eastAsia="Times New Roman"/>
          <w:b/>
          <w:bCs/>
          <w:color w:val="000000"/>
          <w:sz w:val="20"/>
          <w:szCs w:val="20"/>
        </w:rPr>
        <w:t xml:space="preserve">18. </w:t>
      </w:r>
      <w:r>
        <w:rPr>
          <w:rFonts w:eastAsia="Times New Roman"/>
          <w:b/>
          <w:bCs/>
          <w:color w:val="000000"/>
          <w:sz w:val="20"/>
          <w:szCs w:val="20"/>
        </w:rPr>
        <w:t>Share and Unit-Based Plans: (Continued)</w:t>
      </w:r>
    </w:p>
    <w:p w:rsidR="00000000" w:rsidRDefault="009D532D">
      <w:pPr>
        <w:ind w:firstLine="495"/>
        <w:divId w:val="1566379674"/>
        <w:rPr>
          <w:rFonts w:eastAsia="Times New Roman"/>
        </w:rPr>
      </w:pPr>
      <w:r>
        <w:rPr>
          <w:rFonts w:eastAsia="Times New Roman"/>
          <w:color w:val="000000"/>
          <w:sz w:val="20"/>
          <w:szCs w:val="20"/>
        </w:rPr>
        <w:t>During the three months ended March 31, 2021, the Company granted the following LTIP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38"/>
        <w:gridCol w:w="1259"/>
        <w:gridCol w:w="36"/>
        <w:gridCol w:w="36"/>
        <w:gridCol w:w="36"/>
        <w:gridCol w:w="36"/>
        <w:gridCol w:w="120"/>
        <w:gridCol w:w="874"/>
        <w:gridCol w:w="36"/>
        <w:gridCol w:w="36"/>
        <w:gridCol w:w="36"/>
        <w:gridCol w:w="36"/>
        <w:gridCol w:w="56"/>
        <w:gridCol w:w="891"/>
        <w:gridCol w:w="36"/>
      </w:tblGrid>
      <w:tr w:rsidR="00000000">
        <w:trPr>
          <w:divId w:val="1566379674"/>
        </w:trPr>
        <w:tc>
          <w:tcPr>
            <w:tcW w:w="50" w:type="pct"/>
            <w:vAlign w:val="center"/>
            <w:hideMark/>
          </w:tcPr>
          <w:p w:rsidR="00000000" w:rsidRDefault="009D532D">
            <w:pPr>
              <w:ind w:firstLine="495"/>
              <w:rPr>
                <w:rFonts w:eastAsia="Times New Roman"/>
              </w:rPr>
            </w:pPr>
          </w:p>
        </w:tc>
        <w:tc>
          <w:tcPr>
            <w:tcW w:w="8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7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7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7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2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7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82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8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566379674"/>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Vest Date</w:t>
            </w:r>
          </w:p>
        </w:tc>
      </w:tr>
      <w:tr w:rsidR="00000000">
        <w:trPr>
          <w:divId w:val="15663796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576,378 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12/31/2023</w:t>
            </w:r>
          </w:p>
        </w:tc>
      </w:tr>
      <w:tr w:rsidR="00000000">
        <w:trPr>
          <w:divId w:val="156637967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1/1/2021</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1,005,073 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20"/>
                <w:szCs w:val="20"/>
              </w:rPr>
              <w:t>12/31/2023</w:t>
            </w:r>
          </w:p>
        </w:tc>
      </w:tr>
      <w:tr w:rsidR="00000000">
        <w:trPr>
          <w:divId w:val="1566379674"/>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1,581,451 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ind w:firstLine="495"/>
        <w:divId w:val="1129086602"/>
        <w:rPr>
          <w:rFonts w:eastAsia="Times New Roman"/>
        </w:rPr>
      </w:pPr>
      <w:r>
        <w:rPr>
          <w:rFonts w:eastAsia="Times New Roman"/>
          <w:color w:val="000000"/>
          <w:sz w:val="20"/>
          <w:szCs w:val="20"/>
        </w:rPr>
        <w:t>The fair value of the market-indexed LTIP Units (Level 3) granted on January </w:t>
      </w:r>
      <w:r>
        <w:rPr>
          <w:rFonts w:eastAsia="Times New Roman"/>
          <w:color w:val="000000"/>
          <w:sz w:val="20"/>
          <w:szCs w:val="20"/>
        </w:rPr>
        <w:t>1, 2021 was estimated on the date of grant using a Monte Carlo Simulation model that assumed a risk-free interest rate of 0.17% and an expected volatility of 62.82%.</w:t>
      </w:r>
    </w:p>
    <w:p w:rsidR="00000000" w:rsidRDefault="009D532D">
      <w:pPr>
        <w:ind w:firstLine="495"/>
        <w:divId w:val="870453807"/>
        <w:rPr>
          <w:rFonts w:eastAsia="Times New Roman"/>
        </w:rPr>
      </w:pPr>
      <w:r>
        <w:rPr>
          <w:rFonts w:eastAsia="Times New Roman"/>
          <w:color w:val="000000"/>
          <w:sz w:val="20"/>
          <w:szCs w:val="20"/>
        </w:rPr>
        <w:t>The following table summarizes the activity of the non-vested LTIP Units, phantom stock un</w:t>
      </w:r>
      <w:r>
        <w:rPr>
          <w:rFonts w:eastAsia="Times New Roman"/>
          <w:color w:val="000000"/>
          <w:sz w:val="20"/>
          <w:szCs w:val="20"/>
        </w:rPr>
        <w:t>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928"/>
        <w:gridCol w:w="38"/>
        <w:gridCol w:w="79"/>
        <w:gridCol w:w="791"/>
        <w:gridCol w:w="36"/>
        <w:gridCol w:w="36"/>
        <w:gridCol w:w="36"/>
        <w:gridCol w:w="36"/>
        <w:gridCol w:w="121"/>
        <w:gridCol w:w="627"/>
        <w:gridCol w:w="36"/>
        <w:gridCol w:w="36"/>
        <w:gridCol w:w="36"/>
        <w:gridCol w:w="36"/>
        <w:gridCol w:w="36"/>
        <w:gridCol w:w="36"/>
        <w:gridCol w:w="330"/>
        <w:gridCol w:w="330"/>
        <w:gridCol w:w="56"/>
        <w:gridCol w:w="564"/>
        <w:gridCol w:w="36"/>
        <w:gridCol w:w="36"/>
        <w:gridCol w:w="36"/>
        <w:gridCol w:w="36"/>
        <w:gridCol w:w="121"/>
        <w:gridCol w:w="624"/>
        <w:gridCol w:w="37"/>
        <w:gridCol w:w="36"/>
        <w:gridCol w:w="36"/>
        <w:gridCol w:w="36"/>
        <w:gridCol w:w="65"/>
        <w:gridCol w:w="655"/>
        <w:gridCol w:w="36"/>
        <w:gridCol w:w="36"/>
        <w:gridCol w:w="36"/>
        <w:gridCol w:w="36"/>
        <w:gridCol w:w="121"/>
        <w:gridCol w:w="627"/>
        <w:gridCol w:w="36"/>
      </w:tblGrid>
      <w:tr w:rsidR="00000000">
        <w:trPr>
          <w:divId w:val="870453807"/>
        </w:trPr>
        <w:tc>
          <w:tcPr>
            <w:tcW w:w="50" w:type="pct"/>
            <w:vAlign w:val="center"/>
            <w:hideMark/>
          </w:tcPr>
          <w:p w:rsidR="00000000" w:rsidRDefault="009D532D">
            <w:pPr>
              <w:ind w:firstLine="495"/>
              <w:rPr>
                <w:rFonts w:eastAsia="Times New Roman"/>
              </w:rPr>
            </w:pPr>
          </w:p>
        </w:tc>
        <w:tc>
          <w:tcPr>
            <w:tcW w:w="147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6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6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6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870453807"/>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LTIP Units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Stock Units</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870453807"/>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Value(1)</w:t>
            </w:r>
          </w:p>
        </w:tc>
      </w:tr>
      <w:tr w:rsidR="00000000">
        <w:trPr>
          <w:divId w:val="87045380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045380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1,581,451 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10.15 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14,566 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92,057 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13.43 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0453807"/>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(16,467)</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29.86 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(5,691)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16.33 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(72,407)</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34.41 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045380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(987)</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045380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2,349,036 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328,508 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16.36 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870453807"/>
          <w:trHeight w:val="240"/>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87045380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870453807"/>
        </w:trPr>
        <w:tc>
          <w:tcPr>
            <w:tcW w:w="0" w:type="auto"/>
            <w:gridSpan w:val="28"/>
            <w:tcMar>
              <w:top w:w="30" w:type="dxa"/>
              <w:left w:w="20" w:type="dxa"/>
              <w:bottom w:w="30" w:type="dxa"/>
              <w:right w:w="20" w:type="dxa"/>
            </w:tcMar>
            <w:vAlign w:val="bottom"/>
            <w:hideMark/>
          </w:tcPr>
          <w:p w:rsidR="00000000" w:rsidRDefault="009D532D">
            <w:pPr>
              <w:spacing w:after="100"/>
              <w:ind w:hanging="450"/>
              <w:divId w:val="548608248"/>
              <w:rPr>
                <w:rFonts w:eastAsia="Times New Roman"/>
              </w:rPr>
            </w:pPr>
            <w:r>
              <w:rPr>
                <w:rFonts w:eastAsia="Times New Roman"/>
                <w:color w:val="000000"/>
                <w:sz w:val="16"/>
                <w:szCs w:val="16"/>
              </w:rPr>
              <w:t>(1) Value represents the weighted average grant date fair value.</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bl>
    <w:p w:rsidR="00000000" w:rsidRDefault="009D532D">
      <w:pPr>
        <w:ind w:firstLine="270"/>
        <w:divId w:val="385490988"/>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9"/>
        <w:gridCol w:w="1672"/>
        <w:gridCol w:w="38"/>
        <w:gridCol w:w="36"/>
        <w:gridCol w:w="46"/>
        <w:gridCol w:w="520"/>
        <w:gridCol w:w="36"/>
        <w:gridCol w:w="36"/>
        <w:gridCol w:w="36"/>
        <w:gridCol w:w="38"/>
        <w:gridCol w:w="587"/>
        <w:gridCol w:w="36"/>
        <w:gridCol w:w="36"/>
        <w:gridCol w:w="36"/>
        <w:gridCol w:w="36"/>
        <w:gridCol w:w="121"/>
        <w:gridCol w:w="658"/>
        <w:gridCol w:w="36"/>
      </w:tblGrid>
      <w:tr w:rsidR="00000000">
        <w:trPr>
          <w:divId w:val="181628875"/>
        </w:trPr>
        <w:tc>
          <w:tcPr>
            <w:tcW w:w="50" w:type="pct"/>
            <w:vAlign w:val="center"/>
            <w:hideMark/>
          </w:tcPr>
          <w:p w:rsidR="00000000" w:rsidRDefault="009D532D">
            <w:pPr>
              <w:ind w:firstLine="270"/>
              <w:rPr>
                <w:rFonts w:eastAsia="Times New Roman"/>
              </w:rPr>
            </w:pPr>
          </w:p>
        </w:tc>
        <w:tc>
          <w:tcPr>
            <w:tcW w:w="293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6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9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6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84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8162887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9D532D">
            <w:pPr>
              <w:spacing w:after="100"/>
              <w:rPr>
                <w:rFonts w:eastAsia="Times New Roman"/>
              </w:rPr>
            </w:pPr>
          </w:p>
        </w:tc>
        <w:tc>
          <w:tcPr>
            <w:tcW w:w="0" w:type="auto"/>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8162887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Value(1)</w:t>
            </w:r>
          </w:p>
        </w:tc>
      </w:tr>
      <w:tr w:rsidR="00000000">
        <w:trPr>
          <w:divId w:val="181628875"/>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Balance at January 1, 2021</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1628875"/>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Granted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1628875"/>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Exercised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1628875"/>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81628875"/>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Balance at March 31, 2021</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81628875"/>
          <w:trHeight w:val="300"/>
        </w:trPr>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8162887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81628875"/>
        </w:trPr>
        <w:tc>
          <w:tcPr>
            <w:tcW w:w="0" w:type="auto"/>
            <w:gridSpan w:val="9"/>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bl>
    <w:p w:rsidR="00000000" w:rsidRDefault="009D532D">
      <w:pPr>
        <w:ind w:firstLine="495"/>
        <w:divId w:val="1620644937"/>
        <w:rPr>
          <w:rFonts w:eastAsia="Times New Roman"/>
        </w:rPr>
      </w:pPr>
    </w:p>
    <w:p w:rsidR="00000000" w:rsidRDefault="009D532D">
      <w:pPr>
        <w:jc w:val="center"/>
        <w:divId w:val="975450609"/>
        <w:rPr>
          <w:rFonts w:eastAsia="Times New Roman"/>
        </w:rPr>
      </w:pPr>
      <w:r>
        <w:rPr>
          <w:rFonts w:eastAsia="Times New Roman"/>
          <w:color w:val="000000"/>
          <w:sz w:val="20"/>
          <w:szCs w:val="20"/>
        </w:rPr>
        <w:t>24</w:t>
      </w:r>
    </w:p>
    <w:p w:rsidR="00000000" w:rsidRDefault="009D532D">
      <w:pPr>
        <w:rPr>
          <w:rFonts w:eastAsia="Times New Roman"/>
        </w:rPr>
      </w:pPr>
      <w:r>
        <w:rPr>
          <w:rFonts w:eastAsia="Times New Roman"/>
        </w:rPr>
        <w:pict>
          <v:rect id="_x0000_i1048" style="width:0;height:1.5pt" o:hralign="center" o:hrstd="t" o:hr="t" fillcolor="#a0a0a0" stroked="f"/>
        </w:pict>
      </w:r>
    </w:p>
    <w:p w:rsidR="00000000" w:rsidRDefault="009D532D">
      <w:pPr>
        <w:divId w:val="82724131"/>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jc w:val="center"/>
        <w:divId w:val="1680693730"/>
        <w:rPr>
          <w:rFonts w:eastAsia="Times New Roman"/>
        </w:rPr>
      </w:pPr>
      <w:r>
        <w:rPr>
          <w:rFonts w:eastAsia="Times New Roman"/>
          <w:b/>
          <w:bCs/>
          <w:color w:val="000000"/>
          <w:sz w:val="20"/>
          <w:szCs w:val="20"/>
        </w:rPr>
        <w:t>THE MACERICH COMPANY</w:t>
      </w:r>
    </w:p>
    <w:p w:rsidR="00000000" w:rsidRDefault="009D532D">
      <w:pPr>
        <w:jc w:val="center"/>
        <w:divId w:val="1666937950"/>
        <w:rPr>
          <w:rFonts w:eastAsia="Times New Roman"/>
        </w:rPr>
      </w:pPr>
      <w:r>
        <w:rPr>
          <w:rFonts w:eastAsia="Times New Roman"/>
          <w:b/>
          <w:bCs/>
          <w:color w:val="000000"/>
          <w:sz w:val="20"/>
          <w:szCs w:val="20"/>
        </w:rPr>
        <w:t>NOTES TO CONSOLIDATED FINANCIAL STATEMENTS (Continued)</w:t>
      </w:r>
    </w:p>
    <w:p w:rsidR="00000000" w:rsidRDefault="009D532D">
      <w:pPr>
        <w:jc w:val="center"/>
        <w:divId w:val="1953323586"/>
        <w:rPr>
          <w:rFonts w:eastAsia="Times New Roman"/>
        </w:rPr>
      </w:pPr>
      <w:r>
        <w:rPr>
          <w:rFonts w:eastAsia="Times New Roman"/>
          <w:b/>
          <w:bCs/>
          <w:color w:val="000000"/>
          <w:sz w:val="20"/>
          <w:szCs w:val="20"/>
        </w:rPr>
        <w:t>(Dollars in thousands, except per share and square foot amounts)</w:t>
      </w:r>
    </w:p>
    <w:p w:rsidR="00000000" w:rsidRDefault="009D532D">
      <w:pPr>
        <w:jc w:val="center"/>
        <w:divId w:val="1016467355"/>
        <w:rPr>
          <w:rFonts w:eastAsia="Times New Roman"/>
        </w:rPr>
      </w:pPr>
      <w:r>
        <w:rPr>
          <w:rFonts w:eastAsia="Times New Roman"/>
          <w:b/>
          <w:bCs/>
          <w:color w:val="000000"/>
          <w:sz w:val="20"/>
          <w:szCs w:val="20"/>
        </w:rPr>
        <w:t>(Unaudited)</w:t>
      </w:r>
    </w:p>
    <w:p w:rsidR="00000000" w:rsidRDefault="009D532D">
      <w:pPr>
        <w:ind w:hanging="360"/>
        <w:divId w:val="1063717240"/>
        <w:rPr>
          <w:rFonts w:eastAsia="Times New Roman"/>
        </w:rPr>
      </w:pPr>
      <w:r>
        <w:rPr>
          <w:rFonts w:eastAsia="Times New Roman"/>
          <w:b/>
          <w:bCs/>
          <w:color w:val="000000"/>
          <w:sz w:val="20"/>
          <w:szCs w:val="20"/>
        </w:rPr>
        <w:t>18. Share and Unit-Based Plans: (Continued)</w:t>
      </w:r>
    </w:p>
    <w:p w:rsidR="00000000" w:rsidRDefault="009D532D">
      <w:pPr>
        <w:ind w:firstLine="495"/>
        <w:divId w:val="1292521121"/>
        <w:rPr>
          <w:rFonts w:eastAsia="Times New Roman"/>
        </w:rPr>
      </w:pPr>
      <w:r>
        <w:rPr>
          <w:rFonts w:eastAsia="Times New Roman"/>
          <w:color w:val="000000"/>
          <w:sz w:val="20"/>
          <w:szCs w:val="20"/>
        </w:rPr>
        <w:t>The following summarizes the compensation cost under the share and unit-based plans:</w:t>
      </w:r>
    </w:p>
    <w:tbl>
      <w:tblPr>
        <w:tblW w:w="3245" w:type="pct"/>
        <w:tblCellMar>
          <w:top w:w="15" w:type="dxa"/>
          <w:left w:w="15" w:type="dxa"/>
          <w:bottom w:w="15" w:type="dxa"/>
          <w:right w:w="15" w:type="dxa"/>
        </w:tblCellMar>
        <w:tblLook w:val="04A0" w:firstRow="1" w:lastRow="0" w:firstColumn="1" w:lastColumn="0" w:noHBand="0" w:noVBand="1"/>
      </w:tblPr>
      <w:tblGrid>
        <w:gridCol w:w="39"/>
        <w:gridCol w:w="3621"/>
        <w:gridCol w:w="38"/>
        <w:gridCol w:w="36"/>
        <w:gridCol w:w="36"/>
        <w:gridCol w:w="36"/>
        <w:gridCol w:w="36"/>
        <w:gridCol w:w="120"/>
        <w:gridCol w:w="593"/>
        <w:gridCol w:w="36"/>
        <w:gridCol w:w="36"/>
        <w:gridCol w:w="36"/>
        <w:gridCol w:w="36"/>
        <w:gridCol w:w="120"/>
        <w:gridCol w:w="536"/>
        <w:gridCol w:w="36"/>
      </w:tblGrid>
      <w:tr w:rsidR="00000000">
        <w:trPr>
          <w:divId w:val="1292521121"/>
        </w:trPr>
        <w:tc>
          <w:tcPr>
            <w:tcW w:w="50" w:type="pct"/>
            <w:vAlign w:val="center"/>
            <w:hideMark/>
          </w:tcPr>
          <w:p w:rsidR="00000000" w:rsidRDefault="009D532D">
            <w:pPr>
              <w:ind w:firstLine="495"/>
              <w:rPr>
                <w:rFonts w:eastAsia="Times New Roman"/>
              </w:rPr>
            </w:pPr>
          </w:p>
        </w:tc>
        <w:tc>
          <w:tcPr>
            <w:tcW w:w="354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0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292521121"/>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1292521121"/>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292521121"/>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LTIP Units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92521121"/>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292521121"/>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Stock units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1,327 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2,202 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92521121"/>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Stock options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92521121"/>
        </w:trPr>
        <w:tc>
          <w:tcPr>
            <w:tcW w:w="0" w:type="auto"/>
            <w:gridSpan w:val="3"/>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1292521121"/>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Phantom stock units</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92521121"/>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5,031 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5,603 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679897589"/>
        <w:rPr>
          <w:rFonts w:eastAsia="Times New Roman"/>
        </w:rPr>
      </w:pPr>
      <w:r>
        <w:rPr>
          <w:rFonts w:eastAsia="Times New Roman"/>
          <w:color w:val="000000"/>
          <w:sz w:val="20"/>
          <w:szCs w:val="20"/>
        </w:rPr>
        <w:t>The Company capitalized share and unit-based compensation costs of $1,001 and $1,379 for the three months ended March 31, 2021 and 2020, respectively. Unrecognized compensation costs of share and unit-based plans at March 31, 2021 consisted of $15,446 f</w:t>
      </w:r>
      <w:r>
        <w:rPr>
          <w:rFonts w:eastAsia="Times New Roman"/>
          <w:color w:val="000000"/>
          <w:sz w:val="20"/>
          <w:szCs w:val="20"/>
        </w:rPr>
        <w:t xml:space="preserve">rom LTIP Units, $2,145 from stock units and $232 from phantom stock units. </w:t>
      </w:r>
    </w:p>
    <w:p w:rsidR="00000000" w:rsidRDefault="009D532D">
      <w:pPr>
        <w:divId w:val="2140025109"/>
        <w:rPr>
          <w:rFonts w:eastAsia="Times New Roman"/>
        </w:rPr>
      </w:pPr>
      <w:r>
        <w:rPr>
          <w:rFonts w:eastAsia="Times New Roman"/>
          <w:b/>
          <w:bCs/>
          <w:color w:val="000000"/>
          <w:sz w:val="20"/>
          <w:szCs w:val="20"/>
        </w:rPr>
        <w:t>19. Income Taxes:</w:t>
      </w:r>
    </w:p>
    <w:p w:rsidR="00000000" w:rsidRDefault="009D532D">
      <w:pPr>
        <w:ind w:firstLine="495"/>
        <w:divId w:val="401568331"/>
        <w:rPr>
          <w:rFonts w:eastAsia="Times New Roman"/>
        </w:rPr>
      </w:pPr>
      <w:r>
        <w:rPr>
          <w:rFonts w:eastAsia="Times New Roman"/>
          <w:color w:val="000000"/>
          <w:sz w:val="20"/>
          <w:szCs w:val="20"/>
        </w:rPr>
        <w:t xml:space="preserve">The Company has made taxable REIT subsidiary elections for all of its corporate subsidiaries other than its qualified REIT subsidiaries. The elections, effective for the year beginning January 1, 2001 and future years, were made pursuant to Section 856(l) </w:t>
      </w:r>
      <w:r>
        <w:rPr>
          <w:rFonts w:eastAsia="Times New Roman"/>
          <w:color w:val="000000"/>
          <w:sz w:val="20"/>
          <w:szCs w:val="20"/>
        </w:rPr>
        <w:t>of the Code. The Company's taxable REIT subsidiaries ("TRSs") are subject to corporate level income taxes which are provided for in the Company's consolidated financial statements. The Company's primary TRSs include Macerich Management Company and Macerich</w:t>
      </w:r>
      <w:r>
        <w:rPr>
          <w:rFonts w:eastAsia="Times New Roman"/>
          <w:color w:val="000000"/>
          <w:sz w:val="20"/>
          <w:szCs w:val="20"/>
        </w:rPr>
        <w:t xml:space="preserve"> Arizona Partners LLC.</w:t>
      </w:r>
    </w:p>
    <w:p w:rsidR="00000000" w:rsidRDefault="009D532D">
      <w:pPr>
        <w:ind w:firstLine="495"/>
        <w:divId w:val="753284894"/>
        <w:rPr>
          <w:rFonts w:eastAsia="Times New Roman"/>
        </w:rPr>
      </w:pPr>
      <w:r>
        <w:rPr>
          <w:rFonts w:eastAsia="Times New Roman"/>
          <w:color w:val="000000"/>
          <w:sz w:val="20"/>
          <w:szCs w:val="20"/>
        </w:rPr>
        <w:t>The income tax provision of the TRSs are as follows:</w:t>
      </w:r>
    </w:p>
    <w:tbl>
      <w:tblPr>
        <w:tblW w:w="3070" w:type="pct"/>
        <w:tblCellMar>
          <w:top w:w="15" w:type="dxa"/>
          <w:left w:w="15" w:type="dxa"/>
          <w:bottom w:w="15" w:type="dxa"/>
          <w:right w:w="15" w:type="dxa"/>
        </w:tblCellMar>
        <w:tblLook w:val="04A0" w:firstRow="1" w:lastRow="0" w:firstColumn="1" w:lastColumn="0" w:noHBand="0" w:noVBand="1"/>
      </w:tblPr>
      <w:tblGrid>
        <w:gridCol w:w="39"/>
        <w:gridCol w:w="3035"/>
        <w:gridCol w:w="36"/>
        <w:gridCol w:w="36"/>
        <w:gridCol w:w="36"/>
        <w:gridCol w:w="36"/>
        <w:gridCol w:w="36"/>
        <w:gridCol w:w="120"/>
        <w:gridCol w:w="736"/>
        <w:gridCol w:w="36"/>
        <w:gridCol w:w="36"/>
        <w:gridCol w:w="36"/>
        <w:gridCol w:w="36"/>
        <w:gridCol w:w="120"/>
        <w:gridCol w:w="690"/>
        <w:gridCol w:w="36"/>
      </w:tblGrid>
      <w:tr w:rsidR="00000000">
        <w:trPr>
          <w:divId w:val="753284894"/>
        </w:trPr>
        <w:tc>
          <w:tcPr>
            <w:tcW w:w="50" w:type="pct"/>
            <w:vAlign w:val="center"/>
            <w:hideMark/>
          </w:tcPr>
          <w:p w:rsidR="00000000" w:rsidRDefault="009D532D">
            <w:pPr>
              <w:ind w:firstLine="495"/>
              <w:rPr>
                <w:rFonts w:eastAsia="Times New Roman"/>
              </w:rPr>
            </w:pPr>
          </w:p>
        </w:tc>
        <w:tc>
          <w:tcPr>
            <w:tcW w:w="317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80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80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75328489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75328489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75328489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Current</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75328489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(2,238)</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75328489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Total income tax (expense) benefit</w:t>
            </w:r>
          </w:p>
        </w:tc>
        <w:tc>
          <w:tcPr>
            <w:tcW w:w="0" w:type="auto"/>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119298725"/>
        <w:rPr>
          <w:rFonts w:eastAsia="Times New Roman"/>
        </w:rPr>
      </w:pPr>
      <w:r>
        <w:rPr>
          <w:rFonts w:eastAsia="Times New Roman"/>
          <w:color w:val="000000"/>
          <w:sz w:val="20"/>
          <w:szCs w:val="20"/>
        </w:rPr>
        <w:t>The net operating loss ("NOL") carryforwards generated through the 2017 tax year are scheduled to expire through 2037, beginning in 2025. Pursuant to the Tax Cuts and Jobs Act of 2017, NOLs generated in 2018 and subsequent tax years are carried forwa</w:t>
      </w:r>
      <w:r>
        <w:rPr>
          <w:rFonts w:eastAsia="Times New Roman"/>
          <w:color w:val="000000"/>
          <w:sz w:val="20"/>
          <w:szCs w:val="20"/>
        </w:rPr>
        <w:t>rd indefinitely. The Coronavirus Aid, Relief and Economic Security Act removed the 80% of taxable income limitation, imposed by the Tax Cuts and Jobs Act, for NOLs generated in 2018, 2019 and 2020. Net deferred tax assets of $28,528 and $30,767 were includ</w:t>
      </w:r>
      <w:r>
        <w:rPr>
          <w:rFonts w:eastAsia="Times New Roman"/>
          <w:color w:val="000000"/>
          <w:sz w:val="20"/>
          <w:szCs w:val="20"/>
        </w:rPr>
        <w:t>ed in deferred charges and other assets, net at March 31, 2021 and December 31, 2020, respectively.</w:t>
      </w:r>
    </w:p>
    <w:p w:rsidR="00000000" w:rsidRDefault="009D532D">
      <w:pPr>
        <w:ind w:firstLine="495"/>
        <w:divId w:val="88547591"/>
        <w:rPr>
          <w:rFonts w:eastAsia="Times New Roman"/>
        </w:rPr>
      </w:pPr>
      <w:r>
        <w:rPr>
          <w:rFonts w:eastAsia="Times New Roman"/>
          <w:color w:val="000000"/>
          <w:sz w:val="20"/>
          <w:szCs w:val="20"/>
        </w:rPr>
        <w:t>The Company is required to establish a valuation allowance for any portion of the deferred tax asset that the Company concludes is more likely than not to b</w:t>
      </w:r>
      <w:r>
        <w:rPr>
          <w:rFonts w:eastAsia="Times New Roman"/>
          <w:color w:val="000000"/>
          <w:sz w:val="20"/>
          <w:szCs w:val="20"/>
        </w:rPr>
        <w:t>e unrealizable. The Company’s assessment considers all evidence, both positive and negative, including the nature, frequency and severity of any current and cumulative losses, taxable income in carry back years, the scheduled reversal of deferred tax liabi</w:t>
      </w:r>
      <w:r>
        <w:rPr>
          <w:rFonts w:eastAsia="Times New Roman"/>
          <w:color w:val="000000"/>
          <w:sz w:val="20"/>
          <w:szCs w:val="20"/>
        </w:rPr>
        <w:t>lities, tax planning strategies and projected future taxable income in making this assessment. As of March 31, 2021, the Company had no valuation allowance recorded.</w:t>
      </w:r>
    </w:p>
    <w:p w:rsidR="00000000" w:rsidRDefault="009D532D">
      <w:pPr>
        <w:ind w:firstLine="495"/>
        <w:divId w:val="325474519"/>
        <w:rPr>
          <w:rFonts w:eastAsia="Times New Roman"/>
        </w:rPr>
      </w:pPr>
      <w:r>
        <w:rPr>
          <w:rFonts w:eastAsia="Times New Roman"/>
          <w:color w:val="000000"/>
          <w:sz w:val="20"/>
          <w:szCs w:val="20"/>
        </w:rPr>
        <w:t xml:space="preserve">The tax years 2017 through 2019 remain open to examination by the taxing jurisdictions to </w:t>
      </w:r>
      <w:r>
        <w:rPr>
          <w:rFonts w:eastAsia="Times New Roman"/>
          <w:color w:val="000000"/>
          <w:sz w:val="20"/>
          <w:szCs w:val="20"/>
        </w:rPr>
        <w:t>which the Company is subject. The Company does not expect that the total amount of unrecognized tax benefit will materially change within the next twelve months.</w:t>
      </w:r>
    </w:p>
    <w:p w:rsidR="00000000" w:rsidRDefault="009D532D">
      <w:pPr>
        <w:divId w:val="1631744383"/>
        <w:rPr>
          <w:rFonts w:eastAsia="Times New Roman"/>
        </w:rPr>
      </w:pPr>
      <w:r>
        <w:rPr>
          <w:rFonts w:eastAsia="Times New Roman"/>
          <w:b/>
          <w:bCs/>
          <w:color w:val="000000"/>
          <w:sz w:val="20"/>
          <w:szCs w:val="20"/>
        </w:rPr>
        <w:t>20. Subsequent Events:</w:t>
      </w:r>
    </w:p>
    <w:p w:rsidR="00000000" w:rsidRDefault="009D532D">
      <w:pPr>
        <w:ind w:firstLine="495"/>
        <w:divId w:val="824979645"/>
        <w:rPr>
          <w:rFonts w:eastAsia="Times New Roman"/>
        </w:rPr>
      </w:pPr>
      <w:r>
        <w:rPr>
          <w:rFonts w:eastAsia="Times New Roman"/>
          <w:color w:val="000000"/>
          <w:sz w:val="20"/>
          <w:szCs w:val="20"/>
        </w:rPr>
        <w:t>On April 29, 2021, the Company announced a dividend/distribution of $0.15 per share for common stockholders and OP Unitholders of record on May 7, 2021. All dividends/distributions will be paid 100% in cash on June 3, 2021.</w:t>
      </w:r>
    </w:p>
    <w:p w:rsidR="00000000" w:rsidRDefault="009D532D">
      <w:pPr>
        <w:jc w:val="center"/>
        <w:divId w:val="1392730281"/>
        <w:rPr>
          <w:rFonts w:eastAsia="Times New Roman"/>
        </w:rPr>
      </w:pPr>
      <w:r>
        <w:rPr>
          <w:rFonts w:eastAsia="Times New Roman"/>
          <w:color w:val="000000"/>
          <w:sz w:val="20"/>
          <w:szCs w:val="20"/>
        </w:rPr>
        <w:t>25</w:t>
      </w:r>
    </w:p>
    <w:p w:rsidR="00000000" w:rsidRDefault="009D532D">
      <w:pPr>
        <w:rPr>
          <w:rFonts w:eastAsia="Times New Roman"/>
        </w:rPr>
      </w:pPr>
      <w:r>
        <w:rPr>
          <w:rFonts w:eastAsia="Times New Roman"/>
        </w:rPr>
        <w:pict>
          <v:rect id="_x0000_i1049" style="width:0;height:1.5pt" o:hralign="center" o:hrstd="t" o:hr="t" fillcolor="#a0a0a0" stroked="f"/>
        </w:pict>
      </w:r>
    </w:p>
    <w:p w:rsidR="00000000" w:rsidRDefault="009D532D">
      <w:pPr>
        <w:divId w:val="1916084857"/>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ind w:hanging="360"/>
        <w:divId w:val="578365907"/>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w:t>
      </w:r>
    </w:p>
    <w:p w:rsidR="00000000" w:rsidRDefault="009D532D">
      <w:pPr>
        <w:divId w:val="470244545"/>
        <w:rPr>
          <w:rFonts w:eastAsia="Times New Roman"/>
        </w:rPr>
      </w:pPr>
      <w:r>
        <w:rPr>
          <w:rFonts w:eastAsia="Times New Roman"/>
          <w:b/>
          <w:bCs/>
          <w:color w:val="000000"/>
          <w:sz w:val="20"/>
          <w:szCs w:val="20"/>
        </w:rPr>
        <w:t>IMPORTANT INFORMATION RELATED TO FORWARD-LOOKING STATEMENTS</w:t>
      </w:r>
    </w:p>
    <w:p w:rsidR="00000000" w:rsidRDefault="009D532D">
      <w:pPr>
        <w:ind w:firstLine="495"/>
        <w:divId w:val="2097818953"/>
        <w:rPr>
          <w:rFonts w:eastAsia="Times New Roman"/>
        </w:rPr>
      </w:pPr>
      <w:r>
        <w:rPr>
          <w:rFonts w:eastAsia="Times New Roman"/>
          <w:color w:val="000000"/>
          <w:sz w:val="20"/>
          <w:szCs w:val="20"/>
        </w:rPr>
        <w:t>This Quarterly Report on Form 10-Q of The Macerich Company (the "Company") contains or incorporates statements</w:t>
      </w:r>
      <w:r>
        <w:rPr>
          <w:rFonts w:eastAsia="Times New Roman"/>
          <w:color w:val="000000"/>
          <w:sz w:val="20"/>
          <w:szCs w:val="20"/>
        </w:rPr>
        <w:t xml:space="preserve"> that constitute forward-looking statements within the meaning of the federal securities laws. Any statements that do not relate to historical or current facts or matters are forward-looking statements. You can identify some of the forward-looking statemen</w:t>
      </w:r>
      <w:r>
        <w:rPr>
          <w:rFonts w:eastAsia="Times New Roman"/>
          <w:color w:val="000000"/>
          <w:sz w:val="20"/>
          <w:szCs w:val="20"/>
        </w:rPr>
        <w:t>ts by the use of forward-looking words, such as "may," "will," "could," "should," "expects," "anticipates," "intends," "projects," "predicts," "plans," "believes," "seeks," "estimates," "scheduled" and variations of these words and similar expressions. Sta</w:t>
      </w:r>
      <w:r>
        <w:rPr>
          <w:rFonts w:eastAsia="Times New Roman"/>
          <w:color w:val="000000"/>
          <w:sz w:val="20"/>
          <w:szCs w:val="20"/>
        </w:rPr>
        <w:t>tements concerning current conditions may also be forward-looking if they imply a continuation of current conditions. Forward-looking statements appear in a number of places in this Form 10-Q and include statements regarding, among other matters:</w:t>
      </w:r>
    </w:p>
    <w:p w:rsidR="00000000" w:rsidRDefault="009D532D">
      <w:pPr>
        <w:ind w:hanging="720"/>
        <w:divId w:val="1638991205"/>
        <w:rPr>
          <w:rFonts w:eastAsia="Times New Roman"/>
        </w:rPr>
      </w:pPr>
      <w:r>
        <w:rPr>
          <w:rFonts w:eastAsia="Times New Roman"/>
          <w:color w:val="000000"/>
          <w:sz w:val="20"/>
          <w:szCs w:val="20"/>
        </w:rPr>
        <w:t>•expectat</w:t>
      </w:r>
      <w:r>
        <w:rPr>
          <w:rFonts w:eastAsia="Times New Roman"/>
          <w:color w:val="000000"/>
          <w:sz w:val="20"/>
          <w:szCs w:val="20"/>
        </w:rPr>
        <w:t>ions regarding the Company's growth;</w:t>
      </w:r>
    </w:p>
    <w:p w:rsidR="00000000" w:rsidRDefault="009D532D">
      <w:pPr>
        <w:ind w:hanging="720"/>
        <w:divId w:val="192505020"/>
        <w:rPr>
          <w:rFonts w:eastAsia="Times New Roman"/>
        </w:rPr>
      </w:pPr>
      <w:r>
        <w:rPr>
          <w:rFonts w:eastAsia="Times New Roman"/>
          <w:color w:val="000000"/>
          <w:sz w:val="20"/>
          <w:szCs w:val="20"/>
        </w:rPr>
        <w:t>•the Company's beliefs regarding its acquisition, redevelopment, development, leasing and operational activities and opportunities, including the performance and financial stability of its retailers;</w:t>
      </w:r>
    </w:p>
    <w:p w:rsidR="00000000" w:rsidRDefault="009D532D">
      <w:pPr>
        <w:ind w:hanging="720"/>
        <w:divId w:val="580213216"/>
        <w:rPr>
          <w:rFonts w:eastAsia="Times New Roman"/>
        </w:rPr>
      </w:pPr>
      <w:r>
        <w:rPr>
          <w:rFonts w:eastAsia="Times New Roman"/>
          <w:color w:val="000000"/>
          <w:sz w:val="20"/>
          <w:szCs w:val="20"/>
        </w:rPr>
        <w:t>•the Company's acqu</w:t>
      </w:r>
      <w:r>
        <w:rPr>
          <w:rFonts w:eastAsia="Times New Roman"/>
          <w:color w:val="000000"/>
          <w:sz w:val="20"/>
          <w:szCs w:val="20"/>
        </w:rPr>
        <w:t>isition, disposition and other strategies;</w:t>
      </w:r>
    </w:p>
    <w:p w:rsidR="00000000" w:rsidRDefault="009D532D">
      <w:pPr>
        <w:ind w:hanging="720"/>
        <w:divId w:val="2054496657"/>
        <w:rPr>
          <w:rFonts w:eastAsia="Times New Roman"/>
        </w:rPr>
      </w:pPr>
      <w:r>
        <w:rPr>
          <w:rFonts w:eastAsia="Times New Roman"/>
          <w:color w:val="000000"/>
          <w:sz w:val="20"/>
          <w:szCs w:val="20"/>
        </w:rPr>
        <w:t>•regulatory matters pertaining to compliance with governmental regulations;</w:t>
      </w:r>
    </w:p>
    <w:p w:rsidR="00000000" w:rsidRDefault="009D532D">
      <w:pPr>
        <w:ind w:hanging="720"/>
        <w:divId w:val="1425422776"/>
        <w:rPr>
          <w:rFonts w:eastAsia="Times New Roman"/>
        </w:rPr>
      </w:pPr>
      <w:r>
        <w:rPr>
          <w:rFonts w:eastAsia="Times New Roman"/>
          <w:color w:val="000000"/>
          <w:sz w:val="20"/>
          <w:szCs w:val="20"/>
        </w:rPr>
        <w:t>•the Company's capital expenditure plans and expectations for obtaining capital for expenditures;</w:t>
      </w:r>
    </w:p>
    <w:p w:rsidR="00000000" w:rsidRDefault="009D532D">
      <w:pPr>
        <w:ind w:hanging="720"/>
        <w:divId w:val="1392459403"/>
        <w:rPr>
          <w:rFonts w:eastAsia="Times New Roman"/>
        </w:rPr>
      </w:pPr>
      <w:r>
        <w:rPr>
          <w:rFonts w:eastAsia="Times New Roman"/>
          <w:color w:val="000000"/>
          <w:sz w:val="20"/>
          <w:szCs w:val="20"/>
        </w:rPr>
        <w:t>•the Company's expectations regarding i</w:t>
      </w:r>
      <w:r>
        <w:rPr>
          <w:rFonts w:eastAsia="Times New Roman"/>
          <w:color w:val="000000"/>
          <w:sz w:val="20"/>
          <w:szCs w:val="20"/>
        </w:rPr>
        <w:t>ncome tax benefits;</w:t>
      </w:r>
    </w:p>
    <w:p w:rsidR="00000000" w:rsidRDefault="009D532D">
      <w:pPr>
        <w:ind w:hanging="720"/>
        <w:divId w:val="1711807096"/>
        <w:rPr>
          <w:rFonts w:eastAsia="Times New Roman"/>
        </w:rPr>
      </w:pPr>
      <w:r>
        <w:rPr>
          <w:rFonts w:eastAsia="Times New Roman"/>
          <w:color w:val="000000"/>
          <w:sz w:val="20"/>
          <w:szCs w:val="20"/>
        </w:rPr>
        <w:t>•the Company's expectations regarding its financial condition or results of operations; and</w:t>
      </w:r>
    </w:p>
    <w:p w:rsidR="00000000" w:rsidRDefault="009D532D">
      <w:pPr>
        <w:ind w:hanging="720"/>
        <w:divId w:val="115298169"/>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w:t>
      </w:r>
      <w:r>
        <w:rPr>
          <w:rFonts w:eastAsia="Times New Roman"/>
          <w:color w:val="000000"/>
          <w:sz w:val="20"/>
          <w:szCs w:val="20"/>
        </w:rPr>
        <w:t>gements.</w:t>
      </w:r>
    </w:p>
    <w:p w:rsidR="00000000" w:rsidRDefault="009D532D">
      <w:pPr>
        <w:ind w:firstLine="495"/>
        <w:divId w:val="2028098920"/>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may cause actual results, performance or achievements of the Company or the indust</w:t>
      </w:r>
      <w:r>
        <w:rPr>
          <w:rFonts w:eastAsia="Times New Roman"/>
          <w:color w:val="000000"/>
          <w:sz w:val="20"/>
          <w:szCs w:val="20"/>
        </w:rPr>
        <w:t>ry to differ materially from the Company's future results, performance or achievements, or those of the industry, expressed or implied in such forward-looking statements. Such factors include, among others, general industry, as well as national, regional a</w:t>
      </w:r>
      <w:r>
        <w:rPr>
          <w:rFonts w:eastAsia="Times New Roman"/>
          <w:color w:val="000000"/>
          <w:sz w:val="20"/>
          <w:szCs w:val="20"/>
        </w:rPr>
        <w:t>nd local economic and business conditions, which will, among other things, affect demand for retail space or retail goods, availability and creditworthiness of current and prospective tenants, anchor or tenant bankruptcies, closures, mergers or consolidati</w:t>
      </w:r>
      <w:r>
        <w:rPr>
          <w:rFonts w:eastAsia="Times New Roman"/>
          <w:color w:val="000000"/>
          <w:sz w:val="20"/>
          <w:szCs w:val="20"/>
        </w:rPr>
        <w:t>ons, lease rates, terms and payments, interest rate fluctuations, availability, terms and cost of financing and operating expenses; adverse changes in the real estate markets including, among other things, competition from other companies, retail formats a</w:t>
      </w:r>
      <w:r>
        <w:rPr>
          <w:rFonts w:eastAsia="Times New Roman"/>
          <w:color w:val="000000"/>
          <w:sz w:val="20"/>
          <w:szCs w:val="20"/>
        </w:rPr>
        <w:t>nd technology, risks of real estate development and redevelopment, acquisitions and dispositions; the continuing adverse impact of the novel coronavirus ("COVID-19") on the U.S., regional and global economies and the financial condition and results of oper</w:t>
      </w:r>
      <w:r>
        <w:rPr>
          <w:rFonts w:eastAsia="Times New Roman"/>
          <w:color w:val="000000"/>
          <w:sz w:val="20"/>
          <w:szCs w:val="20"/>
        </w:rPr>
        <w:t xml:space="preserve">ations of the Company and its tenants; the liquidity of real estate investments, governmental actions and initiatives (including legislative and regulatory changes); environmental and safety requirements; and terrorist activities or other acts of violence </w:t>
      </w:r>
      <w:r>
        <w:rPr>
          <w:rFonts w:eastAsia="Times New Roman"/>
          <w:color w:val="000000"/>
          <w:sz w:val="20"/>
          <w:szCs w:val="20"/>
        </w:rPr>
        <w:t>which could adversely affect all of the above factors. You are urged to carefully review the disclosures we make concerning these risks and other factors that may affect our business and operating results, including those made in "Item 1A. Risk Factors" of</w:t>
      </w:r>
      <w:r>
        <w:rPr>
          <w:rFonts w:eastAsia="Times New Roman"/>
          <w:color w:val="000000"/>
          <w:sz w:val="20"/>
          <w:szCs w:val="20"/>
        </w:rPr>
        <w:t xml:space="preserve"> this Quarterly Report on Form 10-Q and in our Annual Report on Form 10-K for the year ended December 31, 2020, as well as our other reports filed with the Securities and Exchange Commission (the "SEC"), which disclosures are incorporated herein by referen</w:t>
      </w:r>
      <w:r>
        <w:rPr>
          <w:rFonts w:eastAsia="Times New Roman"/>
          <w:color w:val="000000"/>
          <w:sz w:val="20"/>
          <w:szCs w:val="20"/>
        </w:rPr>
        <w:t xml:space="preserve">ce. You are cautioned not to place undue reliance on these forward-looking statements, which speak only as of the date of this document. The Company does not intend, and undertakes no obligation, to update any forward-looking information to reflect events </w:t>
      </w:r>
      <w:r>
        <w:rPr>
          <w:rFonts w:eastAsia="Times New Roman"/>
          <w:color w:val="000000"/>
          <w:sz w:val="20"/>
          <w:szCs w:val="20"/>
        </w:rPr>
        <w:t>or circumstances after the date of this document or to reflect the occurrence of unanticipated events, unless required by law to do so.</w:t>
      </w:r>
    </w:p>
    <w:p w:rsidR="00000000" w:rsidRDefault="009D532D">
      <w:pPr>
        <w:divId w:val="351076656"/>
        <w:rPr>
          <w:rFonts w:eastAsia="Times New Roman"/>
        </w:rPr>
      </w:pPr>
      <w:r>
        <w:rPr>
          <w:rFonts w:eastAsia="Times New Roman"/>
          <w:b/>
          <w:bCs/>
          <w:color w:val="000000"/>
          <w:sz w:val="20"/>
          <w:szCs w:val="20"/>
        </w:rPr>
        <w:t>Management's Overview and Summary</w:t>
      </w:r>
    </w:p>
    <w:p w:rsidR="00000000" w:rsidRDefault="009D532D">
      <w:pPr>
        <w:ind w:firstLine="495"/>
        <w:divId w:val="550003384"/>
        <w:rPr>
          <w:rFonts w:eastAsia="Times New Roman"/>
        </w:rPr>
      </w:pPr>
      <w:r>
        <w:rPr>
          <w:rFonts w:eastAsia="Times New Roman"/>
          <w:color w:val="000000"/>
          <w:sz w:val="20"/>
          <w:szCs w:val="20"/>
        </w:rPr>
        <w:t>The Company is involved in the acquisition, ownership, development, redevelopment, man</w:t>
      </w:r>
      <w:r>
        <w:rPr>
          <w:rFonts w:eastAsia="Times New Roman"/>
          <w:color w:val="000000"/>
          <w:sz w:val="20"/>
          <w:szCs w:val="20"/>
        </w:rPr>
        <w:t>agement and leasing of regional and community/power shopping centers located throughout the United States. The Company is the sole general partner of, and owns a majority of the ownership interests in, The Macerich Partnership, L.P. (the "Operating Partner</w:t>
      </w:r>
      <w:r>
        <w:rPr>
          <w:rFonts w:eastAsia="Times New Roman"/>
          <w:color w:val="000000"/>
          <w:sz w:val="20"/>
          <w:szCs w:val="20"/>
        </w:rPr>
        <w:t>ship"). As of March 31, 2021, the Operating Partnership owned or had an ownership interest in 46 regional shopping centers and five community/power shopping centers. These 51 regional and community/power shopping centers (which include any related office s</w:t>
      </w:r>
      <w:r>
        <w:rPr>
          <w:rFonts w:eastAsia="Times New Roman"/>
          <w:color w:val="000000"/>
          <w:sz w:val="20"/>
          <w:szCs w:val="20"/>
        </w:rPr>
        <w:t>pace) consist of approximately 50 million square feet of gross leasable area and are referred to herein as the "Centers". The Centers consist of consolidated Centers ("Consolidated Centers") and unconsolidated joint venture Centers ("Unconsolidated Joint V</w:t>
      </w:r>
      <w:r>
        <w:rPr>
          <w:rFonts w:eastAsia="Times New Roman"/>
          <w:color w:val="000000"/>
          <w:sz w:val="20"/>
          <w:szCs w:val="20"/>
        </w:rPr>
        <w:t xml:space="preserve">enture Centers"), unless the context otherwise requires. The property management, leasing and redevelopment of the Company's portfolio is provided by the Company's seven management companies (collectively referred to herein as the "Management Companies"). </w:t>
      </w:r>
      <w:r>
        <w:rPr>
          <w:rFonts w:eastAsia="Times New Roman"/>
          <w:color w:val="000000"/>
          <w:sz w:val="20"/>
          <w:szCs w:val="20"/>
        </w:rPr>
        <w:t>The Company is a self-administered and self-managed real estate investment trust ("REIT") and conducts all of its operations through the Operating Partnership and the Management Companies.</w:t>
      </w:r>
    </w:p>
    <w:p w:rsidR="00000000" w:rsidRDefault="009D532D">
      <w:pPr>
        <w:jc w:val="center"/>
        <w:divId w:val="1200554448"/>
        <w:rPr>
          <w:rFonts w:eastAsia="Times New Roman"/>
        </w:rPr>
      </w:pPr>
    </w:p>
    <w:p w:rsidR="00000000" w:rsidRDefault="009D532D">
      <w:pPr>
        <w:jc w:val="center"/>
        <w:divId w:val="1200554448"/>
        <w:rPr>
          <w:rFonts w:eastAsia="Times New Roman"/>
        </w:rPr>
      </w:pPr>
      <w:r>
        <w:rPr>
          <w:rFonts w:eastAsia="Times New Roman"/>
          <w:color w:val="000000"/>
          <w:sz w:val="20"/>
          <w:szCs w:val="20"/>
        </w:rPr>
        <w:t>26</w:t>
      </w:r>
    </w:p>
    <w:p w:rsidR="00000000" w:rsidRDefault="009D532D">
      <w:pPr>
        <w:rPr>
          <w:rFonts w:eastAsia="Times New Roman"/>
        </w:rPr>
      </w:pPr>
      <w:r>
        <w:rPr>
          <w:rFonts w:eastAsia="Times New Roman"/>
        </w:rPr>
        <w:pict>
          <v:rect id="_x0000_i1050" style="width:0;height:1.5pt" o:hralign="center" o:hrstd="t" o:hr="t" fillcolor="#a0a0a0" stroked="f"/>
        </w:pict>
      </w:r>
    </w:p>
    <w:p w:rsidR="00000000" w:rsidRDefault="009D532D">
      <w:pPr>
        <w:divId w:val="306250584"/>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ind w:firstLine="495"/>
        <w:divId w:val="1821652361"/>
        <w:rPr>
          <w:rFonts w:eastAsia="Times New Roman"/>
        </w:rPr>
      </w:pPr>
      <w:r>
        <w:rPr>
          <w:rFonts w:eastAsia="Times New Roman"/>
          <w:color w:val="000000"/>
          <w:sz w:val="20"/>
          <w:szCs w:val="20"/>
        </w:rPr>
        <w:t>The following discussion is based primarily on the consolidated financial statements of the Company for the three months ended March 31, 2021 and 2020. It compares the results of operations for the three mo</w:t>
      </w:r>
      <w:r>
        <w:rPr>
          <w:rFonts w:eastAsia="Times New Roman"/>
          <w:color w:val="000000"/>
          <w:sz w:val="20"/>
          <w:szCs w:val="20"/>
        </w:rPr>
        <w:t xml:space="preserve">nths ended March 31, 2021 to the results of operations for the three months ended March 31, 2020. It also compares the results of operations and cash flows for the three months ended March 31, 2021 to the results of operations and cash flows for the three </w:t>
      </w:r>
      <w:r>
        <w:rPr>
          <w:rFonts w:eastAsia="Times New Roman"/>
          <w:color w:val="000000"/>
          <w:sz w:val="20"/>
          <w:szCs w:val="20"/>
        </w:rPr>
        <w:t xml:space="preserve">months ended March 31, 2020. </w:t>
      </w:r>
    </w:p>
    <w:p w:rsidR="00000000" w:rsidRDefault="009D532D">
      <w:pPr>
        <w:ind w:firstLine="495"/>
        <w:divId w:val="1915235828"/>
        <w:rPr>
          <w:rFonts w:eastAsia="Times New Roman"/>
        </w:rPr>
      </w:pPr>
      <w:r>
        <w:rPr>
          <w:rFonts w:eastAsia="Times New Roman"/>
          <w:color w:val="000000"/>
          <w:sz w:val="20"/>
          <w:szCs w:val="20"/>
        </w:rPr>
        <w:t>This information should be read in conjunction with the accompanying consolidated financial statements and notes thereto.</w:t>
      </w:r>
    </w:p>
    <w:p w:rsidR="00000000" w:rsidRDefault="009D532D">
      <w:pPr>
        <w:ind w:firstLine="450"/>
        <w:divId w:val="1938978890"/>
        <w:rPr>
          <w:rFonts w:eastAsia="Times New Roman"/>
        </w:rPr>
      </w:pPr>
      <w:r>
        <w:rPr>
          <w:rFonts w:eastAsia="Times New Roman"/>
          <w:i/>
          <w:iCs/>
          <w:color w:val="000000"/>
          <w:sz w:val="20"/>
          <w:szCs w:val="20"/>
        </w:rPr>
        <w:t>Dispositions:</w:t>
      </w:r>
    </w:p>
    <w:p w:rsidR="00000000" w:rsidRDefault="009D532D">
      <w:pPr>
        <w:ind w:firstLine="495"/>
        <w:divId w:val="1405645544"/>
        <w:rPr>
          <w:rFonts w:eastAsia="Times New Roman"/>
        </w:rPr>
      </w:pPr>
      <w:r>
        <w:rPr>
          <w:rFonts w:eastAsia="Times New Roman"/>
          <w:color w:val="000000"/>
          <w:sz w:val="20"/>
          <w:szCs w:val="20"/>
        </w:rPr>
        <w:t>On March 29, 2021, the Company sold Paradise Valley Mall in Phoenix, Arizona to a newly formed joint venture for $100 million, resulting in a gain on sale of assets of approximately $5.6 million. Concurrent with the sale, the Company elected to reinvest in</w:t>
      </w:r>
      <w:r>
        <w:rPr>
          <w:rFonts w:eastAsia="Times New Roman"/>
          <w:color w:val="000000"/>
          <w:sz w:val="20"/>
          <w:szCs w:val="20"/>
        </w:rPr>
        <w:t>to the new joint venture at a 5% ownership interest. The Company used the $95.3 million of net proceeds from the sale to pay down its line of credit (See "Liquidity and Capital Resources").</w:t>
      </w:r>
    </w:p>
    <w:p w:rsidR="00000000" w:rsidRDefault="009D532D">
      <w:pPr>
        <w:ind w:firstLine="450"/>
        <w:divId w:val="1455828913"/>
        <w:rPr>
          <w:rFonts w:eastAsia="Times New Roman"/>
        </w:rPr>
      </w:pPr>
      <w:r>
        <w:rPr>
          <w:rFonts w:eastAsia="Times New Roman"/>
          <w:i/>
          <w:iCs/>
          <w:color w:val="000000"/>
          <w:sz w:val="20"/>
          <w:szCs w:val="20"/>
        </w:rPr>
        <w:t>Financing Activities:</w:t>
      </w:r>
    </w:p>
    <w:p w:rsidR="00000000" w:rsidRDefault="009D532D">
      <w:pPr>
        <w:ind w:firstLine="495"/>
        <w:divId w:val="985741196"/>
        <w:rPr>
          <w:rFonts w:eastAsia="Times New Roman"/>
        </w:rPr>
      </w:pPr>
      <w:r>
        <w:rPr>
          <w:rFonts w:eastAsia="Times New Roman"/>
          <w:color w:val="000000"/>
          <w:sz w:val="20"/>
          <w:szCs w:val="20"/>
        </w:rPr>
        <w:t>On September 15, 2020, the Company closed on</w:t>
      </w:r>
      <w:r>
        <w:rPr>
          <w:rFonts w:eastAsia="Times New Roman"/>
          <w:color w:val="000000"/>
          <w:sz w:val="20"/>
          <w:szCs w:val="20"/>
        </w:rPr>
        <w:t xml:space="preserve"> a loan extension agreement for the $191.0 million loan on Danbury Fair Mall. Under the extension agreement, the original loan maturity date of October 1, 2020 was extended to April 1, 2021. The loan was further extended to July 1, 2021, based on certain c</w:t>
      </w:r>
      <w:r>
        <w:rPr>
          <w:rFonts w:eastAsia="Times New Roman"/>
          <w:color w:val="000000"/>
          <w:sz w:val="20"/>
          <w:szCs w:val="20"/>
        </w:rPr>
        <w:t>onditions. The loan amount and interest rate are unchanged following the extensions.</w:t>
      </w:r>
    </w:p>
    <w:p w:rsidR="00000000" w:rsidRDefault="009D532D">
      <w:pPr>
        <w:ind w:firstLine="495"/>
        <w:divId w:val="2086603198"/>
        <w:rPr>
          <w:rFonts w:eastAsia="Times New Roman"/>
        </w:rPr>
      </w:pPr>
      <w:r>
        <w:rPr>
          <w:rFonts w:eastAsia="Times New Roman"/>
          <w:color w:val="000000"/>
          <w:sz w:val="20"/>
          <w:szCs w:val="20"/>
        </w:rPr>
        <w:t>On November 17, 2020, the Company’s joint venture in Tysons VITA, the residential tower at Tysons Corner Center, placed a new $95.0 million loan on the property that bears</w:t>
      </w:r>
      <w:r>
        <w:rPr>
          <w:rFonts w:eastAsia="Times New Roman"/>
          <w:color w:val="000000"/>
          <w:sz w:val="20"/>
          <w:szCs w:val="20"/>
        </w:rPr>
        <w:t xml:space="preserve"> interest at an effective rate of 3.43% and matures on December 1, 2030. Initial loan funding for the Company's joint venture was $90.0 million with future advance potential of up to $5.0 million. The Company used its share of the initial proceeds of $45.0</w:t>
      </w:r>
      <w:r>
        <w:rPr>
          <w:rFonts w:eastAsia="Times New Roman"/>
          <w:color w:val="000000"/>
          <w:sz w:val="20"/>
          <w:szCs w:val="20"/>
        </w:rPr>
        <w:t xml:space="preserve"> million for general corporate purposes.</w:t>
      </w:r>
    </w:p>
    <w:p w:rsidR="00000000" w:rsidRDefault="009D532D">
      <w:pPr>
        <w:ind w:firstLine="495"/>
        <w:divId w:val="1528761940"/>
        <w:rPr>
          <w:rFonts w:eastAsia="Times New Roman"/>
        </w:rPr>
      </w:pPr>
      <w:r>
        <w:rPr>
          <w:rFonts w:eastAsia="Times New Roman"/>
          <w:color w:val="000000"/>
          <w:sz w:val="20"/>
          <w:szCs w:val="20"/>
        </w:rPr>
        <w:t>On December 10, 2020, the Company made a loan (the “Partnership Loan”) to the Company’s joint venture in Fashion District Philadelphia to fund the entirety of a $100.0 million repayment to reduce the mortgage loan o</w:t>
      </w:r>
      <w:r>
        <w:rPr>
          <w:rFonts w:eastAsia="Times New Roman"/>
          <w:color w:val="000000"/>
          <w:sz w:val="20"/>
          <w:szCs w:val="20"/>
        </w:rPr>
        <w:t>n Fashion District Philadelphia from $301.0 million to $201.0 million. This mortgage loan now matures on January 22, 2024, assuming exercise of a one-year extension option, and bears interest at LIBOR plus 3.5%, with a LIBOR floor of 0.50%. The partnership</w:t>
      </w:r>
      <w:r>
        <w:rPr>
          <w:rFonts w:eastAsia="Times New Roman"/>
          <w:color w:val="000000"/>
          <w:sz w:val="20"/>
          <w:szCs w:val="20"/>
        </w:rPr>
        <w:t xml:space="preserve"> agreement for the joint venture was amended in connection with the Partnership Loan, and pursuant to the amended agreement, the Partnership Loan plus 15% accrued interest must be repaid prior to the resumption of 50/50 cash distributions to the Company an</w:t>
      </w:r>
      <w:r>
        <w:rPr>
          <w:rFonts w:eastAsia="Times New Roman"/>
          <w:color w:val="000000"/>
          <w:sz w:val="20"/>
          <w:szCs w:val="20"/>
        </w:rPr>
        <w:t>d its joint venture partner.</w:t>
      </w:r>
    </w:p>
    <w:p w:rsidR="00000000" w:rsidRDefault="009D532D">
      <w:pPr>
        <w:ind w:firstLine="495"/>
        <w:divId w:val="1108086933"/>
        <w:rPr>
          <w:rFonts w:eastAsia="Times New Roman"/>
        </w:rPr>
      </w:pPr>
      <w:r>
        <w:rPr>
          <w:rFonts w:eastAsia="Times New Roman"/>
          <w:color w:val="000000"/>
          <w:sz w:val="20"/>
          <w:szCs w:val="20"/>
        </w:rPr>
        <w:t xml:space="preserve">On December 15, 2020, the Company closed on a loan extension agreement for the $101.5 million loan on Fashion Outlets of Niagara. Under the extension agreement the original loan maturity date of October 6, 2020 was extended to </w:t>
      </w:r>
      <w:r>
        <w:rPr>
          <w:rFonts w:eastAsia="Times New Roman"/>
          <w:color w:val="000000"/>
          <w:sz w:val="20"/>
          <w:szCs w:val="20"/>
        </w:rPr>
        <w:t>October 6, 2023. The loan amount and interest rate are unchanged following the extension.</w:t>
      </w:r>
    </w:p>
    <w:p w:rsidR="00000000" w:rsidRDefault="009D532D">
      <w:pPr>
        <w:ind w:firstLine="495"/>
        <w:divId w:val="784469504"/>
        <w:rPr>
          <w:rFonts w:eastAsia="Times New Roman"/>
        </w:rPr>
      </w:pPr>
      <w:r>
        <w:rPr>
          <w:rFonts w:eastAsia="Times New Roman"/>
          <w:color w:val="000000"/>
          <w:sz w:val="20"/>
          <w:szCs w:val="20"/>
        </w:rPr>
        <w:t>On December 29, 2020, the Company’s joint venture closed on a one-year maturity date extension for the FlatIron Crossing loan to January 5, 2022. The interest rate in</w:t>
      </w:r>
      <w:r>
        <w:rPr>
          <w:rFonts w:eastAsia="Times New Roman"/>
          <w:color w:val="000000"/>
          <w:sz w:val="20"/>
          <w:szCs w:val="20"/>
        </w:rPr>
        <w:t>creased from 3.85% to 4.10%, and the Company’s joint venture repaid $15.0 million, $7.6 million at the Company's pro rata share, of the outstanding loan balance at closing.</w:t>
      </w:r>
    </w:p>
    <w:p w:rsidR="00000000" w:rsidRDefault="009D532D">
      <w:pPr>
        <w:ind w:firstLine="495"/>
        <w:divId w:val="685403960"/>
        <w:rPr>
          <w:rFonts w:eastAsia="Times New Roman"/>
        </w:rPr>
      </w:pPr>
      <w:r>
        <w:rPr>
          <w:rFonts w:eastAsia="Times New Roman"/>
          <w:color w:val="000000"/>
          <w:sz w:val="20"/>
          <w:szCs w:val="20"/>
        </w:rPr>
        <w:t>On January 22, 2021, the Company closed on a one-year extension for Green Acres Mal</w:t>
      </w:r>
      <w:r>
        <w:rPr>
          <w:rFonts w:eastAsia="Times New Roman"/>
          <w:color w:val="000000"/>
          <w:sz w:val="20"/>
          <w:szCs w:val="20"/>
        </w:rPr>
        <w:t>l's $258.2 million loan to February 3, 2022, which also includes a one-year extension to February 3, 2023. The interest rate remained unchanged, and the Company repaid $9 million of the outstanding loan balance at closing.</w:t>
      </w:r>
    </w:p>
    <w:p w:rsidR="00000000" w:rsidRDefault="009D532D">
      <w:pPr>
        <w:ind w:firstLine="495"/>
        <w:divId w:val="1860778046"/>
        <w:rPr>
          <w:rFonts w:eastAsia="Times New Roman"/>
        </w:rPr>
      </w:pPr>
      <w:r>
        <w:rPr>
          <w:rFonts w:eastAsia="Times New Roman"/>
          <w:color w:val="000000"/>
          <w:sz w:val="20"/>
          <w:szCs w:val="20"/>
        </w:rPr>
        <w:t>On March 25, 2021, the Company cl</w:t>
      </w:r>
      <w:r>
        <w:rPr>
          <w:rFonts w:eastAsia="Times New Roman"/>
          <w:color w:val="000000"/>
          <w:sz w:val="20"/>
          <w:szCs w:val="20"/>
        </w:rPr>
        <w:t xml:space="preserve">osed on a two-year extension on the Green Acres Commons $124.6 million loan to March 29, 2023. The interest rate is LIBOR plus 2.75% and the Company repaid $4.7 million of the outstanding loan balance at closing. </w:t>
      </w:r>
    </w:p>
    <w:p w:rsidR="00000000" w:rsidRDefault="009D532D">
      <w:pPr>
        <w:ind w:firstLine="495"/>
        <w:divId w:val="790562447"/>
        <w:rPr>
          <w:rFonts w:eastAsia="Times New Roman"/>
        </w:rPr>
      </w:pPr>
      <w:r>
        <w:rPr>
          <w:rFonts w:eastAsia="Times New Roman"/>
          <w:color w:val="000000"/>
          <w:sz w:val="20"/>
          <w:szCs w:val="20"/>
        </w:rPr>
        <w:t xml:space="preserve">During the second quarter of 2020 and in July 2020, the Company secured agreements with its mortgage lenders on 19 mortgage loans to defer approximately $47.2 million of both second and third quarter of 2020 debt service payments at the Company’s pro rata </w:t>
      </w:r>
      <w:r>
        <w:rPr>
          <w:rFonts w:eastAsia="Times New Roman"/>
          <w:color w:val="000000"/>
          <w:sz w:val="20"/>
          <w:szCs w:val="20"/>
        </w:rPr>
        <w:t>share during the COVID-19 pandemic. Of the deferred payments, $28.1 million and $36.9 million was repaid in the three months and twelve months ended December 31, 2020, respectively; and the remaining balance was fully repaid during the first quarter of 202</w:t>
      </w:r>
      <w:r>
        <w:rPr>
          <w:rFonts w:eastAsia="Times New Roman"/>
          <w:color w:val="000000"/>
          <w:sz w:val="20"/>
          <w:szCs w:val="20"/>
        </w:rPr>
        <w:t>1.</w:t>
      </w:r>
    </w:p>
    <w:p w:rsidR="00000000" w:rsidRDefault="009D532D">
      <w:pPr>
        <w:ind w:firstLine="495"/>
        <w:divId w:val="916213837"/>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 million facility, including a $525 million revolving loan facility that matures on April 14, 2023, with </w:t>
      </w:r>
      <w:r>
        <w:rPr>
          <w:rFonts w:eastAsia="Times New Roman"/>
          <w:color w:val="000000"/>
          <w:sz w:val="20"/>
          <w:szCs w:val="20"/>
        </w:rPr>
        <w:t>a one-year extension option, and a $175 million term loan facility that matures on April 14, 2024 (See "Liquidity and Capital Resources").</w:t>
      </w:r>
    </w:p>
    <w:p w:rsidR="00000000" w:rsidRDefault="009D532D">
      <w:pPr>
        <w:ind w:firstLine="495"/>
        <w:divId w:val="894004716"/>
        <w:rPr>
          <w:rFonts w:eastAsia="Times New Roman"/>
        </w:rPr>
      </w:pPr>
    </w:p>
    <w:p w:rsidR="00000000" w:rsidRDefault="009D532D">
      <w:pPr>
        <w:jc w:val="center"/>
        <w:divId w:val="601228662"/>
        <w:rPr>
          <w:rFonts w:eastAsia="Times New Roman"/>
        </w:rPr>
      </w:pPr>
    </w:p>
    <w:p w:rsidR="00000000" w:rsidRDefault="009D532D">
      <w:pPr>
        <w:jc w:val="center"/>
        <w:divId w:val="601228662"/>
        <w:rPr>
          <w:rFonts w:eastAsia="Times New Roman"/>
        </w:rPr>
      </w:pPr>
      <w:r>
        <w:rPr>
          <w:rFonts w:eastAsia="Times New Roman"/>
          <w:color w:val="000000"/>
          <w:sz w:val="20"/>
          <w:szCs w:val="20"/>
        </w:rPr>
        <w:t>27</w:t>
      </w:r>
    </w:p>
    <w:p w:rsidR="00000000" w:rsidRDefault="009D532D">
      <w:pPr>
        <w:rPr>
          <w:rFonts w:eastAsia="Times New Roman"/>
        </w:rPr>
      </w:pPr>
      <w:r>
        <w:rPr>
          <w:rFonts w:eastAsia="Times New Roman"/>
        </w:rPr>
        <w:pict>
          <v:rect id="_x0000_i1051" style="width:0;height:1.5pt" o:hralign="center" o:hrstd="t" o:hr="t" fillcolor="#a0a0a0" stroked="f"/>
        </w:pict>
      </w:r>
    </w:p>
    <w:p w:rsidR="00000000" w:rsidRDefault="009D532D">
      <w:pPr>
        <w:divId w:val="1264849070"/>
        <w:rPr>
          <w:rFonts w:eastAsia="Times New Roman"/>
        </w:rPr>
      </w:pPr>
      <w:hyperlink w:anchor="id541c1df58744aaebc41b5947eb4480a_7" w:history="1">
        <w:r>
          <w:rPr>
            <w:rStyle w:val="a3"/>
            <w:rFonts w:eastAsia="Times New Roman"/>
            <w:sz w:val="16"/>
            <w:szCs w:val="16"/>
          </w:rPr>
          <w:t>Table of Content</w:t>
        </w:r>
        <w:r>
          <w:rPr>
            <w:rStyle w:val="a3"/>
            <w:rFonts w:eastAsia="Times New Roman"/>
            <w:sz w:val="16"/>
            <w:szCs w:val="16"/>
          </w:rPr>
          <w:t>s</w:t>
        </w:r>
      </w:hyperlink>
    </w:p>
    <w:p w:rsidR="00000000" w:rsidRDefault="009D532D">
      <w:pPr>
        <w:ind w:firstLine="495"/>
        <w:divId w:val="167642035"/>
        <w:rPr>
          <w:rFonts w:eastAsia="Times New Roman"/>
        </w:rPr>
      </w:pPr>
      <w:r>
        <w:rPr>
          <w:rFonts w:eastAsia="Times New Roman"/>
          <w:i/>
          <w:iCs/>
          <w:color w:val="000000"/>
          <w:sz w:val="20"/>
          <w:szCs w:val="20"/>
        </w:rPr>
        <w:t>Redevelopment and Development Activities:</w:t>
      </w:r>
    </w:p>
    <w:p w:rsidR="00000000" w:rsidRDefault="009D532D">
      <w:pPr>
        <w:ind w:firstLine="495"/>
        <w:divId w:val="16586642"/>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creat</w:t>
      </w:r>
      <w:r>
        <w:rPr>
          <w:rFonts w:eastAsia="Times New Roman"/>
          <w:color w:val="000000"/>
          <w:sz w:val="20"/>
          <w:szCs w:val="20"/>
        </w:rPr>
        <w:t>ive office space has been leased to Google and is expected to be completed in 2022. The total cost of the project is estimated to be between $500.0 million and $550.0 million, with $125.0 million to $137.5 million estimated to be the Company's pro rata sha</w:t>
      </w:r>
      <w:r>
        <w:rPr>
          <w:rFonts w:eastAsia="Times New Roman"/>
          <w:color w:val="000000"/>
          <w:sz w:val="20"/>
          <w:szCs w:val="20"/>
        </w:rPr>
        <w:t>re. The Company has funded $85.8 million of the total $343.2 million incurred by the joint venture as of March 31, 2021. The joint venture expects to fund the remaining costs of the development with its $414.6 million construction loan (See "Financing Acti</w:t>
      </w:r>
      <w:r>
        <w:rPr>
          <w:rFonts w:eastAsia="Times New Roman"/>
          <w:color w:val="000000"/>
          <w:sz w:val="20"/>
          <w:szCs w:val="20"/>
        </w:rPr>
        <w:t xml:space="preserve">vities"). </w:t>
      </w:r>
    </w:p>
    <w:p w:rsidR="00000000" w:rsidRDefault="009D532D">
      <w:pPr>
        <w:ind w:firstLine="495"/>
        <w:divId w:val="1231189142"/>
        <w:rPr>
          <w:rFonts w:eastAsia="Times New Roman"/>
        </w:rPr>
      </w:pPr>
      <w:r>
        <w:rPr>
          <w:rFonts w:eastAsia="Times New Roman"/>
          <w:color w:val="000000"/>
          <w:sz w:val="20"/>
          <w:szCs w:val="20"/>
        </w:rPr>
        <w:t>The Company has a 50/50 joint venture with Simon Property Group to develop Los Angeles Premium Outlets, a premium outlet center in Carson, California that is planned to open with approximately 400,000 square feet, followed by an additional 165,0</w:t>
      </w:r>
      <w:r>
        <w:rPr>
          <w:rFonts w:eastAsia="Times New Roman"/>
          <w:color w:val="000000"/>
          <w:sz w:val="20"/>
          <w:szCs w:val="20"/>
        </w:rPr>
        <w:t>00 square feet in the second phase. The Company has funded $39.6 million of the total $79.3 million incurred by the joint venture as of March 31, 2021.</w:t>
      </w:r>
    </w:p>
    <w:p w:rsidR="00000000" w:rsidRDefault="009D532D">
      <w:pPr>
        <w:ind w:firstLine="495"/>
        <w:divId w:val="974214566"/>
        <w:rPr>
          <w:rFonts w:eastAsia="Times New Roman"/>
        </w:rPr>
      </w:pPr>
      <w:r>
        <w:rPr>
          <w:rFonts w:eastAsia="Times New Roman"/>
          <w:color w:val="000000"/>
          <w:sz w:val="20"/>
          <w:szCs w:val="20"/>
        </w:rPr>
        <w:t>In connection with the closures and lease rejections of several Sears stores owned or partially owned by</w:t>
      </w:r>
      <w:r>
        <w:rPr>
          <w:rFonts w:eastAsia="Times New Roman"/>
          <w:color w:val="000000"/>
          <w:sz w:val="20"/>
          <w:szCs w:val="20"/>
        </w:rPr>
        <w:t xml:space="preserve"> the Company, the Company anticipates spending between $130.0 million to $160.0 million at the Company’s pro rata share to redevelop the Sears stores. The anticipated openings of such redevelopments are expected to occur over several years. The estimated r</w:t>
      </w:r>
      <w:r>
        <w:rPr>
          <w:rFonts w:eastAsia="Times New Roman"/>
          <w:color w:val="000000"/>
          <w:sz w:val="20"/>
          <w:szCs w:val="20"/>
        </w:rPr>
        <w:t xml:space="preserve">ange of redevelopment costs could increase if the Company or its joint venture decides to expand the scope of the redevelopments. The Company has funded $38.2 million at its pro rata share as of March 31, 2021. </w:t>
      </w:r>
    </w:p>
    <w:p w:rsidR="00000000" w:rsidRDefault="009D532D">
      <w:pPr>
        <w:ind w:firstLine="495"/>
        <w:divId w:val="1501657749"/>
        <w:rPr>
          <w:rFonts w:eastAsia="Times New Roman"/>
        </w:rPr>
      </w:pPr>
      <w:r>
        <w:rPr>
          <w:rFonts w:eastAsia="Times New Roman"/>
          <w:i/>
          <w:iCs/>
          <w:color w:val="000000"/>
          <w:sz w:val="20"/>
          <w:szCs w:val="20"/>
        </w:rPr>
        <w:t>Other Transactions and Events:</w:t>
      </w:r>
    </w:p>
    <w:p w:rsidR="00000000" w:rsidRDefault="009D532D">
      <w:pPr>
        <w:ind w:firstLine="495"/>
        <w:divId w:val="1608198762"/>
        <w:rPr>
          <w:rFonts w:eastAsia="Times New Roman"/>
        </w:rPr>
      </w:pPr>
      <w:r>
        <w:rPr>
          <w:rFonts w:eastAsia="Times New Roman"/>
          <w:color w:val="000000"/>
          <w:sz w:val="20"/>
          <w:szCs w:val="20"/>
        </w:rPr>
        <w:t>In March 2020</w:t>
      </w:r>
      <w:r>
        <w:rPr>
          <w:rFonts w:eastAsia="Times New Roman"/>
          <w:color w:val="000000"/>
          <w:sz w:val="20"/>
          <w:szCs w:val="20"/>
        </w:rPr>
        <w:t>, the COVID-19 outbreak was declared a pandemic by the World Health Organization. As a result, all of the markets that the Company operates in were subject to stay-at-home orders, and the majority of its properties were temporarily closed in part or comple</w:t>
      </w:r>
      <w:r>
        <w:rPr>
          <w:rFonts w:eastAsia="Times New Roman"/>
          <w:color w:val="000000"/>
          <w:sz w:val="20"/>
          <w:szCs w:val="20"/>
        </w:rPr>
        <w:t>tely. Following staggered re-openings during 2020, all Centers have been open and operating since October 7, 2020, and government mandated restrictions have generally been eased during the first quarter of 2021, including in the Company's key markets of Ca</w:t>
      </w:r>
      <w:r>
        <w:rPr>
          <w:rFonts w:eastAsia="Times New Roman"/>
          <w:color w:val="000000"/>
          <w:sz w:val="20"/>
          <w:szCs w:val="20"/>
        </w:rPr>
        <w:t>lifornia and New York, which were the most capacity-restricted markets upon re-opening in 2020.</w:t>
      </w:r>
    </w:p>
    <w:p w:rsidR="00000000" w:rsidRDefault="009D532D">
      <w:pPr>
        <w:ind w:firstLine="495"/>
        <w:divId w:val="1131285734"/>
        <w:rPr>
          <w:rFonts w:eastAsia="Times New Roman"/>
        </w:rPr>
      </w:pPr>
      <w:r>
        <w:rPr>
          <w:rFonts w:eastAsia="Times New Roman"/>
          <w:color w:val="000000"/>
          <w:sz w:val="20"/>
          <w:szCs w:val="20"/>
        </w:rPr>
        <w:t>The Company continues to work with all of its stakeholders to mitigate the impact of COVID-19. The Company has developed and implemented a long list of operatio</w:t>
      </w:r>
      <w:r>
        <w:rPr>
          <w:rFonts w:eastAsia="Times New Roman"/>
          <w:color w:val="000000"/>
          <w:sz w:val="20"/>
          <w:szCs w:val="20"/>
        </w:rPr>
        <w:t>nal protocols based on Centers for Disease Control and Prevention recommendations designed to ensure the safety of its employees, tenants, service providers and shoppers. Those measures include, among others: the use of sophisticated air filtration systems</w:t>
      </w:r>
      <w:r>
        <w:rPr>
          <w:rFonts w:eastAsia="Times New Roman"/>
          <w:color w:val="000000"/>
          <w:sz w:val="20"/>
          <w:szCs w:val="20"/>
        </w:rPr>
        <w:t xml:space="preserve"> to increase air circulation and outside air flow and ventilation, significantly intensified cleaning and sanitizing procedures with special focus on high-touch and traffic areas, highly visible and accessible self-service sanitizing stations, providing ma</w:t>
      </w:r>
      <w:r>
        <w:rPr>
          <w:rFonts w:eastAsia="Times New Roman"/>
          <w:color w:val="000000"/>
          <w:sz w:val="20"/>
          <w:szCs w:val="20"/>
        </w:rPr>
        <w:t>sks at all properties as needed and requiring mask-wearing at nearly all properties in compliance with state and local requirements, touchless entries, social distance queuing including the use of digital technologies, path of travel guidelines including v</w:t>
      </w:r>
      <w:r>
        <w:rPr>
          <w:rFonts w:eastAsia="Times New Roman"/>
          <w:color w:val="000000"/>
          <w:sz w:val="20"/>
          <w:szCs w:val="20"/>
        </w:rPr>
        <w:t xml:space="preserve">ertical transportation and deliveries, furniture placement and the use of sophisticated traffic-counting technology to ensure that its properties adhere to any relevant regulatory capacity constraints. The Company’s indoor properties feature vast interior </w:t>
      </w:r>
      <w:r>
        <w:rPr>
          <w:rFonts w:eastAsia="Times New Roman"/>
          <w:color w:val="000000"/>
          <w:sz w:val="20"/>
          <w:szCs w:val="20"/>
        </w:rPr>
        <w:t>common areas, most with two to three story ceiling clearances, ample floor space and a comfortable environment to practice effective social distancing even during peak retail periods. The Company provides round-the-clock security to enforce policies and re</w:t>
      </w:r>
      <w:r>
        <w:rPr>
          <w:rFonts w:eastAsia="Times New Roman"/>
          <w:color w:val="000000"/>
          <w:sz w:val="20"/>
          <w:szCs w:val="20"/>
        </w:rPr>
        <w:t>gulations, to discourage congregation and to encourage proper distancing. Each property deploys robust messaging to inform all of the Company’s stakeholders of its operating standards and requirements within a multi-media platform that includes abundant on</w:t>
      </w:r>
      <w:r>
        <w:rPr>
          <w:rFonts w:eastAsia="Times New Roman"/>
          <w:color w:val="000000"/>
          <w:sz w:val="20"/>
          <w:szCs w:val="20"/>
        </w:rPr>
        <w:t xml:space="preserve"> premise signage, digital and social messaging, and information within its property and corporate websites. The Company believes that, due to the quality of design and construction of its malls, it will be able to continue to provide a safe indoor environm</w:t>
      </w:r>
      <w:r>
        <w:rPr>
          <w:rFonts w:eastAsia="Times New Roman"/>
          <w:color w:val="000000"/>
          <w:sz w:val="20"/>
          <w:szCs w:val="20"/>
        </w:rPr>
        <w:t>ent for its employees, tenants, service providers and shoppers. Although the Company has incurred, and will continue to incur, some incremental costs associated with COVID-19 operating protocols and programs, these costs have not been, and are not anticipa</w:t>
      </w:r>
      <w:r>
        <w:rPr>
          <w:rFonts w:eastAsia="Times New Roman"/>
          <w:color w:val="000000"/>
          <w:sz w:val="20"/>
          <w:szCs w:val="20"/>
        </w:rPr>
        <w:t>ted to be, significant.</w:t>
      </w:r>
    </w:p>
    <w:p w:rsidR="00000000" w:rsidRDefault="009D532D">
      <w:pPr>
        <w:ind w:firstLine="495"/>
        <w:divId w:val="1782801734"/>
        <w:rPr>
          <w:rFonts w:eastAsia="Times New Roman"/>
        </w:rPr>
      </w:pPr>
      <w:r>
        <w:rPr>
          <w:rFonts w:eastAsia="Times New Roman"/>
          <w:color w:val="000000"/>
          <w:sz w:val="20"/>
          <w:szCs w:val="20"/>
        </w:rPr>
        <w:t>On December 31, 2020, the Company and its joint venture partner, Seritage Growth Properties (“Seritage”), entered into a distribution agreement. The joint venture owned nine properties, including the former Sears parcels at the Sout</w:t>
      </w:r>
      <w:r>
        <w:rPr>
          <w:rFonts w:eastAsia="Times New Roman"/>
          <w:color w:val="000000"/>
          <w:sz w:val="20"/>
          <w:szCs w:val="20"/>
        </w:rPr>
        <w:t>h Plains Mall and the Arrowhead Towne Center. The joint venture distributed the former Sears parcel at South Plains Mall to the Company and the former Sears parcel at Arrowhead Towne Center to Seritage. The joint venture partners agreed that the distribute</w:t>
      </w:r>
      <w:r>
        <w:rPr>
          <w:rFonts w:eastAsia="Times New Roman"/>
          <w:color w:val="000000"/>
          <w:sz w:val="20"/>
          <w:szCs w:val="20"/>
        </w:rPr>
        <w:t>d properties were of equal value. The Company now owns 100% of the former Sears parcel at South Plains Mall. Effective December 31, 2020, the Company consolidates its 100% interest in the Sears parcel at South Plains Mall in the Company’s consolidated fina</w:t>
      </w:r>
      <w:r>
        <w:rPr>
          <w:rFonts w:eastAsia="Times New Roman"/>
          <w:color w:val="000000"/>
          <w:sz w:val="20"/>
          <w:szCs w:val="20"/>
        </w:rPr>
        <w:t>ncial statements.</w:t>
      </w:r>
    </w:p>
    <w:p w:rsidR="00000000" w:rsidRDefault="009D532D">
      <w:pPr>
        <w:ind w:firstLine="495"/>
        <w:divId w:val="1239485597"/>
        <w:rPr>
          <w:rFonts w:eastAsia="Times New Roman"/>
        </w:rPr>
      </w:pPr>
      <w:r>
        <w:rPr>
          <w:rFonts w:eastAsia="Times New Roman"/>
          <w:color w:val="000000"/>
          <w:sz w:val="20"/>
          <w:szCs w:val="20"/>
        </w:rPr>
        <w:t xml:space="preserve">In March 2020, the Company declared a reduced second quarter dividend of $0.50 per share of its common stock, which was paid on June 3, 2020 in a combination of cash and shares of common stock, at the election of the stockholder, subject </w:t>
      </w:r>
      <w:r>
        <w:rPr>
          <w:rFonts w:eastAsia="Times New Roman"/>
          <w:color w:val="000000"/>
          <w:sz w:val="20"/>
          <w:szCs w:val="20"/>
        </w:rPr>
        <w:t xml:space="preserve">to a limitation that the aggregate amount of cash payable to holders of the Company’s common stock would not exceed 20% of the aggregate amount of the dividend, or $0.10 per share, for all stockholders of record on April 22, 2020. The amount of the </w:t>
      </w:r>
    </w:p>
    <w:p w:rsidR="00000000" w:rsidRDefault="009D532D">
      <w:pPr>
        <w:jc w:val="center"/>
        <w:divId w:val="1992900762"/>
        <w:rPr>
          <w:rFonts w:eastAsia="Times New Roman"/>
        </w:rPr>
      </w:pPr>
    </w:p>
    <w:p w:rsidR="00000000" w:rsidRDefault="009D532D">
      <w:pPr>
        <w:jc w:val="center"/>
        <w:divId w:val="1992900762"/>
        <w:rPr>
          <w:rFonts w:eastAsia="Times New Roman"/>
        </w:rPr>
      </w:pPr>
      <w:r>
        <w:rPr>
          <w:rFonts w:eastAsia="Times New Roman"/>
          <w:color w:val="000000"/>
          <w:sz w:val="20"/>
          <w:szCs w:val="20"/>
        </w:rPr>
        <w:t>28</w:t>
      </w:r>
    </w:p>
    <w:p w:rsidR="00000000" w:rsidRDefault="009D532D">
      <w:pPr>
        <w:rPr>
          <w:rFonts w:eastAsia="Times New Roman"/>
        </w:rPr>
      </w:pPr>
      <w:r>
        <w:rPr>
          <w:rFonts w:eastAsia="Times New Roman"/>
        </w:rPr>
        <w:pict>
          <v:rect id="_x0000_i1052" style="width:0;height:1.5pt" o:hralign="center" o:hrstd="t" o:hr="t" fillcolor="#a0a0a0" stroked="f"/>
        </w:pict>
      </w:r>
    </w:p>
    <w:p w:rsidR="00000000" w:rsidRDefault="009D532D">
      <w:pPr>
        <w:divId w:val="107763183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547523343"/>
        <w:rPr>
          <w:rFonts w:eastAsia="Times New Roman"/>
        </w:rPr>
      </w:pPr>
      <w:r>
        <w:rPr>
          <w:rFonts w:eastAsia="Times New Roman"/>
          <w:color w:val="000000"/>
          <w:sz w:val="20"/>
          <w:szCs w:val="20"/>
        </w:rPr>
        <w:t>dividend represents a reduction from the Company’s first quarter dividend, and was paid in a combination of cash and shares of common stock to p</w:t>
      </w:r>
      <w:r>
        <w:rPr>
          <w:rFonts w:eastAsia="Times New Roman"/>
          <w:color w:val="000000"/>
          <w:sz w:val="20"/>
          <w:szCs w:val="20"/>
        </w:rPr>
        <w:t>reserve liquidity in light of the impact and uncertainty arising out of the COVID-19 outbreak.The Company declared a further reduced cash dividend of $0.15 per share of its common stock for the third and fourth quarters of 2020. On January 28, 2021, the Co</w:t>
      </w:r>
      <w:r>
        <w:rPr>
          <w:rFonts w:eastAsia="Times New Roman"/>
          <w:color w:val="000000"/>
          <w:sz w:val="20"/>
          <w:szCs w:val="20"/>
        </w:rPr>
        <w:t>mpany declared a first quarter cash dividend of $0.15 per share of its common stock, which was paid on March 3, 2021 to stockholders of record on February 19, 2021. On April 29, 2021, the Company declared a second quarter cash dividend of $0.15 per share o</w:t>
      </w:r>
      <w:r>
        <w:rPr>
          <w:rFonts w:eastAsia="Times New Roman"/>
          <w:color w:val="000000"/>
          <w:sz w:val="20"/>
          <w:szCs w:val="20"/>
        </w:rPr>
        <w:t>f its common stock, which will be paid on June 3, 2021 to stockholders of record on May 7, 2021. The dividend amount will be reviewed by the Board on a quarterly basis.</w:t>
      </w:r>
    </w:p>
    <w:p w:rsidR="00000000" w:rsidRDefault="009D532D">
      <w:pPr>
        <w:ind w:firstLine="495"/>
        <w:divId w:val="1154568241"/>
        <w:rPr>
          <w:rFonts w:eastAsia="Times New Roman"/>
        </w:rPr>
      </w:pPr>
      <w:r>
        <w:rPr>
          <w:rFonts w:eastAsia="Times New Roman"/>
          <w:color w:val="000000"/>
          <w:sz w:val="20"/>
          <w:szCs w:val="20"/>
        </w:rPr>
        <w:t>In connection with the commencement of separate "at the market" offering programs, on e</w:t>
      </w:r>
      <w:r>
        <w:rPr>
          <w:rFonts w:eastAsia="Times New Roman"/>
          <w:color w:val="000000"/>
          <w:sz w:val="20"/>
          <w:szCs w:val="20"/>
        </w:rPr>
        <w:t>ach of February 1, 2021 and March 26, 2021, which are referred to as the "February 2021 ATM Program" and the "March 2021 ATM Program," respectively, and collectively as the "ATM Programs," the Company entered into separate equity distribution agreements wi</w:t>
      </w:r>
      <w:r>
        <w:rPr>
          <w:rFonts w:eastAsia="Times New Roman"/>
          <w:color w:val="000000"/>
          <w:sz w:val="20"/>
          <w:szCs w:val="20"/>
        </w:rPr>
        <w:t>th certain sales agents pursuant to which the Company may issue and sell shares of its common stock having an aggregate offering price of up to $500 million under each of the February 2021 ATM Program and the March 2021 ATM Program, or a total of $1 billio</w:t>
      </w:r>
      <w:r>
        <w:rPr>
          <w:rFonts w:eastAsia="Times New Roman"/>
          <w:color w:val="000000"/>
          <w:sz w:val="20"/>
          <w:szCs w:val="20"/>
        </w:rPr>
        <w:t>n under the ATM Programs.</w:t>
      </w:r>
    </w:p>
    <w:p w:rsidR="00000000" w:rsidRDefault="009D532D">
      <w:pPr>
        <w:ind w:firstLine="495"/>
        <w:divId w:val="2027825864"/>
        <w:rPr>
          <w:rFonts w:eastAsia="Times New Roman"/>
        </w:rPr>
      </w:pPr>
      <w:r>
        <w:rPr>
          <w:rFonts w:eastAsia="Times New Roman"/>
          <w:color w:val="000000"/>
          <w:sz w:val="20"/>
          <w:szCs w:val="20"/>
        </w:rPr>
        <w:t>See “Liquidity and Capital Resources” for a further discussion of the Company’s anticipated liquidity needs, and the measures taken by the Company to meet those needs, including the ATM Programs and the Company's new credit facili</w:t>
      </w:r>
      <w:r>
        <w:rPr>
          <w:rFonts w:eastAsia="Times New Roman"/>
          <w:color w:val="000000"/>
          <w:sz w:val="20"/>
          <w:szCs w:val="20"/>
        </w:rPr>
        <w:t>ty.</w:t>
      </w:r>
    </w:p>
    <w:p w:rsidR="00000000" w:rsidRDefault="009D532D">
      <w:pPr>
        <w:ind w:firstLine="495"/>
        <w:divId w:val="1089542276"/>
        <w:rPr>
          <w:rFonts w:eastAsia="Times New Roman"/>
        </w:rPr>
      </w:pPr>
      <w:r>
        <w:rPr>
          <w:rFonts w:eastAsia="Times New Roman"/>
          <w:i/>
          <w:iCs/>
          <w:color w:val="000000"/>
          <w:sz w:val="20"/>
          <w:szCs w:val="20"/>
        </w:rPr>
        <w:t>Inflation:</w:t>
      </w:r>
    </w:p>
    <w:p w:rsidR="00000000" w:rsidRDefault="009D532D">
      <w:pPr>
        <w:ind w:firstLine="495"/>
        <w:divId w:val="175119568"/>
        <w:rPr>
          <w:rFonts w:eastAsia="Times New Roman"/>
        </w:rPr>
      </w:pPr>
      <w:r>
        <w:rPr>
          <w:rFonts w:eastAsia="Times New Roman"/>
          <w:color w:val="000000"/>
          <w:sz w:val="20"/>
          <w:szCs w:val="20"/>
        </w:rPr>
        <w:t>In the last five years, inflation has not had a significant impact on the Company because of a relatively low inflation rate. Most of the leases at the Centers have rent adjustments periodically throughout the lease term. These rent increase</w:t>
      </w:r>
      <w:r>
        <w:rPr>
          <w:rFonts w:eastAsia="Times New Roman"/>
          <w:color w:val="000000"/>
          <w:sz w:val="20"/>
          <w:szCs w:val="20"/>
        </w:rPr>
        <w:t>s are either in fixed increments or based on using an annual multiple of increases in the Consumer Price Index. In addition, approximately 3% to 18% of the leases for spaces 10,000 square feet and under expire each year, which enables the Company to replac</w:t>
      </w:r>
      <w:r>
        <w:rPr>
          <w:rFonts w:eastAsia="Times New Roman"/>
          <w:color w:val="000000"/>
          <w:sz w:val="20"/>
          <w:szCs w:val="20"/>
        </w:rPr>
        <w:t xml:space="preserve">e existing leases with new leases at higher base rents if the rents of the existing leases are below the then existing market rate. The Company has generally entered into leases that require tenants to pay a stated amount for operating expenses, generally </w:t>
      </w:r>
      <w:r>
        <w:rPr>
          <w:rFonts w:eastAsia="Times New Roman"/>
          <w:color w:val="000000"/>
          <w:sz w:val="20"/>
          <w:szCs w:val="20"/>
        </w:rPr>
        <w:t>excluding property taxes, regardless of the expenses actually incurred at any Center, which places the burden of cost control on the Company. Additionally, certain leases require the tenants to pay their pro rata share of operating expenses.</w:t>
      </w:r>
    </w:p>
    <w:p w:rsidR="00000000" w:rsidRDefault="009D532D">
      <w:pPr>
        <w:divId w:val="1453666654"/>
        <w:rPr>
          <w:rFonts w:eastAsia="Times New Roman"/>
        </w:rPr>
      </w:pPr>
      <w:r>
        <w:rPr>
          <w:rFonts w:eastAsia="Times New Roman"/>
          <w:b/>
          <w:bCs/>
          <w:color w:val="000000"/>
          <w:sz w:val="20"/>
          <w:szCs w:val="20"/>
        </w:rPr>
        <w:t>Critical Accou</w:t>
      </w:r>
      <w:r>
        <w:rPr>
          <w:rFonts w:eastAsia="Times New Roman"/>
          <w:b/>
          <w:bCs/>
          <w:color w:val="000000"/>
          <w:sz w:val="20"/>
          <w:szCs w:val="20"/>
        </w:rPr>
        <w:t>nting Policies</w:t>
      </w:r>
    </w:p>
    <w:p w:rsidR="00000000" w:rsidRDefault="009D532D">
      <w:pPr>
        <w:ind w:firstLine="495"/>
        <w:divId w:val="2035305262"/>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management to make estimates and assumptions that affect the reported amounts of assets and</w:t>
      </w:r>
      <w:r>
        <w:rPr>
          <w:rFonts w:eastAsia="Times New Roman"/>
          <w:color w:val="000000"/>
          <w:sz w:val="20"/>
          <w:szCs w:val="20"/>
        </w:rPr>
        <w:t xml:space="preserve"> liabilities and disclosure of contingent assets and liabilities at the date of the financial statements and the reported amounts of revenues and expenses during the reporting period. Actual results could differ from those estimates.</w:t>
      </w:r>
    </w:p>
    <w:p w:rsidR="00000000" w:rsidRDefault="009D532D">
      <w:pPr>
        <w:ind w:firstLine="495"/>
        <w:divId w:val="1239973157"/>
        <w:rPr>
          <w:rFonts w:eastAsia="Times New Roman"/>
        </w:rPr>
      </w:pPr>
      <w:r>
        <w:rPr>
          <w:rFonts w:eastAsia="Times New Roman"/>
          <w:color w:val="000000"/>
          <w:sz w:val="20"/>
          <w:szCs w:val="20"/>
        </w:rPr>
        <w:t>Some of these estimate</w:t>
      </w:r>
      <w:r>
        <w:rPr>
          <w:rFonts w:eastAsia="Times New Roman"/>
          <w:color w:val="000000"/>
          <w:sz w:val="20"/>
          <w:szCs w:val="20"/>
        </w:rPr>
        <w:t>s and assumptions include judgments on revenue recognition, estimates for common area maintenance and real estate tax accruals, provisions for uncollectible accounts, impairment of long-lived assets, the allocation of purchase price between tangible and in</w:t>
      </w:r>
      <w:r>
        <w:rPr>
          <w:rFonts w:eastAsia="Times New Roman"/>
          <w:color w:val="000000"/>
          <w:sz w:val="20"/>
          <w:szCs w:val="20"/>
        </w:rPr>
        <w:t>tangible assets, capitalization of costs and fair value measurements. The Company's significant accounting policies are described in more detail in Note 2—Summary of Significant Accounting Policies in the Company's Notes to the Consolidated Financial State</w:t>
      </w:r>
      <w:r>
        <w:rPr>
          <w:rFonts w:eastAsia="Times New Roman"/>
          <w:color w:val="000000"/>
          <w:sz w:val="20"/>
          <w:szCs w:val="20"/>
        </w:rPr>
        <w:t>ments. However, the following policies are deemed to be critical.</w:t>
      </w:r>
    </w:p>
    <w:p w:rsidR="00000000" w:rsidRDefault="009D532D">
      <w:pPr>
        <w:ind w:firstLine="495"/>
        <w:divId w:val="409154846"/>
        <w:rPr>
          <w:rFonts w:eastAsia="Times New Roman"/>
        </w:rPr>
      </w:pPr>
      <w:r>
        <w:rPr>
          <w:rFonts w:eastAsia="Times New Roman"/>
          <w:i/>
          <w:iCs/>
          <w:color w:val="000000"/>
          <w:sz w:val="20"/>
          <w:szCs w:val="20"/>
        </w:rPr>
        <w:t>Acquisitions:</w:t>
      </w:r>
    </w:p>
    <w:p w:rsidR="00000000" w:rsidRDefault="009D532D">
      <w:pPr>
        <w:ind w:firstLine="495"/>
        <w:divId w:val="1350374526"/>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w:t>
      </w:r>
      <w:r>
        <w:rPr>
          <w:rFonts w:eastAsia="Times New Roman"/>
          <w:color w:val="000000"/>
          <w:sz w:val="20"/>
          <w:szCs w:val="20"/>
        </w:rPr>
        <w:t xml:space="preserve"> asset acquisitions, the Company allocates the purchase price of properties to acquired tangible assets and intangible assets and liabilities. For asset acquisitions, the Company capitalizes transaction costs and allocates the purchase price using a relati</w:t>
      </w:r>
      <w:r>
        <w:rPr>
          <w:rFonts w:eastAsia="Times New Roman"/>
          <w:color w:val="000000"/>
          <w:sz w:val="20"/>
          <w:szCs w:val="20"/>
        </w:rPr>
        <w:t xml:space="preserve">ve fair value method allocating all accumulated costs. For business combinations, the Company expenses transaction costs incurred and allocates purchase price based on the estimated fair value of each separately identified asset and liability. The Company </w:t>
      </w:r>
      <w:r>
        <w:rPr>
          <w:rFonts w:eastAsia="Times New Roman"/>
          <w:color w:val="000000"/>
          <w:sz w:val="20"/>
          <w:szCs w:val="20"/>
        </w:rPr>
        <w:t>allocates the estimated fair value of acquisitions to land, building, tenant improvements and identified intangible assets and liabilities, based on their estimated fair values. In addition, any assumed mortgage notes payable are recorded at their estimate</w:t>
      </w:r>
      <w:r>
        <w:rPr>
          <w:rFonts w:eastAsia="Times New Roman"/>
          <w:color w:val="000000"/>
          <w:sz w:val="20"/>
          <w:szCs w:val="20"/>
        </w:rPr>
        <w:t>d fair values. The estimated fair value of the land and buildings is determined utilizing an “as if vacant” methodology. Tenant improvements represent the tangible assets associated with the existing leases valued on a fair value basis at the acquisition d</w:t>
      </w:r>
      <w:r>
        <w:rPr>
          <w:rFonts w:eastAsia="Times New Roman"/>
          <w:color w:val="000000"/>
          <w:sz w:val="20"/>
          <w:szCs w:val="20"/>
        </w:rPr>
        <w:t>ate prorated over the remaining lease terms. The tenant improvements are classified as an asset under property and are depreciated over the remaining lease terms. Identifiable intangible assets and liabilities relate to the value of in-place operating leas</w:t>
      </w:r>
      <w:r>
        <w:rPr>
          <w:rFonts w:eastAsia="Times New Roman"/>
          <w:color w:val="000000"/>
          <w:sz w:val="20"/>
          <w:szCs w:val="20"/>
        </w:rPr>
        <w:t>es which come in three forms: (i) leasing commissions and legal costs, which represent the value associated with “cost avoidance” of acquiring in-place leases, such as lease commissions paid under terms generally experienced in the Company's markets; (ii) </w:t>
      </w:r>
      <w:r>
        <w:rPr>
          <w:rFonts w:eastAsia="Times New Roman"/>
          <w:color w:val="000000"/>
          <w:sz w:val="20"/>
          <w:szCs w:val="20"/>
        </w:rPr>
        <w:t>value of in-place leases, which represents the estimated loss of revenue and of costs incurred for the period required to lease the “assumed vacant” property to the occupancy level when purchased; and (iii) above or below-market value of in-place leases, w</w:t>
      </w:r>
      <w:r>
        <w:rPr>
          <w:rFonts w:eastAsia="Times New Roman"/>
          <w:color w:val="000000"/>
          <w:sz w:val="20"/>
          <w:szCs w:val="20"/>
        </w:rPr>
        <w:t>hich represents the difference between the contractual rents and market rents at the time of the acquisition, discounted for tenant credit risks. Leasing commissions and legal costs are recorded in deferred charges and other assets and are amortized over t</w:t>
      </w:r>
      <w:r>
        <w:rPr>
          <w:rFonts w:eastAsia="Times New Roman"/>
          <w:color w:val="000000"/>
          <w:sz w:val="20"/>
          <w:szCs w:val="20"/>
        </w:rPr>
        <w:t xml:space="preserve">he remaining lease terms. </w:t>
      </w:r>
    </w:p>
    <w:p w:rsidR="00000000" w:rsidRDefault="009D532D">
      <w:pPr>
        <w:jc w:val="center"/>
        <w:divId w:val="850920142"/>
        <w:rPr>
          <w:rFonts w:eastAsia="Times New Roman"/>
        </w:rPr>
      </w:pPr>
    </w:p>
    <w:p w:rsidR="00000000" w:rsidRDefault="009D532D">
      <w:pPr>
        <w:jc w:val="center"/>
        <w:divId w:val="850920142"/>
        <w:rPr>
          <w:rFonts w:eastAsia="Times New Roman"/>
        </w:rPr>
      </w:pPr>
      <w:r>
        <w:rPr>
          <w:rFonts w:eastAsia="Times New Roman"/>
          <w:color w:val="000000"/>
          <w:sz w:val="20"/>
          <w:szCs w:val="20"/>
        </w:rPr>
        <w:t>29</w:t>
      </w:r>
    </w:p>
    <w:p w:rsidR="00000000" w:rsidRDefault="009D532D">
      <w:pPr>
        <w:rPr>
          <w:rFonts w:eastAsia="Times New Roman"/>
        </w:rPr>
      </w:pPr>
      <w:r>
        <w:rPr>
          <w:rFonts w:eastAsia="Times New Roman"/>
        </w:rPr>
        <w:pict>
          <v:rect id="_x0000_i1053" style="width:0;height:1.5pt" o:hralign="center" o:hrstd="t" o:hr="t" fillcolor="#a0a0a0" stroked="f"/>
        </w:pict>
      </w:r>
    </w:p>
    <w:p w:rsidR="00000000" w:rsidRDefault="009D532D">
      <w:pPr>
        <w:divId w:val="207619618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016732606"/>
        <w:rPr>
          <w:rFonts w:eastAsia="Times New Roman"/>
        </w:rPr>
      </w:pPr>
      <w:r>
        <w:rPr>
          <w:rFonts w:eastAsia="Times New Roman"/>
          <w:color w:val="000000"/>
          <w:sz w:val="20"/>
          <w:szCs w:val="20"/>
        </w:rPr>
        <w:t>The value of in-place leases are recorded in deferred charges and other assets and amortized over the remaining lease terms plus any below-marke</w:t>
      </w:r>
      <w:r>
        <w:rPr>
          <w:rFonts w:eastAsia="Times New Roman"/>
          <w:color w:val="000000"/>
          <w:sz w:val="20"/>
          <w:szCs w:val="20"/>
        </w:rPr>
        <w:t>t fixed rate renewal options. Above or below-market leases are classified in deferred charges and other assets or in other accrued liabilities, depending on whether the contractual terms are above or below-market, and the asset or liability is amortized to</w:t>
      </w:r>
      <w:r>
        <w:rPr>
          <w:rFonts w:eastAsia="Times New Roman"/>
          <w:color w:val="000000"/>
          <w:sz w:val="20"/>
          <w:szCs w:val="20"/>
        </w:rPr>
        <w:t xml:space="preserve"> minimum rents over the remaining terms of the leases. The remaining lease terms of below-market leases may include certain below-market fixed-rate renewal periods. In considering whether or not a lessee will execute a below-market fixed-rate lease renewal</w:t>
      </w:r>
      <w:r>
        <w:rPr>
          <w:rFonts w:eastAsia="Times New Roman"/>
          <w:color w:val="000000"/>
          <w:sz w:val="20"/>
          <w:szCs w:val="20"/>
        </w:rPr>
        <w:t xml:space="preserve"> option, the Company evaluates economic factors and certain qualitative factors at the time of acquisition such as tenant mix in the Center, the Company's relationship with the tenant and the availability of competing tenant space.</w:t>
      </w:r>
    </w:p>
    <w:p w:rsidR="00000000" w:rsidRDefault="009D532D">
      <w:pPr>
        <w:ind w:firstLine="495"/>
        <w:divId w:val="1379357215"/>
        <w:rPr>
          <w:rFonts w:eastAsia="Times New Roman"/>
        </w:rPr>
      </w:pPr>
      <w:r>
        <w:rPr>
          <w:rFonts w:eastAsia="Times New Roman"/>
          <w:color w:val="000000"/>
          <w:sz w:val="20"/>
          <w:szCs w:val="20"/>
        </w:rPr>
        <w:t xml:space="preserve">Remeasurement gains and </w:t>
      </w:r>
      <w:r>
        <w:rPr>
          <w:rFonts w:eastAsia="Times New Roman"/>
          <w:color w:val="000000"/>
          <w:sz w:val="20"/>
          <w:szCs w:val="20"/>
        </w:rPr>
        <w:t>losses are recognized when the Company becomes the primary beneficiary of an existing equity method investment that is a variable interest entity to the extent that the fair value of the existing equity investment exceeds the carrying value of the investme</w:t>
      </w:r>
      <w:r>
        <w:rPr>
          <w:rFonts w:eastAsia="Times New Roman"/>
          <w:color w:val="000000"/>
          <w:sz w:val="20"/>
          <w:szCs w:val="20"/>
        </w:rPr>
        <w:t>nt, and remeasurement losses to the extent the carrying value of the investment exceeds the fair value. The fair value is determined based on a discounted cash flow model, with the significant unobservable inputs including discount rate, terminal capitaliz</w:t>
      </w:r>
      <w:r>
        <w:rPr>
          <w:rFonts w:eastAsia="Times New Roman"/>
          <w:color w:val="000000"/>
          <w:sz w:val="20"/>
          <w:szCs w:val="20"/>
        </w:rPr>
        <w:t xml:space="preserve">ation rate and market rents. </w:t>
      </w:r>
    </w:p>
    <w:p w:rsidR="00000000" w:rsidRDefault="009D532D">
      <w:pPr>
        <w:ind w:firstLine="495"/>
        <w:divId w:val="102266630"/>
        <w:rPr>
          <w:rFonts w:eastAsia="Times New Roman"/>
        </w:rPr>
      </w:pPr>
      <w:r>
        <w:rPr>
          <w:rFonts w:eastAsia="Times New Roman"/>
          <w:i/>
          <w:iCs/>
          <w:color w:val="000000"/>
          <w:sz w:val="20"/>
          <w:szCs w:val="20"/>
        </w:rPr>
        <w:t>Asset Impairment:</w:t>
      </w:r>
    </w:p>
    <w:p w:rsidR="00000000" w:rsidRDefault="009D532D">
      <w:pPr>
        <w:ind w:firstLine="495"/>
        <w:divId w:val="1320381201"/>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w:t>
      </w:r>
      <w:r>
        <w:rPr>
          <w:rFonts w:eastAsia="Times New Roman"/>
          <w:color w:val="000000"/>
          <w:sz w:val="20"/>
          <w:szCs w:val="20"/>
        </w:rPr>
        <w:t xml:space="preserve">on and other economic factors. Such factors include projected rental revenue, operating costs and capital expenditures as well as estimated holding periods and capitalization rates. If an impairment indicator exists, the determination of recoverability is </w:t>
      </w:r>
      <w:r>
        <w:rPr>
          <w:rFonts w:eastAsia="Times New Roman"/>
          <w:color w:val="000000"/>
          <w:sz w:val="20"/>
          <w:szCs w:val="20"/>
        </w:rPr>
        <w:t>made based upon the estimated undiscounted future net cash flows, excluding interest expense. The amount of impairment loss, if any, is determined by comparing the fair value, as determined by a discounted cash flows analysis or a contracted sales price, w</w:t>
      </w:r>
      <w:r>
        <w:rPr>
          <w:rFonts w:eastAsia="Times New Roman"/>
          <w:color w:val="000000"/>
          <w:sz w:val="20"/>
          <w:szCs w:val="20"/>
        </w:rPr>
        <w:t xml:space="preserve">ith the carrying value of the related assets. The Company generally holds and operates its properties long-term, which decreases the likelihood of their carrying values not being recoverable. A shortened holding period increases the risk that the carrying </w:t>
      </w:r>
      <w:r>
        <w:rPr>
          <w:rFonts w:eastAsia="Times New Roman"/>
          <w:color w:val="000000"/>
          <w:sz w:val="20"/>
          <w:szCs w:val="20"/>
        </w:rPr>
        <w:t>value of a long-lived asset is not recoverable. Properties classified as held for sale are measured at the lower of the carrying amount or fair value less cost to sell.</w:t>
      </w:r>
    </w:p>
    <w:p w:rsidR="00000000" w:rsidRDefault="009D532D">
      <w:pPr>
        <w:ind w:firstLine="495"/>
        <w:divId w:val="9993571"/>
        <w:rPr>
          <w:rFonts w:eastAsia="Times New Roman"/>
        </w:rPr>
      </w:pPr>
      <w:r>
        <w:rPr>
          <w:rFonts w:eastAsia="Times New Roman"/>
          <w:color w:val="000000"/>
          <w:sz w:val="20"/>
          <w:szCs w:val="20"/>
        </w:rPr>
        <w:t>The Company reviews its investments in unconsolidated joint ventures for a series of op</w:t>
      </w:r>
      <w:r>
        <w:rPr>
          <w:rFonts w:eastAsia="Times New Roman"/>
          <w:color w:val="000000"/>
          <w:sz w:val="20"/>
          <w:szCs w:val="20"/>
        </w:rPr>
        <w:t>erating losses and other factors that may indicate that a decrease in the value of its investments has occurred which is other-than-temporary. The investment in each unconsolidated joint venture is evaluated periodically, and as deemed necessary, for recov</w:t>
      </w:r>
      <w:r>
        <w:rPr>
          <w:rFonts w:eastAsia="Times New Roman"/>
          <w:color w:val="000000"/>
          <w:sz w:val="20"/>
          <w:szCs w:val="20"/>
        </w:rPr>
        <w:t>erability and valuation declines that are other-than-temporary.</w:t>
      </w:r>
    </w:p>
    <w:p w:rsidR="00000000" w:rsidRDefault="009D532D">
      <w:pPr>
        <w:ind w:firstLine="495"/>
        <w:divId w:val="2091658885"/>
        <w:rPr>
          <w:rFonts w:eastAsia="Times New Roman"/>
        </w:rPr>
      </w:pPr>
      <w:r>
        <w:rPr>
          <w:rFonts w:eastAsia="Times New Roman"/>
          <w:i/>
          <w:iCs/>
          <w:color w:val="000000"/>
          <w:sz w:val="20"/>
          <w:szCs w:val="20"/>
        </w:rPr>
        <w:t>Fair Value of Financial Instruments:</w:t>
      </w:r>
    </w:p>
    <w:p w:rsidR="00000000" w:rsidRDefault="009D532D">
      <w:pPr>
        <w:ind w:firstLine="495"/>
        <w:divId w:val="952907042"/>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w:t>
      </w:r>
      <w:r>
        <w:rPr>
          <w:rFonts w:eastAsia="Times New Roman"/>
          <w:color w:val="000000"/>
          <w:sz w:val="20"/>
          <w:szCs w:val="20"/>
        </w:rPr>
        <w:t>y and the reporting entity's own assumptions about market participant assumptions. Level 1 inputs utilize quoted prices in active markets for identical assets or liabilities that the Company has the ability to access. Level 2 inputs are inputs other than q</w:t>
      </w:r>
      <w:r>
        <w:rPr>
          <w:rFonts w:eastAsia="Times New Roman"/>
          <w:color w:val="000000"/>
          <w:sz w:val="20"/>
          <w:szCs w:val="20"/>
        </w:rPr>
        <w:t>uoted prices included in Level 1 that are observable for the asset or liability, either directly or indirectly. Level 2 inputs may include quoted prices for similar assets and liabilities in active markets, as well as inputs that are observable for the ass</w:t>
      </w:r>
      <w:r>
        <w:rPr>
          <w:rFonts w:eastAsia="Times New Roman"/>
          <w:color w:val="000000"/>
          <w:sz w:val="20"/>
          <w:szCs w:val="20"/>
        </w:rPr>
        <w:t xml:space="preserve">et or liability (other than quoted prices), such as interest rates, foreign exchange rates and yield curves that are observable at commonly quoted intervals. Level 3 inputs are unobservable inputs for the asset or liability, which is typically based on an </w:t>
      </w:r>
      <w:r>
        <w:rPr>
          <w:rFonts w:eastAsia="Times New Roman"/>
          <w:color w:val="000000"/>
          <w:sz w:val="20"/>
          <w:szCs w:val="20"/>
        </w:rPr>
        <w:t>entity's own assumptions, as there is little, if any, related market activity. In instances where the determination of the fair value measurement is based on inputs from different levels of the fair value hierarchy, the level in the fair value hierarchy wi</w:t>
      </w:r>
      <w:r>
        <w:rPr>
          <w:rFonts w:eastAsia="Times New Roman"/>
          <w:color w:val="000000"/>
          <w:sz w:val="20"/>
          <w:szCs w:val="20"/>
        </w:rPr>
        <w:t>thin which the entire fair value measurement falls is based on the lowest level input that is significant to the fair value measurement in its entirety. The Company's assessment of the significance of a particular input to the fair value measurement in its</w:t>
      </w:r>
      <w:r>
        <w:rPr>
          <w:rFonts w:eastAsia="Times New Roman"/>
          <w:color w:val="000000"/>
          <w:sz w:val="20"/>
          <w:szCs w:val="20"/>
        </w:rPr>
        <w:t xml:space="preserve"> entirety requires judgment, and considers factors specific to the asset or liability.</w:t>
      </w:r>
    </w:p>
    <w:p w:rsidR="00000000" w:rsidRDefault="009D532D">
      <w:pPr>
        <w:ind w:firstLine="495"/>
        <w:divId w:val="2003466239"/>
        <w:rPr>
          <w:rFonts w:eastAsia="Times New Roman"/>
        </w:rPr>
      </w:pPr>
      <w:r>
        <w:rPr>
          <w:rFonts w:eastAsia="Times New Roman"/>
          <w:color w:val="000000"/>
          <w:sz w:val="20"/>
          <w:szCs w:val="20"/>
        </w:rPr>
        <w:t>The Company calculates the fair value of financial instruments and includes this additional information in the Notes to the Consolidated Financial Statements when the fa</w:t>
      </w:r>
      <w:r>
        <w:rPr>
          <w:rFonts w:eastAsia="Times New Roman"/>
          <w:color w:val="000000"/>
          <w:sz w:val="20"/>
          <w:szCs w:val="20"/>
        </w:rPr>
        <w:t>ir value is different than the carrying value of those financial instruments. When the fair value reasonably approximates the carrying value, no additional disclosure is made.</w:t>
      </w:r>
    </w:p>
    <w:p w:rsidR="00000000" w:rsidRDefault="009D532D">
      <w:pPr>
        <w:ind w:firstLine="495"/>
        <w:divId w:val="384260127"/>
        <w:rPr>
          <w:rFonts w:eastAsia="Times New Roman"/>
        </w:rPr>
      </w:pPr>
      <w:r>
        <w:rPr>
          <w:rFonts w:eastAsia="Times New Roman"/>
          <w:color w:val="000000"/>
          <w:sz w:val="20"/>
          <w:szCs w:val="20"/>
        </w:rPr>
        <w:t>The Company records its Financing Arrangement (See Note 12—Financing Arrangement</w:t>
      </w:r>
      <w:r>
        <w:rPr>
          <w:rFonts w:eastAsia="Times New Roman"/>
          <w:color w:val="000000"/>
          <w:sz w:val="20"/>
          <w:szCs w:val="20"/>
        </w:rPr>
        <w:t xml:space="preserve"> in the Company's Notes to the Consolidated Financial Statements) obligation at fair value on a recurring basis with changes in fair value being recorded as interest expense in the Company’s consolidated statements of operations. The fair value is determin</w:t>
      </w:r>
      <w:r>
        <w:rPr>
          <w:rFonts w:eastAsia="Times New Roman"/>
          <w:color w:val="000000"/>
          <w:sz w:val="20"/>
          <w:szCs w:val="20"/>
        </w:rPr>
        <w:t>ed based on a discounted cash flow model, with the significant unobservable inputs including discount rate, terminal capitalization rate, and market rents. The fair value of the Financing Arrangement obligation is sensitive to these significant unobservabl</w:t>
      </w:r>
      <w:r>
        <w:rPr>
          <w:rFonts w:eastAsia="Times New Roman"/>
          <w:color w:val="000000"/>
          <w:sz w:val="20"/>
          <w:szCs w:val="20"/>
        </w:rPr>
        <w:t xml:space="preserve">e inputs and a change in these inputs may result in a significantly higher or lower fair value measurement. </w:t>
      </w:r>
    </w:p>
    <w:p w:rsidR="00000000" w:rsidRDefault="009D532D">
      <w:pPr>
        <w:divId w:val="1359046444"/>
        <w:rPr>
          <w:rFonts w:eastAsia="Times New Roman"/>
        </w:rPr>
      </w:pPr>
    </w:p>
    <w:p w:rsidR="00000000" w:rsidRDefault="009D532D">
      <w:pPr>
        <w:divId w:val="611938827"/>
        <w:rPr>
          <w:rFonts w:eastAsia="Times New Roman"/>
        </w:rPr>
      </w:pPr>
    </w:p>
    <w:p w:rsidR="00000000" w:rsidRDefault="009D532D">
      <w:pPr>
        <w:jc w:val="center"/>
        <w:divId w:val="1083376909"/>
        <w:rPr>
          <w:rFonts w:eastAsia="Times New Roman"/>
        </w:rPr>
      </w:pPr>
    </w:p>
    <w:p w:rsidR="00000000" w:rsidRDefault="009D532D">
      <w:pPr>
        <w:jc w:val="center"/>
        <w:divId w:val="1083376909"/>
        <w:rPr>
          <w:rFonts w:eastAsia="Times New Roman"/>
        </w:rPr>
      </w:pPr>
      <w:r>
        <w:rPr>
          <w:rFonts w:eastAsia="Times New Roman"/>
          <w:color w:val="000000"/>
          <w:sz w:val="20"/>
          <w:szCs w:val="20"/>
        </w:rPr>
        <w:t>30</w:t>
      </w:r>
    </w:p>
    <w:p w:rsidR="00000000" w:rsidRDefault="009D532D">
      <w:pPr>
        <w:rPr>
          <w:rFonts w:eastAsia="Times New Roman"/>
        </w:rPr>
      </w:pPr>
      <w:r>
        <w:rPr>
          <w:rFonts w:eastAsia="Times New Roman"/>
        </w:rPr>
        <w:pict>
          <v:rect id="_x0000_i1054" style="width:0;height:1.5pt" o:hralign="center" o:hrstd="t" o:hr="t" fillcolor="#a0a0a0" stroked="f"/>
        </w:pict>
      </w:r>
    </w:p>
    <w:p w:rsidR="00000000" w:rsidRDefault="009D532D">
      <w:pPr>
        <w:divId w:val="2048335422"/>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963263442"/>
        <w:rPr>
          <w:rFonts w:eastAsia="Times New Roman"/>
        </w:rPr>
      </w:pPr>
      <w:r>
        <w:rPr>
          <w:rFonts w:eastAsia="Times New Roman"/>
          <w:b/>
          <w:bCs/>
          <w:color w:val="000000"/>
          <w:sz w:val="20"/>
          <w:szCs w:val="20"/>
        </w:rPr>
        <w:t>Results of Operations</w:t>
      </w:r>
    </w:p>
    <w:p w:rsidR="00000000" w:rsidRDefault="009D532D">
      <w:pPr>
        <w:ind w:firstLine="495"/>
        <w:divId w:val="1195843860"/>
        <w:rPr>
          <w:rFonts w:eastAsia="Times New Roman"/>
        </w:rPr>
      </w:pPr>
      <w:r>
        <w:rPr>
          <w:rFonts w:eastAsia="Times New Roman"/>
          <w:color w:val="000000"/>
          <w:sz w:val="20"/>
          <w:szCs w:val="20"/>
        </w:rPr>
        <w:t>Many of the variations in the results of operations, discussed below, occurred because of the transactions affecting the C</w:t>
      </w:r>
      <w:r>
        <w:rPr>
          <w:rFonts w:eastAsia="Times New Roman"/>
          <w:color w:val="000000"/>
          <w:sz w:val="20"/>
          <w:szCs w:val="20"/>
        </w:rPr>
        <w:t>ompany's properties described in Management's Overview and Summary above, including the Redevelopment Properties and the Disposition Property (as defined below).</w:t>
      </w:r>
    </w:p>
    <w:p w:rsidR="00000000" w:rsidRDefault="009D532D">
      <w:pPr>
        <w:ind w:firstLine="495"/>
        <w:divId w:val="373584538"/>
        <w:rPr>
          <w:rFonts w:eastAsia="Times New Roman"/>
        </w:rPr>
      </w:pPr>
      <w:r>
        <w:rPr>
          <w:rFonts w:eastAsia="Times New Roman"/>
          <w:color w:val="000000"/>
          <w:sz w:val="20"/>
          <w:szCs w:val="20"/>
        </w:rPr>
        <w:t>For purposes of the discussion below, the Company defines "Same Centers" as those Centers that</w:t>
      </w:r>
      <w:r>
        <w:rPr>
          <w:rFonts w:eastAsia="Times New Roman"/>
          <w:color w:val="000000"/>
          <w:sz w:val="20"/>
          <w:szCs w:val="20"/>
        </w:rPr>
        <w:t xml:space="preserve"> are substantially complete and in operation for the entirety of both periods of the comparison. Non-Same Centers for comparison purposes include those Centers or properties that are going through a substantial redevelopment often resulting in the closing </w:t>
      </w:r>
      <w:r>
        <w:rPr>
          <w:rFonts w:eastAsia="Times New Roman"/>
          <w:color w:val="000000"/>
          <w:sz w:val="20"/>
          <w:szCs w:val="20"/>
        </w:rPr>
        <w:t>of a portion of the Center (“Redevelopment Properties”), those properties that have recently transitioned to or from equity method joint ventures to or from consolidated assets ("JV Transition Centers") and properties that have been disposed of ("Dispositi</w:t>
      </w:r>
      <w:r>
        <w:rPr>
          <w:rFonts w:eastAsia="Times New Roman"/>
          <w:color w:val="000000"/>
          <w:sz w:val="20"/>
          <w:szCs w:val="20"/>
        </w:rPr>
        <w:t>on Property"). The Company moves a Center in and out of Same Centers based on whether the Center is substantially complete and in operation for the entirety of both periods of the comparison. Accordingly, the Same Centers consist of all consolidated Center</w:t>
      </w:r>
      <w:r>
        <w:rPr>
          <w:rFonts w:eastAsia="Times New Roman"/>
          <w:color w:val="000000"/>
          <w:sz w:val="20"/>
          <w:szCs w:val="20"/>
        </w:rPr>
        <w:t>s, excluding the Redevelopment Properties, the JV Transition Centers and the Disposition Property, for the periods of comparison.</w:t>
      </w:r>
    </w:p>
    <w:p w:rsidR="00000000" w:rsidRDefault="009D532D">
      <w:pPr>
        <w:ind w:firstLine="495"/>
        <w:divId w:val="945619762"/>
        <w:rPr>
          <w:rFonts w:eastAsia="Times New Roman"/>
        </w:rPr>
      </w:pPr>
      <w:r>
        <w:rPr>
          <w:rFonts w:eastAsia="Times New Roman"/>
          <w:color w:val="000000"/>
          <w:sz w:val="20"/>
          <w:szCs w:val="20"/>
        </w:rPr>
        <w:t>For the comparison of the three months ended March 31, 2021 to the three months ended March 31, 2020, the JV Transition Center</w:t>
      </w:r>
      <w:r>
        <w:rPr>
          <w:rFonts w:eastAsia="Times New Roman"/>
          <w:color w:val="000000"/>
          <w:sz w:val="20"/>
          <w:szCs w:val="20"/>
        </w:rPr>
        <w:t>s are Fashion District Philadelphia and Sears South Plains. For the comparison of the three months ended March 31, 2021 to the three months ended March 31, 2020, the Disposition Property is Paradise Valley Mall.</w:t>
      </w:r>
    </w:p>
    <w:p w:rsidR="00000000" w:rsidRDefault="009D532D">
      <w:pPr>
        <w:ind w:firstLine="495"/>
        <w:divId w:val="754129127"/>
        <w:rPr>
          <w:rFonts w:eastAsia="Times New Roman"/>
        </w:rPr>
      </w:pPr>
      <w:r>
        <w:rPr>
          <w:rFonts w:eastAsia="Times New Roman"/>
          <w:color w:val="000000"/>
          <w:sz w:val="20"/>
          <w:szCs w:val="20"/>
        </w:rPr>
        <w:t xml:space="preserve">Unconsolidated joint ventures are reflected </w:t>
      </w:r>
      <w:r>
        <w:rPr>
          <w:rFonts w:eastAsia="Times New Roman"/>
          <w:color w:val="000000"/>
          <w:sz w:val="20"/>
          <w:szCs w:val="20"/>
        </w:rPr>
        <w:t>using the equity method of accounting. The Company's pro rata share of the results from these Centers is reflected in the Consolidated Statements of Operations as equity in income of unconsolidated joint ventures.</w:t>
      </w:r>
    </w:p>
    <w:p w:rsidR="00000000" w:rsidRDefault="009D532D">
      <w:pPr>
        <w:ind w:firstLine="495"/>
        <w:divId w:val="1965581003"/>
        <w:rPr>
          <w:rFonts w:eastAsia="Times New Roman"/>
        </w:rPr>
      </w:pPr>
      <w:r>
        <w:rPr>
          <w:rFonts w:eastAsia="Times New Roman"/>
          <w:color w:val="000000"/>
          <w:sz w:val="20"/>
          <w:szCs w:val="20"/>
        </w:rPr>
        <w:t>The Company considers tenant annual sales,</w:t>
      </w:r>
      <w:r>
        <w:rPr>
          <w:rFonts w:eastAsia="Times New Roman"/>
          <w:color w:val="000000"/>
          <w:sz w:val="20"/>
          <w:szCs w:val="20"/>
        </w:rPr>
        <w:t xml:space="preserve"> occupancy rates (excluding large retail stores or "Anchors") and releasing spreads (i.e. a comparison of initial average base rent per square foot on leases executed during the trailing twelve months to average base rent per square foot at expiration for </w:t>
      </w:r>
      <w:r>
        <w:rPr>
          <w:rFonts w:eastAsia="Times New Roman"/>
          <w:color w:val="000000"/>
          <w:sz w:val="20"/>
          <w:szCs w:val="20"/>
        </w:rPr>
        <w:t>the leases expiring during the trailing twelve months based on the spaces 10,000 square feet and under) to be key performance indicators of the Company's internal growth.</w:t>
      </w:r>
    </w:p>
    <w:p w:rsidR="00000000" w:rsidRDefault="009D532D">
      <w:pPr>
        <w:ind w:firstLine="495"/>
        <w:divId w:val="612706740"/>
        <w:rPr>
          <w:rFonts w:eastAsia="Times New Roman"/>
        </w:rPr>
      </w:pPr>
      <w:r>
        <w:rPr>
          <w:rFonts w:eastAsia="Times New Roman"/>
          <w:color w:val="000000"/>
          <w:sz w:val="20"/>
          <w:szCs w:val="20"/>
        </w:rPr>
        <w:t>As a result of continued loosening of government restrictions within the Company’s op</w:t>
      </w:r>
      <w:r>
        <w:rPr>
          <w:rFonts w:eastAsia="Times New Roman"/>
          <w:color w:val="000000"/>
          <w:sz w:val="20"/>
          <w:szCs w:val="20"/>
        </w:rPr>
        <w:t>erating markets, combined with pent up demand and the positive economic impact of fiscal stimulus, sales at the Company's Centers continue to greatly improve. During the first quarter of 2021, comparable tenant sales across the Company’s portfolio were onl</w:t>
      </w:r>
      <w:r>
        <w:rPr>
          <w:rFonts w:eastAsia="Times New Roman"/>
          <w:color w:val="000000"/>
          <w:sz w:val="20"/>
          <w:szCs w:val="20"/>
        </w:rPr>
        <w:t>y 2.0% less than the pre-COVID-19 first quarter of 2019, and were 1.9% higher than the pre-COVID-19 first quarter of 2019, excluding the capacity-restricted food and beverage category. During the first quarter of 2021, comparable tenant sales within Arizon</w:t>
      </w:r>
      <w:r>
        <w:rPr>
          <w:rFonts w:eastAsia="Times New Roman"/>
          <w:color w:val="000000"/>
          <w:sz w:val="20"/>
          <w:szCs w:val="20"/>
        </w:rPr>
        <w:t>a, the Company’s least restricted region, were 7.2% higher than the pre-COVID-19 first quarter of 2019 and 11.5% higher than the pre-COVID-19 first quarter of 2019, excluding the capacity-restricted food and beverage category.</w:t>
      </w:r>
    </w:p>
    <w:p w:rsidR="00000000" w:rsidRDefault="009D532D">
      <w:pPr>
        <w:ind w:firstLine="495"/>
        <w:divId w:val="1834223499"/>
        <w:rPr>
          <w:rFonts w:eastAsia="Times New Roman"/>
        </w:rPr>
      </w:pPr>
      <w:r>
        <w:rPr>
          <w:rFonts w:eastAsia="Times New Roman"/>
          <w:color w:val="000000"/>
          <w:sz w:val="20"/>
          <w:szCs w:val="20"/>
        </w:rPr>
        <w:t>The leased occupancy rate dec</w:t>
      </w:r>
      <w:r>
        <w:rPr>
          <w:rFonts w:eastAsia="Times New Roman"/>
          <w:color w:val="000000"/>
          <w:sz w:val="20"/>
          <w:szCs w:val="20"/>
        </w:rPr>
        <w:t>reased from 93.1% at March 31, 2020 to 88.5% at March 31, 2021. Releasing spreads declined as the Company executed leases at an average rent of $52.94 for new and renewal leases executed compared to $54.10 on leases expiring, resulting in a releasing sprea</w:t>
      </w:r>
      <w:r>
        <w:rPr>
          <w:rFonts w:eastAsia="Times New Roman"/>
          <w:color w:val="000000"/>
          <w:sz w:val="20"/>
          <w:szCs w:val="20"/>
        </w:rPr>
        <w:t>d of $1.16 per square foot representing a 2.1% decrease for the trailing twelve months ended March 31, 2021.</w:t>
      </w:r>
    </w:p>
    <w:p w:rsidR="00000000" w:rsidRDefault="009D532D">
      <w:pPr>
        <w:ind w:firstLine="495"/>
        <w:divId w:val="1689721881"/>
        <w:rPr>
          <w:rFonts w:eastAsia="Times New Roman"/>
        </w:rPr>
      </w:pPr>
      <w:r>
        <w:rPr>
          <w:rFonts w:eastAsia="Times New Roman"/>
          <w:color w:val="000000"/>
          <w:sz w:val="20"/>
          <w:szCs w:val="20"/>
        </w:rPr>
        <w:t>The Company continues to renew or replace leases that are scheduled to expire in 2021, however, the Company cannot be certain of the impact that CO</w:t>
      </w:r>
      <w:r>
        <w:rPr>
          <w:rFonts w:eastAsia="Times New Roman"/>
          <w:color w:val="000000"/>
          <w:sz w:val="20"/>
          <w:szCs w:val="20"/>
        </w:rPr>
        <w:t xml:space="preserve">VID-19 will have on its ability to sign, renew or replace leases expiring in 2021 or beyond. These leases that are scheduled to expire in 2021 represent approximately 1.0 million square feet, accounting for 16.3% of the GLA of mall stores and freestanding </w:t>
      </w:r>
      <w:r>
        <w:rPr>
          <w:rFonts w:eastAsia="Times New Roman"/>
          <w:color w:val="000000"/>
          <w:sz w:val="20"/>
          <w:szCs w:val="20"/>
        </w:rPr>
        <w:t>stores, for spaces 10,000 square feet and under. These calculations exclude Centers under development or redevelopment and property dispositions (See "Dispositions" and "Redevelopment and Development Activities" in Management's Overview and Summary), and i</w:t>
      </w:r>
      <w:r>
        <w:rPr>
          <w:rFonts w:eastAsia="Times New Roman"/>
          <w:color w:val="000000"/>
          <w:sz w:val="20"/>
          <w:szCs w:val="20"/>
        </w:rPr>
        <w:t>nclude square footage of Centers owned by joint ventures at the Company’s share.</w:t>
      </w:r>
    </w:p>
    <w:p w:rsidR="00000000" w:rsidRDefault="009D532D">
      <w:pPr>
        <w:ind w:firstLine="495"/>
        <w:divId w:val="1797140888"/>
        <w:rPr>
          <w:rFonts w:eastAsia="Times New Roman"/>
        </w:rPr>
      </w:pPr>
      <w:r>
        <w:rPr>
          <w:rFonts w:eastAsia="Times New Roman"/>
          <w:color w:val="000000"/>
          <w:sz w:val="20"/>
          <w:szCs w:val="20"/>
        </w:rPr>
        <w:t>2021 lease expirations continue to be an important focal point for the Company. The Company now has commitments on 70% of the remaining 2021 expiring square footage with anoth</w:t>
      </w:r>
      <w:r>
        <w:rPr>
          <w:rFonts w:eastAsia="Times New Roman"/>
          <w:color w:val="000000"/>
          <w:sz w:val="20"/>
          <w:szCs w:val="20"/>
        </w:rPr>
        <w:t>er 30% in the letter of intent stage, disregarding leases for stores that have closed or for stores that tenants have indicated they intend to close.</w:t>
      </w:r>
    </w:p>
    <w:p w:rsidR="00000000" w:rsidRDefault="009D532D">
      <w:pPr>
        <w:ind w:firstLine="495"/>
        <w:divId w:val="663047780"/>
        <w:rPr>
          <w:rFonts w:eastAsia="Times New Roman"/>
        </w:rPr>
      </w:pPr>
      <w:r>
        <w:rPr>
          <w:rFonts w:eastAsia="Times New Roman"/>
          <w:color w:val="000000"/>
          <w:sz w:val="20"/>
          <w:szCs w:val="20"/>
        </w:rPr>
        <w:t>The Company has entered into 102 leases for new stores totaling approximately 617,000 square feet that hav</w:t>
      </w:r>
      <w:r>
        <w:rPr>
          <w:rFonts w:eastAsia="Times New Roman"/>
          <w:color w:val="000000"/>
          <w:sz w:val="20"/>
          <w:szCs w:val="20"/>
        </w:rPr>
        <w:t>e opened or are planned for opening in 2021. While there may be additional new store openings in 2021, any such leases are not yet executed.</w:t>
      </w:r>
    </w:p>
    <w:p w:rsidR="00000000" w:rsidRDefault="009D532D">
      <w:pPr>
        <w:ind w:firstLine="495"/>
        <w:divId w:val="2038850179"/>
        <w:rPr>
          <w:rFonts w:eastAsia="Times New Roman"/>
        </w:rPr>
      </w:pPr>
      <w:r>
        <w:rPr>
          <w:rFonts w:eastAsia="Times New Roman"/>
          <w:color w:val="000000"/>
          <w:sz w:val="20"/>
          <w:szCs w:val="20"/>
        </w:rPr>
        <w:t>During the trailing twelve months ended March 31, 2021, the Company signed 160 new leases and 394 renewal leases co</w:t>
      </w:r>
      <w:r>
        <w:rPr>
          <w:rFonts w:eastAsia="Times New Roman"/>
          <w:color w:val="000000"/>
          <w:sz w:val="20"/>
          <w:szCs w:val="20"/>
        </w:rPr>
        <w:t>mprising approximately 2.0 million square feet of GLA, of which 1.2 million square feet is related to the consolidated Centers. The average tenant allowance was $16.22 per square foot. The Company's COVID-19 related lease amendments are excluded from these</w:t>
      </w:r>
      <w:r>
        <w:rPr>
          <w:rFonts w:eastAsia="Times New Roman"/>
          <w:color w:val="000000"/>
          <w:sz w:val="20"/>
          <w:szCs w:val="20"/>
        </w:rPr>
        <w:t xml:space="preserve"> numbers.</w:t>
      </w:r>
    </w:p>
    <w:p w:rsidR="00000000" w:rsidRDefault="009D532D">
      <w:pPr>
        <w:jc w:val="center"/>
        <w:divId w:val="1430274472"/>
        <w:rPr>
          <w:rFonts w:eastAsia="Times New Roman"/>
        </w:rPr>
      </w:pPr>
    </w:p>
    <w:p w:rsidR="00000000" w:rsidRDefault="009D532D">
      <w:pPr>
        <w:jc w:val="center"/>
        <w:divId w:val="1430274472"/>
        <w:rPr>
          <w:rFonts w:eastAsia="Times New Roman"/>
        </w:rPr>
      </w:pPr>
      <w:r>
        <w:rPr>
          <w:rFonts w:eastAsia="Times New Roman"/>
          <w:color w:val="000000"/>
          <w:sz w:val="20"/>
          <w:szCs w:val="20"/>
        </w:rPr>
        <w:t>31</w:t>
      </w:r>
    </w:p>
    <w:p w:rsidR="00000000" w:rsidRDefault="009D532D">
      <w:pPr>
        <w:rPr>
          <w:rFonts w:eastAsia="Times New Roman"/>
        </w:rPr>
      </w:pPr>
      <w:r>
        <w:rPr>
          <w:rFonts w:eastAsia="Times New Roman"/>
        </w:rPr>
        <w:pict>
          <v:rect id="_x0000_i1055" style="width:0;height:1.5pt" o:hralign="center" o:hrstd="t" o:hr="t" fillcolor="#a0a0a0" stroked="f"/>
        </w:pict>
      </w:r>
    </w:p>
    <w:p w:rsidR="00000000" w:rsidRDefault="009D532D">
      <w:pPr>
        <w:divId w:val="1245454742"/>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631789716"/>
        <w:rPr>
          <w:rFonts w:eastAsia="Times New Roman"/>
        </w:rPr>
      </w:pPr>
      <w:r>
        <w:rPr>
          <w:rFonts w:eastAsia="Times New Roman"/>
          <w:b/>
          <w:bCs/>
          <w:color w:val="000000"/>
          <w:sz w:val="20"/>
          <w:szCs w:val="20"/>
        </w:rPr>
        <w:t>Outlook</w:t>
      </w:r>
    </w:p>
    <w:p w:rsidR="00000000" w:rsidRDefault="009D532D">
      <w:pPr>
        <w:ind w:firstLine="495"/>
        <w:divId w:val="1028288729"/>
        <w:rPr>
          <w:rFonts w:eastAsia="Times New Roman"/>
        </w:rPr>
      </w:pPr>
      <w:r>
        <w:rPr>
          <w:rFonts w:eastAsia="Times New Roman"/>
          <w:color w:val="000000"/>
          <w:sz w:val="20"/>
          <w:szCs w:val="20"/>
        </w:rPr>
        <w:t>The Company has a long-term four-pronged business strategy that focuses on the acquisition, leasing and management, redevelopment and development of Regional Shopping Centers. Although the Company believes that overall regional shopping center fundamentals</w:t>
      </w:r>
      <w:r>
        <w:rPr>
          <w:rFonts w:eastAsia="Times New Roman"/>
          <w:color w:val="000000"/>
          <w:sz w:val="20"/>
          <w:szCs w:val="20"/>
        </w:rPr>
        <w:t xml:space="preserve"> in its markets appear to be improving, the Company expects that its results for 2021 will be negatively impacted by the COVID-19 pandemic, Anchor closures and tenant bankruptcies, among other factors.</w:t>
      </w:r>
    </w:p>
    <w:p w:rsidR="00000000" w:rsidRDefault="009D532D">
      <w:pPr>
        <w:ind w:firstLine="495"/>
        <w:divId w:val="1549761495"/>
        <w:rPr>
          <w:rFonts w:eastAsia="Times New Roman"/>
        </w:rPr>
      </w:pPr>
      <w:r>
        <w:rPr>
          <w:rFonts w:eastAsia="Times New Roman"/>
          <w:color w:val="000000"/>
          <w:sz w:val="20"/>
          <w:szCs w:val="20"/>
        </w:rPr>
        <w:t>All Centers have been open and operating since October</w:t>
      </w:r>
      <w:r>
        <w:rPr>
          <w:rFonts w:eastAsia="Times New Roman"/>
          <w:color w:val="000000"/>
          <w:sz w:val="20"/>
          <w:szCs w:val="20"/>
        </w:rPr>
        <w:t xml:space="preserve"> 7, 2020, and government mandated restrictions have been greatly eased for most of the Centers during 2021, including in the Company's key markets of California and New York, which were the most capacity-restricted markets upon re-opening in 2020. </w:t>
      </w:r>
    </w:p>
    <w:p w:rsidR="00000000" w:rsidRDefault="009D532D">
      <w:pPr>
        <w:ind w:firstLine="495"/>
        <w:divId w:val="646782922"/>
        <w:rPr>
          <w:rFonts w:eastAsia="Times New Roman"/>
        </w:rPr>
      </w:pPr>
      <w:r>
        <w:rPr>
          <w:rFonts w:eastAsia="Times New Roman"/>
          <w:color w:val="000000"/>
          <w:sz w:val="20"/>
          <w:szCs w:val="20"/>
        </w:rPr>
        <w:t>The Com</w:t>
      </w:r>
      <w:r>
        <w:rPr>
          <w:rFonts w:eastAsia="Times New Roman"/>
          <w:color w:val="000000"/>
          <w:sz w:val="20"/>
          <w:szCs w:val="20"/>
        </w:rPr>
        <w:t>pany's rent collections continue to significantly improve. The Company collected approximately 97% of rents billed for the three months ended December 31, 2020 and approximately 95% of rents billed for the three months ended March 31, 2021. The Company con</w:t>
      </w:r>
      <w:r>
        <w:rPr>
          <w:rFonts w:eastAsia="Times New Roman"/>
          <w:color w:val="000000"/>
          <w:sz w:val="20"/>
          <w:szCs w:val="20"/>
        </w:rPr>
        <w:t>tinues to make significant progress in its negotiations with national and local tenants to secure rental payments, despite a significant portion of the Company’s tenants requesting rental assistance, whether in the form of deferral or rent reduction. The m</w:t>
      </w:r>
      <w:r>
        <w:rPr>
          <w:rFonts w:eastAsia="Times New Roman"/>
          <w:color w:val="000000"/>
          <w:sz w:val="20"/>
          <w:szCs w:val="20"/>
        </w:rPr>
        <w:t>ajority of such requests were made in 2020. For example, of the nearly 200 national tenants in the Company’s portfolio, excluding tenants that have filed bankruptcy and vacated the Company's properties, the Company has yet to reach agreement with only 1% o</w:t>
      </w:r>
      <w:r>
        <w:rPr>
          <w:rFonts w:eastAsia="Times New Roman"/>
          <w:color w:val="000000"/>
          <w:sz w:val="20"/>
          <w:szCs w:val="20"/>
        </w:rPr>
        <w:t>f those tenants, as measured based on total rent. The lease amendments negotiated by the Company have resulted in a combination of rent payment deferrals and rent abatements. The majority of the Company’s leases require continued payment of rent by the Com</w:t>
      </w:r>
      <w:r>
        <w:rPr>
          <w:rFonts w:eastAsia="Times New Roman"/>
          <w:color w:val="000000"/>
          <w:sz w:val="20"/>
          <w:szCs w:val="20"/>
        </w:rPr>
        <w:t>pany’s tenants during the period of government mandated closures caused by COVID-19. Additionally, many of the Company’s leases contain co-tenancy clauses. Certain Anchor or small tenant closures have become permanent following the re-opening of the Compan</w:t>
      </w:r>
      <w:r>
        <w:rPr>
          <w:rFonts w:eastAsia="Times New Roman"/>
          <w:color w:val="000000"/>
          <w:sz w:val="20"/>
          <w:szCs w:val="20"/>
        </w:rPr>
        <w:t xml:space="preserve">y's Centers, and co-tenancy clauses within certain leases may be triggered as a result. The Company does not anticipate the negative impact of such clauses on lease revenue will be significant. </w:t>
      </w:r>
    </w:p>
    <w:p w:rsidR="00000000" w:rsidRDefault="009D532D">
      <w:pPr>
        <w:ind w:firstLine="495"/>
        <w:divId w:val="705181597"/>
        <w:rPr>
          <w:rFonts w:eastAsia="Times New Roman"/>
        </w:rPr>
      </w:pPr>
      <w:r>
        <w:rPr>
          <w:rFonts w:eastAsia="Times New Roman"/>
          <w:color w:val="000000"/>
          <w:sz w:val="20"/>
          <w:szCs w:val="20"/>
        </w:rPr>
        <w:t>During 2020, there were 42 bankruptcy filings involving the C</w:t>
      </w:r>
      <w:r>
        <w:rPr>
          <w:rFonts w:eastAsia="Times New Roman"/>
          <w:color w:val="000000"/>
          <w:sz w:val="20"/>
          <w:szCs w:val="20"/>
        </w:rPr>
        <w:t>ompany’s tenants, totaling 322 leases and involving approximately 6.0 million square feet and $85.4 million of annual leasing revenue at the Company’s share. During 2021, the pace of such filings has decreased substantially, as there were six bankruptcy fi</w:t>
      </w:r>
      <w:r>
        <w:rPr>
          <w:rFonts w:eastAsia="Times New Roman"/>
          <w:color w:val="000000"/>
          <w:sz w:val="20"/>
          <w:szCs w:val="20"/>
        </w:rPr>
        <w:t>lings involving the Company's tenants, totaling 47 leases and involving approximately 207,000 square feet and $6.9 million of annual leasing revenue at the Company's share. This included two leases totaling 139,000 square feet with a single department stor</w:t>
      </w:r>
      <w:r>
        <w:rPr>
          <w:rFonts w:eastAsia="Times New Roman"/>
          <w:color w:val="000000"/>
          <w:sz w:val="20"/>
          <w:szCs w:val="20"/>
        </w:rPr>
        <w:t xml:space="preserve">e retailer that quickly emerged from bankruptcy and assumed both of its leases with the Company. Excluding this department store retailer, bankruptcy filings during 2021 are only 68,000 square feet. </w:t>
      </w:r>
    </w:p>
    <w:p w:rsidR="00000000" w:rsidRDefault="009D532D">
      <w:pPr>
        <w:ind w:firstLine="495"/>
        <w:divId w:val="325523354"/>
        <w:rPr>
          <w:rFonts w:eastAsia="Times New Roman"/>
        </w:rPr>
      </w:pPr>
      <w:r>
        <w:rPr>
          <w:rFonts w:eastAsia="Times New Roman"/>
          <w:color w:val="000000"/>
          <w:sz w:val="20"/>
          <w:szCs w:val="20"/>
        </w:rPr>
        <w:t>As previously disclosed by the Company in its prior fili</w:t>
      </w:r>
      <w:r>
        <w:rPr>
          <w:rFonts w:eastAsia="Times New Roman"/>
          <w:color w:val="000000"/>
          <w:sz w:val="20"/>
          <w:szCs w:val="20"/>
        </w:rPr>
        <w:t>ngs with the SEC, the Company has submitted recovery claims under its insurance coverage due to business interruption from COVID-19. As of March 31, 2021, the Company does not believe it is likely that it will be able to collect on these claims given the f</w:t>
      </w:r>
      <w:r>
        <w:rPr>
          <w:rFonts w:eastAsia="Times New Roman"/>
          <w:color w:val="000000"/>
          <w:sz w:val="20"/>
          <w:szCs w:val="20"/>
        </w:rPr>
        <w:t>acts and circumstances regarding the COVID-19 pandemic.</w:t>
      </w:r>
    </w:p>
    <w:p w:rsidR="00000000" w:rsidRDefault="009D532D">
      <w:pPr>
        <w:ind w:firstLine="495"/>
        <w:divId w:val="2002807345"/>
        <w:rPr>
          <w:rFonts w:eastAsia="Times New Roman"/>
        </w:rPr>
      </w:pPr>
      <w:r>
        <w:rPr>
          <w:rFonts w:eastAsia="Times New Roman"/>
          <w:color w:val="000000"/>
          <w:sz w:val="20"/>
          <w:szCs w:val="20"/>
        </w:rPr>
        <w:t>During the year ended December 31, 2020 and the first quarter of 2021, the Company incurred $56.4 million and $28.9 million, respectively, of rent abatements at the Company’s share relating to 2020 re</w:t>
      </w:r>
      <w:r>
        <w:rPr>
          <w:rFonts w:eastAsia="Times New Roman"/>
          <w:color w:val="000000"/>
          <w:sz w:val="20"/>
          <w:szCs w:val="20"/>
        </w:rPr>
        <w:t>nts as a result of COVID-19. Additionally, the Company negotiated $32.9 million of rent deferrals during the year ended December 31, 2020 and $0.6 million during the first quarter 2021, each at the Company’s share. As of March 31, 2021, $11.8 million of th</w:t>
      </w:r>
      <w:r>
        <w:rPr>
          <w:rFonts w:eastAsia="Times New Roman"/>
          <w:color w:val="000000"/>
          <w:sz w:val="20"/>
          <w:szCs w:val="20"/>
        </w:rPr>
        <w:t>e rent deferrals remain outstanding with $11.0 million scheduled to be repaid during 2021 and the remainder scheduled for repayment in 2022. The Company has experienced a significant decrease in requests for rent abatements and deferrals as 2021 has progre</w:t>
      </w:r>
      <w:r>
        <w:rPr>
          <w:rFonts w:eastAsia="Times New Roman"/>
          <w:color w:val="000000"/>
          <w:sz w:val="20"/>
          <w:szCs w:val="20"/>
        </w:rPr>
        <w:t>ssed, and the Company expects these requests to continue to decline as the economy reopens.</w:t>
      </w:r>
    </w:p>
    <w:p w:rsidR="00000000" w:rsidRDefault="009D532D">
      <w:pPr>
        <w:ind w:firstLine="495"/>
        <w:divId w:val="1858079723"/>
        <w:rPr>
          <w:rFonts w:eastAsia="Times New Roman"/>
        </w:rPr>
      </w:pPr>
      <w:r>
        <w:rPr>
          <w:rFonts w:eastAsia="Times New Roman"/>
          <w:color w:val="000000"/>
          <w:sz w:val="20"/>
          <w:szCs w:val="20"/>
        </w:rPr>
        <w:t>The Company has experienced, and expects to continue to experience, a negative impact to its leasing revenue and the occupancy rates at its Centers due to COVID-19.</w:t>
      </w:r>
      <w:r>
        <w:rPr>
          <w:rFonts w:eastAsia="Times New Roman"/>
          <w:color w:val="000000"/>
          <w:sz w:val="20"/>
          <w:szCs w:val="20"/>
        </w:rPr>
        <w:t xml:space="preserve"> For the three months ended March 31, 2021, leasing revenue decreased by approximately 17%, including joint ventures at the Company's share, compared to the three months ended March 31, 2020. Included within this decline were $28.9 million of retroactive r</w:t>
      </w:r>
      <w:r>
        <w:rPr>
          <w:rFonts w:eastAsia="Times New Roman"/>
          <w:color w:val="000000"/>
          <w:sz w:val="20"/>
          <w:szCs w:val="20"/>
        </w:rPr>
        <w:t xml:space="preserve">ent abatements incurred in the first quarter of 2021 relating to 2020 rents. Excluding these retroactive rent abatements, leasing revenue for the three months ended March 31, 2021 decreased 8% compared to the three months ended March 31, 2020. As of March </w:t>
      </w:r>
      <w:r>
        <w:rPr>
          <w:rFonts w:eastAsia="Times New Roman"/>
          <w:color w:val="000000"/>
          <w:sz w:val="20"/>
          <w:szCs w:val="20"/>
        </w:rPr>
        <w:t xml:space="preserve">31, 2021, the leased occupancy rate decreased to 88.5% from 93.1% at March 31, 2020. </w:t>
      </w:r>
    </w:p>
    <w:p w:rsidR="00000000" w:rsidRDefault="009D532D">
      <w:pPr>
        <w:ind w:firstLine="495"/>
        <w:divId w:val="1029917714"/>
        <w:rPr>
          <w:rFonts w:eastAsia="Times New Roman"/>
        </w:rPr>
      </w:pPr>
      <w:r>
        <w:rPr>
          <w:rFonts w:eastAsia="Times New Roman"/>
          <w:color w:val="000000"/>
          <w:sz w:val="20"/>
          <w:szCs w:val="20"/>
        </w:rPr>
        <w:t>While the volume of leasing transactions declined significantly in the second and third quarters of 2020, the Company experienced significant improvement during the fourt</w:t>
      </w:r>
      <w:r>
        <w:rPr>
          <w:rFonts w:eastAsia="Times New Roman"/>
          <w:color w:val="000000"/>
          <w:sz w:val="20"/>
          <w:szCs w:val="20"/>
        </w:rPr>
        <w:t xml:space="preserve">h quarter of 2020 and the first quarter of 2021 in leasing activity. During the first quarter of 2021, the Company signed 181 leases for 700,000 square feet (excluding COVID-19 workout deals), which equals the leased space that was signed during the first </w:t>
      </w:r>
      <w:r>
        <w:rPr>
          <w:rFonts w:eastAsia="Times New Roman"/>
          <w:color w:val="000000"/>
          <w:sz w:val="20"/>
          <w:szCs w:val="20"/>
        </w:rPr>
        <w:t>quarter of 2020. For the six months ended March 31, 2021, the Company signed leases for nearly the same amount of space as the pre-COVID-19 six-month period ended March 31, 2020. Further, the number of new and renewal leases executed through mid-April 2021</w:t>
      </w:r>
      <w:r>
        <w:rPr>
          <w:rFonts w:eastAsia="Times New Roman"/>
          <w:color w:val="000000"/>
          <w:sz w:val="20"/>
          <w:szCs w:val="20"/>
        </w:rPr>
        <w:t xml:space="preserve"> is slightly greater than the number of leases signed during the same pre-COVID-19 period in 2019, and 2019 was a high leasing volume year for the Company. The </w:t>
      </w:r>
    </w:p>
    <w:p w:rsidR="00000000" w:rsidRDefault="009D532D">
      <w:pPr>
        <w:jc w:val="center"/>
        <w:divId w:val="1765568928"/>
        <w:rPr>
          <w:rFonts w:eastAsia="Times New Roman"/>
        </w:rPr>
      </w:pPr>
    </w:p>
    <w:p w:rsidR="00000000" w:rsidRDefault="009D532D">
      <w:pPr>
        <w:jc w:val="center"/>
        <w:divId w:val="1765568928"/>
        <w:rPr>
          <w:rFonts w:eastAsia="Times New Roman"/>
        </w:rPr>
      </w:pPr>
      <w:r>
        <w:rPr>
          <w:rFonts w:eastAsia="Times New Roman"/>
          <w:color w:val="000000"/>
          <w:sz w:val="20"/>
          <w:szCs w:val="20"/>
        </w:rPr>
        <w:t>32</w:t>
      </w:r>
    </w:p>
    <w:p w:rsidR="00000000" w:rsidRDefault="009D532D">
      <w:pPr>
        <w:rPr>
          <w:rFonts w:eastAsia="Times New Roman"/>
        </w:rPr>
      </w:pPr>
      <w:r>
        <w:rPr>
          <w:rFonts w:eastAsia="Times New Roman"/>
        </w:rPr>
        <w:pict>
          <v:rect id="_x0000_i1056" style="width:0;height:1.5pt" o:hralign="center" o:hrstd="t" o:hr="t" fillcolor="#a0a0a0" stroked="f"/>
        </w:pict>
      </w:r>
    </w:p>
    <w:p w:rsidR="00000000" w:rsidRDefault="009D532D">
      <w:pPr>
        <w:divId w:val="1692099842"/>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700206546"/>
        <w:rPr>
          <w:rFonts w:eastAsia="Times New Roman"/>
        </w:rPr>
      </w:pPr>
      <w:r>
        <w:rPr>
          <w:rFonts w:eastAsia="Times New Roman"/>
          <w:color w:val="000000"/>
          <w:sz w:val="20"/>
          <w:szCs w:val="20"/>
        </w:rPr>
        <w:t>Company has entered into 102 leases for new stores totaling approximately 617,000 square feet that have opened or are planned for opening in 202</w:t>
      </w:r>
      <w:r>
        <w:rPr>
          <w:rFonts w:eastAsia="Times New Roman"/>
          <w:color w:val="000000"/>
          <w:sz w:val="20"/>
          <w:szCs w:val="20"/>
        </w:rPr>
        <w:t xml:space="preserve">1. The Company is also negotiating nearly 100 other leases for new stores totaling nearly 800,000 square feet. There is no assurance that these pending lease negotiations will result in executed leases. </w:t>
      </w:r>
    </w:p>
    <w:p w:rsidR="00000000" w:rsidRDefault="009D532D">
      <w:pPr>
        <w:ind w:firstLine="495"/>
        <w:divId w:val="1738089439"/>
        <w:rPr>
          <w:rFonts w:eastAsia="Times New Roman"/>
        </w:rPr>
      </w:pPr>
      <w:r>
        <w:rPr>
          <w:rFonts w:eastAsia="Times New Roman"/>
          <w:color w:val="000000"/>
          <w:sz w:val="20"/>
          <w:szCs w:val="20"/>
        </w:rPr>
        <w:t>As a result of continued loosening of government res</w:t>
      </w:r>
      <w:r>
        <w:rPr>
          <w:rFonts w:eastAsia="Times New Roman"/>
          <w:color w:val="000000"/>
          <w:sz w:val="20"/>
          <w:szCs w:val="20"/>
        </w:rPr>
        <w:t>trictions within the Company's operating markets, combined with pent up demand and the positive economic impact of fiscal stimulus, sales at the Company's Centers continue to greatly improve. During the first quarter of 2021, comparable tenant sales across</w:t>
      </w:r>
      <w:r>
        <w:rPr>
          <w:rFonts w:eastAsia="Times New Roman"/>
          <w:color w:val="000000"/>
          <w:sz w:val="20"/>
          <w:szCs w:val="20"/>
        </w:rPr>
        <w:t xml:space="preserve"> the Company's portfolio were only 2.0% less than the pre-COVID-19 first quarter of 2019, and were 1.9% higher than the pre-COVID-19 first quarter of 2019, excluding the capacity-restricted food and beverage category. During the first quarter of 2021, comp</w:t>
      </w:r>
      <w:r>
        <w:rPr>
          <w:rFonts w:eastAsia="Times New Roman"/>
          <w:color w:val="000000"/>
          <w:sz w:val="20"/>
          <w:szCs w:val="20"/>
        </w:rPr>
        <w:t>arable tenant sales within Arizona, the Company’s least restricted region, were 7.2% higher than the pre-COVID-19 first quarter of 2019 and 11.5% higher than the pre-COVID-19 first quarter of 2019, excluding the capacity-restricted food and beverage catego</w:t>
      </w:r>
      <w:r>
        <w:rPr>
          <w:rFonts w:eastAsia="Times New Roman"/>
          <w:color w:val="000000"/>
          <w:sz w:val="20"/>
          <w:szCs w:val="20"/>
        </w:rPr>
        <w:t xml:space="preserve">ry. </w:t>
      </w:r>
    </w:p>
    <w:p w:rsidR="00000000" w:rsidRDefault="009D532D">
      <w:pPr>
        <w:ind w:firstLine="495"/>
        <w:divId w:val="629046150"/>
        <w:rPr>
          <w:rFonts w:eastAsia="Times New Roman"/>
        </w:rPr>
      </w:pPr>
      <w:r>
        <w:rPr>
          <w:rFonts w:eastAsia="Times New Roman"/>
          <w:color w:val="000000"/>
          <w:sz w:val="20"/>
          <w:szCs w:val="20"/>
        </w:rPr>
        <w:t>During 2021, the Company expects to generate significant cash flow from operations after recurring operating capital expenditures, leasing capital expenditures and after dividend. This assumption does not include any potential capital generated from d</w:t>
      </w:r>
      <w:r>
        <w:rPr>
          <w:rFonts w:eastAsia="Times New Roman"/>
          <w:color w:val="000000"/>
          <w:sz w:val="20"/>
          <w:szCs w:val="20"/>
        </w:rPr>
        <w:t>ispositions, refinancings or issuances of common equity. This surplus will be used to de-lever as well as to fund our development pipeline.</w:t>
      </w:r>
    </w:p>
    <w:p w:rsidR="00000000" w:rsidRDefault="009D532D">
      <w:pPr>
        <w:ind w:firstLine="495"/>
        <w:divId w:val="1767657279"/>
        <w:rPr>
          <w:rFonts w:eastAsia="Times New Roman"/>
        </w:rPr>
      </w:pPr>
      <w:r>
        <w:rPr>
          <w:rFonts w:eastAsia="Times New Roman"/>
          <w:color w:val="000000"/>
          <w:sz w:val="20"/>
          <w:szCs w:val="20"/>
        </w:rPr>
        <w:t>Given the continued disruption and uncertainties from COVID-19 and the impact on the capital markets, the Company ha</w:t>
      </w:r>
      <w:r>
        <w:rPr>
          <w:rFonts w:eastAsia="Times New Roman"/>
          <w:color w:val="000000"/>
          <w:sz w:val="20"/>
          <w:szCs w:val="20"/>
        </w:rPr>
        <w:t>s secured extensions of term from one to three years of its near-term maturing non-recourse mortgage loans on Danbury Fair Mall, Fashion Outlets of Niagara, FlatIron Crossing, Green Acres Mall and Green Acres Commons (See "Financing Activities" in Manageme</w:t>
      </w:r>
      <w:r>
        <w:rPr>
          <w:rFonts w:eastAsia="Times New Roman"/>
          <w:color w:val="000000"/>
          <w:sz w:val="20"/>
          <w:szCs w:val="20"/>
        </w:rPr>
        <w:t>nt's Overview and Summary).</w:t>
      </w:r>
    </w:p>
    <w:p w:rsidR="00000000" w:rsidRDefault="009D532D">
      <w:pPr>
        <w:ind w:firstLine="495"/>
        <w:divId w:val="1323267500"/>
        <w:rPr>
          <w:rFonts w:eastAsia="Times New Roman"/>
        </w:rPr>
      </w:pPr>
      <w:r>
        <w:rPr>
          <w:rFonts w:eastAsia="Times New Roman"/>
          <w:color w:val="000000"/>
          <w:sz w:val="20"/>
          <w:szCs w:val="20"/>
        </w:rPr>
        <w:t>On April 14, 2021, the Company repaid and terminated its existing credit facility and entered into a new credit agreement, which provides for an aggregate $700 million facility, including a $525 million revolving loan facility t</w:t>
      </w:r>
      <w:r>
        <w:rPr>
          <w:rFonts w:eastAsia="Times New Roman"/>
          <w:color w:val="000000"/>
          <w:sz w:val="20"/>
          <w:szCs w:val="20"/>
        </w:rPr>
        <w:t>hat matures on April 14, 2023, with a one-year extension option, and a $175 million term loan facility that matures on April 14, 2024. Concurrent with the closing of this credit facility, the Company repaid $985.0 million of debt (See "Liquidity and Capita</w:t>
      </w:r>
      <w:r>
        <w:rPr>
          <w:rFonts w:eastAsia="Times New Roman"/>
          <w:color w:val="000000"/>
          <w:sz w:val="20"/>
          <w:szCs w:val="20"/>
        </w:rPr>
        <w:t xml:space="preserve">l Resources"). </w:t>
      </w:r>
    </w:p>
    <w:p w:rsidR="00000000" w:rsidRDefault="009D532D">
      <w:pPr>
        <w:ind w:firstLine="495"/>
        <w:divId w:val="1814449688"/>
        <w:rPr>
          <w:rFonts w:eastAsia="Times New Roman"/>
        </w:rPr>
      </w:pPr>
      <w:r>
        <w:rPr>
          <w:rFonts w:eastAsia="Times New Roman"/>
          <w:color w:val="000000"/>
          <w:sz w:val="20"/>
          <w:szCs w:val="20"/>
        </w:rPr>
        <w:t>Rising interest rates could increase the cost of the Company’s borrowings due to its outstanding floating-rate debt and lead to higher interest rates on new fixed-rate debt. In certain cases, the Company may limit its exposure to interest r</w:t>
      </w:r>
      <w:r>
        <w:rPr>
          <w:rFonts w:eastAsia="Times New Roman"/>
          <w:color w:val="000000"/>
          <w:sz w:val="20"/>
          <w:szCs w:val="20"/>
        </w:rPr>
        <w:t xml:space="preserve">ate fluctuations related to a portion of its floating-rate debt by using interest rate cap and swap agreements. Such agreements, subject to current market conditions, allow the Company to replace floating-rate debt with fixed-rate debt in order to achieve </w:t>
      </w:r>
      <w:r>
        <w:rPr>
          <w:rFonts w:eastAsia="Times New Roman"/>
          <w:color w:val="000000"/>
          <w:sz w:val="20"/>
          <w:szCs w:val="20"/>
        </w:rPr>
        <w:t>its desired ratio of floating-rate to fixed-rate debt. In today’s decreasing interest rate environment, the swap agreements that the Company has entered into have resulted in increases in interest expense. Those swap agreements expire in September 2021.</w:t>
      </w:r>
    </w:p>
    <w:p w:rsidR="00000000" w:rsidRDefault="009D532D">
      <w:pPr>
        <w:divId w:val="2117140600"/>
        <w:rPr>
          <w:rFonts w:eastAsia="Times New Roman"/>
        </w:rPr>
      </w:pPr>
      <w:r>
        <w:rPr>
          <w:rFonts w:eastAsia="Times New Roman"/>
          <w:b/>
          <w:bCs/>
          <w:color w:val="000000"/>
          <w:sz w:val="20"/>
          <w:szCs w:val="20"/>
        </w:rPr>
        <w:t>Co</w:t>
      </w:r>
      <w:r>
        <w:rPr>
          <w:rFonts w:eastAsia="Times New Roman"/>
          <w:b/>
          <w:bCs/>
          <w:color w:val="000000"/>
          <w:sz w:val="20"/>
          <w:szCs w:val="20"/>
        </w:rPr>
        <w:t xml:space="preserve">mparison of Three Months Ended March 31, 2021 and 2020 </w:t>
      </w:r>
    </w:p>
    <w:p w:rsidR="00000000" w:rsidRDefault="009D532D">
      <w:pPr>
        <w:ind w:firstLine="450"/>
        <w:divId w:val="213126823"/>
        <w:rPr>
          <w:rFonts w:eastAsia="Times New Roman"/>
        </w:rPr>
      </w:pPr>
      <w:r>
        <w:rPr>
          <w:rFonts w:eastAsia="Times New Roman"/>
          <w:i/>
          <w:iCs/>
          <w:color w:val="000000"/>
          <w:sz w:val="20"/>
          <w:szCs w:val="20"/>
        </w:rPr>
        <w:t>Revenues:</w:t>
      </w:r>
    </w:p>
    <w:p w:rsidR="00000000" w:rsidRDefault="009D532D">
      <w:pPr>
        <w:ind w:firstLine="495"/>
        <w:divId w:val="878006902"/>
        <w:rPr>
          <w:rFonts w:eastAsia="Times New Roman"/>
        </w:rPr>
      </w:pPr>
      <w:r>
        <w:rPr>
          <w:rFonts w:eastAsia="Times New Roman"/>
          <w:color w:val="000000"/>
          <w:sz w:val="20"/>
          <w:szCs w:val="20"/>
        </w:rPr>
        <w:t>Leasing revenue decreased by $31.2 million, or 14.8%, from 2020 to 2021. The decrease in leasing revenue is attributed to decreases of $34.2 million from the Same Centers and $0.5 million fr</w:t>
      </w:r>
      <w:r>
        <w:rPr>
          <w:rFonts w:eastAsia="Times New Roman"/>
          <w:color w:val="000000"/>
          <w:sz w:val="20"/>
          <w:szCs w:val="20"/>
        </w:rPr>
        <w:t>om the Disposition Property offset in part by increases of $3.5 million from the JV Transition Centers. Leasing revenue includes the amortization of above and below-market leases, the amortization of straight-line rents, lease termination income and the pr</w:t>
      </w:r>
      <w:r>
        <w:rPr>
          <w:rFonts w:eastAsia="Times New Roman"/>
          <w:color w:val="000000"/>
          <w:sz w:val="20"/>
          <w:szCs w:val="20"/>
        </w:rPr>
        <w:t>ovision for bad debts. The amortization of above and below-market leases was $0.4 million in 2020 and 2021. Straight-line rents increased from $2.2 million in 2020 to $4.8 million in 2021. Lease termination income increased from $1.2 million in 2020 to $2.</w:t>
      </w:r>
      <w:r>
        <w:rPr>
          <w:rFonts w:eastAsia="Times New Roman"/>
          <w:color w:val="000000"/>
          <w:sz w:val="20"/>
          <w:szCs w:val="20"/>
        </w:rPr>
        <w:t>9 million in 2021. Provision for bad debts increased from $0.9 million in 2020 to $3.2 million in 2021. The increase in bad debt expense is a result of the Company assessing collectability by tenant and determining that it was no longer probable that subst</w:t>
      </w:r>
      <w:r>
        <w:rPr>
          <w:rFonts w:eastAsia="Times New Roman"/>
          <w:color w:val="000000"/>
          <w:sz w:val="20"/>
          <w:szCs w:val="20"/>
        </w:rPr>
        <w:t>antially all leasing revenue would be collected from certain tenants, which includes tenants that have declared bankruptcy, tenants at risk of filing bankruptcy or other tenants where collectability was no longer probable. The decrease in leasing revenue a</w:t>
      </w:r>
      <w:r>
        <w:rPr>
          <w:rFonts w:eastAsia="Times New Roman"/>
          <w:color w:val="000000"/>
          <w:sz w:val="20"/>
          <w:szCs w:val="20"/>
        </w:rPr>
        <w:t>nd increase in bad debt at the Same Centers is 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rsidR="00000000" w:rsidRDefault="009D532D">
      <w:pPr>
        <w:ind w:firstLine="450"/>
        <w:divId w:val="398284200"/>
        <w:rPr>
          <w:rFonts w:eastAsia="Times New Roman"/>
        </w:rPr>
      </w:pPr>
      <w:r>
        <w:rPr>
          <w:rFonts w:eastAsia="Times New Roman"/>
          <w:color w:val="000000"/>
          <w:sz w:val="20"/>
          <w:szCs w:val="20"/>
        </w:rPr>
        <w:t>Other income decreased from $9.3 million in 2020 to $5.3 million in 2021. The decrease is primarily a decline in parking garage income as a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p>
    <w:p w:rsidR="00000000" w:rsidRDefault="009D532D">
      <w:pPr>
        <w:ind w:firstLine="495"/>
        <w:divId w:val="894899492"/>
        <w:rPr>
          <w:rFonts w:eastAsia="Times New Roman"/>
        </w:rPr>
      </w:pPr>
      <w:r>
        <w:rPr>
          <w:rFonts w:eastAsia="Times New Roman"/>
          <w:color w:val="000000"/>
          <w:sz w:val="20"/>
          <w:szCs w:val="20"/>
        </w:rPr>
        <w:t>Management Companies'</w:t>
      </w:r>
      <w:r>
        <w:rPr>
          <w:rFonts w:eastAsia="Times New Roman"/>
          <w:color w:val="000000"/>
          <w:sz w:val="20"/>
          <w:szCs w:val="20"/>
        </w:rPr>
        <w:t xml:space="preserve"> revenue decreased from $7.0 million in 2020 to $5.6 million in 2021 due to a decrease in management fees and development fees.</w:t>
      </w:r>
    </w:p>
    <w:p w:rsidR="00000000" w:rsidRDefault="009D532D">
      <w:pPr>
        <w:ind w:firstLine="495"/>
        <w:divId w:val="268247199"/>
        <w:rPr>
          <w:rFonts w:eastAsia="Times New Roman"/>
        </w:rPr>
      </w:pPr>
      <w:r>
        <w:rPr>
          <w:rFonts w:eastAsia="Times New Roman"/>
          <w:i/>
          <w:iCs/>
          <w:color w:val="000000"/>
          <w:sz w:val="20"/>
          <w:szCs w:val="20"/>
        </w:rPr>
        <w:t>Shopping Center and Operating Expenses:</w:t>
      </w:r>
    </w:p>
    <w:p w:rsidR="00000000" w:rsidRDefault="009D532D">
      <w:pPr>
        <w:ind w:firstLine="495"/>
        <w:divId w:val="2042628013"/>
        <w:rPr>
          <w:rFonts w:eastAsia="Times New Roman"/>
        </w:rPr>
      </w:pPr>
      <w:r>
        <w:rPr>
          <w:rFonts w:eastAsia="Times New Roman"/>
          <w:color w:val="000000"/>
          <w:sz w:val="20"/>
          <w:szCs w:val="20"/>
        </w:rPr>
        <w:t>Shopping center and operating expenses increased $5.4 million, or 7.7%, from 2020 to 202</w:t>
      </w:r>
      <w:r>
        <w:rPr>
          <w:rFonts w:eastAsia="Times New Roman"/>
          <w:color w:val="000000"/>
          <w:sz w:val="20"/>
          <w:szCs w:val="20"/>
        </w:rPr>
        <w:t>1. The increase in shopping center and operating expenses is attributed to increases of $4.9 million from the JV Transition Centers and $0.5 million from the Same Centers.</w:t>
      </w:r>
    </w:p>
    <w:p w:rsidR="00000000" w:rsidRDefault="009D532D">
      <w:pPr>
        <w:jc w:val="center"/>
        <w:divId w:val="114763870"/>
        <w:rPr>
          <w:rFonts w:eastAsia="Times New Roman"/>
        </w:rPr>
      </w:pPr>
    </w:p>
    <w:p w:rsidR="00000000" w:rsidRDefault="009D532D">
      <w:pPr>
        <w:jc w:val="center"/>
        <w:divId w:val="114763870"/>
        <w:rPr>
          <w:rFonts w:eastAsia="Times New Roman"/>
        </w:rPr>
      </w:pPr>
      <w:r>
        <w:rPr>
          <w:rFonts w:eastAsia="Times New Roman"/>
          <w:color w:val="000000"/>
          <w:sz w:val="20"/>
          <w:szCs w:val="20"/>
        </w:rPr>
        <w:t>33</w:t>
      </w:r>
    </w:p>
    <w:p w:rsidR="00000000" w:rsidRDefault="009D532D">
      <w:pPr>
        <w:rPr>
          <w:rFonts w:eastAsia="Times New Roman"/>
        </w:rPr>
      </w:pPr>
      <w:r>
        <w:rPr>
          <w:rFonts w:eastAsia="Times New Roman"/>
        </w:rPr>
        <w:pict>
          <v:rect id="_x0000_i1057" style="width:0;height:1.5pt" o:hralign="center" o:hrstd="t" o:hr="t" fillcolor="#a0a0a0" stroked="f"/>
        </w:pict>
      </w:r>
    </w:p>
    <w:p w:rsidR="00000000" w:rsidRDefault="009D532D">
      <w:pPr>
        <w:divId w:val="221674407"/>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ind w:firstLine="450"/>
        <w:divId w:val="1379087613"/>
        <w:rPr>
          <w:rFonts w:eastAsia="Times New Roman"/>
        </w:rPr>
      </w:pPr>
      <w:r>
        <w:rPr>
          <w:rFonts w:eastAsia="Times New Roman"/>
          <w:i/>
          <w:iCs/>
          <w:color w:val="000000"/>
          <w:sz w:val="20"/>
          <w:szCs w:val="20"/>
        </w:rPr>
        <w:t>Leasing Expenses:</w:t>
      </w:r>
    </w:p>
    <w:p w:rsidR="00000000" w:rsidRDefault="009D532D">
      <w:pPr>
        <w:ind w:firstLine="495"/>
        <w:divId w:val="2010130020"/>
        <w:rPr>
          <w:rFonts w:eastAsia="Times New Roman"/>
        </w:rPr>
      </w:pPr>
      <w:r>
        <w:rPr>
          <w:rFonts w:eastAsia="Times New Roman"/>
          <w:color w:val="000000"/>
          <w:sz w:val="20"/>
          <w:szCs w:val="20"/>
        </w:rPr>
        <w:t xml:space="preserve">Leasing expenses decreased from $7.4 million in 2020 to $5.2 million in 2021 due to a decrease in compensation expense. </w:t>
      </w:r>
    </w:p>
    <w:p w:rsidR="00000000" w:rsidRDefault="009D532D">
      <w:pPr>
        <w:ind w:firstLine="405"/>
        <w:divId w:val="1281916013"/>
        <w:rPr>
          <w:rFonts w:eastAsia="Times New Roman"/>
        </w:rPr>
      </w:pPr>
      <w:r>
        <w:rPr>
          <w:rFonts w:eastAsia="Times New Roman"/>
          <w:i/>
          <w:iCs/>
          <w:color w:val="000000"/>
          <w:sz w:val="20"/>
          <w:szCs w:val="20"/>
        </w:rPr>
        <w:t>Management Companies' Operating Expenses:</w:t>
      </w:r>
    </w:p>
    <w:p w:rsidR="00000000" w:rsidRDefault="009D532D">
      <w:pPr>
        <w:ind w:firstLine="495"/>
        <w:divId w:val="2097365435"/>
        <w:rPr>
          <w:rFonts w:eastAsia="Times New Roman"/>
        </w:rPr>
      </w:pPr>
      <w:r>
        <w:rPr>
          <w:rFonts w:eastAsia="Times New Roman"/>
          <w:color w:val="000000"/>
          <w:sz w:val="20"/>
          <w:szCs w:val="20"/>
        </w:rPr>
        <w:t xml:space="preserve">Management Companies' operating expenses </w:t>
      </w:r>
      <w:r>
        <w:rPr>
          <w:rFonts w:eastAsia="Times New Roman"/>
          <w:color w:val="000000"/>
          <w:sz w:val="20"/>
          <w:szCs w:val="20"/>
        </w:rPr>
        <w:t xml:space="preserve">decreased $1.4 million from 2020 to 2021 due to a decrease in compensation expense. </w:t>
      </w:r>
    </w:p>
    <w:p w:rsidR="00000000" w:rsidRDefault="009D532D">
      <w:pPr>
        <w:ind w:firstLine="405"/>
        <w:divId w:val="872421684"/>
        <w:rPr>
          <w:rFonts w:eastAsia="Times New Roman"/>
        </w:rPr>
      </w:pPr>
      <w:r>
        <w:rPr>
          <w:rFonts w:eastAsia="Times New Roman"/>
          <w:i/>
          <w:iCs/>
          <w:color w:val="000000"/>
          <w:sz w:val="20"/>
          <w:szCs w:val="20"/>
        </w:rPr>
        <w:t>REIT General and Administrative Expenses:</w:t>
      </w:r>
    </w:p>
    <w:p w:rsidR="00000000" w:rsidRDefault="009D532D">
      <w:pPr>
        <w:ind w:firstLine="495"/>
        <w:divId w:val="2114205280"/>
        <w:rPr>
          <w:rFonts w:eastAsia="Times New Roman"/>
        </w:rPr>
      </w:pPr>
      <w:r>
        <w:rPr>
          <w:rFonts w:eastAsia="Times New Roman"/>
          <w:color w:val="000000"/>
          <w:sz w:val="20"/>
          <w:szCs w:val="20"/>
        </w:rPr>
        <w:t>REIT general and administrative expenses increased $1.3 million from 2020 to 2021 primarily due to an increase in consulting expense.</w:t>
      </w:r>
    </w:p>
    <w:p w:rsidR="00000000" w:rsidRDefault="009D532D">
      <w:pPr>
        <w:ind w:firstLine="450"/>
        <w:divId w:val="668562916"/>
        <w:rPr>
          <w:rFonts w:eastAsia="Times New Roman"/>
        </w:rPr>
      </w:pPr>
      <w:r>
        <w:rPr>
          <w:rFonts w:eastAsia="Times New Roman"/>
          <w:i/>
          <w:iCs/>
          <w:color w:val="000000"/>
          <w:sz w:val="20"/>
          <w:szCs w:val="20"/>
        </w:rPr>
        <w:t>Depreciation and Amortization:</w:t>
      </w:r>
    </w:p>
    <w:p w:rsidR="00000000" w:rsidRDefault="009D532D">
      <w:pPr>
        <w:ind w:firstLine="495"/>
        <w:divId w:val="1472400492"/>
        <w:rPr>
          <w:rFonts w:eastAsia="Times New Roman"/>
        </w:rPr>
      </w:pPr>
      <w:r>
        <w:rPr>
          <w:rFonts w:eastAsia="Times New Roman"/>
          <w:color w:val="000000"/>
          <w:sz w:val="20"/>
          <w:szCs w:val="20"/>
        </w:rPr>
        <w:t>Depreciation and amortization decreased $3.8 million from 2020 to 2021. The decrease in dep</w:t>
      </w:r>
      <w:r>
        <w:rPr>
          <w:rFonts w:eastAsia="Times New Roman"/>
          <w:color w:val="000000"/>
          <w:sz w:val="20"/>
          <w:szCs w:val="20"/>
        </w:rPr>
        <w:t>reciation and amortization is attributed to decreases of $7.1 million from the Same Centers offset in part by increases of $3.1 million from the JV Transition Centers and $0.2 million from the Disposition Property.</w:t>
      </w:r>
    </w:p>
    <w:p w:rsidR="00000000" w:rsidRDefault="009D532D">
      <w:pPr>
        <w:ind w:firstLine="495"/>
        <w:divId w:val="502480094"/>
        <w:rPr>
          <w:rFonts w:eastAsia="Times New Roman"/>
        </w:rPr>
      </w:pPr>
      <w:r>
        <w:rPr>
          <w:rFonts w:eastAsia="Times New Roman"/>
          <w:i/>
          <w:iCs/>
          <w:color w:val="000000"/>
          <w:sz w:val="20"/>
          <w:szCs w:val="20"/>
        </w:rPr>
        <w:t>Interest Expense:</w:t>
      </w:r>
    </w:p>
    <w:p w:rsidR="00000000" w:rsidRDefault="009D532D">
      <w:pPr>
        <w:ind w:firstLine="495"/>
        <w:divId w:val="841243792"/>
        <w:rPr>
          <w:rFonts w:eastAsia="Times New Roman"/>
        </w:rPr>
      </w:pPr>
      <w:r>
        <w:rPr>
          <w:rFonts w:eastAsia="Times New Roman"/>
          <w:color w:val="000000"/>
          <w:sz w:val="20"/>
          <w:szCs w:val="20"/>
        </w:rPr>
        <w:t>Interest expense increa</w:t>
      </w:r>
      <w:r>
        <w:rPr>
          <w:rFonts w:eastAsia="Times New Roman"/>
          <w:color w:val="000000"/>
          <w:sz w:val="20"/>
          <w:szCs w:val="20"/>
        </w:rPr>
        <w:t xml:space="preserve">sed $45.8 million from 2020 to 2021. The increase in interest expense was attributed to an increase of $45.6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 </w:t>
      </w:r>
      <w:r>
        <w:rPr>
          <w:rFonts w:eastAsia="Times New Roman"/>
          <w:color w:val="000000"/>
          <w:sz w:val="20"/>
          <w:szCs w:val="20"/>
        </w:rPr>
        <w:t>$1.8 mi</w:t>
      </w:r>
      <w:r>
        <w:rPr>
          <w:rFonts w:eastAsia="Times New Roman"/>
          <w:color w:val="000000"/>
          <w:sz w:val="20"/>
          <w:szCs w:val="20"/>
        </w:rPr>
        <w:t>llion from the JV Transition Centers and $0.9 million from the Company's revolving line of credit offset in part by decreases of $2.5 million from the Same Centers. The increase in interest expense from the Financing Arrangement is primarily due to the cha</w:t>
      </w:r>
      <w:r>
        <w:rPr>
          <w:rFonts w:eastAsia="Times New Roman"/>
          <w:color w:val="000000"/>
          <w:sz w:val="20"/>
          <w:szCs w:val="20"/>
        </w:rPr>
        <w:t>nge in fair value of the underlying properties and the mortgage notes payable on the underlying properties.</w:t>
      </w:r>
    </w:p>
    <w:p w:rsidR="00000000" w:rsidRDefault="009D532D">
      <w:pPr>
        <w:ind w:firstLine="495"/>
        <w:divId w:val="653726651"/>
        <w:rPr>
          <w:rFonts w:eastAsia="Times New Roman"/>
        </w:rPr>
      </w:pPr>
      <w:r>
        <w:rPr>
          <w:rFonts w:eastAsia="Times New Roman"/>
          <w:i/>
          <w:iCs/>
          <w:color w:val="000000"/>
          <w:sz w:val="20"/>
          <w:szCs w:val="20"/>
        </w:rPr>
        <w:t>Equity in Income of Unconsolidated Joint Ventures:</w:t>
      </w:r>
    </w:p>
    <w:p w:rsidR="00000000" w:rsidRDefault="009D532D">
      <w:pPr>
        <w:ind w:firstLine="495"/>
        <w:divId w:val="1978532107"/>
        <w:rPr>
          <w:rFonts w:eastAsia="Times New Roman"/>
        </w:rPr>
      </w:pPr>
      <w:r>
        <w:rPr>
          <w:rFonts w:eastAsia="Times New Roman"/>
          <w:color w:val="000000"/>
          <w:sz w:val="20"/>
          <w:szCs w:val="20"/>
          <w:shd w:val="clear" w:color="auto" w:fill="FFFFFF"/>
        </w:rPr>
        <w:t>Equity in income of unconsolidated joint ventures decreased $7.8 million from 2020 to 2021</w:t>
      </w:r>
      <w:r>
        <w:rPr>
          <w:rFonts w:eastAsia="Times New Roman"/>
          <w:color w:val="000000"/>
          <w:sz w:val="20"/>
          <w:szCs w:val="20"/>
        </w:rPr>
        <w:t>. The d</w:t>
      </w:r>
      <w:r>
        <w:rPr>
          <w:rFonts w:eastAsia="Times New Roman"/>
          <w:color w:val="000000"/>
          <w:sz w:val="20"/>
          <w:szCs w:val="20"/>
        </w:rPr>
        <w:t>ecrease in equity in income of unconsolidated joint ventures is primarily due to a decrease in leasing revenue as a result of COVID-19 (See "Other Transactions and Events" in Management's Overview and Summary).</w:t>
      </w:r>
    </w:p>
    <w:p w:rsidR="00000000" w:rsidRDefault="009D532D">
      <w:pPr>
        <w:ind w:firstLine="450"/>
        <w:divId w:val="2107652101"/>
        <w:rPr>
          <w:rFonts w:eastAsia="Times New Roman"/>
        </w:rPr>
      </w:pPr>
      <w:r>
        <w:rPr>
          <w:rFonts w:eastAsia="Times New Roman"/>
          <w:i/>
          <w:iCs/>
          <w:color w:val="000000"/>
          <w:sz w:val="20"/>
          <w:szCs w:val="20"/>
        </w:rPr>
        <w:t>Loss on Sale or Write Down of Assets, net:</w:t>
      </w:r>
    </w:p>
    <w:p w:rsidR="00000000" w:rsidRDefault="009D532D">
      <w:pPr>
        <w:ind w:firstLine="495"/>
        <w:divId w:val="867257617"/>
        <w:rPr>
          <w:rFonts w:eastAsia="Times New Roman"/>
        </w:rPr>
      </w:pPr>
      <w:r>
        <w:rPr>
          <w:rFonts w:eastAsia="Times New Roman"/>
          <w:color w:val="000000"/>
          <w:sz w:val="20"/>
          <w:szCs w:val="20"/>
          <w:shd w:val="clear" w:color="auto" w:fill="FFFFFF"/>
        </w:rPr>
        <w:t>Lo</w:t>
      </w:r>
      <w:r>
        <w:rPr>
          <w:rFonts w:eastAsia="Times New Roman"/>
          <w:color w:val="000000"/>
          <w:sz w:val="20"/>
          <w:szCs w:val="20"/>
          <w:shd w:val="clear" w:color="auto" w:fill="FFFFFF"/>
        </w:rPr>
        <w:t xml:space="preserve">ss on sale or write down of assets, net decreased $15.4 million from 2020 to 2021. The decrease in loss on sale or write down of assets, net is primarily due to the </w:t>
      </w:r>
      <w:r>
        <w:rPr>
          <w:rFonts w:eastAsia="Times New Roman"/>
          <w:color w:val="000000"/>
          <w:sz w:val="20"/>
          <w:szCs w:val="20"/>
        </w:rPr>
        <w:t>$36.7 million</w:t>
      </w:r>
      <w:r>
        <w:rPr>
          <w:rFonts w:eastAsia="Times New Roman"/>
          <w:color w:val="000000"/>
          <w:sz w:val="20"/>
          <w:szCs w:val="20"/>
          <w:shd w:val="clear" w:color="auto" w:fill="FFFFFF"/>
        </w:rPr>
        <w:t xml:space="preserve"> of impairment losses on Wilton Mall and Paradise Valley Mall in 2020 and impa</w:t>
      </w:r>
      <w:r>
        <w:rPr>
          <w:rFonts w:eastAsia="Times New Roman"/>
          <w:color w:val="000000"/>
          <w:sz w:val="20"/>
          <w:szCs w:val="20"/>
          <w:shd w:val="clear" w:color="auto" w:fill="FFFFFF"/>
        </w:rPr>
        <w:t xml:space="preserve">irment loss of </w:t>
      </w:r>
      <w:r>
        <w:rPr>
          <w:rFonts w:eastAsia="Times New Roman"/>
          <w:color w:val="000000"/>
          <w:sz w:val="20"/>
          <w:szCs w:val="20"/>
        </w:rPr>
        <w:t>$27.3 million</w:t>
      </w:r>
      <w:r>
        <w:rPr>
          <w:rFonts w:eastAsia="Times New Roman"/>
          <w:color w:val="000000"/>
          <w:sz w:val="20"/>
          <w:szCs w:val="20"/>
          <w:shd w:val="clear" w:color="auto" w:fill="FFFFFF"/>
        </w:rPr>
        <w:t xml:space="preserve"> on Estrella Falls in 2021 offset in part by the gain of $4.2 million from the sale of Paradise Valley Mall and $4.1 million on land sales. The impairment losses were due to the reduction in the estimated holding periods of </w:t>
      </w:r>
      <w:r>
        <w:rPr>
          <w:rFonts w:eastAsia="Times New Roman"/>
          <w:color w:val="000000"/>
          <w:sz w:val="20"/>
          <w:szCs w:val="20"/>
        </w:rPr>
        <w:t xml:space="preserve">the </w:t>
      </w:r>
      <w:r>
        <w:rPr>
          <w:rFonts w:eastAsia="Times New Roman"/>
          <w:color w:val="000000"/>
          <w:sz w:val="20"/>
          <w:szCs w:val="20"/>
        </w:rPr>
        <w:t>properties.</w:t>
      </w:r>
    </w:p>
    <w:p w:rsidR="00000000" w:rsidRDefault="009D532D">
      <w:pPr>
        <w:ind w:firstLine="450"/>
        <w:divId w:val="879198140"/>
        <w:rPr>
          <w:rFonts w:eastAsia="Times New Roman"/>
        </w:rPr>
      </w:pPr>
      <w:r>
        <w:rPr>
          <w:rFonts w:eastAsia="Times New Roman"/>
          <w:i/>
          <w:iCs/>
          <w:color w:val="000000"/>
          <w:sz w:val="20"/>
          <w:szCs w:val="20"/>
          <w:shd w:val="clear" w:color="auto" w:fill="FFFFFF"/>
        </w:rPr>
        <w:t>Net (Loss) Income:</w:t>
      </w:r>
    </w:p>
    <w:p w:rsidR="00000000" w:rsidRDefault="009D532D">
      <w:pPr>
        <w:ind w:firstLine="495"/>
        <w:divId w:val="3678253"/>
        <w:rPr>
          <w:rFonts w:eastAsia="Times New Roman"/>
        </w:rPr>
      </w:pPr>
      <w:r>
        <w:rPr>
          <w:rFonts w:eastAsia="Times New Roman"/>
          <w:color w:val="000000"/>
          <w:sz w:val="20"/>
          <w:szCs w:val="20"/>
          <w:shd w:val="clear" w:color="auto" w:fill="FFFFFF"/>
        </w:rPr>
        <w:t xml:space="preserve">Net (loss) income decreased </w:t>
      </w:r>
      <w:r>
        <w:rPr>
          <w:rFonts w:eastAsia="Times New Roman"/>
          <w:color w:val="000000"/>
          <w:sz w:val="20"/>
          <w:szCs w:val="20"/>
        </w:rPr>
        <w:t>$76.5 million</w:t>
      </w:r>
      <w:r>
        <w:rPr>
          <w:rFonts w:eastAsia="Times New Roman"/>
          <w:color w:val="000000"/>
          <w:sz w:val="20"/>
          <w:szCs w:val="20"/>
          <w:shd w:val="clear" w:color="auto" w:fill="FFFFFF"/>
        </w:rPr>
        <w:t xml:space="preserve"> from 2020 to 2021. The decrease in net (loss) income is </w:t>
      </w:r>
      <w:r>
        <w:rPr>
          <w:rFonts w:eastAsia="Times New Roman"/>
          <w:color w:val="000000"/>
          <w:sz w:val="20"/>
          <w:szCs w:val="20"/>
        </w:rPr>
        <w:t>primarily the result of COVID-19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xml:space="preserve">" in Management's Overview and Summary). </w:t>
      </w:r>
    </w:p>
    <w:p w:rsidR="00000000" w:rsidRDefault="009D532D">
      <w:pPr>
        <w:ind w:firstLine="495"/>
        <w:divId w:val="1740982558"/>
        <w:rPr>
          <w:rFonts w:eastAsia="Times New Roman"/>
        </w:rPr>
      </w:pPr>
      <w:r>
        <w:rPr>
          <w:rFonts w:eastAsia="Times New Roman"/>
          <w:i/>
          <w:iCs/>
          <w:color w:val="000000"/>
          <w:sz w:val="20"/>
          <w:szCs w:val="20"/>
          <w:shd w:val="clear" w:color="auto" w:fill="FFFFFF"/>
        </w:rPr>
        <w:t>Funds From Operations ("FFO"):</w:t>
      </w:r>
    </w:p>
    <w:p w:rsidR="00000000" w:rsidRDefault="009D532D">
      <w:pPr>
        <w:ind w:firstLine="495"/>
        <w:divId w:val="322318223"/>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xml:space="preserve"> decreased 38.4% from </w:t>
      </w:r>
      <w:r>
        <w:rPr>
          <w:rFonts w:eastAsia="Times New Roman"/>
          <w:color w:val="000000"/>
          <w:sz w:val="20"/>
          <w:szCs w:val="20"/>
          <w:shd w:val="clear" w:color="auto" w:fill="FFFFFF"/>
        </w:rPr>
        <w:t>$122.7 million</w:t>
      </w:r>
      <w:r>
        <w:rPr>
          <w:rFonts w:eastAsia="Times New Roman"/>
          <w:color w:val="000000"/>
          <w:sz w:val="20"/>
          <w:szCs w:val="20"/>
        </w:rPr>
        <w:t xml:space="preserve"> in 2020 to </w:t>
      </w:r>
      <w:r>
        <w:rPr>
          <w:rFonts w:eastAsia="Times New Roman"/>
          <w:color w:val="000000"/>
          <w:sz w:val="20"/>
          <w:szCs w:val="20"/>
          <w:shd w:val="clear" w:color="auto" w:fill="FFFFFF"/>
        </w:rPr>
        <w:t>$75.6 million</w:t>
      </w:r>
      <w:r>
        <w:rPr>
          <w:rFonts w:eastAsia="Times New Roman"/>
          <w:color w:val="000000"/>
          <w:sz w:val="20"/>
          <w:szCs w:val="20"/>
        </w:rPr>
        <w:t xml:space="preserve"> in 2021. For a reconciliation of net (loss) income attributable to the Company, the most directly comparable GAAP financial measure, to FFO attributable to common stockholders and unit holders,</w:t>
      </w:r>
      <w:r>
        <w:rPr>
          <w:rFonts w:eastAsia="Times New Roman"/>
          <w:color w:val="000000"/>
          <w:sz w:val="20"/>
          <w:szCs w:val="20"/>
        </w:rPr>
        <w:t xml:space="preserve"> excluding financing expense in connection with Chandler Freehold and </w:t>
      </w:r>
      <w:r>
        <w:rPr>
          <w:rFonts w:eastAsia="Times New Roman"/>
          <w:color w:val="000000"/>
          <w:sz w:val="20"/>
          <w:szCs w:val="20"/>
          <w:shd w:val="clear" w:color="auto" w:fill="FFFFFF"/>
        </w:rPr>
        <w:t>FFO attributable to common stockholders and unit holders—diluted, excluding financing expense in connection with Chandler Freehold</w:t>
      </w:r>
      <w:r>
        <w:rPr>
          <w:rFonts w:eastAsia="Times New Roman"/>
          <w:color w:val="000000"/>
          <w:sz w:val="20"/>
          <w:szCs w:val="20"/>
        </w:rPr>
        <w:t>, see "Funds From Operations ("FFO")" below.</w:t>
      </w:r>
    </w:p>
    <w:p w:rsidR="00000000" w:rsidRDefault="009D532D">
      <w:pPr>
        <w:ind w:firstLine="450"/>
        <w:divId w:val="707144594"/>
        <w:rPr>
          <w:rFonts w:eastAsia="Times New Roman"/>
        </w:rPr>
      </w:pPr>
      <w:r>
        <w:rPr>
          <w:rFonts w:eastAsia="Times New Roman"/>
          <w:i/>
          <w:iCs/>
          <w:color w:val="000000"/>
          <w:sz w:val="20"/>
          <w:szCs w:val="20"/>
        </w:rPr>
        <w:t>Operating A</w:t>
      </w:r>
      <w:r>
        <w:rPr>
          <w:rFonts w:eastAsia="Times New Roman"/>
          <w:i/>
          <w:iCs/>
          <w:color w:val="000000"/>
          <w:sz w:val="20"/>
          <w:szCs w:val="20"/>
        </w:rPr>
        <w:t>ctivities:</w:t>
      </w:r>
    </w:p>
    <w:p w:rsidR="00000000" w:rsidRDefault="009D532D">
      <w:pPr>
        <w:ind w:firstLine="495"/>
        <w:divId w:val="223414373"/>
        <w:rPr>
          <w:rFonts w:eastAsia="Times New Roman"/>
        </w:rPr>
      </w:pPr>
      <w:r>
        <w:rPr>
          <w:rFonts w:eastAsia="Times New Roman"/>
          <w:color w:val="000000"/>
          <w:sz w:val="20"/>
          <w:szCs w:val="20"/>
        </w:rPr>
        <w:t>Cash provided by operating activities increased $2.5 million from 2020 to 2021. The increase is primarily due to the changes in assets and liabilities and the results, as discussed above.</w:t>
      </w:r>
    </w:p>
    <w:p w:rsidR="00000000" w:rsidRDefault="009D532D">
      <w:pPr>
        <w:ind w:firstLine="450"/>
        <w:divId w:val="206064064"/>
        <w:rPr>
          <w:rFonts w:eastAsia="Times New Roman"/>
        </w:rPr>
      </w:pPr>
    </w:p>
    <w:p w:rsidR="00000000" w:rsidRDefault="009D532D">
      <w:pPr>
        <w:ind w:firstLine="450"/>
        <w:divId w:val="1476871479"/>
        <w:rPr>
          <w:rFonts w:eastAsia="Times New Roman"/>
        </w:rPr>
      </w:pPr>
    </w:p>
    <w:p w:rsidR="00000000" w:rsidRDefault="009D532D">
      <w:pPr>
        <w:jc w:val="center"/>
        <w:divId w:val="1717580031"/>
        <w:rPr>
          <w:rFonts w:eastAsia="Times New Roman"/>
        </w:rPr>
      </w:pPr>
    </w:p>
    <w:p w:rsidR="00000000" w:rsidRDefault="009D532D">
      <w:pPr>
        <w:jc w:val="center"/>
        <w:divId w:val="1717580031"/>
        <w:rPr>
          <w:rFonts w:eastAsia="Times New Roman"/>
        </w:rPr>
      </w:pPr>
      <w:r>
        <w:rPr>
          <w:rFonts w:eastAsia="Times New Roman"/>
          <w:color w:val="000000"/>
          <w:sz w:val="20"/>
          <w:szCs w:val="20"/>
        </w:rPr>
        <w:t>34</w:t>
      </w:r>
    </w:p>
    <w:p w:rsidR="00000000" w:rsidRDefault="009D532D">
      <w:pPr>
        <w:rPr>
          <w:rFonts w:eastAsia="Times New Roman"/>
        </w:rPr>
      </w:pPr>
      <w:r>
        <w:rPr>
          <w:rFonts w:eastAsia="Times New Roman"/>
        </w:rPr>
        <w:pict>
          <v:rect id="_x0000_i1058" style="width:0;height:1.5pt" o:hralign="center" o:hrstd="t" o:hr="t" fillcolor="#a0a0a0" stroked="f"/>
        </w:pict>
      </w:r>
    </w:p>
    <w:p w:rsidR="00000000" w:rsidRDefault="009D532D">
      <w:pPr>
        <w:divId w:val="59756770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ind w:firstLine="450"/>
        <w:divId w:val="1746993952"/>
        <w:rPr>
          <w:rFonts w:eastAsia="Times New Roman"/>
        </w:rPr>
      </w:pPr>
      <w:r>
        <w:rPr>
          <w:rFonts w:eastAsia="Times New Roman"/>
          <w:i/>
          <w:iCs/>
          <w:color w:val="000000"/>
          <w:sz w:val="20"/>
          <w:szCs w:val="20"/>
        </w:rPr>
        <w:t>Investing Activities:</w:t>
      </w:r>
    </w:p>
    <w:p w:rsidR="00000000" w:rsidRDefault="009D532D">
      <w:pPr>
        <w:ind w:firstLine="495"/>
        <w:divId w:val="1900365610"/>
        <w:rPr>
          <w:rFonts w:eastAsia="Times New Roman"/>
        </w:rPr>
      </w:pPr>
      <w:r>
        <w:rPr>
          <w:rFonts w:eastAsia="Times New Roman"/>
          <w:color w:val="000000"/>
          <w:sz w:val="20"/>
          <w:szCs w:val="20"/>
          <w:shd w:val="clear" w:color="auto" w:fill="FFFFFF"/>
        </w:rPr>
        <w:t>Cash provided by investing activities increased $115.1 million from 2020 to 2021. The increase in cash provided by investing activities is primarily attributed to proceed</w:t>
      </w:r>
      <w:r>
        <w:rPr>
          <w:rFonts w:eastAsia="Times New Roman"/>
          <w:color w:val="000000"/>
          <w:sz w:val="20"/>
          <w:szCs w:val="20"/>
          <w:shd w:val="clear" w:color="auto" w:fill="FFFFFF"/>
        </w:rPr>
        <w:t>s from the sale of assets of $100.3 million, proceeds from notes receivable of $1.3 million, a decrease in contributions to unconsolidated joint ventures of $8.2 million and a decrease of $11.6 million in development, redevelopment, expansion and renovatio</w:t>
      </w:r>
      <w:r>
        <w:rPr>
          <w:rFonts w:eastAsia="Times New Roman"/>
          <w:color w:val="000000"/>
          <w:sz w:val="20"/>
          <w:szCs w:val="20"/>
          <w:shd w:val="clear" w:color="auto" w:fill="FFFFFF"/>
        </w:rPr>
        <w:t xml:space="preserve">n of properties offset in part by an increase in property improvements of $6.8 million. </w:t>
      </w:r>
    </w:p>
    <w:p w:rsidR="00000000" w:rsidRDefault="009D532D">
      <w:pPr>
        <w:ind w:firstLine="450"/>
        <w:divId w:val="671221585"/>
        <w:rPr>
          <w:rFonts w:eastAsia="Times New Roman"/>
        </w:rPr>
      </w:pPr>
      <w:r>
        <w:rPr>
          <w:rFonts w:eastAsia="Times New Roman"/>
          <w:i/>
          <w:iCs/>
          <w:color w:val="000000"/>
          <w:sz w:val="20"/>
          <w:szCs w:val="20"/>
        </w:rPr>
        <w:t>Financing Activities:</w:t>
      </w:r>
    </w:p>
    <w:p w:rsidR="00000000" w:rsidRDefault="009D532D">
      <w:pPr>
        <w:ind w:firstLine="495"/>
        <w:divId w:val="684866637"/>
        <w:rPr>
          <w:rFonts w:eastAsia="Times New Roman"/>
        </w:rPr>
      </w:pPr>
      <w:r>
        <w:rPr>
          <w:rFonts w:eastAsia="Times New Roman"/>
          <w:color w:val="000000"/>
          <w:sz w:val="20"/>
          <w:szCs w:val="20"/>
        </w:rPr>
        <w:t>Cash provided by financing activities increased $1.9 million from 2020 to 2021. The increase in cash provided by financing activities is primaril</w:t>
      </w:r>
      <w:r>
        <w:rPr>
          <w:rFonts w:eastAsia="Times New Roman"/>
          <w:color w:val="000000"/>
          <w:sz w:val="20"/>
          <w:szCs w:val="20"/>
        </w:rPr>
        <w:t>y due to net proceeds from sales of common shares under the ATM Programs of $597 million and a decrease in dividends and distributions of $88.0 million offset by a decrease in proceeds from mortgages, bank and other notes payable of $660.0 million and a de</w:t>
      </w:r>
      <w:r>
        <w:rPr>
          <w:rFonts w:eastAsia="Times New Roman"/>
          <w:color w:val="000000"/>
          <w:sz w:val="20"/>
          <w:szCs w:val="20"/>
        </w:rPr>
        <w:t>crease in payments on mortgages, bank and other notes payable of $15.3 million.</w:t>
      </w:r>
    </w:p>
    <w:p w:rsidR="00000000" w:rsidRDefault="009D532D">
      <w:pPr>
        <w:divId w:val="2025326295"/>
        <w:rPr>
          <w:rFonts w:eastAsia="Times New Roman"/>
        </w:rPr>
      </w:pPr>
      <w:r>
        <w:rPr>
          <w:rFonts w:eastAsia="Times New Roman"/>
          <w:b/>
          <w:bCs/>
          <w:color w:val="000000"/>
          <w:sz w:val="20"/>
          <w:szCs w:val="20"/>
        </w:rPr>
        <w:t>Liquidity and Capital Resources</w:t>
      </w:r>
    </w:p>
    <w:p w:rsidR="00000000" w:rsidRDefault="009D532D">
      <w:pPr>
        <w:ind w:firstLine="495"/>
        <w:divId w:val="6638620"/>
        <w:rPr>
          <w:rFonts w:eastAsia="Times New Roman"/>
        </w:rPr>
      </w:pPr>
      <w:r>
        <w:rPr>
          <w:rFonts w:eastAsia="Times New Roman"/>
          <w:color w:val="000000"/>
          <w:sz w:val="20"/>
          <w:szCs w:val="20"/>
        </w:rPr>
        <w:t>The Company has historically met its liquidity needs for its operating expenses, debt service and dividend requirements for the next twelve months through cash generated from operations, distributions from unconsolidated joint ventures, working capital res</w:t>
      </w:r>
      <w:r>
        <w:rPr>
          <w:rFonts w:eastAsia="Times New Roman"/>
          <w:color w:val="000000"/>
          <w:sz w:val="20"/>
          <w:szCs w:val="20"/>
        </w:rPr>
        <w:t>erves and/or borrowings under its line of credit. As a result of the uncertain environment resulting from the COVID-19 pandemic (See "Other Transactions and Events" in Management's Overview and Summary), the Company took a number of measures to enhance liq</w:t>
      </w:r>
      <w:r>
        <w:rPr>
          <w:rFonts w:eastAsia="Times New Roman"/>
          <w:color w:val="000000"/>
          <w:sz w:val="20"/>
          <w:szCs w:val="20"/>
        </w:rPr>
        <w:t>uidity. These actions helped to ensure that funds were available to meet the Company's obligations for a sustained period of time as the extent and duration of the pandemic's impact became clearer. These measures included (i) reduction of the cash componen</w:t>
      </w:r>
      <w:r>
        <w:rPr>
          <w:rFonts w:eastAsia="Times New Roman"/>
          <w:color w:val="000000"/>
          <w:sz w:val="20"/>
          <w:szCs w:val="20"/>
        </w:rPr>
        <w:t>t of its dividend in the second quarter of 2020 and reduction of the amount of its cash dividend in the third and fourth quarter of 2020 and in the first quarter of 2021, (ii) reduction of planned capital and development expenditures, (iii) negotiated defe</w:t>
      </w:r>
      <w:r>
        <w:rPr>
          <w:rFonts w:eastAsia="Times New Roman"/>
          <w:color w:val="000000"/>
          <w:sz w:val="20"/>
          <w:szCs w:val="20"/>
        </w:rPr>
        <w:t xml:space="preserve">rrals of debt service payments on nineteen mortgage loans totaling $47.2 million, (iv) reduction of the Company's controllable operating expenses, and (v) deferral of real estate taxes to the extent such relief was available. In addition, during the first </w:t>
      </w:r>
      <w:r>
        <w:rPr>
          <w:rFonts w:eastAsia="Times New Roman"/>
          <w:color w:val="000000"/>
          <w:sz w:val="20"/>
          <w:szCs w:val="20"/>
        </w:rPr>
        <w:t>quarter of 2020, the Company borrowed $660 million on its line of credit. As of March 31, 2021, the Company had approximately $1.2 billion of cash, including the joint ventures at the Company's pro rata share, and including proceeds raised under its ATM Pr</w:t>
      </w:r>
      <w:r>
        <w:rPr>
          <w:rFonts w:eastAsia="Times New Roman"/>
          <w:color w:val="000000"/>
          <w:sz w:val="20"/>
          <w:szCs w:val="20"/>
        </w:rPr>
        <w:t xml:space="preserve">ograms and from the sale of Paradise Valley Mall, both as described below. </w:t>
      </w:r>
    </w:p>
    <w:p w:rsidR="00000000" w:rsidRDefault="009D532D">
      <w:pPr>
        <w:ind w:firstLine="495"/>
        <w:divId w:val="2109957939"/>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trPr>
          <w:divId w:val="1906866918"/>
        </w:trPr>
        <w:tc>
          <w:tcPr>
            <w:tcW w:w="50" w:type="pct"/>
            <w:vAlign w:val="center"/>
            <w:hideMark/>
          </w:tcPr>
          <w:p w:rsidR="00000000" w:rsidRDefault="009D532D">
            <w:pPr>
              <w:ind w:firstLine="495"/>
              <w:rPr>
                <w:rFonts w:eastAsia="Times New Roman"/>
              </w:rPr>
            </w:pPr>
          </w:p>
        </w:tc>
        <w:tc>
          <w:tcPr>
            <w:tcW w:w="355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1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1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906866918"/>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r>
      <w:tr w:rsidR="00000000">
        <w:trPr>
          <w:divId w:val="1906866918"/>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90686691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2,381 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6,558 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16,112 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4,696 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910 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 </w:t>
            </w:r>
          </w:p>
        </w:tc>
      </w:tr>
      <w:tr w:rsidR="00000000">
        <w:trPr>
          <w:divId w:val="190686691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12,232 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29,628 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815 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725 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906866918"/>
        </w:trPr>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16,439 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32,552 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firstLine="495"/>
        <w:divId w:val="1901204872"/>
        <w:rPr>
          <w:rFonts w:eastAsia="Times New Roman"/>
        </w:rPr>
      </w:pPr>
    </w:p>
    <w:p w:rsidR="00000000" w:rsidRDefault="009D532D">
      <w:pPr>
        <w:ind w:firstLine="495"/>
        <w:divId w:val="264197665"/>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2020</w:t>
      </w:r>
      <w:r>
        <w:rPr>
          <w:rFonts w:eastAsia="Times New Roman"/>
          <w:color w:val="000000"/>
          <w:sz w:val="20"/>
          <w:szCs w:val="20"/>
          <w:shd w:val="clear" w:color="auto" w:fill="FFFFFF"/>
        </w:rPr>
        <w:t xml:space="preserve">. The Company expects to incur less than $80.0 million during the remaining period of 2021 for </w:t>
      </w:r>
      <w:r>
        <w:rPr>
          <w:rFonts w:eastAsia="Times New Roman"/>
          <w:color w:val="000000"/>
          <w:sz w:val="20"/>
          <w:szCs w:val="20"/>
          <w:shd w:val="clear" w:color="auto" w:fill="FFFFFF"/>
        </w:rPr>
        <w:t xml:space="preserve">development, redevelopment, expansion and renovations. This excludes the Company's share </w:t>
      </w:r>
      <w:r>
        <w:rPr>
          <w:rFonts w:eastAsia="Times New Roman"/>
          <w:color w:val="000000"/>
          <w:sz w:val="20"/>
          <w:szCs w:val="20"/>
        </w:rPr>
        <w:t xml:space="preserve">of the remaining development costs associated with One Westside, which is fully funded by a non-recourse construction facility. </w:t>
      </w:r>
      <w:r>
        <w:rPr>
          <w:rFonts w:eastAsia="Times New Roman"/>
          <w:color w:val="000000"/>
          <w:sz w:val="20"/>
          <w:szCs w:val="20"/>
          <w:shd w:val="clear" w:color="auto" w:fill="FFFFFF"/>
        </w:rPr>
        <w:t>Capital for these expenditures, develop</w:t>
      </w:r>
      <w:r>
        <w:rPr>
          <w:rFonts w:eastAsia="Times New Roman"/>
          <w:color w:val="000000"/>
          <w:sz w:val="20"/>
          <w:szCs w:val="20"/>
          <w:shd w:val="clear" w:color="auto" w:fill="FFFFFF"/>
        </w:rPr>
        <w:t xml:space="preserve">ments and/or redevelopments has been, and </w:t>
      </w:r>
      <w:r>
        <w:rPr>
          <w:rFonts w:eastAsia="Times New Roman"/>
          <w:color w:val="000000"/>
          <w:sz w:val="20"/>
          <w:szCs w:val="20"/>
        </w:rPr>
        <w:t xml:space="preserve">is expected to continue to be, obtained from </w:t>
      </w:r>
    </w:p>
    <w:p w:rsidR="00000000" w:rsidRDefault="009D532D">
      <w:pPr>
        <w:jc w:val="center"/>
        <w:divId w:val="1114591623"/>
        <w:rPr>
          <w:rFonts w:eastAsia="Times New Roman"/>
        </w:rPr>
      </w:pPr>
    </w:p>
    <w:p w:rsidR="00000000" w:rsidRDefault="009D532D">
      <w:pPr>
        <w:jc w:val="center"/>
        <w:divId w:val="1114591623"/>
        <w:rPr>
          <w:rFonts w:eastAsia="Times New Roman"/>
        </w:rPr>
      </w:pPr>
      <w:r>
        <w:rPr>
          <w:rFonts w:eastAsia="Times New Roman"/>
          <w:color w:val="000000"/>
          <w:sz w:val="20"/>
          <w:szCs w:val="20"/>
        </w:rPr>
        <w:t>35</w:t>
      </w:r>
    </w:p>
    <w:p w:rsidR="00000000" w:rsidRDefault="009D532D">
      <w:pPr>
        <w:rPr>
          <w:rFonts w:eastAsia="Times New Roman"/>
        </w:rPr>
      </w:pPr>
      <w:r>
        <w:rPr>
          <w:rFonts w:eastAsia="Times New Roman"/>
        </w:rPr>
        <w:pict>
          <v:rect id="_x0000_i1059" style="width:0;height:1.5pt" o:hralign="center" o:hrstd="t" o:hr="t" fillcolor="#a0a0a0" stroked="f"/>
        </w:pict>
      </w:r>
    </w:p>
    <w:p w:rsidR="00000000" w:rsidRDefault="009D532D">
      <w:pPr>
        <w:divId w:val="1899437738"/>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957644449"/>
        <w:rPr>
          <w:rFonts w:eastAsia="Times New Roman"/>
        </w:rPr>
      </w:pPr>
      <w:r>
        <w:rPr>
          <w:rFonts w:eastAsia="Times New Roman"/>
          <w:color w:val="000000"/>
          <w:sz w:val="20"/>
          <w:szCs w:val="20"/>
        </w:rPr>
        <w:t>a combination of cash on hand, debt financings, which are expected to include borrowings under the Company's line of credit, from property financings and construction loans, each to the extent available.</w:t>
      </w:r>
    </w:p>
    <w:p w:rsidR="00000000" w:rsidRDefault="009D532D">
      <w:pPr>
        <w:ind w:firstLine="495"/>
        <w:divId w:val="201983350"/>
        <w:rPr>
          <w:rFonts w:eastAsia="Times New Roman"/>
        </w:rPr>
      </w:pPr>
      <w:r>
        <w:rPr>
          <w:rFonts w:eastAsia="Times New Roman"/>
          <w:color w:val="000000"/>
          <w:sz w:val="20"/>
          <w:szCs w:val="20"/>
        </w:rPr>
        <w:t>The Company has also generated liquidity in the past</w:t>
      </w:r>
      <w:r>
        <w:rPr>
          <w:rFonts w:eastAsia="Times New Roman"/>
          <w:color w:val="000000"/>
          <w:sz w:val="20"/>
          <w:szCs w:val="20"/>
        </w:rPr>
        <w:t>, and may continue to do so in the future, through equity offerings and issuances, property refinancings, joint venture transactions and the sale of non-core assets. Furthermore, the Company has filed a shelf registration statement, which registered an uns</w:t>
      </w:r>
      <w:r>
        <w:rPr>
          <w:rFonts w:eastAsia="Times New Roman"/>
          <w:color w:val="000000"/>
          <w:sz w:val="20"/>
          <w:szCs w:val="20"/>
        </w:rPr>
        <w:t>pecified amount of common stock, preferred stock, depositary shares, debt securities, warrants, rights, stock purchase contracts and units that may be sold from time to time by the Company.</w:t>
      </w:r>
    </w:p>
    <w:p w:rsidR="00000000" w:rsidRDefault="009D532D">
      <w:pPr>
        <w:ind w:firstLine="495"/>
        <w:divId w:val="193007651"/>
        <w:rPr>
          <w:rFonts w:eastAsia="Times New Roman"/>
        </w:rPr>
      </w:pPr>
      <w:r>
        <w:rPr>
          <w:rFonts w:eastAsia="Times New Roman"/>
          <w:color w:val="000000"/>
          <w:sz w:val="20"/>
          <w:szCs w:val="20"/>
        </w:rPr>
        <w:t>On each of February 1, 2021 and March 26, 2021, the Company regist</w:t>
      </w:r>
      <w:r>
        <w:rPr>
          <w:rFonts w:eastAsia="Times New Roman"/>
          <w:color w:val="000000"/>
          <w:sz w:val="20"/>
          <w:szCs w:val="20"/>
        </w:rPr>
        <w:t>ered a separate "at the market" offering program, pursuant to which the Company may issue and sell shares of its common stock having an aggregate offering price of up to $500 million under each ATM Program, or a total of $1.0 billion under the ATM Programs</w:t>
      </w:r>
      <w:r>
        <w:rPr>
          <w:rFonts w:eastAsia="Times New Roman"/>
          <w:color w:val="000000"/>
          <w:sz w:val="20"/>
          <w:szCs w:val="20"/>
        </w:rPr>
        <w:t>, in amounts and at times to be determined by the Company. The following table sets forth certain information with respect to issuances made under each of the ATM Programs as of March 31, 2021.</w:t>
      </w:r>
    </w:p>
    <w:tbl>
      <w:tblPr>
        <w:tblW w:w="4824" w:type="pct"/>
        <w:tblCellMar>
          <w:top w:w="15" w:type="dxa"/>
          <w:left w:w="15" w:type="dxa"/>
          <w:bottom w:w="15" w:type="dxa"/>
          <w:right w:w="15" w:type="dxa"/>
        </w:tblCellMar>
        <w:tblLook w:val="04A0" w:firstRow="1" w:lastRow="0" w:firstColumn="1" w:lastColumn="0" w:noHBand="0" w:noVBand="1"/>
      </w:tblPr>
      <w:tblGrid>
        <w:gridCol w:w="37"/>
        <w:gridCol w:w="2312"/>
        <w:gridCol w:w="36"/>
        <w:gridCol w:w="55"/>
        <w:gridCol w:w="753"/>
        <w:gridCol w:w="36"/>
        <w:gridCol w:w="120"/>
        <w:gridCol w:w="782"/>
        <w:gridCol w:w="36"/>
        <w:gridCol w:w="121"/>
        <w:gridCol w:w="856"/>
        <w:gridCol w:w="36"/>
        <w:gridCol w:w="36"/>
        <w:gridCol w:w="36"/>
        <w:gridCol w:w="36"/>
        <w:gridCol w:w="55"/>
        <w:gridCol w:w="710"/>
        <w:gridCol w:w="36"/>
        <w:gridCol w:w="120"/>
        <w:gridCol w:w="758"/>
        <w:gridCol w:w="36"/>
        <w:gridCol w:w="121"/>
        <w:gridCol w:w="854"/>
        <w:gridCol w:w="36"/>
      </w:tblGrid>
      <w:tr w:rsidR="00000000">
        <w:trPr>
          <w:divId w:val="1491487179"/>
        </w:trPr>
        <w:tc>
          <w:tcPr>
            <w:tcW w:w="50" w:type="pct"/>
            <w:vAlign w:val="center"/>
            <w:hideMark/>
          </w:tcPr>
          <w:p w:rsidR="00000000" w:rsidRDefault="009D532D">
            <w:pPr>
              <w:ind w:firstLine="495"/>
              <w:rPr>
                <w:rFonts w:eastAsia="Times New Roman"/>
              </w:rPr>
            </w:pPr>
          </w:p>
        </w:tc>
        <w:tc>
          <w:tcPr>
            <w:tcW w:w="148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4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0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491487179"/>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r>
              <w:rPr>
                <w:rFonts w:eastAsia="Times New Roman"/>
                <w:b/>
                <w:bCs/>
                <w:color w:val="000000"/>
                <w:sz w:val="16"/>
                <w:szCs w:val="16"/>
              </w:rPr>
              <w:t>(Dollars and shares in thousands)</w:t>
            </w: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February 2021 ATM Program</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March 2021 ATM Program(1)</w:t>
            </w:r>
          </w:p>
        </w:tc>
      </w:tr>
      <w:tr w:rsidR="00000000">
        <w:trPr>
          <w:divId w:val="1491487179"/>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For the Three Months Ended: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Sales Commissions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Sales Commissions</w:t>
            </w:r>
          </w:p>
        </w:tc>
      </w:tr>
      <w:tr w:rsidR="00000000">
        <w:trPr>
          <w:divId w:val="1491487179"/>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477,283 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119,724 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491487179"/>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36,001 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477,283 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9,991 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119,724 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divId w:val="428964548"/>
        <w:rPr>
          <w:rFonts w:eastAsia="Times New Roman"/>
        </w:rPr>
      </w:pPr>
      <w:r>
        <w:rPr>
          <w:rFonts w:eastAsia="Times New Roman"/>
          <w:color w:val="000000"/>
          <w:sz w:val="18"/>
          <w:szCs w:val="18"/>
        </w:rPr>
        <w:t>(1) The table does not reflect shares sold at the end of the quarter that did not settle until April 2021 (See Note 14-Stockholders' Equity).</w:t>
      </w:r>
    </w:p>
    <w:p w:rsidR="00000000" w:rsidRDefault="009D532D">
      <w:pPr>
        <w:ind w:firstLine="495"/>
        <w:divId w:val="1284271334"/>
        <w:rPr>
          <w:rFonts w:eastAsia="Times New Roman"/>
        </w:rPr>
      </w:pPr>
      <w:r>
        <w:rPr>
          <w:rFonts w:eastAsia="Times New Roman"/>
          <w:color w:val="000000"/>
          <w:sz w:val="20"/>
          <w:szCs w:val="20"/>
        </w:rPr>
        <w:t xml:space="preserve">As of March 31, 2021, including sales of shares that did not </w:t>
      </w:r>
      <w:r>
        <w:rPr>
          <w:rFonts w:eastAsia="Times New Roman"/>
          <w:color w:val="000000"/>
          <w:sz w:val="20"/>
          <w:szCs w:val="20"/>
        </w:rPr>
        <w:t>settle until April 2021, the Company had approximately $12.7 million of gross sales of its common stock available under the February 2021 ATM Program and approximately $335.6 million of gross sales of its common stock available under the March 2021 ATM Pro</w:t>
      </w:r>
      <w:r>
        <w:rPr>
          <w:rFonts w:eastAsia="Times New Roman"/>
          <w:color w:val="000000"/>
          <w:sz w:val="20"/>
          <w:szCs w:val="20"/>
        </w:rPr>
        <w:t>gram.</w:t>
      </w:r>
    </w:p>
    <w:p w:rsidR="00000000" w:rsidRDefault="009D532D">
      <w:pPr>
        <w:ind w:firstLine="495"/>
        <w:divId w:val="1646660706"/>
        <w:rPr>
          <w:rFonts w:eastAsia="Times New Roman"/>
        </w:rPr>
      </w:pPr>
      <w:r>
        <w:rPr>
          <w:rFonts w:eastAsia="Times New Roman"/>
          <w:color w:val="000000"/>
          <w:sz w:val="20"/>
          <w:szCs w:val="20"/>
        </w:rPr>
        <w:t>The capital and credit markets can fluctuate and, at times, limit access to debt and equity financing for companies. The Company has been able to access capital; however, there is no assurance the Company will be able to do so in future periods or on</w:t>
      </w:r>
      <w:r>
        <w:rPr>
          <w:rFonts w:eastAsia="Times New Roman"/>
          <w:color w:val="000000"/>
          <w:sz w:val="20"/>
          <w:szCs w:val="20"/>
        </w:rPr>
        <w:t xml:space="preserve"> similar terms and conditions as a result of COVID-19. Many factors impact the Company's ability to access capital, such as its overall debt level, interest rates, interest coverage ratios and prevailing market conditions. Increases in the Company's propor</w:t>
      </w:r>
      <w:r>
        <w:rPr>
          <w:rFonts w:eastAsia="Times New Roman"/>
          <w:color w:val="000000"/>
          <w:sz w:val="20"/>
          <w:szCs w:val="20"/>
        </w:rPr>
        <w:t>tion of floating rate debt will cause it to be subject to interest rate fluctuations in the future.</w:t>
      </w:r>
    </w:p>
    <w:p w:rsidR="00000000" w:rsidRDefault="009D532D">
      <w:pPr>
        <w:ind w:firstLine="495"/>
        <w:divId w:val="581186812"/>
        <w:rPr>
          <w:rFonts w:eastAsia="Times New Roman"/>
        </w:rPr>
      </w:pPr>
      <w:r>
        <w:rPr>
          <w:rFonts w:eastAsia="Times New Roman"/>
          <w:color w:val="000000"/>
          <w:sz w:val="20"/>
          <w:szCs w:val="20"/>
        </w:rPr>
        <w:t xml:space="preserve">The Company's total outstanding loan indebtedness, which includes mortgages and other notes payable, at March 31, 2021 was $8.7 billion (consisting of $6.0 </w:t>
      </w:r>
      <w:r>
        <w:rPr>
          <w:rFonts w:eastAsia="Times New Roman"/>
          <w:color w:val="000000"/>
          <w:sz w:val="20"/>
          <w:szCs w:val="20"/>
        </w:rPr>
        <w:t>billion of consolidated debt, less $459.9 million of noncontrolling interests, plus $3.1 billion of its pro rata share of unconsolidated joint venture debt). The majority of the Company's debt consists of fixed-rate conventional mortgage notes collateraliz</w:t>
      </w:r>
      <w:r>
        <w:rPr>
          <w:rFonts w:eastAsia="Times New Roman"/>
          <w:color w:val="000000"/>
          <w:sz w:val="20"/>
          <w:szCs w:val="20"/>
        </w:rPr>
        <w:t>ed by individual properties. The Company expects that all of the maturities during the next twelve months will be refinanced, restructured, extended and/or paid off from the Company's line of credit or cash on hand.</w:t>
      </w:r>
    </w:p>
    <w:p w:rsidR="00000000" w:rsidRDefault="009D532D">
      <w:pPr>
        <w:ind w:firstLine="495"/>
        <w:divId w:val="1013994671"/>
        <w:rPr>
          <w:rFonts w:eastAsia="Times New Roman"/>
        </w:rPr>
      </w:pPr>
      <w:r>
        <w:rPr>
          <w:rFonts w:eastAsia="Times New Roman"/>
          <w:color w:val="000000"/>
          <w:sz w:val="20"/>
          <w:szCs w:val="20"/>
        </w:rPr>
        <w:t>Given the continued disruption and uncer</w:t>
      </w:r>
      <w:r>
        <w:rPr>
          <w:rFonts w:eastAsia="Times New Roman"/>
          <w:color w:val="000000"/>
          <w:sz w:val="20"/>
          <w:szCs w:val="20"/>
        </w:rPr>
        <w:t>tainties from COVID-19 and the impact on the capital markets, the Company has secured extensions of term from one to three years of its near-term maturing non-recourse mortgage loans on Danbury Fair Mall, Fashion Outlets of Niagara, FlatIron Crossing, Gree</w:t>
      </w:r>
      <w:r>
        <w:rPr>
          <w:rFonts w:eastAsia="Times New Roman"/>
          <w:color w:val="000000"/>
          <w:sz w:val="20"/>
          <w:szCs w:val="20"/>
        </w:rPr>
        <w:t>n Acres Mall and Green Acres Commons (See “Financing Activities” in Management’s Overview and Summary).</w:t>
      </w:r>
    </w:p>
    <w:p w:rsidR="00000000" w:rsidRDefault="009D532D">
      <w:pPr>
        <w:ind w:firstLine="495"/>
        <w:divId w:val="1628584774"/>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w:t>
      </w:r>
      <w:r>
        <w:rPr>
          <w:rFonts w:eastAsia="Times New Roman"/>
          <w:color w:val="000000"/>
          <w:sz w:val="20"/>
          <w:szCs w:val="20"/>
        </w:rPr>
        <w:t xml:space="preserve"> share of debt from unconsolidated joint ventures and, for consolidated debt, excludes the Company’s partners’ share from consolidated joint ventures, in each case presented on the same basis. The Company has several significant joint ventures and presenti</w:t>
      </w:r>
      <w:r>
        <w:rPr>
          <w:rFonts w:eastAsia="Times New Roman"/>
          <w:color w:val="000000"/>
          <w:sz w:val="20"/>
          <w:szCs w:val="20"/>
        </w:rPr>
        <w:t>ng its pro rata share of debt in this manner can help investors better understand the Company’s financial condition after taking into account the Company's economic interest in these joint ventures. The Company’s pro rata share of debt should not be consid</w:t>
      </w:r>
      <w:r>
        <w:rPr>
          <w:rFonts w:eastAsia="Times New Roman"/>
          <w:color w:val="000000"/>
          <w:sz w:val="20"/>
          <w:szCs w:val="20"/>
        </w:rPr>
        <w:t>ered as a substitute for the Company’s total consolidated debt determined in accordance with GAAP or any other GAAP financial measures and should only be considered together with and as a supplement to the Company’s financial information prepared in accord</w:t>
      </w:r>
      <w:r>
        <w:rPr>
          <w:rFonts w:eastAsia="Times New Roman"/>
          <w:color w:val="000000"/>
          <w:sz w:val="20"/>
          <w:szCs w:val="20"/>
        </w:rPr>
        <w:t>ance with GAAP.</w:t>
      </w:r>
    </w:p>
    <w:p w:rsidR="00000000" w:rsidRDefault="009D532D">
      <w:pPr>
        <w:ind w:firstLine="495"/>
        <w:divId w:val="90517603"/>
        <w:rPr>
          <w:rFonts w:eastAsia="Times New Roman"/>
        </w:rPr>
      </w:pPr>
      <w:r>
        <w:rPr>
          <w:rFonts w:eastAsia="Times New Roman"/>
          <w:color w:val="000000"/>
          <w:sz w:val="20"/>
          <w:szCs w:val="20"/>
        </w:rPr>
        <w:t>On March 29, 2021, the Company sold Paradise Valley Mall to a newly formed joint venture for $100 million. Concurrent with the sale, the Company elected to reinvest into the joint venture at a 5% ownership interest. The Company received $95</w:t>
      </w:r>
      <w:r>
        <w:rPr>
          <w:rFonts w:eastAsia="Times New Roman"/>
          <w:color w:val="000000"/>
          <w:sz w:val="20"/>
          <w:szCs w:val="20"/>
        </w:rPr>
        <w:t>.3 million of net proceeds (See “Dispositions”).</w:t>
      </w:r>
    </w:p>
    <w:p w:rsidR="00000000" w:rsidRDefault="009D532D">
      <w:pPr>
        <w:ind w:firstLine="495"/>
        <w:divId w:val="1406029640"/>
        <w:rPr>
          <w:rFonts w:eastAsia="Times New Roman"/>
        </w:rPr>
      </w:pPr>
      <w:r>
        <w:rPr>
          <w:rFonts w:eastAsia="Times New Roman"/>
          <w:color w:val="000000"/>
          <w:sz w:val="20"/>
          <w:szCs w:val="20"/>
        </w:rPr>
        <w:t>For the quarter ended March 31, 2021, the Company had a $1.5 billion revolving line of credit facility that bore interest at LIBOR plus a spread of 1.30% to 1.90%, depending on the Company's overall leverage</w:t>
      </w:r>
      <w:r>
        <w:rPr>
          <w:rFonts w:eastAsia="Times New Roman"/>
          <w:color w:val="000000"/>
          <w:sz w:val="20"/>
          <w:szCs w:val="20"/>
        </w:rPr>
        <w:t xml:space="preserve"> level, and was to mature on July 6, 2020. On April 8, 2020, the Company exercised its option to extend the maturity of the facility to July 6, 2021. The line of credit could be expanded, depending on certain conditions, up to a total facility of $2.0 bill</w:t>
      </w:r>
      <w:r>
        <w:rPr>
          <w:rFonts w:eastAsia="Times New Roman"/>
          <w:color w:val="000000"/>
          <w:sz w:val="20"/>
          <w:szCs w:val="20"/>
        </w:rPr>
        <w:t xml:space="preserve">ion. All obligations under the facility </w:t>
      </w:r>
    </w:p>
    <w:p w:rsidR="00000000" w:rsidRDefault="009D532D">
      <w:pPr>
        <w:jc w:val="center"/>
        <w:divId w:val="706415568"/>
        <w:rPr>
          <w:rFonts w:eastAsia="Times New Roman"/>
        </w:rPr>
      </w:pPr>
    </w:p>
    <w:p w:rsidR="00000000" w:rsidRDefault="009D532D">
      <w:pPr>
        <w:jc w:val="center"/>
        <w:divId w:val="706415568"/>
        <w:rPr>
          <w:rFonts w:eastAsia="Times New Roman"/>
        </w:rPr>
      </w:pPr>
      <w:r>
        <w:rPr>
          <w:rFonts w:eastAsia="Times New Roman"/>
          <w:color w:val="000000"/>
          <w:sz w:val="20"/>
          <w:szCs w:val="20"/>
        </w:rPr>
        <w:t>36</w:t>
      </w:r>
    </w:p>
    <w:p w:rsidR="00000000" w:rsidRDefault="009D532D">
      <w:pPr>
        <w:rPr>
          <w:rFonts w:eastAsia="Times New Roman"/>
        </w:rPr>
      </w:pPr>
      <w:r>
        <w:rPr>
          <w:rFonts w:eastAsia="Times New Roman"/>
        </w:rPr>
        <w:pict>
          <v:rect id="_x0000_i1060" style="width:0;height:1.5pt" o:hralign="center" o:hrstd="t" o:hr="t" fillcolor="#a0a0a0" stroked="f"/>
        </w:pict>
      </w:r>
    </w:p>
    <w:p w:rsidR="00000000" w:rsidRDefault="009D532D">
      <w:pPr>
        <w:divId w:val="1856071408"/>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738631131"/>
        <w:rPr>
          <w:rFonts w:eastAsia="Times New Roman"/>
        </w:rPr>
      </w:pPr>
      <w:r>
        <w:rPr>
          <w:rFonts w:eastAsia="Times New Roman"/>
          <w:color w:val="000000"/>
          <w:sz w:val="20"/>
          <w:szCs w:val="20"/>
        </w:rPr>
        <w:t>were unconditionally guaranteed only by the Company. Based on the Company's leverage level as of M</w:t>
      </w:r>
      <w:r>
        <w:rPr>
          <w:rFonts w:eastAsia="Times New Roman"/>
          <w:color w:val="000000"/>
          <w:sz w:val="20"/>
          <w:szCs w:val="20"/>
        </w:rPr>
        <w:t>arch 31, 2021, the borrowing rate on the facility was LIBOR plus 1.65%. The Company has four interest rate swap agreements that effectively convert a total of $400.0 million of the outstanding balance from floating rate debt of LIBOR plus 1.65% to fixed ra</w:t>
      </w:r>
      <w:r>
        <w:rPr>
          <w:rFonts w:eastAsia="Times New Roman"/>
          <w:color w:val="000000"/>
          <w:sz w:val="20"/>
          <w:szCs w:val="20"/>
        </w:rPr>
        <w:t>te debt of 4.50% until September 30, 2021. At March 31, 2021, total borrowings under the line of credit were $1.48 billion less unamortized deferred finance costs of $1.3 million with a total interest rate of 2.73%. The Company's availability under the lin</w:t>
      </w:r>
      <w:r>
        <w:rPr>
          <w:rFonts w:eastAsia="Times New Roman"/>
          <w:color w:val="000000"/>
          <w:sz w:val="20"/>
          <w:szCs w:val="20"/>
        </w:rPr>
        <w:t>e of credit was $19.7 million at March 31, 2021.</w:t>
      </w:r>
    </w:p>
    <w:p w:rsidR="00000000" w:rsidRDefault="009D532D">
      <w:pPr>
        <w:ind w:firstLine="495"/>
        <w:divId w:val="1365254311"/>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$525 million revolving loan facility that matures on April 14, 2023, with a o</w:t>
      </w:r>
      <w:r>
        <w:rPr>
          <w:rFonts w:eastAsia="Times New Roman"/>
          <w:color w:val="000000"/>
          <w:sz w:val="20"/>
          <w:szCs w:val="20"/>
        </w:rPr>
        <w:t>ne-year extension option, and a $175 million term loan facility that matures on April 14, 2024. The revolving loan facility can be expanded up to $800 million, subject to receipt of lender commitments and other conditions. Concurrently with entering into t</w:t>
      </w:r>
      <w:r>
        <w:rPr>
          <w:rFonts w:eastAsia="Times New Roman"/>
          <w:color w:val="000000"/>
          <w:sz w:val="20"/>
          <w:szCs w:val="20"/>
        </w:rPr>
        <w:t>he new credit agreement, the Company drew the $175 million term loan in its entirety and drew $320 million of the amount available under the revolving loan facility. Simultaneously with entering into the new credit agreement, the Company repaid $985.0 mill</w:t>
      </w:r>
      <w:r>
        <w:rPr>
          <w:rFonts w:eastAsia="Times New Roman"/>
          <w:color w:val="000000"/>
          <w:sz w:val="20"/>
          <w:szCs w:val="20"/>
        </w:rPr>
        <w:t>ion of debt, which included terminating and repaying all amounts outstanding under its prior revolving line of credit facility. All obligations under the facility are guaranteed unconditionally by the Company and are secured in the form of mortgages on cer</w:t>
      </w:r>
      <w:r>
        <w:rPr>
          <w:rFonts w:eastAsia="Times New Roman"/>
          <w:color w:val="000000"/>
          <w:sz w:val="20"/>
          <w:szCs w:val="20"/>
        </w:rPr>
        <w:t>tain wholly-owned assets and pledges of equity interests held by certain of the Company’s subsidiaries. As of April 14, 2021, the borrowing rate was LIBOR plus 2.75%.</w:t>
      </w:r>
    </w:p>
    <w:p w:rsidR="00000000" w:rsidRDefault="009D532D">
      <w:pPr>
        <w:ind w:firstLine="495"/>
        <w:divId w:val="1028025243"/>
        <w:rPr>
          <w:rFonts w:eastAsia="Times New Roman"/>
        </w:rPr>
      </w:pPr>
      <w:r>
        <w:rPr>
          <w:rFonts w:eastAsia="Times New Roman"/>
          <w:color w:val="000000"/>
          <w:sz w:val="20"/>
          <w:szCs w:val="20"/>
        </w:rPr>
        <w:t>Cash dividends and distributions for the three months ended March 31, 2021 were $26.7 mil</w:t>
      </w:r>
      <w:r>
        <w:rPr>
          <w:rFonts w:eastAsia="Times New Roman"/>
          <w:color w:val="000000"/>
          <w:sz w:val="20"/>
          <w:szCs w:val="20"/>
        </w:rPr>
        <w:t>lion, which were funded from cash on hand.</w:t>
      </w:r>
    </w:p>
    <w:p w:rsidR="00000000" w:rsidRDefault="009D532D">
      <w:pPr>
        <w:ind w:firstLine="495"/>
        <w:divId w:val="1296906780"/>
        <w:rPr>
          <w:rFonts w:eastAsia="Times New Roman"/>
        </w:rPr>
      </w:pPr>
      <w:r>
        <w:rPr>
          <w:rFonts w:eastAsia="Times New Roman"/>
          <w:color w:val="000000"/>
          <w:sz w:val="20"/>
          <w:szCs w:val="20"/>
        </w:rPr>
        <w:t>At March 31, 2021, the Company was in compliance with all applicable loan covenants under its agreements.</w:t>
      </w:r>
    </w:p>
    <w:p w:rsidR="00000000" w:rsidRDefault="009D532D">
      <w:pPr>
        <w:ind w:firstLine="495"/>
        <w:divId w:val="1835293027"/>
        <w:rPr>
          <w:rFonts w:eastAsia="Times New Roman"/>
        </w:rPr>
      </w:pPr>
      <w:r>
        <w:rPr>
          <w:rFonts w:eastAsia="Times New Roman"/>
          <w:color w:val="000000"/>
          <w:sz w:val="20"/>
          <w:szCs w:val="20"/>
        </w:rPr>
        <w:t>At March 31, 2021, the Company had cash and cash equivalents of $1,083.8 million.</w:t>
      </w:r>
    </w:p>
    <w:p w:rsidR="00000000" w:rsidRDefault="009D532D">
      <w:pPr>
        <w:ind w:firstLine="450"/>
        <w:divId w:val="1308365148"/>
        <w:rPr>
          <w:rFonts w:eastAsia="Times New Roman"/>
        </w:rPr>
      </w:pPr>
      <w:r>
        <w:rPr>
          <w:rFonts w:eastAsia="Times New Roman"/>
          <w:i/>
          <w:iCs/>
          <w:color w:val="000000"/>
          <w:sz w:val="20"/>
          <w:szCs w:val="20"/>
        </w:rPr>
        <w:t>Off-Balance Sheet Arrange</w:t>
      </w:r>
      <w:r>
        <w:rPr>
          <w:rFonts w:eastAsia="Times New Roman"/>
          <w:i/>
          <w:iCs/>
          <w:color w:val="000000"/>
          <w:sz w:val="20"/>
          <w:szCs w:val="20"/>
        </w:rPr>
        <w:t>ments:</w:t>
      </w:r>
    </w:p>
    <w:p w:rsidR="00000000" w:rsidRDefault="009D532D">
      <w:pPr>
        <w:ind w:firstLine="495"/>
        <w:divId w:val="1947423276"/>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investments are reflected on the consolidated balance sheets of the Co</w:t>
      </w:r>
      <w:r>
        <w:rPr>
          <w:rFonts w:eastAsia="Times New Roman"/>
          <w:color w:val="000000"/>
          <w:sz w:val="20"/>
          <w:szCs w:val="20"/>
        </w:rPr>
        <w:t>mpany as investments in unconsolidated joint ventures.</w:t>
      </w:r>
    </w:p>
    <w:p w:rsidR="00000000" w:rsidRDefault="009D532D">
      <w:pPr>
        <w:ind w:firstLine="495"/>
        <w:divId w:val="1991055205"/>
        <w:rPr>
          <w:rFonts w:eastAsia="Times New Roman"/>
        </w:rPr>
      </w:pPr>
      <w:r>
        <w:rPr>
          <w:rFonts w:eastAsia="Times New Roman"/>
          <w:color w:val="000000"/>
          <w:sz w:val="20"/>
          <w:szCs w:val="20"/>
        </w:rPr>
        <w:t>As of March 31, 2021, one of the Company's joint ventures had $50.0 million of debt that could become recourse to the Company should the joint venture be unable to discharge the obligation of the relat</w:t>
      </w:r>
      <w:r>
        <w:rPr>
          <w:rFonts w:eastAsia="Times New Roman"/>
          <w:color w:val="000000"/>
          <w:sz w:val="20"/>
          <w:szCs w:val="20"/>
        </w:rPr>
        <w:t>ed debt.</w:t>
      </w:r>
    </w:p>
    <w:p w:rsidR="00000000" w:rsidRDefault="009D532D">
      <w:pPr>
        <w:ind w:firstLine="495"/>
        <w:divId w:val="290482927"/>
        <w:rPr>
          <w:rFonts w:eastAsia="Times New Roman"/>
        </w:rPr>
      </w:pPr>
      <w:r>
        <w:rPr>
          <w:rFonts w:eastAsia="Times New Roman"/>
          <w:color w:val="000000"/>
          <w:sz w:val="20"/>
          <w:szCs w:val="20"/>
        </w:rPr>
        <w:t>Additionally, as of March 31, 2021, the Company was contingently liable for $40.9 million in letters of credit guaranteeing performance by the Company of certain obligations relating to the Centers. As of March 31, 2021, $40.6 million of these let</w:t>
      </w:r>
      <w:r>
        <w:rPr>
          <w:rFonts w:eastAsia="Times New Roman"/>
          <w:color w:val="000000"/>
          <w:sz w:val="20"/>
          <w:szCs w:val="20"/>
        </w:rPr>
        <w:t>ters of credit are secured by restricted cash. The Company does not believe that these letters of credit will result in a liability to the Company.</w:t>
      </w:r>
    </w:p>
    <w:p w:rsidR="00000000" w:rsidRDefault="009D532D">
      <w:pPr>
        <w:ind w:firstLine="450"/>
        <w:divId w:val="181363413"/>
        <w:rPr>
          <w:rFonts w:eastAsia="Times New Roman"/>
        </w:rPr>
      </w:pPr>
      <w:r>
        <w:rPr>
          <w:rFonts w:eastAsia="Times New Roman"/>
          <w:i/>
          <w:iCs/>
          <w:color w:val="000000"/>
          <w:sz w:val="20"/>
          <w:szCs w:val="20"/>
        </w:rPr>
        <w:t>Contractual Obligations:</w:t>
      </w:r>
    </w:p>
    <w:p w:rsidR="00000000" w:rsidRDefault="009D532D">
      <w:pPr>
        <w:ind w:firstLine="495"/>
        <w:divId w:val="523248925"/>
        <w:rPr>
          <w:rFonts w:eastAsia="Times New Roman"/>
        </w:rPr>
      </w:pPr>
      <w:r>
        <w:rPr>
          <w:rFonts w:eastAsia="Times New Roman"/>
          <w:color w:val="000000"/>
          <w:sz w:val="20"/>
          <w:szCs w:val="20"/>
        </w:rPr>
        <w:t>The following is a schedule of contractual obligations as of March 31, 2021 for the</w:t>
      </w:r>
      <w:r>
        <w:rPr>
          <w:rFonts w:eastAsia="Times New Roman"/>
          <w:color w:val="000000"/>
          <w:sz w:val="20"/>
          <w:szCs w:val="20"/>
        </w:rPr>
        <w:t xml:space="preserve"> consolidated Centers over the periods in which they are expected to be paid (in thousands):</w:t>
      </w:r>
    </w:p>
    <w:tbl>
      <w:tblPr>
        <w:tblW w:w="4853" w:type="pct"/>
        <w:tblCellMar>
          <w:top w:w="15" w:type="dxa"/>
          <w:left w:w="15" w:type="dxa"/>
          <w:bottom w:w="15" w:type="dxa"/>
          <w:right w:w="15" w:type="dxa"/>
        </w:tblCellMar>
        <w:tblLook w:val="04A0" w:firstRow="1" w:lastRow="0" w:firstColumn="1" w:lastColumn="0" w:noHBand="0" w:noVBand="1"/>
      </w:tblPr>
      <w:tblGrid>
        <w:gridCol w:w="39"/>
        <w:gridCol w:w="2329"/>
        <w:gridCol w:w="38"/>
        <w:gridCol w:w="120"/>
        <w:gridCol w:w="850"/>
        <w:gridCol w:w="36"/>
        <w:gridCol w:w="36"/>
        <w:gridCol w:w="36"/>
        <w:gridCol w:w="36"/>
        <w:gridCol w:w="120"/>
        <w:gridCol w:w="850"/>
        <w:gridCol w:w="36"/>
        <w:gridCol w:w="87"/>
        <w:gridCol w:w="179"/>
        <w:gridCol w:w="36"/>
        <w:gridCol w:w="120"/>
        <w:gridCol w:w="850"/>
        <w:gridCol w:w="36"/>
        <w:gridCol w:w="36"/>
        <w:gridCol w:w="36"/>
        <w:gridCol w:w="36"/>
        <w:gridCol w:w="120"/>
        <w:gridCol w:w="850"/>
        <w:gridCol w:w="36"/>
        <w:gridCol w:w="36"/>
        <w:gridCol w:w="36"/>
        <w:gridCol w:w="36"/>
        <w:gridCol w:w="120"/>
        <w:gridCol w:w="850"/>
        <w:gridCol w:w="36"/>
      </w:tblGrid>
      <w:tr w:rsidR="00000000">
        <w:trPr>
          <w:divId w:val="523248925"/>
        </w:trPr>
        <w:tc>
          <w:tcPr>
            <w:tcW w:w="50" w:type="pct"/>
            <w:vAlign w:val="center"/>
            <w:hideMark/>
          </w:tcPr>
          <w:p w:rsidR="00000000" w:rsidRDefault="009D532D">
            <w:pPr>
              <w:ind w:firstLine="495"/>
              <w:rPr>
                <w:rFonts w:eastAsia="Times New Roman"/>
              </w:rPr>
            </w:pPr>
          </w:p>
        </w:tc>
        <w:tc>
          <w:tcPr>
            <w:tcW w:w="162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0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52324892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Payment Due by Period</w:t>
            </w:r>
          </w:p>
        </w:tc>
      </w:tr>
      <w:tr w:rsidR="00000000">
        <w:trPr>
          <w:divId w:val="523248925"/>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Contractual Obligations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3 </w:t>
            </w:r>
            <w:r>
              <w:rPr>
                <w:rFonts w:eastAsia="Times New Roman"/>
                <w:b/>
                <w:bCs/>
                <w:color w:val="000000"/>
                <w:sz w:val="16"/>
                <w:szCs w:val="16"/>
              </w:rPr>
              <w:t>- 5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523248925"/>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6,908,899 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1,938,408 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1,569,251 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1,376,447 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2,024,793 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23248925"/>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Lease liabilities(2)</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183,346 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22,048 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27,065 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17,315 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116,918 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23248925"/>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Purchase obligations(3)</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3,318 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3,318 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23248925"/>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197,818 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125,826 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28,199 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13,744 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30,049 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523248925"/>
        </w:trPr>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7,293,381 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2,089,600 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1,624,515 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1,407,506 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2,171,760 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divId w:val="1511212694"/>
        <w:rPr>
          <w:rFonts w:eastAsia="Times New Roman"/>
        </w:rPr>
      </w:pPr>
      <w:r>
        <w:rPr>
          <w:rFonts w:eastAsia="Times New Roman"/>
          <w:color w:val="000000"/>
          <w:sz w:val="16"/>
          <w:szCs w:val="16"/>
        </w:rPr>
        <w:t>__________________________________________________________</w:t>
      </w:r>
    </w:p>
    <w:p w:rsidR="00000000" w:rsidRDefault="009D532D">
      <w:pPr>
        <w:ind w:hanging="360"/>
        <w:divId w:val="2076931072"/>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March 31, 2021.</w:t>
      </w:r>
    </w:p>
    <w:p w:rsidR="00000000" w:rsidRDefault="009D532D">
      <w:pPr>
        <w:ind w:hanging="360"/>
        <w:divId w:val="1018509914"/>
        <w:rPr>
          <w:rFonts w:eastAsia="Times New Roman"/>
        </w:rPr>
      </w:pPr>
      <w:r>
        <w:rPr>
          <w:rFonts w:eastAsia="Times New Roman"/>
          <w:color w:val="000000"/>
          <w:sz w:val="18"/>
          <w:szCs w:val="18"/>
        </w:rPr>
        <w:t>(2)See Note 8—Leases in the Company's Notes to the Consolidated Financial Statements.</w:t>
      </w:r>
    </w:p>
    <w:p w:rsidR="00000000" w:rsidRDefault="009D532D">
      <w:pPr>
        <w:ind w:hanging="360"/>
        <w:divId w:val="952128458"/>
        <w:rPr>
          <w:rFonts w:eastAsia="Times New Roman"/>
        </w:rPr>
      </w:pPr>
      <w:r>
        <w:rPr>
          <w:rFonts w:eastAsia="Times New Roman"/>
          <w:color w:val="000000"/>
          <w:sz w:val="18"/>
          <w:szCs w:val="18"/>
        </w:rPr>
        <w:t>(3)See Note 16—Commitments and Contingencies in the Company's Notes to the Consol</w:t>
      </w:r>
      <w:r>
        <w:rPr>
          <w:rFonts w:eastAsia="Times New Roman"/>
          <w:color w:val="000000"/>
          <w:sz w:val="18"/>
          <w:szCs w:val="18"/>
        </w:rPr>
        <w:t>idated Financial Statements.</w:t>
      </w:r>
    </w:p>
    <w:p w:rsidR="00000000" w:rsidRDefault="009D532D">
      <w:pPr>
        <w:ind w:hanging="360"/>
        <w:divId w:val="430781816"/>
        <w:rPr>
          <w:rFonts w:eastAsia="Times New Roman"/>
        </w:rPr>
      </w:pPr>
      <w:r>
        <w:rPr>
          <w:rFonts w:eastAsia="Times New Roman"/>
          <w:color w:val="000000"/>
          <w:sz w:val="18"/>
          <w:szCs w:val="18"/>
        </w:rPr>
        <w:t>(4)On April 14, 2021, in connection with entering into the new credit agreement, the Company repaid the entire $1.48 billion outstanding under its revolving line of credit facility and borrowed $495 million on its new credit fa</w:t>
      </w:r>
      <w:r>
        <w:rPr>
          <w:rFonts w:eastAsia="Times New Roman"/>
          <w:color w:val="000000"/>
          <w:sz w:val="18"/>
          <w:szCs w:val="18"/>
        </w:rPr>
        <w:t>cility.</w:t>
      </w:r>
    </w:p>
    <w:p w:rsidR="00000000" w:rsidRDefault="009D532D">
      <w:pPr>
        <w:divId w:val="1138500409"/>
        <w:rPr>
          <w:rFonts w:eastAsia="Times New Roman"/>
        </w:rPr>
      </w:pPr>
    </w:p>
    <w:p w:rsidR="00000000" w:rsidRDefault="009D532D">
      <w:pPr>
        <w:divId w:val="1124035507"/>
        <w:rPr>
          <w:rFonts w:eastAsia="Times New Roman"/>
        </w:rPr>
      </w:pPr>
    </w:p>
    <w:p w:rsidR="00000000" w:rsidRDefault="009D532D">
      <w:pPr>
        <w:jc w:val="center"/>
        <w:divId w:val="1284578326"/>
        <w:rPr>
          <w:rFonts w:eastAsia="Times New Roman"/>
        </w:rPr>
      </w:pPr>
    </w:p>
    <w:p w:rsidR="00000000" w:rsidRDefault="009D532D">
      <w:pPr>
        <w:jc w:val="center"/>
        <w:divId w:val="1284578326"/>
        <w:rPr>
          <w:rFonts w:eastAsia="Times New Roman"/>
        </w:rPr>
      </w:pPr>
      <w:r>
        <w:rPr>
          <w:rFonts w:eastAsia="Times New Roman"/>
          <w:color w:val="000000"/>
          <w:sz w:val="20"/>
          <w:szCs w:val="20"/>
        </w:rPr>
        <w:t>37</w:t>
      </w:r>
    </w:p>
    <w:p w:rsidR="00000000" w:rsidRDefault="009D532D">
      <w:pPr>
        <w:rPr>
          <w:rFonts w:eastAsia="Times New Roman"/>
        </w:rPr>
      </w:pPr>
      <w:r>
        <w:rPr>
          <w:rFonts w:eastAsia="Times New Roman"/>
        </w:rPr>
        <w:pict>
          <v:rect id="_x0000_i1061" style="width:0;height:1.5pt" o:hralign="center" o:hrstd="t" o:hr="t" fillcolor="#a0a0a0" stroked="f"/>
        </w:pict>
      </w:r>
    </w:p>
    <w:p w:rsidR="00000000" w:rsidRDefault="009D532D">
      <w:pPr>
        <w:divId w:val="1044259839"/>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912961629"/>
        <w:rPr>
          <w:rFonts w:eastAsia="Times New Roman"/>
        </w:rPr>
      </w:pPr>
      <w:r>
        <w:rPr>
          <w:rFonts w:eastAsia="Times New Roman"/>
          <w:b/>
          <w:bCs/>
          <w:color w:val="000000"/>
          <w:sz w:val="20"/>
          <w:szCs w:val="20"/>
        </w:rPr>
        <w:t>Funds From Operations ("FFO")</w:t>
      </w:r>
    </w:p>
    <w:p w:rsidR="00000000" w:rsidRDefault="009D532D">
      <w:pPr>
        <w:ind w:firstLine="495"/>
        <w:divId w:val="1605335136"/>
        <w:rPr>
          <w:rFonts w:eastAsia="Times New Roman"/>
        </w:rPr>
      </w:pPr>
      <w:r>
        <w:rPr>
          <w:rFonts w:eastAsia="Times New Roman"/>
          <w:color w:val="000000"/>
          <w:sz w:val="20"/>
          <w:szCs w:val="20"/>
        </w:rPr>
        <w:t xml:space="preserve">The Company uses FFO in addition to net income to report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 measures for the real estate industry and a supplement to GAAP measures. The National Association of Real Estate</w:t>
      </w:r>
      <w:r>
        <w:rPr>
          <w:rFonts w:eastAsia="Times New Roman"/>
          <w:color w:val="000000"/>
          <w:sz w:val="20"/>
          <w:szCs w:val="20"/>
        </w:rPr>
        <w:t xml:space="preserve"> Investment Trusts ("Nareit") defines FFO as net income (loss) (computed in accordance with GAAP), excluding gains (or losses) from sales of properties, plus real estate related depreciation and amortization, impairment write-downs of real estate and write</w:t>
      </w:r>
      <w:r>
        <w:rPr>
          <w:rFonts w:eastAsia="Times New Roman"/>
          <w:color w:val="000000"/>
          <w:sz w:val="20"/>
          <w:szCs w:val="20"/>
        </w:rPr>
        <w:t>-downs of investments in an affiliate where the write-downs have been driven by a decrease in the value of real estate held by the affiliate and after adjustments for unconsolidated joint ventures. Adjustments for unconsolidated joint ventures are calculat</w:t>
      </w:r>
      <w:r>
        <w:rPr>
          <w:rFonts w:eastAsia="Times New Roman"/>
          <w:color w:val="000000"/>
          <w:sz w:val="20"/>
          <w:szCs w:val="20"/>
        </w:rPr>
        <w:t>ed to reflect FFO on the same basis.</w:t>
      </w:r>
    </w:p>
    <w:p w:rsidR="00000000" w:rsidRDefault="009D532D">
      <w:pPr>
        <w:ind w:firstLine="495"/>
        <w:divId w:val="939990933"/>
        <w:rPr>
          <w:rFonts w:eastAsia="Times New Roman"/>
        </w:rPr>
      </w:pPr>
      <w:r>
        <w:rPr>
          <w:rFonts w:eastAsia="Times New Roman"/>
          <w:color w:val="000000"/>
          <w:sz w:val="20"/>
          <w:szCs w:val="20"/>
        </w:rPr>
        <w:t>The Company accounts for its joint venture in Chandler Freehold as a financing arrangement. In connection with this treatment, the Company recognizes financing expense on (i) the changes in fair value of the financing a</w:t>
      </w:r>
      <w:r>
        <w:rPr>
          <w:rFonts w:eastAsia="Times New Roman"/>
          <w:color w:val="000000"/>
          <w:sz w:val="20"/>
          <w:szCs w:val="20"/>
        </w:rPr>
        <w:t>rrangement obligation, (ii) any payments to the joint venture partner equal to their pro rata share of net income and (iii) any payments to the joint venture partner less than or in excess of their pro rata share of net income. The Company excludes from it</w:t>
      </w:r>
      <w:r>
        <w:rPr>
          <w:rFonts w:eastAsia="Times New Roman"/>
          <w:color w:val="000000"/>
          <w:sz w:val="20"/>
          <w:szCs w:val="20"/>
        </w:rPr>
        <w:t>s definition of FFO the noted expenses related to the changes in fair value and for the payments to the joint venture partner less than or in excess of their pro rata share of net income. </w:t>
      </w:r>
    </w:p>
    <w:p w:rsidR="00000000" w:rsidRDefault="009D532D">
      <w:pPr>
        <w:ind w:firstLine="495"/>
        <w:divId w:val="430125577"/>
        <w:rPr>
          <w:rFonts w:eastAsia="Times New Roman"/>
        </w:rPr>
      </w:pPr>
      <w:r>
        <w:rPr>
          <w:rFonts w:eastAsia="Times New Roman"/>
          <w:color w:val="000000"/>
          <w:sz w:val="20"/>
          <w:szCs w:val="20"/>
        </w:rPr>
        <w:t>The Company also presents FFO excluding financing expense in connec</w:t>
      </w:r>
      <w:r>
        <w:rPr>
          <w:rFonts w:eastAsia="Times New Roman"/>
          <w:color w:val="000000"/>
          <w:sz w:val="20"/>
          <w:szCs w:val="20"/>
        </w:rPr>
        <w:t>tion with Chandler Freehold and loss on extinguishment of debt, net.</w:t>
      </w:r>
    </w:p>
    <w:p w:rsidR="00000000" w:rsidRDefault="009D532D">
      <w:pPr>
        <w:ind w:firstLine="495"/>
        <w:divId w:val="336230874"/>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w:t>
      </w:r>
      <w:r>
        <w:rPr>
          <w:rFonts w:eastAsia="Times New Roman"/>
          <w:color w:val="000000"/>
          <w:sz w:val="20"/>
          <w:szCs w:val="20"/>
        </w:rPr>
        <w:t>d amortization, as the Company believes real estate values fluctuate based on market conditions rather than depreciating in value ratably on a straight-line basis over time. The Company believes that such a presentation also provides investors with a meani</w:t>
      </w:r>
      <w:r>
        <w:rPr>
          <w:rFonts w:eastAsia="Times New Roman"/>
          <w:color w:val="000000"/>
          <w:sz w:val="20"/>
          <w:szCs w:val="20"/>
        </w:rPr>
        <w:t>ngful measure of its operating results in comparison to the operating results of other REITs. In addition, the Company believes that FFO excluding financing expense in connection with Chandler Freehold and non-routine costs associated with extinguishment o</w:t>
      </w:r>
      <w:r>
        <w:rPr>
          <w:rFonts w:eastAsia="Times New Roman"/>
          <w:color w:val="000000"/>
          <w:sz w:val="20"/>
          <w:szCs w:val="20"/>
        </w:rPr>
        <w:t>f debt provide useful supplemental information regarding the Company’s performance as they show a more meaningful and consistent comparison of the Company’s operating performance and allows investors to more easily compare the Company’s results. The Compan</w:t>
      </w:r>
      <w:r>
        <w:rPr>
          <w:rFonts w:eastAsia="Times New Roman"/>
          <w:color w:val="000000"/>
          <w:sz w:val="20"/>
          <w:szCs w:val="20"/>
        </w:rPr>
        <w:t>y further believes that FFO on a diluted basis is a measure investors find most useful in measuring the dilutive impact of outstanding convertible securities.</w:t>
      </w:r>
    </w:p>
    <w:p w:rsidR="00000000" w:rsidRDefault="009D532D">
      <w:pPr>
        <w:ind w:firstLine="495"/>
        <w:divId w:val="1370565953"/>
        <w:rPr>
          <w:rFonts w:eastAsia="Times New Roman"/>
        </w:rPr>
      </w:pPr>
      <w:r>
        <w:rPr>
          <w:rFonts w:eastAsia="Times New Roman"/>
          <w:color w:val="000000"/>
          <w:sz w:val="20"/>
          <w:szCs w:val="20"/>
        </w:rPr>
        <w:t>The Company believes that FFO does not represent cash flow from operations as defined by GAAP, sh</w:t>
      </w:r>
      <w:r>
        <w:rPr>
          <w:rFonts w:eastAsia="Times New Roman"/>
          <w:color w:val="000000"/>
          <w:sz w:val="20"/>
          <w:szCs w:val="20"/>
        </w:rPr>
        <w:t>ould not be considered as an alternative to net income as defined by GAAP, and is not indicative of cash available to fund all cash flow needs. The Company also cautions that FFO, as presented, may not be comparable to similarly titled measures reported by</w:t>
      </w:r>
      <w:r>
        <w:rPr>
          <w:rFonts w:eastAsia="Times New Roman"/>
          <w:color w:val="000000"/>
          <w:sz w:val="20"/>
          <w:szCs w:val="20"/>
        </w:rPr>
        <w:t xml:space="preserve"> other real estate investment trusts.</w:t>
      </w:r>
    </w:p>
    <w:p w:rsidR="00000000" w:rsidRDefault="009D532D">
      <w:pPr>
        <w:ind w:firstLine="495"/>
        <w:divId w:val="691030589"/>
        <w:rPr>
          <w:rFonts w:eastAsia="Times New Roman"/>
        </w:rPr>
      </w:pPr>
    </w:p>
    <w:p w:rsidR="00000000" w:rsidRDefault="009D532D">
      <w:pPr>
        <w:divId w:val="900940695"/>
        <w:rPr>
          <w:rFonts w:eastAsia="Times New Roman"/>
        </w:rPr>
      </w:pPr>
    </w:p>
    <w:p w:rsidR="00000000" w:rsidRDefault="009D532D">
      <w:pPr>
        <w:divId w:val="458495231"/>
        <w:rPr>
          <w:rFonts w:eastAsia="Times New Roman"/>
        </w:rPr>
      </w:pPr>
    </w:p>
    <w:p w:rsidR="00000000" w:rsidRDefault="009D532D">
      <w:pPr>
        <w:divId w:val="88936128"/>
        <w:rPr>
          <w:rFonts w:eastAsia="Times New Roman"/>
        </w:rPr>
      </w:pPr>
    </w:p>
    <w:p w:rsidR="00000000" w:rsidRDefault="009D532D">
      <w:pPr>
        <w:divId w:val="1945336321"/>
        <w:rPr>
          <w:rFonts w:eastAsia="Times New Roman"/>
        </w:rPr>
      </w:pPr>
    </w:p>
    <w:p w:rsidR="00000000" w:rsidRDefault="009D532D">
      <w:pPr>
        <w:divId w:val="428282472"/>
        <w:rPr>
          <w:rFonts w:eastAsia="Times New Roman"/>
        </w:rPr>
      </w:pPr>
    </w:p>
    <w:p w:rsidR="00000000" w:rsidRDefault="009D532D">
      <w:pPr>
        <w:divId w:val="930239896"/>
        <w:rPr>
          <w:rFonts w:eastAsia="Times New Roman"/>
        </w:rPr>
      </w:pPr>
    </w:p>
    <w:p w:rsidR="00000000" w:rsidRDefault="009D532D">
      <w:pPr>
        <w:divId w:val="1469860366"/>
        <w:rPr>
          <w:rFonts w:eastAsia="Times New Roman"/>
        </w:rPr>
      </w:pPr>
    </w:p>
    <w:p w:rsidR="00000000" w:rsidRDefault="009D532D">
      <w:pPr>
        <w:divId w:val="481308955"/>
        <w:rPr>
          <w:rFonts w:eastAsia="Times New Roman"/>
        </w:rPr>
      </w:pPr>
    </w:p>
    <w:p w:rsidR="00000000" w:rsidRDefault="009D532D">
      <w:pPr>
        <w:divId w:val="1646812432"/>
        <w:rPr>
          <w:rFonts w:eastAsia="Times New Roman"/>
        </w:rPr>
      </w:pPr>
    </w:p>
    <w:p w:rsidR="00000000" w:rsidRDefault="009D532D">
      <w:pPr>
        <w:divId w:val="1613973110"/>
        <w:rPr>
          <w:rFonts w:eastAsia="Times New Roman"/>
        </w:rPr>
      </w:pPr>
    </w:p>
    <w:p w:rsidR="00000000" w:rsidRDefault="009D532D">
      <w:pPr>
        <w:divId w:val="936400666"/>
        <w:rPr>
          <w:rFonts w:eastAsia="Times New Roman"/>
        </w:rPr>
      </w:pPr>
    </w:p>
    <w:p w:rsidR="00000000" w:rsidRDefault="009D532D">
      <w:pPr>
        <w:divId w:val="701320303"/>
        <w:rPr>
          <w:rFonts w:eastAsia="Times New Roman"/>
        </w:rPr>
      </w:pPr>
    </w:p>
    <w:p w:rsidR="00000000" w:rsidRDefault="009D532D">
      <w:pPr>
        <w:divId w:val="1497649033"/>
        <w:rPr>
          <w:rFonts w:eastAsia="Times New Roman"/>
        </w:rPr>
      </w:pPr>
    </w:p>
    <w:p w:rsidR="00000000" w:rsidRDefault="009D532D">
      <w:pPr>
        <w:divId w:val="1736465595"/>
        <w:rPr>
          <w:rFonts w:eastAsia="Times New Roman"/>
        </w:rPr>
      </w:pPr>
    </w:p>
    <w:p w:rsidR="00000000" w:rsidRDefault="009D532D">
      <w:pPr>
        <w:divId w:val="427164643"/>
        <w:rPr>
          <w:rFonts w:eastAsia="Times New Roman"/>
        </w:rPr>
      </w:pPr>
    </w:p>
    <w:p w:rsidR="00000000" w:rsidRDefault="009D532D">
      <w:pPr>
        <w:jc w:val="center"/>
        <w:divId w:val="429157134"/>
        <w:rPr>
          <w:rFonts w:eastAsia="Times New Roman"/>
        </w:rPr>
      </w:pPr>
    </w:p>
    <w:p w:rsidR="00000000" w:rsidRDefault="009D532D">
      <w:pPr>
        <w:jc w:val="center"/>
        <w:divId w:val="429157134"/>
        <w:rPr>
          <w:rFonts w:eastAsia="Times New Roman"/>
        </w:rPr>
      </w:pPr>
      <w:r>
        <w:rPr>
          <w:rFonts w:eastAsia="Times New Roman"/>
          <w:color w:val="000000"/>
          <w:sz w:val="20"/>
          <w:szCs w:val="20"/>
        </w:rPr>
        <w:t>38</w:t>
      </w:r>
    </w:p>
    <w:p w:rsidR="00000000" w:rsidRDefault="009D532D">
      <w:pPr>
        <w:rPr>
          <w:rFonts w:eastAsia="Times New Roman"/>
        </w:rPr>
      </w:pPr>
      <w:r>
        <w:rPr>
          <w:rFonts w:eastAsia="Times New Roman"/>
        </w:rPr>
        <w:pict>
          <v:rect id="_x0000_i1062" style="width:0;height:1.5pt" o:hralign="center" o:hrstd="t" o:hr="t" fillcolor="#a0a0a0" stroked="f"/>
        </w:pict>
      </w:r>
    </w:p>
    <w:p w:rsidR="00000000" w:rsidRDefault="009D532D">
      <w:pPr>
        <w:divId w:val="605961491"/>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942687253"/>
        <w:rPr>
          <w:rFonts w:eastAsia="Times New Roman"/>
        </w:rPr>
      </w:pPr>
      <w:r>
        <w:rPr>
          <w:rFonts w:eastAsia="Times New Roman"/>
          <w:b/>
          <w:bCs/>
          <w:color w:val="000000"/>
          <w:sz w:val="20"/>
          <w:szCs w:val="20"/>
        </w:rPr>
        <w:t>Funds From Operations ("FFO") (Continued)</w:t>
      </w:r>
    </w:p>
    <w:p w:rsidR="00000000" w:rsidRDefault="009D532D">
      <w:pPr>
        <w:ind w:firstLine="495"/>
        <w:divId w:val="1694723544"/>
        <w:rPr>
          <w:rFonts w:eastAsia="Times New Roman"/>
        </w:rPr>
      </w:pPr>
      <w:r>
        <w:rPr>
          <w:rFonts w:eastAsia="Times New Roman"/>
          <w:color w:val="000000"/>
          <w:sz w:val="20"/>
          <w:szCs w:val="20"/>
        </w:rPr>
        <w:t>Management compensates for the limitations of FFO by providing investors with financial statements pre</w:t>
      </w:r>
      <w:r>
        <w:rPr>
          <w:rFonts w:eastAsia="Times New Roman"/>
          <w:color w:val="000000"/>
          <w:sz w:val="20"/>
          <w:szCs w:val="20"/>
        </w:rPr>
        <w:t>pared according to 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diluted. Management believes that to further understand the Company's performance, FFO should be compared with the Company's report</w:t>
      </w:r>
      <w:r>
        <w:rPr>
          <w:rFonts w:eastAsia="Times New Roman"/>
          <w:color w:val="000000"/>
          <w:sz w:val="20"/>
          <w:szCs w:val="20"/>
        </w:rPr>
        <w:t>ed net (loss) income and considered in addition to cash flows in accordance with GAAP, as presented in the Company's consolidated financial statements.</w:t>
      </w:r>
    </w:p>
    <w:p w:rsidR="00000000" w:rsidRDefault="009D532D">
      <w:pPr>
        <w:ind w:firstLine="495"/>
        <w:divId w:val="860164517"/>
        <w:rPr>
          <w:rFonts w:eastAsia="Times New Roman"/>
        </w:rPr>
      </w:pPr>
      <w:r>
        <w:rPr>
          <w:rFonts w:eastAsia="Times New Roman"/>
          <w:color w:val="000000"/>
          <w:sz w:val="20"/>
          <w:szCs w:val="20"/>
        </w:rPr>
        <w:t>The following reconciles net (loss) income attributable to the Company to FFO and FFO</w:t>
      </w:r>
      <w:r>
        <w:rPr>
          <w:rFonts w:eastAsia="Times New Roman"/>
          <w:color w:val="000000"/>
          <w:sz w:val="18"/>
          <w:szCs w:val="18"/>
        </w:rPr>
        <w:t>—</w:t>
      </w:r>
      <w:r>
        <w:rPr>
          <w:rFonts w:eastAsia="Times New Roman"/>
          <w:color w:val="000000"/>
          <w:sz w:val="20"/>
          <w:szCs w:val="20"/>
        </w:rPr>
        <w:t>diluted attributab</w:t>
      </w:r>
      <w:r>
        <w:rPr>
          <w:rFonts w:eastAsia="Times New Roman"/>
          <w:color w:val="000000"/>
          <w:sz w:val="20"/>
          <w:szCs w:val="20"/>
        </w:rPr>
        <w:t>le to common stockholders and unit holders-basic and diluted, excluding financing expense in connection with Chandler Freehold and loss on extinguishment of debt, net, for the three months ended March 31, 2021 and 2020 (dollars and shares in thousands):</w:t>
      </w:r>
    </w:p>
    <w:tbl>
      <w:tblPr>
        <w:tblW w:w="3859" w:type="pct"/>
        <w:tblCellMar>
          <w:top w:w="15" w:type="dxa"/>
          <w:left w:w="15" w:type="dxa"/>
          <w:bottom w:w="15" w:type="dxa"/>
          <w:right w:w="15" w:type="dxa"/>
        </w:tblCellMar>
        <w:tblLook w:val="04A0" w:firstRow="1" w:lastRow="0" w:firstColumn="1" w:lastColumn="0" w:noHBand="0" w:noVBand="1"/>
      </w:tblPr>
      <w:tblGrid>
        <w:gridCol w:w="39"/>
        <w:gridCol w:w="4408"/>
        <w:gridCol w:w="38"/>
        <w:gridCol w:w="36"/>
        <w:gridCol w:w="36"/>
        <w:gridCol w:w="36"/>
        <w:gridCol w:w="36"/>
        <w:gridCol w:w="36"/>
        <w:gridCol w:w="36"/>
        <w:gridCol w:w="36"/>
        <w:gridCol w:w="110"/>
        <w:gridCol w:w="644"/>
        <w:gridCol w:w="36"/>
        <w:gridCol w:w="36"/>
        <w:gridCol w:w="36"/>
        <w:gridCol w:w="36"/>
        <w:gridCol w:w="110"/>
        <w:gridCol w:w="630"/>
        <w:gridCol w:w="36"/>
      </w:tblGrid>
      <w:tr w:rsidR="00000000">
        <w:trPr>
          <w:divId w:val="917522044"/>
        </w:trPr>
        <w:tc>
          <w:tcPr>
            <w:tcW w:w="50" w:type="pct"/>
            <w:vAlign w:val="center"/>
            <w:hideMark/>
          </w:tcPr>
          <w:p w:rsidR="00000000" w:rsidRDefault="009D532D">
            <w:pPr>
              <w:ind w:firstLine="495"/>
              <w:rPr>
                <w:rFonts w:eastAsia="Times New Roman"/>
              </w:rPr>
            </w:pPr>
          </w:p>
        </w:tc>
        <w:tc>
          <w:tcPr>
            <w:tcW w:w="359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79"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3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5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Three Months Ended March 31,</w:t>
            </w: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2020</w:t>
            </w:r>
          </w:p>
        </w:tc>
      </w:tr>
      <w:tr w:rsidR="00000000">
        <w:trPr>
          <w:divId w:val="9175220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Net (loss) income attributable to the Company</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(63,604)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7,522 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w:t>
            </w: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(4,356)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557 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Loss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21,283 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36,703 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Add: noncontrolling interests share of loss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4,096 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Add: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(1,191)</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Less: 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(1,200)</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Gain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78,396 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82,213 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(4,075)</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(3,789)</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47,106 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49,509 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(3,378)</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(4,326)</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73,004 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168,389 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2,551 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(45,707)</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75,555 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122,682 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vAlign w:val="center"/>
            <w:hideMark/>
          </w:tcPr>
          <w:p w:rsidR="00000000" w:rsidRDefault="009D532D">
            <w:pPr>
              <w:spacing w:after="100"/>
              <w:jc w:val="right"/>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c>
          <w:tcPr>
            <w:tcW w:w="0" w:type="auto"/>
            <w:gridSpan w:val="3"/>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w:t>
            </w:r>
          </w:p>
        </w:tc>
      </w:tr>
      <w:tr w:rsidR="00000000">
        <w:trPr>
          <w:divId w:val="9175220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169,436 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151,915 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917522044"/>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   Share and unit based compensation plans</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917522044"/>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vAlign w:val="center"/>
            <w:hideMark/>
          </w:tcPr>
          <w:p w:rsidR="00000000" w:rsidRDefault="009D532D">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169,436 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151,915 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hanging="450"/>
        <w:divId w:val="270892568"/>
        <w:rPr>
          <w:rFonts w:eastAsia="Times New Roman"/>
        </w:rPr>
      </w:pPr>
    </w:p>
    <w:p w:rsidR="00000000" w:rsidRDefault="009D532D">
      <w:pPr>
        <w:ind w:hanging="450"/>
        <w:divId w:val="73167939"/>
        <w:rPr>
          <w:rFonts w:eastAsia="Times New Roman"/>
        </w:rPr>
      </w:pPr>
      <w:r>
        <w:rPr>
          <w:rFonts w:eastAsia="Times New Roman"/>
          <w:color w:val="000000"/>
          <w:sz w:val="18"/>
          <w:szCs w:val="18"/>
        </w:rPr>
        <w:t>(1)     </w:t>
      </w:r>
      <w:r>
        <w:rPr>
          <w:rFonts w:eastAsia="Times New Roman"/>
          <w:color w:val="000000"/>
          <w:sz w:val="18"/>
          <w:szCs w:val="18"/>
        </w:rPr>
        <w:t>Unconsolidated joint ventures are presented at the Company's pro rata share.</w:t>
      </w:r>
    </w:p>
    <w:p w:rsidR="00000000" w:rsidRDefault="009D532D">
      <w:pPr>
        <w:ind w:hanging="450"/>
        <w:divId w:val="1674994869"/>
        <w:rPr>
          <w:rFonts w:eastAsia="Times New Roman"/>
        </w:rPr>
      </w:pPr>
      <w:r>
        <w:rPr>
          <w:rFonts w:eastAsia="Times New Roman"/>
          <w:color w:val="000000"/>
          <w:sz w:val="18"/>
          <w:szCs w:val="18"/>
        </w:rPr>
        <w:t>(2)     Calculated based upon basic net income as adjusted to reach basic FFO. Includes 10.9 million and 10.4 million OP Units for th</w:t>
      </w:r>
      <w:r>
        <w:rPr>
          <w:rFonts w:eastAsia="Times New Roman"/>
          <w:color w:val="000000"/>
          <w:sz w:val="20"/>
          <w:szCs w:val="20"/>
        </w:rPr>
        <w:t xml:space="preserve">e </w:t>
      </w:r>
      <w:r>
        <w:rPr>
          <w:rFonts w:eastAsia="Times New Roman"/>
          <w:color w:val="000000"/>
          <w:sz w:val="18"/>
          <w:szCs w:val="18"/>
        </w:rPr>
        <w:t>three months ended</w:t>
      </w:r>
      <w:r>
        <w:rPr>
          <w:rFonts w:eastAsia="Times New Roman"/>
          <w:color w:val="000000"/>
          <w:sz w:val="20"/>
          <w:szCs w:val="20"/>
        </w:rPr>
        <w:t xml:space="preserve"> </w:t>
      </w:r>
      <w:r>
        <w:rPr>
          <w:rFonts w:eastAsia="Times New Roman"/>
          <w:color w:val="000000"/>
          <w:sz w:val="18"/>
          <w:szCs w:val="18"/>
        </w:rPr>
        <w:t xml:space="preserve">March 31, 2021 and 2020, </w:t>
      </w:r>
      <w:r>
        <w:rPr>
          <w:rFonts w:eastAsia="Times New Roman"/>
          <w:color w:val="000000"/>
          <w:sz w:val="18"/>
          <w:szCs w:val="18"/>
        </w:rPr>
        <w:t xml:space="preserve">respectively. </w:t>
      </w:r>
    </w:p>
    <w:p w:rsidR="00000000" w:rsidRDefault="009D532D">
      <w:pPr>
        <w:divId w:val="460465167"/>
        <w:rPr>
          <w:rFonts w:eastAsia="Times New Roman"/>
        </w:rPr>
      </w:pPr>
      <w:r>
        <w:rPr>
          <w:rFonts w:eastAsia="Times New Roman"/>
          <w:color w:val="000000"/>
          <w:sz w:val="18"/>
          <w:szCs w:val="18"/>
        </w:rPr>
        <w:t xml:space="preserve">The computation of FFO—diluted shares outstanding includes the effect of share and unit-based compensation plans using the treasury stock method. It also assumes the conversion of MACWH, LP common and preferred units to the extent that they </w:t>
      </w:r>
      <w:r>
        <w:rPr>
          <w:rFonts w:eastAsia="Times New Roman"/>
          <w:color w:val="000000"/>
          <w:sz w:val="18"/>
          <w:szCs w:val="18"/>
        </w:rPr>
        <w:t>are dilutive to the FFO—diluted computation.</w:t>
      </w:r>
    </w:p>
    <w:p w:rsidR="00000000" w:rsidRDefault="009D532D">
      <w:pPr>
        <w:jc w:val="center"/>
        <w:divId w:val="1706248858"/>
        <w:rPr>
          <w:rFonts w:eastAsia="Times New Roman"/>
        </w:rPr>
      </w:pPr>
    </w:p>
    <w:p w:rsidR="00000000" w:rsidRDefault="009D532D">
      <w:pPr>
        <w:jc w:val="center"/>
        <w:divId w:val="1706248858"/>
        <w:rPr>
          <w:rFonts w:eastAsia="Times New Roman"/>
        </w:rPr>
      </w:pPr>
      <w:r>
        <w:rPr>
          <w:rFonts w:eastAsia="Times New Roman"/>
          <w:color w:val="000000"/>
          <w:sz w:val="20"/>
          <w:szCs w:val="20"/>
        </w:rPr>
        <w:t>39</w:t>
      </w:r>
    </w:p>
    <w:p w:rsidR="00000000" w:rsidRDefault="009D532D">
      <w:pPr>
        <w:rPr>
          <w:rFonts w:eastAsia="Times New Roman"/>
        </w:rPr>
      </w:pPr>
      <w:r>
        <w:rPr>
          <w:rFonts w:eastAsia="Times New Roman"/>
        </w:rPr>
        <w:pict>
          <v:rect id="_x0000_i1063" style="width:0;height:1.5pt" o:hralign="center" o:hrstd="t" o:hr="t" fillcolor="#a0a0a0" stroked="f"/>
        </w:pict>
      </w:r>
    </w:p>
    <w:p w:rsidR="00000000" w:rsidRDefault="009D532D">
      <w:pPr>
        <w:divId w:val="1449008484"/>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2081713961"/>
        <w:rPr>
          <w:rFonts w:eastAsia="Times New Roman"/>
        </w:rPr>
      </w:pPr>
      <w:r>
        <w:rPr>
          <w:rFonts w:eastAsia="Times New Roman"/>
          <w:b/>
          <w:bCs/>
          <w:color w:val="000000"/>
          <w:sz w:val="20"/>
          <w:szCs w:val="20"/>
        </w:rPr>
        <w:t>Item 3.    Quantitative and Qualitative Disclosures About Market Risk</w:t>
      </w:r>
    </w:p>
    <w:p w:rsidR="00000000" w:rsidRDefault="009D532D">
      <w:pPr>
        <w:ind w:firstLine="495"/>
        <w:divId w:val="830100869"/>
        <w:rPr>
          <w:rFonts w:eastAsia="Times New Roman"/>
        </w:rPr>
      </w:pPr>
      <w:r>
        <w:rPr>
          <w:rFonts w:eastAsia="Times New Roman"/>
          <w:color w:val="000000"/>
          <w:sz w:val="20"/>
          <w:szCs w:val="20"/>
        </w:rPr>
        <w:t>The Company's primary ma</w:t>
      </w:r>
      <w:r>
        <w:rPr>
          <w:rFonts w:eastAsia="Times New Roman"/>
          <w:color w:val="000000"/>
          <w:sz w:val="20"/>
          <w:szCs w:val="20"/>
        </w:rPr>
        <w:t>rket risk exposure is interest rate risk. The Company has managed and will continue to manage interest rate risk by (1) maintaining a ratio of fixed rate, long-term debt to total debt such that floating rate exposure is kept at an acceptable level, (2) red</w:t>
      </w:r>
      <w:r>
        <w:rPr>
          <w:rFonts w:eastAsia="Times New Roman"/>
          <w:color w:val="000000"/>
          <w:sz w:val="20"/>
          <w:szCs w:val="20"/>
        </w:rPr>
        <w:t>ucing interest rate exposure on certain long-term floating rate debt through the use of interest rate caps and/or swaps with matching maturities where appropriate, (3) using treasury rate locks where appropriate to fix rates on anticipated debt transaction</w:t>
      </w:r>
      <w:r>
        <w:rPr>
          <w:rFonts w:eastAsia="Times New Roman"/>
          <w:color w:val="000000"/>
          <w:sz w:val="20"/>
          <w:szCs w:val="20"/>
        </w:rPr>
        <w:t>s, and (4) taking advantage of favorable market conditions for long-term debt and/or equity.</w:t>
      </w:r>
    </w:p>
    <w:p w:rsidR="00000000" w:rsidRDefault="009D532D">
      <w:pPr>
        <w:ind w:firstLine="495"/>
        <w:divId w:val="125127157"/>
        <w:rPr>
          <w:rFonts w:eastAsia="Times New Roman"/>
        </w:rPr>
      </w:pPr>
      <w:r>
        <w:rPr>
          <w:rFonts w:eastAsia="Times New Roman"/>
          <w:color w:val="000000"/>
          <w:sz w:val="20"/>
          <w:szCs w:val="20"/>
        </w:rPr>
        <w:t>The following table sets forth information as of March 31, 2021 concerning the Company's long-term debt obligations, including principal cash flows by scheduled ma</w:t>
      </w:r>
      <w:r>
        <w:rPr>
          <w:rFonts w:eastAsia="Times New Roman"/>
          <w:color w:val="000000"/>
          <w:sz w:val="20"/>
          <w:szCs w:val="20"/>
        </w:rPr>
        <w:t>turity, weighted average interest rates and estimated fair value (dollars in thousands):</w:t>
      </w:r>
    </w:p>
    <w:tbl>
      <w:tblPr>
        <w:tblW w:w="5000" w:type="pct"/>
        <w:tblCellMar>
          <w:top w:w="15" w:type="dxa"/>
          <w:left w:w="15" w:type="dxa"/>
          <w:bottom w:w="15" w:type="dxa"/>
          <w:right w:w="15" w:type="dxa"/>
        </w:tblCellMar>
        <w:tblLook w:val="04A0" w:firstRow="1" w:lastRow="0" w:firstColumn="1" w:lastColumn="0" w:noHBand="0" w:noVBand="1"/>
      </w:tblPr>
      <w:tblGrid>
        <w:gridCol w:w="96"/>
        <w:gridCol w:w="1465"/>
        <w:gridCol w:w="37"/>
        <w:gridCol w:w="100"/>
        <w:gridCol w:w="680"/>
        <w:gridCol w:w="154"/>
        <w:gridCol w:w="37"/>
        <w:gridCol w:w="198"/>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125127157"/>
        </w:trPr>
        <w:tc>
          <w:tcPr>
            <w:tcW w:w="50" w:type="pct"/>
            <w:vAlign w:val="center"/>
            <w:hideMark/>
          </w:tcPr>
          <w:p w:rsidR="00000000" w:rsidRDefault="009D532D">
            <w:pPr>
              <w:ind w:firstLine="495"/>
              <w:rPr>
                <w:rFonts w:eastAsia="Times New Roman"/>
              </w:rPr>
            </w:pPr>
          </w:p>
        </w:tc>
        <w:tc>
          <w:tcPr>
            <w:tcW w:w="76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11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1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2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3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34"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3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25127157"/>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r w:rsidR="00000000">
        <w:trPr>
          <w:divId w:val="125127157"/>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For the twelve months ending 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r>
      <w:tr w:rsidR="00000000">
        <w:trPr>
          <w:divId w:val="125127157"/>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Fair Value</w:t>
            </w:r>
          </w:p>
        </w:tc>
      </w:tr>
      <w:tr w:rsidR="00000000">
        <w:trPr>
          <w:divId w:val="12512715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12512715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9D532D">
        <w:trPr>
          <w:divId w:val="12512715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Fixed rate(1)</w:t>
            </w: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673,370 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565,756 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103,969 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978,205 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218,289 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1,785,000 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4,324,589 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4,255,240 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5127157"/>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4.73 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3.80 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5.74 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3.92 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r>
      <w:tr w:rsidR="00000000">
        <w:trPr>
          <w:divId w:val="12512715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1,080,000 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427,820 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198,500 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1,706,320 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1,694,536 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5127157"/>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2.07 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r>
      <w:tr w:rsidR="009D532D">
        <w:trPr>
          <w:divId w:val="12512715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1,753,370 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993,576 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302,469 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978,205 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218,289 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1,785,000 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6,030,909 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5,949,776 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512715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000000">
        <w:trPr>
          <w:divId w:val="125127157"/>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 </w:t>
            </w:r>
          </w:p>
        </w:tc>
      </w:tr>
      <w:tr w:rsidR="009D532D">
        <w:trPr>
          <w:divId w:val="125127157"/>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145,335 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397,455 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656,962 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36,636 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231,673 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1,561,740 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3,029,801 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2,971,033 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512715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3.70 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3.55 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4.12 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3.81 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r>
      <w:tr w:rsidR="00000000">
        <w:trPr>
          <w:divId w:val="125127157"/>
        </w:trPr>
        <w:tc>
          <w:tcPr>
            <w:tcW w:w="0" w:type="auto"/>
            <w:gridSpan w:val="3"/>
            <w:shd w:val="clear" w:color="auto" w:fill="CCEE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34,171 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9,742 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39,762 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83,675 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80,950 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r w:rsidR="00000000">
        <w:trPr>
          <w:divId w:val="125127157"/>
        </w:trPr>
        <w:tc>
          <w:tcPr>
            <w:tcW w:w="0" w:type="auto"/>
            <w:gridSpan w:val="3"/>
            <w:shd w:val="clear" w:color="auto" w:fill="FFFFFF"/>
            <w:tcMar>
              <w:top w:w="30" w:type="dxa"/>
              <w:left w:w="155"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2.12 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1.80 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1.95 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jc w:val="right"/>
              <w:rPr>
                <w:rFonts w:eastAsia="Times New Roman"/>
              </w:rPr>
            </w:pPr>
            <w:r>
              <w:rPr>
                <w:rFonts w:eastAsia="Times New Roman"/>
                <w:color w:val="000000"/>
                <w:sz w:val="16"/>
                <w:szCs w:val="16"/>
              </w:rPr>
              <w:t> </w:t>
            </w:r>
          </w:p>
        </w:tc>
      </w:tr>
      <w:tr w:rsidR="009D532D">
        <w:trPr>
          <w:divId w:val="125127157"/>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6"/>
                <w:szCs w:val="16"/>
              </w:rPr>
              <w:t>Total debt—Unconsolidated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179,506 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397,455 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666,704 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76,398 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231,673 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1,561,740 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3,113,476 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6"/>
                <w:szCs w:val="16"/>
              </w:rPr>
              <w:t>3,051,983 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r>
    </w:tbl>
    <w:p w:rsidR="00000000" w:rsidRDefault="009D532D">
      <w:pPr>
        <w:ind w:hanging="450"/>
        <w:divId w:val="1588421655"/>
        <w:rPr>
          <w:rFonts w:eastAsia="Times New Roman"/>
        </w:rPr>
      </w:pPr>
      <w:r>
        <w:rPr>
          <w:rFonts w:eastAsia="Times New Roman"/>
          <w:color w:val="000000"/>
          <w:sz w:val="16"/>
          <w:szCs w:val="16"/>
        </w:rPr>
        <w:t>(1)     Fixed rate debt includes $400 million of floating rate bank and other notes payable. The Company has four interest rate swap agreements that effectively convert a to</w:t>
      </w:r>
      <w:r>
        <w:rPr>
          <w:rFonts w:eastAsia="Times New Roman"/>
          <w:color w:val="000000"/>
          <w:sz w:val="16"/>
          <w:szCs w:val="16"/>
        </w:rPr>
        <w:t>tal of $400 million of the outstanding balance from floating rate debt of LIBOR plus 1.65% to fixed rate debt of 4.50% until September 30, 2021 (See Note 5-Derivative Instruments and Hedging Activities in the Company's Notes to the Consolidated Financial S</w:t>
      </w:r>
      <w:r>
        <w:rPr>
          <w:rFonts w:eastAsia="Times New Roman"/>
          <w:color w:val="000000"/>
          <w:sz w:val="16"/>
          <w:szCs w:val="16"/>
        </w:rPr>
        <w:t>tatements).</w:t>
      </w:r>
    </w:p>
    <w:p w:rsidR="00000000" w:rsidRDefault="009D532D">
      <w:pPr>
        <w:ind w:hanging="450"/>
        <w:divId w:val="1880580757"/>
        <w:rPr>
          <w:rFonts w:eastAsia="Times New Roman"/>
        </w:rPr>
      </w:pPr>
      <w:r>
        <w:rPr>
          <w:rFonts w:eastAsia="Times New Roman"/>
          <w:color w:val="000000"/>
          <w:sz w:val="16"/>
          <w:szCs w:val="16"/>
        </w:rPr>
        <w:t xml:space="preserve">(2)     On April 14, 2021, in connection with entering into the new credit agreement, the Company repaid the entire $1.48 billion outstanding under its revolving line of credit facility and borrowed $495 million on its new credit facility (See </w:t>
      </w:r>
      <w:r>
        <w:rPr>
          <w:rFonts w:eastAsia="Times New Roman"/>
          <w:color w:val="000000"/>
          <w:sz w:val="16"/>
          <w:szCs w:val="16"/>
        </w:rPr>
        <w:t xml:space="preserve">"Liquidity and Capital Resources"). </w:t>
      </w:r>
    </w:p>
    <w:p w:rsidR="00000000" w:rsidRDefault="009D532D">
      <w:pPr>
        <w:ind w:firstLine="495"/>
        <w:divId w:val="346367104"/>
        <w:rPr>
          <w:rFonts w:eastAsia="Times New Roman"/>
        </w:rPr>
      </w:pPr>
      <w:r>
        <w:rPr>
          <w:rFonts w:eastAsia="Times New Roman"/>
          <w:color w:val="000000"/>
          <w:sz w:val="20"/>
          <w:szCs w:val="20"/>
        </w:rPr>
        <w:t>The Consolidated Centers' total fixed rate debt at each of March 31, 2021 and December 31, 2020 was $4.3 billion. The average interest rate on the fixed rate debt at March 31, 2021 and December 31, 2020 was 4.00% and 3.</w:t>
      </w:r>
      <w:r>
        <w:rPr>
          <w:rFonts w:eastAsia="Times New Roman"/>
          <w:color w:val="000000"/>
          <w:sz w:val="20"/>
          <w:szCs w:val="20"/>
        </w:rPr>
        <w:t>98%, respectively. The Consolidated Centers' total floating rate debt at each of March 31, 2021 and December 31, 2020 was $1.7 billion. The average interest rate on the floating rate debt at March 31, 2021 and December 31, 2020 was 2.07% and 2.08%, respect</w:t>
      </w:r>
      <w:r>
        <w:rPr>
          <w:rFonts w:eastAsia="Times New Roman"/>
          <w:color w:val="000000"/>
          <w:sz w:val="20"/>
          <w:szCs w:val="20"/>
        </w:rPr>
        <w:t>ively.</w:t>
      </w:r>
    </w:p>
    <w:p w:rsidR="00000000" w:rsidRDefault="009D532D">
      <w:pPr>
        <w:ind w:firstLine="495"/>
        <w:divId w:val="1118329757"/>
        <w:rPr>
          <w:rFonts w:eastAsia="Times New Roman"/>
        </w:rPr>
      </w:pPr>
      <w:r>
        <w:rPr>
          <w:rFonts w:eastAsia="Times New Roman"/>
          <w:color w:val="000000"/>
          <w:sz w:val="20"/>
          <w:szCs w:val="20"/>
        </w:rPr>
        <w:t xml:space="preserve">The Company's pro rata share of the unconsolidated joint venture Centers' fixed rate debt at each of March 31, 2021 and December 31, 2020 was $3.0 billion. The average interest rate on the fixed rate debt at March 31, 2021 and December 31, 2020 was </w:t>
      </w:r>
      <w:r>
        <w:rPr>
          <w:rFonts w:eastAsia="Times New Roman"/>
          <w:color w:val="000000"/>
          <w:sz w:val="20"/>
          <w:szCs w:val="20"/>
        </w:rPr>
        <w:t>3.81% and 3.82%, respectively. The Company's pro rata share of the unconsolidated joint venture Centers' floating rate debt at March 31, 2021 and December 31, 2020 was $83.7 million and $70.5 million, respectively. The average interest rate on the floating</w:t>
      </w:r>
      <w:r>
        <w:rPr>
          <w:rFonts w:eastAsia="Times New Roman"/>
          <w:color w:val="000000"/>
          <w:sz w:val="20"/>
          <w:szCs w:val="20"/>
        </w:rPr>
        <w:t xml:space="preserve"> rate debt at March 31, 2021 and December 31, 2020 was 1.95% and 2.02%, respectively.</w:t>
      </w:r>
    </w:p>
    <w:p w:rsidR="00000000" w:rsidRDefault="009D532D">
      <w:pPr>
        <w:ind w:firstLine="495"/>
        <w:divId w:val="1268805269"/>
        <w:rPr>
          <w:rFonts w:eastAsia="Times New Roman"/>
        </w:rPr>
      </w:pPr>
      <w:r>
        <w:rPr>
          <w:rFonts w:eastAsia="Times New Roman"/>
          <w:color w:val="000000"/>
          <w:sz w:val="20"/>
          <w:szCs w:val="20"/>
        </w:rPr>
        <w:t xml:space="preserve">The Company uses derivative financial instruments in the normal course of business to manage or hedge interest rate risk and records all derivatives on the balance sheet </w:t>
      </w:r>
      <w:r>
        <w:rPr>
          <w:rFonts w:eastAsia="Times New Roman"/>
          <w:color w:val="000000"/>
          <w:sz w:val="20"/>
          <w:szCs w:val="20"/>
        </w:rPr>
        <w:t>at fair value. Interest rate cap agreements offer protection against floating rates on the notional amount from exceeding the rates noted in the above schedule, and interest rate swap agreements effectively replace a floating rate on the notional amount wi</w:t>
      </w:r>
      <w:r>
        <w:rPr>
          <w:rFonts w:eastAsia="Times New Roman"/>
          <w:color w:val="000000"/>
          <w:sz w:val="20"/>
          <w:szCs w:val="20"/>
        </w:rPr>
        <w:t>th a fixed rate as noted above. As of March 31, 2021, the Company has one interest rate cap agreement and four interest rate swap agreements in place (See Note 5—Derivative Instruments and Hedging Activities in the Company's Notes to the Consolidated Finan</w:t>
      </w:r>
      <w:r>
        <w:rPr>
          <w:rFonts w:eastAsia="Times New Roman"/>
          <w:color w:val="000000"/>
          <w:sz w:val="20"/>
          <w:szCs w:val="20"/>
        </w:rPr>
        <w:t>cial Statements).</w:t>
      </w:r>
    </w:p>
    <w:p w:rsidR="00000000" w:rsidRDefault="009D532D">
      <w:pPr>
        <w:ind w:firstLine="495"/>
        <w:divId w:val="2027361871"/>
        <w:rPr>
          <w:rFonts w:eastAsia="Times New Roman"/>
        </w:rPr>
      </w:pPr>
    </w:p>
    <w:p w:rsidR="00000000" w:rsidRDefault="009D532D">
      <w:pPr>
        <w:jc w:val="center"/>
        <w:divId w:val="1866597497"/>
        <w:rPr>
          <w:rFonts w:eastAsia="Times New Roman"/>
        </w:rPr>
      </w:pPr>
    </w:p>
    <w:p w:rsidR="00000000" w:rsidRDefault="009D532D">
      <w:pPr>
        <w:jc w:val="center"/>
        <w:divId w:val="1866597497"/>
        <w:rPr>
          <w:rFonts w:eastAsia="Times New Roman"/>
        </w:rPr>
      </w:pPr>
      <w:r>
        <w:rPr>
          <w:rFonts w:eastAsia="Times New Roman"/>
          <w:color w:val="000000"/>
          <w:sz w:val="20"/>
          <w:szCs w:val="20"/>
        </w:rPr>
        <w:t>40</w:t>
      </w:r>
    </w:p>
    <w:p w:rsidR="00000000" w:rsidRDefault="009D532D">
      <w:pPr>
        <w:rPr>
          <w:rFonts w:eastAsia="Times New Roman"/>
        </w:rPr>
      </w:pPr>
      <w:r>
        <w:rPr>
          <w:rFonts w:eastAsia="Times New Roman"/>
        </w:rPr>
        <w:pict>
          <v:rect id="_x0000_i1064" style="width:0;height:1.5pt" o:hralign="center" o:hrstd="t" o:hr="t" fillcolor="#a0a0a0" stroked="f"/>
        </w:pict>
      </w:r>
    </w:p>
    <w:p w:rsidR="00000000" w:rsidRDefault="009D532D">
      <w:pPr>
        <w:divId w:val="762535813"/>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ind w:firstLine="495"/>
        <w:divId w:val="131220910"/>
        <w:rPr>
          <w:rFonts w:eastAsia="Times New Roman"/>
        </w:rPr>
      </w:pPr>
      <w:r>
        <w:rPr>
          <w:rFonts w:eastAsia="Times New Roman"/>
          <w:color w:val="000000"/>
          <w:sz w:val="20"/>
          <w:szCs w:val="20"/>
        </w:rPr>
        <w:t>In addition, the Company has assessed the market risk for its floating rate debt and believes that a 1% increase in in</w:t>
      </w:r>
      <w:r>
        <w:rPr>
          <w:rFonts w:eastAsia="Times New Roman"/>
          <w:color w:val="000000"/>
          <w:sz w:val="20"/>
          <w:szCs w:val="20"/>
        </w:rPr>
        <w:t>terest rates would decrease future earnings and cash flows by approximately $17.9 million per year based on $1.8 billion of floating rate debt outstanding at March 31, 2021.</w:t>
      </w:r>
    </w:p>
    <w:p w:rsidR="00000000" w:rsidRDefault="009D532D">
      <w:pPr>
        <w:ind w:firstLine="495"/>
        <w:divId w:val="961350208"/>
        <w:rPr>
          <w:rFonts w:eastAsia="Times New Roman"/>
        </w:rPr>
      </w:pPr>
      <w:r>
        <w:rPr>
          <w:rFonts w:eastAsia="Times New Roman"/>
          <w:color w:val="000000"/>
          <w:sz w:val="20"/>
          <w:szCs w:val="20"/>
        </w:rPr>
        <w:t>The fair value of the Company's long-term debt is estimated based on a present val</w:t>
      </w:r>
      <w:r>
        <w:rPr>
          <w:rFonts w:eastAsia="Times New Roman"/>
          <w:color w:val="000000"/>
          <w:sz w:val="20"/>
          <w:szCs w:val="20"/>
        </w:rPr>
        <w:t>ue model utilizing interest rates that reflect the risks associated with long-term debt of similar risk and duration. In addition, the method of computing fair value for mortgage notes payable included a credit value adjustment based on the estimated value</w:t>
      </w:r>
      <w:r>
        <w:rPr>
          <w:rFonts w:eastAsia="Times New Roman"/>
          <w:color w:val="000000"/>
          <w:sz w:val="20"/>
          <w:szCs w:val="20"/>
        </w:rPr>
        <w:t xml:space="preserve"> of the property that serves as collateral for the underlying debt (See Note 10—Mortgage Notes Payable and Note 11—Bank and Other Notes Payable in the Company's Notes to the Consolidated Financial Statements). </w:t>
      </w:r>
    </w:p>
    <w:p w:rsidR="00000000" w:rsidRDefault="009D532D">
      <w:pPr>
        <w:ind w:firstLine="495"/>
        <w:divId w:val="971523509"/>
        <w:rPr>
          <w:rFonts w:eastAsia="Times New Roman"/>
        </w:rPr>
      </w:pPr>
      <w:r>
        <w:rPr>
          <w:rFonts w:eastAsia="Times New Roman"/>
          <w:color w:val="000000"/>
          <w:sz w:val="20"/>
          <w:szCs w:val="20"/>
        </w:rPr>
        <w:t>In July 2017, the Financial Conduct Authority</w:t>
      </w:r>
      <w:r>
        <w:rPr>
          <w:rFonts w:eastAsia="Times New Roman"/>
          <w:color w:val="000000"/>
          <w:sz w:val="20"/>
          <w:szCs w:val="20"/>
        </w:rPr>
        <w:t xml:space="preserve"> (the “FCA”), the authority that regulates LIBOR, announced that it intends to stop compelling banks to submit rates for the calculation of LIBOR after 2021, and, on March 5, 2021, the FCA announced that USD-LIBOR will no longer be published after June 30,</w:t>
      </w:r>
      <w:r>
        <w:rPr>
          <w:rFonts w:eastAsia="Times New Roman"/>
          <w:color w:val="000000"/>
          <w:sz w:val="20"/>
          <w:szCs w:val="20"/>
        </w:rPr>
        <w:t xml:space="preserve"> 2023. In the event that LIBOR is discontinued after June 30, 2023, the interest rate for the variable rate debt of the Company and its joint ventures and the swap rate for the Company’s interest rate swaps following such event will be based on an alternat</w:t>
      </w:r>
      <w:r>
        <w:rPr>
          <w:rFonts w:eastAsia="Times New Roman"/>
          <w:color w:val="000000"/>
          <w:sz w:val="20"/>
          <w:szCs w:val="20"/>
        </w:rPr>
        <w:t>ive variable rate as specified in the applicable documentation governing such debt or swaps or as otherwise agreed upon. Such an event would not affect the Company’s ability to borrow or maintain already outstanding borrowings or swaps, but the alternative</w:t>
      </w:r>
      <w:r>
        <w:rPr>
          <w:rFonts w:eastAsia="Times New Roman"/>
          <w:color w:val="000000"/>
          <w:sz w:val="20"/>
          <w:szCs w:val="20"/>
        </w:rPr>
        <w:t xml:space="preserve"> variable rate could be higher and more volatile than LIBOR prior to its discontinuance.</w:t>
      </w:r>
    </w:p>
    <w:p w:rsidR="00000000" w:rsidRDefault="009D532D">
      <w:pPr>
        <w:ind w:hanging="360"/>
        <w:divId w:val="1073430337"/>
        <w:rPr>
          <w:rFonts w:eastAsia="Times New Roman"/>
        </w:rPr>
      </w:pPr>
      <w:r>
        <w:rPr>
          <w:rFonts w:eastAsia="Times New Roman"/>
          <w:b/>
          <w:bCs/>
          <w:color w:val="000000"/>
          <w:sz w:val="20"/>
          <w:szCs w:val="20"/>
        </w:rPr>
        <w:t>Item 4.    Controls and Procedures</w:t>
      </w:r>
    </w:p>
    <w:p w:rsidR="00000000" w:rsidRDefault="009D532D">
      <w:pPr>
        <w:ind w:firstLine="495"/>
        <w:divId w:val="1052539714"/>
        <w:rPr>
          <w:rFonts w:eastAsia="Times New Roman"/>
        </w:rPr>
      </w:pPr>
      <w:r>
        <w:rPr>
          <w:rFonts w:eastAsia="Times New Roman"/>
          <w:color w:val="000000"/>
          <w:sz w:val="20"/>
          <w:szCs w:val="20"/>
        </w:rPr>
        <w:t>As required by Rule </w:t>
      </w:r>
      <w:r>
        <w:rPr>
          <w:rFonts w:eastAsia="Times New Roman"/>
          <w:color w:val="000000"/>
          <w:sz w:val="20"/>
          <w:szCs w:val="20"/>
        </w:rPr>
        <w:t>13a-15(b) under the Securities Exchange Act of 1934, management carried out an evaluation, under the supervision and with the participation of the Company's Chief Executive Officer and Chief Financial Officer, of the effectiveness of the Company's disclosu</w:t>
      </w:r>
      <w:r>
        <w:rPr>
          <w:rFonts w:eastAsia="Times New Roman"/>
          <w:color w:val="000000"/>
          <w:sz w:val="20"/>
          <w:szCs w:val="20"/>
        </w:rPr>
        <w:t>re controls and procedures as of the end of the period covered by this Quarterly Report on Form 10-Q. Based on their evaluation as of March 31, 2021, the Company's Chief Executive Officer and Chief Financial Officer have concluded that the Company's disclo</w:t>
      </w:r>
      <w:r>
        <w:rPr>
          <w:rFonts w:eastAsia="Times New Roman"/>
          <w:color w:val="000000"/>
          <w:sz w:val="20"/>
          <w:szCs w:val="20"/>
        </w:rPr>
        <w:t>sure controls and procedures (as defined in Rule 13a-15(e) and 15d-15(e) under the Securities Exchange Act of 1934, as amended) were effective to ensure that the information required to be disclosed by the Company in the reports that it files or submits un</w:t>
      </w:r>
      <w:r>
        <w:rPr>
          <w:rFonts w:eastAsia="Times New Roman"/>
          <w:color w:val="000000"/>
          <w:sz w:val="20"/>
          <w:szCs w:val="20"/>
        </w:rPr>
        <w:t>der the Securities Exchange Act of 1934 is (a) recorded, processed, summarized, and reported within the time periods specified in the SEC's rules and forms and (b) accumulated and communicated to the Company's management, including its Chief Executive Offi</w:t>
      </w:r>
      <w:r>
        <w:rPr>
          <w:rFonts w:eastAsia="Times New Roman"/>
          <w:color w:val="000000"/>
          <w:sz w:val="20"/>
          <w:szCs w:val="20"/>
        </w:rPr>
        <w:t>cer and Chief Financial Officer, or persons performing similar functions, as appropriate to allow timely decisions regarding required disclosure.</w:t>
      </w:r>
    </w:p>
    <w:p w:rsidR="00000000" w:rsidRDefault="009D532D">
      <w:pPr>
        <w:ind w:firstLine="495"/>
        <w:divId w:val="878393438"/>
        <w:rPr>
          <w:rFonts w:eastAsia="Times New Roman"/>
        </w:rPr>
      </w:pPr>
      <w:r>
        <w:rPr>
          <w:rFonts w:eastAsia="Times New Roman"/>
          <w:color w:val="000000"/>
          <w:sz w:val="20"/>
          <w:szCs w:val="20"/>
        </w:rPr>
        <w:t>In addition, there has been no change in the Company's internal control over financial reporting (as such term</w:t>
      </w:r>
      <w:r>
        <w:rPr>
          <w:rFonts w:eastAsia="Times New Roman"/>
          <w:color w:val="000000"/>
          <w:sz w:val="20"/>
          <w:szCs w:val="20"/>
        </w:rPr>
        <w:t xml:space="preserve"> is defined in Rules 13a-15(f) and 15(d)-15(f) under the Securities Exchange Act of 1934) that occurred during the Company's most recent fiscal quarter that has materially affected, or is reasonably likely to materially affect, the Company's internal contr</w:t>
      </w:r>
      <w:r>
        <w:rPr>
          <w:rFonts w:eastAsia="Times New Roman"/>
          <w:color w:val="000000"/>
          <w:sz w:val="20"/>
          <w:szCs w:val="20"/>
        </w:rPr>
        <w:t>ol over financial reporting.</w:t>
      </w:r>
    </w:p>
    <w:p w:rsidR="00000000" w:rsidRDefault="009D532D">
      <w:pPr>
        <w:ind w:firstLine="495"/>
        <w:divId w:val="1979604093"/>
        <w:rPr>
          <w:rFonts w:eastAsia="Times New Roman"/>
        </w:rPr>
      </w:pPr>
    </w:p>
    <w:p w:rsidR="00000000" w:rsidRDefault="009D532D">
      <w:pPr>
        <w:jc w:val="center"/>
        <w:divId w:val="1301570064"/>
        <w:rPr>
          <w:rFonts w:eastAsia="Times New Roman"/>
        </w:rPr>
      </w:pPr>
      <w:r>
        <w:rPr>
          <w:rFonts w:eastAsia="Times New Roman"/>
          <w:b/>
          <w:bCs/>
          <w:color w:val="000000"/>
          <w:sz w:val="20"/>
          <w:szCs w:val="20"/>
        </w:rPr>
        <w:t>PART II OTHER INFORMATION</w:t>
      </w:r>
    </w:p>
    <w:p w:rsidR="00000000" w:rsidRDefault="009D532D">
      <w:pPr>
        <w:divId w:val="920062368"/>
        <w:rPr>
          <w:rFonts w:eastAsia="Times New Roman"/>
        </w:rPr>
      </w:pPr>
      <w:r>
        <w:rPr>
          <w:rFonts w:eastAsia="Times New Roman"/>
          <w:b/>
          <w:bCs/>
          <w:color w:val="000000"/>
          <w:sz w:val="20"/>
          <w:szCs w:val="20"/>
        </w:rPr>
        <w:t>Item 1.   Legal Proceedings</w:t>
      </w:r>
    </w:p>
    <w:p w:rsidR="00000000" w:rsidRDefault="009D532D">
      <w:pPr>
        <w:ind w:firstLine="495"/>
        <w:divId w:val="1148325357"/>
        <w:rPr>
          <w:rFonts w:eastAsia="Times New Roman"/>
        </w:rPr>
      </w:pPr>
      <w:r>
        <w:rPr>
          <w:rFonts w:eastAsia="Times New Roman"/>
          <w:color w:val="000000"/>
          <w:sz w:val="20"/>
          <w:szCs w:val="20"/>
        </w:rPr>
        <w:t xml:space="preserve">None of the Company, the Operating Partnership, the Management Companies or their respective affiliates are currently involved in any material legal proceedings, although </w:t>
      </w:r>
      <w:r>
        <w:rPr>
          <w:rFonts w:eastAsia="Times New Roman"/>
          <w:color w:val="000000"/>
          <w:sz w:val="20"/>
          <w:szCs w:val="20"/>
        </w:rPr>
        <w:t>from time-to-time they are involved in various legal proceedings that arise in the ordinary course of business.</w:t>
      </w:r>
    </w:p>
    <w:p w:rsidR="00000000" w:rsidRDefault="009D532D">
      <w:pPr>
        <w:divId w:val="1291863286"/>
        <w:rPr>
          <w:rFonts w:eastAsia="Times New Roman"/>
        </w:rPr>
      </w:pPr>
      <w:r>
        <w:rPr>
          <w:rFonts w:eastAsia="Times New Roman"/>
          <w:b/>
          <w:bCs/>
          <w:color w:val="000000"/>
          <w:sz w:val="20"/>
          <w:szCs w:val="20"/>
        </w:rPr>
        <w:t>Item 1A.  Risk Factors</w:t>
      </w:r>
    </w:p>
    <w:p w:rsidR="00000000" w:rsidRDefault="009D532D">
      <w:pPr>
        <w:ind w:firstLine="495"/>
        <w:divId w:val="1004480780"/>
        <w:rPr>
          <w:rFonts w:eastAsia="Times New Roman"/>
        </w:rPr>
      </w:pPr>
      <w:r>
        <w:rPr>
          <w:rFonts w:eastAsia="Times New Roman"/>
          <w:color w:val="000000"/>
          <w:sz w:val="20"/>
          <w:szCs w:val="20"/>
        </w:rPr>
        <w:t>There have been no material changes to the risk factors relating to the Company set forth under the caption "Item 1A. Ris</w:t>
      </w:r>
      <w:r>
        <w:rPr>
          <w:rFonts w:eastAsia="Times New Roman"/>
          <w:color w:val="000000"/>
          <w:sz w:val="20"/>
          <w:szCs w:val="20"/>
        </w:rPr>
        <w:t>k Factors" in the Company's Annual Report on Form 10-K for the year ended December 31, 2020.</w:t>
      </w:r>
    </w:p>
    <w:p w:rsidR="00000000" w:rsidRDefault="009D532D">
      <w:pPr>
        <w:ind w:firstLine="495"/>
        <w:divId w:val="1273249048"/>
        <w:rPr>
          <w:rFonts w:eastAsia="Times New Roman"/>
        </w:rPr>
      </w:pPr>
    </w:p>
    <w:p w:rsidR="00000000" w:rsidRDefault="009D532D">
      <w:pPr>
        <w:ind w:firstLine="495"/>
        <w:divId w:val="1647129716"/>
        <w:rPr>
          <w:rFonts w:eastAsia="Times New Roman"/>
        </w:rPr>
      </w:pPr>
    </w:p>
    <w:p w:rsidR="00000000" w:rsidRDefault="009D532D">
      <w:pPr>
        <w:ind w:firstLine="495"/>
        <w:divId w:val="1732538330"/>
        <w:rPr>
          <w:rFonts w:eastAsia="Times New Roman"/>
        </w:rPr>
      </w:pPr>
    </w:p>
    <w:p w:rsidR="00000000" w:rsidRDefault="009D532D">
      <w:pPr>
        <w:ind w:firstLine="495"/>
        <w:divId w:val="501555598"/>
        <w:rPr>
          <w:rFonts w:eastAsia="Times New Roman"/>
        </w:rPr>
      </w:pPr>
    </w:p>
    <w:p w:rsidR="00000000" w:rsidRDefault="009D532D">
      <w:pPr>
        <w:ind w:firstLine="495"/>
        <w:divId w:val="1240944583"/>
        <w:rPr>
          <w:rFonts w:eastAsia="Times New Roman"/>
        </w:rPr>
      </w:pPr>
    </w:p>
    <w:p w:rsidR="00000000" w:rsidRDefault="009D532D">
      <w:pPr>
        <w:ind w:firstLine="495"/>
        <w:divId w:val="755251687"/>
        <w:rPr>
          <w:rFonts w:eastAsia="Times New Roman"/>
        </w:rPr>
      </w:pPr>
    </w:p>
    <w:p w:rsidR="00000000" w:rsidRDefault="009D532D">
      <w:pPr>
        <w:ind w:firstLine="495"/>
        <w:divId w:val="1916668266"/>
        <w:rPr>
          <w:rFonts w:eastAsia="Times New Roman"/>
        </w:rPr>
      </w:pPr>
    </w:p>
    <w:p w:rsidR="00000000" w:rsidRDefault="009D532D">
      <w:pPr>
        <w:jc w:val="center"/>
        <w:divId w:val="567573176"/>
        <w:rPr>
          <w:rFonts w:eastAsia="Times New Roman"/>
        </w:rPr>
      </w:pPr>
    </w:p>
    <w:p w:rsidR="00000000" w:rsidRDefault="009D532D">
      <w:pPr>
        <w:jc w:val="center"/>
        <w:divId w:val="567573176"/>
        <w:rPr>
          <w:rFonts w:eastAsia="Times New Roman"/>
        </w:rPr>
      </w:pPr>
      <w:r>
        <w:rPr>
          <w:rFonts w:eastAsia="Times New Roman"/>
          <w:color w:val="000000"/>
          <w:sz w:val="20"/>
          <w:szCs w:val="20"/>
        </w:rPr>
        <w:t>41</w:t>
      </w:r>
    </w:p>
    <w:p w:rsidR="00000000" w:rsidRDefault="009D532D">
      <w:pPr>
        <w:rPr>
          <w:rFonts w:eastAsia="Times New Roman"/>
        </w:rPr>
      </w:pPr>
      <w:r>
        <w:rPr>
          <w:rFonts w:eastAsia="Times New Roman"/>
        </w:rPr>
        <w:pict>
          <v:rect id="_x0000_i1065" style="width:0;height:1.5pt" o:hralign="center" o:hrstd="t" o:hr="t" fillcolor="#a0a0a0" stroked="f"/>
        </w:pict>
      </w:r>
    </w:p>
    <w:p w:rsidR="00000000" w:rsidRDefault="009D532D">
      <w:pPr>
        <w:divId w:val="1728065055"/>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1798139386"/>
        <w:rPr>
          <w:rFonts w:eastAsia="Times New Roman"/>
        </w:rPr>
      </w:pPr>
      <w:r>
        <w:rPr>
          <w:rFonts w:eastAsia="Times New Roman"/>
          <w:b/>
          <w:bCs/>
          <w:color w:val="000000"/>
          <w:sz w:val="20"/>
          <w:szCs w:val="20"/>
        </w:rPr>
        <w:t>Item 2.  </w:t>
      </w:r>
      <w:r>
        <w:rPr>
          <w:rFonts w:eastAsia="Times New Roman"/>
          <w:b/>
          <w:bCs/>
          <w:color w:val="000000"/>
          <w:sz w:val="20"/>
          <w:szCs w:val="20"/>
        </w:rPr>
        <w:t>Unregistered Sales of Equity Securities and Use of Proceeds</w:t>
      </w:r>
    </w:p>
    <w:p w:rsidR="00000000" w:rsidRDefault="009D532D">
      <w:pPr>
        <w:ind w:firstLine="495"/>
        <w:divId w:val="1209802072"/>
        <w:rPr>
          <w:rFonts w:eastAsia="Times New Roman"/>
        </w:rPr>
      </w:pPr>
      <w:r>
        <w:rPr>
          <w:rFonts w:eastAsia="Times New Roman"/>
          <w:color w:val="000000"/>
          <w:sz w:val="20"/>
          <w:szCs w:val="20"/>
        </w:rPr>
        <w:t>On March 11, 2021 and March 22, 2021, the Company, as general partner of the Operating Partnership, issued 6,622 and 1,171,908 shares of common stock of the Company, respectively, upon the redempt</w:t>
      </w:r>
      <w:r>
        <w:rPr>
          <w:rFonts w:eastAsia="Times New Roman"/>
          <w:color w:val="000000"/>
          <w:sz w:val="20"/>
          <w:szCs w:val="20"/>
        </w:rPr>
        <w:t>ion of 1,178,530 common partnership units of the Operating Partnership. These shares of common stock were issued in private placements to two limited partners of the Operating Partnership, each an accredited investor, pursuant to Section 4(a)(2) of the Sec</w:t>
      </w:r>
      <w:r>
        <w:rPr>
          <w:rFonts w:eastAsia="Times New Roman"/>
          <w:color w:val="000000"/>
          <w:sz w:val="20"/>
          <w:szCs w:val="20"/>
        </w:rPr>
        <w:t>urities Act of 1933, as amended.</w:t>
      </w:r>
    </w:p>
    <w:p w:rsidR="00000000" w:rsidRDefault="009D532D">
      <w:pPr>
        <w:ind w:firstLine="495"/>
        <w:divId w:val="1237858891"/>
        <w:rPr>
          <w:rFonts w:eastAsia="Times New Roman"/>
        </w:rPr>
      </w:pPr>
    </w:p>
    <w:p w:rsidR="00000000" w:rsidRDefault="009D532D">
      <w:pPr>
        <w:divId w:val="1755711126"/>
        <w:rPr>
          <w:rFonts w:eastAsia="Times New Roman"/>
        </w:rPr>
      </w:pPr>
      <w:r>
        <w:rPr>
          <w:rFonts w:eastAsia="Times New Roman"/>
          <w:b/>
          <w:bCs/>
          <w:color w:val="000000"/>
          <w:sz w:val="20"/>
          <w:szCs w:val="20"/>
        </w:rPr>
        <w:t>Issuer Purchases of Equity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7"/>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09"/>
        <w:gridCol w:w="36"/>
      </w:tblGrid>
      <w:tr w:rsidR="00000000">
        <w:trPr>
          <w:divId w:val="1755711126"/>
        </w:trPr>
        <w:tc>
          <w:tcPr>
            <w:tcW w:w="50" w:type="pct"/>
            <w:vAlign w:val="center"/>
            <w:hideMark/>
          </w:tcPr>
          <w:p w:rsidR="00000000" w:rsidRDefault="009D532D">
            <w:pPr>
              <w:rPr>
                <w:rFonts w:eastAsia="Times New Roman"/>
              </w:rPr>
            </w:pPr>
          </w:p>
        </w:tc>
        <w:tc>
          <w:tcPr>
            <w:tcW w:w="151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3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2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54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10"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23"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71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8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1755711126"/>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r>
      <w:tr w:rsidR="00000000">
        <w:trPr>
          <w:divId w:val="175571112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January 1, 2021 to January 31, 2021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r>
      <w:tr w:rsidR="00000000">
        <w:trPr>
          <w:divId w:val="1755711126"/>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February 1, 2021 to February 28, 2021</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r>
      <w:tr w:rsidR="00000000">
        <w:trPr>
          <w:divId w:val="1755711126"/>
        </w:trPr>
        <w:tc>
          <w:tcPr>
            <w:tcW w:w="0" w:type="auto"/>
            <w:gridSpan w:val="3"/>
            <w:shd w:val="clear" w:color="auto" w:fill="CCEE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March 1, 2021 to March 31, 2021</w:t>
            </w: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r>
      <w:tr w:rsidR="00000000">
        <w:trPr>
          <w:divId w:val="1755711126"/>
        </w:trPr>
        <w:tc>
          <w:tcPr>
            <w:tcW w:w="0" w:type="auto"/>
            <w:gridSpan w:val="3"/>
            <w:shd w:val="clear" w:color="auto" w:fill="FFFFFF"/>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9D532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D532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D532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ind w:hanging="630"/>
        <w:divId w:val="703864140"/>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rsidR="00000000" w:rsidRDefault="009D532D">
      <w:pPr>
        <w:divId w:val="2061049367"/>
        <w:rPr>
          <w:rFonts w:eastAsia="Times New Roman"/>
        </w:rPr>
      </w:pPr>
      <w:r>
        <w:rPr>
          <w:rFonts w:eastAsia="Times New Roman"/>
          <w:b/>
          <w:bCs/>
          <w:color w:val="000000"/>
          <w:sz w:val="20"/>
          <w:szCs w:val="20"/>
        </w:rPr>
        <w:t>Item 3.  Defaults Upon Senior Securities</w:t>
      </w:r>
    </w:p>
    <w:p w:rsidR="00000000" w:rsidRDefault="009D532D">
      <w:pPr>
        <w:ind w:firstLine="495"/>
        <w:divId w:val="1462265410"/>
        <w:rPr>
          <w:rFonts w:eastAsia="Times New Roman"/>
        </w:rPr>
      </w:pPr>
      <w:r>
        <w:rPr>
          <w:rFonts w:eastAsia="Times New Roman"/>
          <w:color w:val="000000"/>
          <w:sz w:val="20"/>
          <w:szCs w:val="20"/>
        </w:rPr>
        <w:t>Not Applicable</w:t>
      </w:r>
    </w:p>
    <w:p w:rsidR="00000000" w:rsidRDefault="009D532D">
      <w:pPr>
        <w:divId w:val="717969603"/>
        <w:rPr>
          <w:rFonts w:eastAsia="Times New Roman"/>
        </w:rPr>
      </w:pPr>
      <w:r>
        <w:rPr>
          <w:rFonts w:eastAsia="Times New Roman"/>
          <w:b/>
          <w:bCs/>
          <w:color w:val="000000"/>
          <w:sz w:val="20"/>
          <w:szCs w:val="20"/>
        </w:rPr>
        <w:t>Item 4.  Mine Safety Disclosures</w:t>
      </w:r>
    </w:p>
    <w:p w:rsidR="00000000" w:rsidRDefault="009D532D">
      <w:pPr>
        <w:ind w:firstLine="495"/>
        <w:divId w:val="1633747706"/>
        <w:rPr>
          <w:rFonts w:eastAsia="Times New Roman"/>
        </w:rPr>
      </w:pPr>
      <w:r>
        <w:rPr>
          <w:rFonts w:eastAsia="Times New Roman"/>
          <w:color w:val="000000"/>
          <w:sz w:val="20"/>
          <w:szCs w:val="20"/>
        </w:rPr>
        <w:t>Not Applicable</w:t>
      </w:r>
    </w:p>
    <w:p w:rsidR="00000000" w:rsidRDefault="009D532D">
      <w:pPr>
        <w:divId w:val="1206599981"/>
        <w:rPr>
          <w:rFonts w:eastAsia="Times New Roman"/>
        </w:rPr>
      </w:pPr>
      <w:r>
        <w:rPr>
          <w:rFonts w:eastAsia="Times New Roman"/>
          <w:b/>
          <w:bCs/>
          <w:color w:val="000000"/>
          <w:sz w:val="20"/>
          <w:szCs w:val="20"/>
        </w:rPr>
        <w:t>Item 5.  Other Information</w:t>
      </w:r>
    </w:p>
    <w:p w:rsidR="00000000" w:rsidRDefault="009D532D">
      <w:pPr>
        <w:ind w:firstLine="495"/>
        <w:divId w:val="1961571366"/>
        <w:rPr>
          <w:rFonts w:eastAsia="Times New Roman"/>
        </w:rPr>
      </w:pPr>
      <w:r>
        <w:rPr>
          <w:rFonts w:eastAsia="Times New Roman"/>
          <w:color w:val="000000"/>
          <w:sz w:val="20"/>
          <w:szCs w:val="20"/>
        </w:rPr>
        <w:t>Not Applicable</w:t>
      </w:r>
    </w:p>
    <w:p w:rsidR="00000000" w:rsidRDefault="009D532D">
      <w:pPr>
        <w:jc w:val="center"/>
        <w:divId w:val="570581633"/>
        <w:rPr>
          <w:rFonts w:eastAsia="Times New Roman"/>
        </w:rPr>
      </w:pPr>
    </w:p>
    <w:p w:rsidR="00000000" w:rsidRDefault="009D532D">
      <w:pPr>
        <w:jc w:val="center"/>
        <w:divId w:val="570581633"/>
        <w:rPr>
          <w:rFonts w:eastAsia="Times New Roman"/>
        </w:rPr>
      </w:pPr>
      <w:r>
        <w:rPr>
          <w:rFonts w:eastAsia="Times New Roman"/>
          <w:color w:val="000000"/>
          <w:sz w:val="20"/>
          <w:szCs w:val="20"/>
        </w:rPr>
        <w:t>42</w:t>
      </w:r>
    </w:p>
    <w:p w:rsidR="00000000" w:rsidRDefault="009D532D">
      <w:pPr>
        <w:rPr>
          <w:rFonts w:eastAsia="Times New Roman"/>
        </w:rPr>
      </w:pPr>
      <w:r>
        <w:rPr>
          <w:rFonts w:eastAsia="Times New Roman"/>
        </w:rPr>
        <w:pict>
          <v:rect id="_x0000_i1066" style="width:0;height:1.5pt" o:hralign="center" o:hrstd="t" o:hr="t" fillcolor="#a0a0a0" stroked="f"/>
        </w:pict>
      </w:r>
    </w:p>
    <w:p w:rsidR="00000000" w:rsidRDefault="009D532D">
      <w:pPr>
        <w:divId w:val="1944146166"/>
        <w:rPr>
          <w:rFonts w:eastAsia="Times New Roman"/>
        </w:rPr>
      </w:pPr>
      <w:hyperlink w:anchor="id541c1df58744aaebc41b5947eb4480a_7" w:history="1">
        <w:r>
          <w:rPr>
            <w:rStyle w:val="a3"/>
            <w:rFonts w:eastAsia="Times New Roman"/>
            <w:sz w:val="16"/>
            <w:szCs w:val="16"/>
          </w:rPr>
          <w:t>Table of Contents</w:t>
        </w:r>
      </w:hyperlink>
    </w:p>
    <w:p w:rsidR="00000000" w:rsidRDefault="009D532D">
      <w:pPr>
        <w:divId w:val="545290205"/>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0"/>
        <w:gridCol w:w="7287"/>
        <w:gridCol w:w="38"/>
      </w:tblGrid>
      <w:tr w:rsidR="00000000">
        <w:trPr>
          <w:divId w:val="545290205"/>
        </w:trPr>
        <w:tc>
          <w:tcPr>
            <w:tcW w:w="50" w:type="pct"/>
            <w:vAlign w:val="center"/>
            <w:hideMark/>
          </w:tcPr>
          <w:p w:rsidR="00000000" w:rsidRDefault="009D532D">
            <w:pPr>
              <w:rPr>
                <w:rFonts w:eastAsia="Times New Roman"/>
              </w:rPr>
            </w:pPr>
          </w:p>
        </w:tc>
        <w:tc>
          <w:tcPr>
            <w:tcW w:w="39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46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545290205"/>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Description</w:t>
            </w:r>
          </w:p>
        </w:tc>
      </w:tr>
      <w:tr w:rsidR="00000000">
        <w:trPr>
          <w:divId w:val="545290205"/>
        </w:trPr>
        <w:tc>
          <w:tcPr>
            <w:tcW w:w="0" w:type="auto"/>
            <w:gridSpan w:val="3"/>
            <w:tcBorders>
              <w:top w:val="single" w:sz="8" w:space="0" w:color="000000"/>
            </w:tcBorders>
            <w:tcMar>
              <w:top w:w="30" w:type="dxa"/>
              <w:left w:w="20" w:type="dxa"/>
              <w:bottom w:w="30" w:type="dxa"/>
              <w:right w:w="20" w:type="dxa"/>
            </w:tcMar>
            <w:hideMark/>
          </w:tcPr>
          <w:p w:rsidR="00000000" w:rsidRDefault="009D532D">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D532D">
            <w:pPr>
              <w:spacing w:after="100"/>
              <w:divId w:val="1336835819"/>
              <w:rPr>
                <w:rFonts w:eastAsia="Times New Roman"/>
              </w:rPr>
            </w:pPr>
            <w:hyperlink r:id="rId5" w:history="1">
              <w:r>
                <w:rPr>
                  <w:rStyle w:val="a3"/>
                  <w:rFonts w:eastAsia="Times New Roman"/>
                  <w:sz w:val="20"/>
                  <w:szCs w:val="20"/>
                </w:rPr>
                <w:t>Master Agreement, dated November 14, 2014, by and among Pacific Premier Retail LP, MACPT LLC, Macerich PPR GP LLC, Queens JV LP, Macerich Queens JV LP, Qu</w:t>
              </w:r>
              <w:r>
                <w:rPr>
                  <w:rStyle w:val="a3"/>
                  <w:rFonts w:eastAsia="Times New Roman"/>
                  <w:sz w:val="20"/>
                  <w:szCs w:val="20"/>
                </w:rPr>
                <w:t>eens JV GP LLC, 1700480 Ontario Inc. and the Company (incorporated by reference as an exhibit to the Company’s Current Report on Form 8-K, event date November 14, 2014).</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896084117"/>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2362365"/>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362318877"/>
              <w:rPr>
                <w:rFonts w:eastAsia="Times New Roman"/>
              </w:rPr>
            </w:pPr>
            <w:hyperlink r:id="rId11" w:history="1">
              <w:r>
                <w:rPr>
                  <w:rStyle w:val="a3"/>
                  <w:rFonts w:eastAsia="Times New Roman"/>
                  <w:sz w:val="20"/>
                  <w:szCs w:val="20"/>
                </w:rPr>
                <w:t>Articles Supplementary of the Company (incorporated by reference as an exhibit to the Company's Registration Statement on Form S-3, as amended (No. 333-88718)).</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241059932"/>
              <w:rPr>
                <w:rFonts w:eastAsia="Times New Roman"/>
              </w:rPr>
            </w:pPr>
            <w:hyperlink r:id="rId13"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661036915"/>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366949962"/>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480656809"/>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(incorporated by reference as an exhibit to the Company’s Current Report on Form 8-K, event date May 30</w:t>
              </w:r>
              <w:r>
                <w:rPr>
                  <w:rStyle w:val="a3"/>
                  <w:rFonts w:eastAsia="Times New Roman"/>
                  <w:sz w:val="20"/>
                  <w:szCs w:val="20"/>
                </w:rPr>
                <w:t>, 2014).</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049405445"/>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w:t>
              </w:r>
              <w:r>
                <w:rPr>
                  <w:rStyle w:val="a3"/>
                  <w:rFonts w:eastAsia="Times New Roman"/>
                  <w:sz w:val="20"/>
                  <w:szCs w:val="20"/>
                </w:rPr>
                <w:t>hibit to the Company’s Current Report on Form 8-K, event date March 17, 2015).</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278953152"/>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divId w:val="1373846524"/>
              <w:rPr>
                <w:rFonts w:eastAsia="Times New Roman"/>
              </w:rPr>
            </w:pPr>
            <w:hyperlink r:id="rId25" w:history="1">
              <w:r>
                <w:rPr>
                  <w:rStyle w:val="a3"/>
                  <w:rFonts w:eastAsia="Times New Roman"/>
                  <w:sz w:val="20"/>
                  <w:szCs w:val="20"/>
                </w:rPr>
                <w:t>Articles Supplementary of the Company (reclassification of Series E Preferred Stock to Preferred Stock) (incorporated by reference as an exhibit to the Company’s Current Report on Form 8-K, event date May 7, 2015).</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divId w:val="1022511693"/>
              <w:rPr>
                <w:rFonts w:eastAsia="Times New Roman"/>
              </w:rPr>
            </w:pPr>
            <w:hyperlink r:id="rId27" w:history="1">
              <w:r>
                <w:rPr>
                  <w:rStyle w:val="a3"/>
                  <w:rFonts w:eastAsia="Times New Roman"/>
                  <w:sz w:val="20"/>
                  <w:szCs w:val="20"/>
                </w:rPr>
                <w:t>Articles Supplementary of the Company (r</w:t>
              </w:r>
              <w:r>
                <w:rPr>
                  <w:rStyle w:val="a3"/>
                  <w:rFonts w:eastAsia="Times New Roman"/>
                  <w:sz w:val="20"/>
                  <w:szCs w:val="20"/>
                </w:rPr>
                <w:t>epeal of election to be subject to Section 3-803 of the Maryland General Corporation Law) (incorporated by reference as an exhibit to the Company’s Current Report on Form 8-K, event date May 28, 2015).</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divId w:val="437062692"/>
              <w:rPr>
                <w:rFonts w:eastAsia="Times New Roman"/>
              </w:rPr>
            </w:pPr>
            <w:hyperlink r:id="rId29" w:history="1">
              <w:r>
                <w:rPr>
                  <w:rStyle w:val="a3"/>
                  <w:rFonts w:eastAsia="Times New Roman"/>
                  <w:sz w:val="20"/>
                  <w:szCs w:val="20"/>
                </w:rPr>
                <w:t>Articles Supplementary of the Company (opting out of provisions of Subtitle 8 of Title 3 of the Mar</w:t>
              </w:r>
              <w:r>
                <w:rPr>
                  <w:rStyle w:val="a3"/>
                  <w:rFonts w:eastAsia="Times New Roman"/>
                  <w:sz w:val="20"/>
                  <w:szCs w:val="20"/>
                </w:rPr>
                <w:t>yland General Corporate Law (MUTA provisions)) (incorporated by reference as an exhibit to the Company’s Current Report on Form 8-K, event date April 24, 2019).</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30"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454405276"/>
              <w:rPr>
                <w:rFonts w:eastAsia="Times New Roman"/>
              </w:rPr>
            </w:pPr>
            <w:hyperlink r:id="rId31" w:history="1">
              <w:r>
                <w:rPr>
                  <w:rStyle w:val="a3"/>
                  <w:rFonts w:eastAsia="Times New Roman"/>
                  <w:sz w:val="20"/>
                  <w:szCs w:val="20"/>
                </w:rPr>
                <w:t>Amended and Restated Bylaws of the Company (incorporated by reference as an exhibit to the Company's Current Report on Form 8-K, event date April 24, 2019).</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32"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divId w:val="1522622247"/>
              <w:rPr>
                <w:rFonts w:eastAsia="Times New Roman"/>
              </w:rPr>
            </w:pPr>
            <w:hyperlink r:id="rId33" w:history="1">
              <w:r>
                <w:rPr>
                  <w:rStyle w:val="a3"/>
                  <w:rFonts w:eastAsia="Times New Roman"/>
                  <w:sz w:val="20"/>
                  <w:szCs w:val="20"/>
                </w:rPr>
                <w:t>Credit Agreement, dated as of April 14, 2021, by and among the Company, as a guarantor, the Partnership, as borrower, certain subsidiary guarant</w:t>
              </w:r>
              <w:r>
                <w:rPr>
                  <w:rStyle w:val="a3"/>
                  <w:rFonts w:eastAsia="Times New Roman"/>
                  <w:sz w:val="20"/>
                  <w:szCs w:val="20"/>
                </w:rPr>
                <w:t xml:space="preserve">ors, Deutsche Bank AG New York Branch, as administrative agent and collateral agent, Deutsche Bank Securities Inc., JPMorgan Chase Bank, N.A. and Goldman Sachs Bank USA, as joint lead arrangers and joint bookrunning managers, Deutsche Bank Securities Inc. </w:t>
              </w:r>
              <w:r>
                <w:rPr>
                  <w:rStyle w:val="a3"/>
                  <w:rFonts w:eastAsia="Times New Roman"/>
                  <w:sz w:val="20"/>
                  <w:szCs w:val="20"/>
                </w:rPr>
                <w:t>and JPMorgan Chase Bank, N.A., as co-syndication agents, Goldman Sachs Bank USA, as documentation agent, and various lenders party thereto (incorporated by reference as an exhibit to the Company’s Current Report on Form 8-K, event date April 14, 2021).</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34"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divId w:val="1897467643"/>
              <w:rPr>
                <w:rFonts w:eastAsia="Times New Roman"/>
              </w:rPr>
            </w:pPr>
            <w:hyperlink r:id="rId35" w:history="1">
              <w:r>
                <w:rPr>
                  <w:rStyle w:val="a3"/>
                  <w:rFonts w:eastAsia="Times New Roman"/>
                  <w:sz w:val="20"/>
                  <w:szCs w:val="20"/>
                </w:rPr>
                <w:t>Unconditional Guaranty, dated as of April 14, 20</w:t>
              </w:r>
              <w:r>
                <w:rPr>
                  <w:rStyle w:val="a3"/>
                  <w:rFonts w:eastAsia="Times New Roman"/>
                  <w:sz w:val="20"/>
                  <w:szCs w:val="20"/>
                </w:rPr>
                <w:t>21, by the Company in favor of Deutsche Bank AG New York Branch, as administrative agent (incorporated by reference as an exhibit to the Company’s Current Report on Form 8-K, event date April 14, 2021).</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3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1135492418"/>
              <w:rPr>
                <w:rFonts w:eastAsia="Times New Roman"/>
              </w:rPr>
            </w:pPr>
            <w:hyperlink r:id="rId37" w:history="1">
              <w:r>
                <w:rPr>
                  <w:rStyle w:val="a3"/>
                  <w:rFonts w:eastAsia="Times New Roman"/>
                  <w:sz w:val="20"/>
                  <w:szCs w:val="20"/>
                </w:rPr>
                <w:t>Section 302 Certification of Thomas O'Hern, Chief Executive Officer</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3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338776867"/>
              <w:rPr>
                <w:rFonts w:eastAsia="Times New Roman"/>
              </w:rPr>
            </w:pPr>
            <w:hyperlink r:id="rId39" w:history="1">
              <w:r>
                <w:rPr>
                  <w:rStyle w:val="a3"/>
                  <w:rFonts w:eastAsia="Times New Roman"/>
                  <w:sz w:val="20"/>
                  <w:szCs w:val="20"/>
                </w:rPr>
                <w:t>Section 302 Certification of Scott Kingsmore, Chief Financial Officer</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hyperlink r:id="rId40"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divId w:val="298851190"/>
              <w:rPr>
                <w:rFonts w:eastAsia="Times New Roman"/>
              </w:rPr>
            </w:pPr>
            <w:hyperlink r:id="rId41" w:history="1">
              <w:r>
                <w:rPr>
                  <w:rStyle w:val="a3"/>
                  <w:rFonts w:eastAsia="Times New Roman"/>
                  <w:sz w:val="20"/>
                  <w:szCs w:val="20"/>
                </w:rPr>
                <w:t>Section 906 Certifications of Thomas O'Hern and Scott Kingsmore</w:t>
              </w:r>
            </w:hyperlink>
          </w:p>
        </w:tc>
      </w:tr>
      <w:tr w:rsidR="00000000">
        <w:trPr>
          <w:divId w:val="545290205"/>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Inline XBRL Taxonomy Extension Schema Document</w:t>
            </w:r>
          </w:p>
        </w:tc>
      </w:tr>
    </w:tbl>
    <w:p w:rsidR="00000000" w:rsidRDefault="009D532D">
      <w:pPr>
        <w:divId w:val="2035376680"/>
        <w:rPr>
          <w:rFonts w:eastAsia="Times New Roman"/>
        </w:rPr>
      </w:pPr>
    </w:p>
    <w:p w:rsidR="00000000" w:rsidRDefault="009D532D">
      <w:pPr>
        <w:jc w:val="center"/>
        <w:divId w:val="781071183"/>
        <w:rPr>
          <w:rFonts w:eastAsia="Times New Roman"/>
        </w:rPr>
      </w:pPr>
    </w:p>
    <w:p w:rsidR="00000000" w:rsidRDefault="009D532D">
      <w:pPr>
        <w:jc w:val="center"/>
        <w:divId w:val="781071183"/>
        <w:rPr>
          <w:rFonts w:eastAsia="Times New Roman"/>
        </w:rPr>
      </w:pPr>
      <w:r>
        <w:rPr>
          <w:rFonts w:eastAsia="Times New Roman"/>
          <w:color w:val="000000"/>
          <w:sz w:val="20"/>
          <w:szCs w:val="20"/>
        </w:rPr>
        <w:t>43</w:t>
      </w:r>
    </w:p>
    <w:p w:rsidR="00000000" w:rsidRDefault="009D532D">
      <w:pPr>
        <w:rPr>
          <w:rFonts w:eastAsia="Times New Roman"/>
        </w:rPr>
      </w:pPr>
      <w:r>
        <w:rPr>
          <w:rFonts w:eastAsia="Times New Roman"/>
        </w:rPr>
        <w:pict>
          <v:rect id="_x0000_i1067" style="width:0;height:1.5pt" o:hralign="center" o:hrstd="t" o:hr="t" fillcolor="#a0a0a0" stroked="f"/>
        </w:pict>
      </w:r>
    </w:p>
    <w:p w:rsidR="00000000" w:rsidRDefault="009D532D">
      <w:pPr>
        <w:divId w:val="1561596202"/>
        <w:rPr>
          <w:rFonts w:eastAsia="Times New Roman"/>
        </w:rPr>
      </w:pPr>
      <w:hyperlink w:anchor="id541c1df58744aaebc41b5947eb4480a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9"/>
        <w:gridCol w:w="693"/>
        <w:gridCol w:w="36"/>
        <w:gridCol w:w="36"/>
        <w:gridCol w:w="36"/>
        <w:gridCol w:w="36"/>
        <w:gridCol w:w="39"/>
        <w:gridCol w:w="7279"/>
        <w:gridCol w:w="37"/>
      </w:tblGrid>
      <w:tr w:rsidR="00000000">
        <w:trPr>
          <w:divId w:val="998271714"/>
        </w:trPr>
        <w:tc>
          <w:tcPr>
            <w:tcW w:w="50" w:type="pct"/>
            <w:vAlign w:val="center"/>
            <w:hideMark/>
          </w:tcPr>
          <w:p w:rsidR="00000000" w:rsidRDefault="009D532D">
            <w:pPr>
              <w:rPr>
                <w:rFonts w:eastAsia="Times New Roman"/>
              </w:rPr>
            </w:pPr>
          </w:p>
        </w:tc>
        <w:tc>
          <w:tcPr>
            <w:tcW w:w="392"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26"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4461"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998271714"/>
        </w:trPr>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b/>
                <w:bCs/>
                <w:color w:val="000000"/>
                <w:sz w:val="16"/>
                <w:szCs w:val="16"/>
              </w:rPr>
              <w:t>Description</w:t>
            </w:r>
          </w:p>
        </w:tc>
      </w:tr>
      <w:tr w:rsidR="00000000">
        <w:trPr>
          <w:divId w:val="998271714"/>
        </w:trPr>
        <w:tc>
          <w:tcPr>
            <w:tcW w:w="0" w:type="auto"/>
            <w:gridSpan w:val="3"/>
            <w:tcBorders>
              <w:top w:val="single" w:sz="8" w:space="0" w:color="000000"/>
            </w:tcBorders>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Inline XBRL Taxonomy Extension Calculation Linkbase Document</w:t>
            </w:r>
          </w:p>
        </w:tc>
      </w:tr>
      <w:tr w:rsidR="00000000">
        <w:trPr>
          <w:divId w:val="998271714"/>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Inline XBRL Taxonomy Extension Label Linkbase Document</w:t>
            </w:r>
          </w:p>
        </w:tc>
      </w:tr>
      <w:tr w:rsidR="00000000">
        <w:trPr>
          <w:divId w:val="998271714"/>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Inline XBRL Taxonomy Extension Presentation Linkbase Document</w:t>
            </w:r>
          </w:p>
        </w:tc>
      </w:tr>
      <w:tr w:rsidR="00000000">
        <w:trPr>
          <w:divId w:val="998271714"/>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Inline XBRL Taxonomy Extension Definition Linkbase Document</w:t>
            </w:r>
          </w:p>
        </w:tc>
      </w:tr>
      <w:tr w:rsidR="00000000">
        <w:trPr>
          <w:divId w:val="998271714"/>
        </w:trPr>
        <w:tc>
          <w:tcPr>
            <w:tcW w:w="0" w:type="auto"/>
            <w:gridSpan w:val="3"/>
            <w:tcMar>
              <w:top w:w="30" w:type="dxa"/>
              <w:left w:w="20" w:type="dxa"/>
              <w:bottom w:w="30" w:type="dxa"/>
              <w:right w:w="20" w:type="dxa"/>
            </w:tcMar>
            <w:hideMark/>
          </w:tcPr>
          <w:p w:rsidR="00000000" w:rsidRDefault="009D532D">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D532D">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w:t>
            </w:r>
            <w:r>
              <w:rPr>
                <w:rFonts w:eastAsia="Times New Roman"/>
                <w:color w:val="000000"/>
                <w:sz w:val="20"/>
                <w:szCs w:val="20"/>
              </w:rPr>
              <w:t xml:space="preserve">contained in Exhibits 101.*). </w:t>
            </w:r>
          </w:p>
        </w:tc>
      </w:tr>
      <w:tr w:rsidR="00000000">
        <w:trPr>
          <w:divId w:val="998271714"/>
          <w:trHeight w:val="300"/>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r>
    </w:tbl>
    <w:p w:rsidR="00000000" w:rsidRDefault="009D532D">
      <w:pPr>
        <w:divId w:val="325209198"/>
        <w:rPr>
          <w:rFonts w:eastAsia="Times New Roman"/>
        </w:rPr>
      </w:pPr>
      <w:r>
        <w:rPr>
          <w:rFonts w:eastAsia="Times New Roman"/>
          <w:color w:val="000000"/>
          <w:sz w:val="20"/>
          <w:szCs w:val="20"/>
        </w:rPr>
        <w:t>* Represents a management contract, or compensatory plan, contract or arrangement required to be filed pursuant to Regulation S-K.</w:t>
      </w:r>
    </w:p>
    <w:p w:rsidR="00000000" w:rsidRDefault="009D532D">
      <w:pPr>
        <w:divId w:val="733234786"/>
        <w:rPr>
          <w:rFonts w:eastAsia="Times New Roman"/>
        </w:rPr>
      </w:pPr>
      <w:r>
        <w:rPr>
          <w:rFonts w:eastAsia="Times New Roman"/>
          <w:color w:val="000000"/>
          <w:sz w:val="20"/>
          <w:szCs w:val="20"/>
        </w:rPr>
        <w:t>** Furnished herewith.</w:t>
      </w:r>
    </w:p>
    <w:p w:rsidR="00000000" w:rsidRDefault="009D532D">
      <w:pPr>
        <w:jc w:val="center"/>
        <w:divId w:val="932980970"/>
        <w:rPr>
          <w:rFonts w:eastAsia="Times New Roman"/>
        </w:rPr>
      </w:pPr>
    </w:p>
    <w:p w:rsidR="00000000" w:rsidRDefault="009D532D">
      <w:pPr>
        <w:jc w:val="center"/>
        <w:divId w:val="932980970"/>
        <w:rPr>
          <w:rFonts w:eastAsia="Times New Roman"/>
        </w:rPr>
      </w:pPr>
      <w:r>
        <w:rPr>
          <w:rFonts w:eastAsia="Times New Roman"/>
          <w:color w:val="000000"/>
          <w:sz w:val="20"/>
          <w:szCs w:val="20"/>
        </w:rPr>
        <w:t>44</w:t>
      </w:r>
    </w:p>
    <w:p w:rsidR="00000000" w:rsidRDefault="009D532D">
      <w:pPr>
        <w:rPr>
          <w:rFonts w:eastAsia="Times New Roman"/>
        </w:rPr>
      </w:pPr>
      <w:r>
        <w:rPr>
          <w:rFonts w:eastAsia="Times New Roman"/>
        </w:rPr>
        <w:pict>
          <v:rect id="_x0000_i1068" style="width:0;height:1.5pt" o:hralign="center" o:hrstd="t" o:hr="t" fillcolor="#a0a0a0" stroked="f"/>
        </w:pict>
      </w:r>
    </w:p>
    <w:p w:rsidR="00000000" w:rsidRDefault="009D532D">
      <w:pPr>
        <w:divId w:val="1945529624"/>
        <w:rPr>
          <w:rFonts w:eastAsia="Times New Roman"/>
        </w:rPr>
      </w:pPr>
      <w:hyperlink w:anchor="id541c1df58744aaebc41b5947eb4480a_7" w:history="1">
        <w:r>
          <w:rPr>
            <w:rStyle w:val="a3"/>
            <w:rFonts w:eastAsia="Times New Roman"/>
            <w:sz w:val="16"/>
            <w:szCs w:val="16"/>
          </w:rPr>
          <w:t>Ta</w:t>
        </w:r>
        <w:r>
          <w:rPr>
            <w:rStyle w:val="a3"/>
            <w:rFonts w:eastAsia="Times New Roman"/>
            <w:sz w:val="16"/>
            <w:szCs w:val="16"/>
          </w:rPr>
          <w:t>ble of Contents</w:t>
        </w:r>
      </w:hyperlink>
    </w:p>
    <w:p w:rsidR="00000000" w:rsidRDefault="009D532D">
      <w:pPr>
        <w:divId w:val="143207099"/>
        <w:rPr>
          <w:rFonts w:eastAsia="Times New Roman"/>
        </w:rPr>
      </w:pPr>
      <w:r>
        <w:rPr>
          <w:rFonts w:eastAsia="Times New Roman"/>
          <w:b/>
          <w:bCs/>
          <w:color w:val="000000"/>
          <w:sz w:val="20"/>
          <w:szCs w:val="20"/>
        </w:rPr>
        <w:t>Signature</w:t>
      </w:r>
    </w:p>
    <w:p w:rsidR="00000000" w:rsidRDefault="009D532D">
      <w:pPr>
        <w:ind w:firstLine="495"/>
        <w:divId w:val="293950163"/>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trPr>
          <w:divId w:val="293950163"/>
        </w:trPr>
        <w:tc>
          <w:tcPr>
            <w:tcW w:w="50" w:type="pct"/>
            <w:vAlign w:val="center"/>
            <w:hideMark/>
          </w:tcPr>
          <w:p w:rsidR="00000000" w:rsidRDefault="009D532D">
            <w:pPr>
              <w:ind w:firstLine="495"/>
              <w:rPr>
                <w:rFonts w:eastAsia="Times New Roman"/>
              </w:rPr>
            </w:pPr>
          </w:p>
        </w:tc>
        <w:tc>
          <w:tcPr>
            <w:tcW w:w="238"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60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157"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15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c>
          <w:tcPr>
            <w:tcW w:w="50" w:type="pct"/>
            <w:vAlign w:val="center"/>
            <w:hideMark/>
          </w:tcPr>
          <w:p w:rsidR="00000000" w:rsidRDefault="009D532D">
            <w:pPr>
              <w:spacing w:after="100"/>
              <w:rPr>
                <w:rFonts w:eastAsia="Times New Roman"/>
                <w:sz w:val="20"/>
                <w:szCs w:val="20"/>
              </w:rPr>
            </w:pPr>
          </w:p>
        </w:tc>
        <w:tc>
          <w:tcPr>
            <w:tcW w:w="2565" w:type="pct"/>
            <w:vAlign w:val="center"/>
            <w:hideMark/>
          </w:tcPr>
          <w:p w:rsidR="00000000" w:rsidRDefault="009D532D">
            <w:pPr>
              <w:spacing w:after="100"/>
              <w:rPr>
                <w:rFonts w:eastAsia="Times New Roman"/>
                <w:sz w:val="20"/>
                <w:szCs w:val="20"/>
              </w:rPr>
            </w:pPr>
          </w:p>
        </w:tc>
        <w:tc>
          <w:tcPr>
            <w:tcW w:w="5" w:type="pct"/>
            <w:vAlign w:val="center"/>
            <w:hideMark/>
          </w:tcPr>
          <w:p w:rsidR="00000000" w:rsidRDefault="009D532D">
            <w:pPr>
              <w:spacing w:after="100"/>
              <w:rPr>
                <w:rFonts w:eastAsia="Times New Roman"/>
                <w:sz w:val="20"/>
                <w:szCs w:val="20"/>
              </w:rPr>
            </w:pPr>
          </w:p>
        </w:tc>
      </w:tr>
      <w:tr w:rsidR="00000000">
        <w:trPr>
          <w:divId w:val="293950163"/>
        </w:trPr>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THE MACERICH COMPANY</w:t>
            </w:r>
          </w:p>
        </w:tc>
      </w:tr>
      <w:tr w:rsidR="00000000">
        <w:trPr>
          <w:divId w:val="293950163"/>
        </w:trPr>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color w:val="000000"/>
                <w:sz w:val="20"/>
                <w:szCs w:val="20"/>
              </w:rPr>
              <w:t>/s/ SCOTT W. KINGSMORE</w:t>
            </w:r>
          </w:p>
        </w:tc>
      </w:tr>
      <w:tr w:rsidR="00000000">
        <w:trPr>
          <w:divId w:val="293950163"/>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9D532D">
            <w:pPr>
              <w:spacing w:after="100"/>
              <w:jc w:val="center"/>
              <w:rPr>
                <w:rFonts w:eastAsia="Times New Roman"/>
              </w:rPr>
            </w:pPr>
            <w:r>
              <w:rPr>
                <w:rFonts w:eastAsia="Times New Roman"/>
                <w:color w:val="000000"/>
                <w:sz w:val="20"/>
                <w:szCs w:val="20"/>
              </w:rPr>
              <w:t>Scott W. Kingsmore</w:t>
            </w:r>
          </w:p>
        </w:tc>
      </w:tr>
      <w:tr w:rsidR="00000000">
        <w:trPr>
          <w:divId w:val="293950163"/>
        </w:trPr>
        <w:tc>
          <w:tcPr>
            <w:tcW w:w="0" w:type="auto"/>
            <w:gridSpan w:val="3"/>
            <w:tcMar>
              <w:top w:w="0" w:type="dxa"/>
              <w:left w:w="20" w:type="dxa"/>
              <w:bottom w:w="0" w:type="dxa"/>
              <w:right w:w="20" w:type="dxa"/>
            </w:tcMar>
            <w:vAlign w:val="center"/>
            <w:hideMark/>
          </w:tcPr>
          <w:p w:rsidR="00000000" w:rsidRDefault="009D532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i/>
                <w:iCs/>
                <w:color w:val="000000"/>
                <w:sz w:val="20"/>
                <w:szCs w:val="20"/>
              </w:rPr>
              <w:t> Senior Executive Vice President, Treasurer and Chief Financial Officer</w:t>
            </w:r>
          </w:p>
        </w:tc>
      </w:tr>
      <w:tr w:rsidR="00000000">
        <w:trPr>
          <w:divId w:val="293950163"/>
        </w:trPr>
        <w:tc>
          <w:tcPr>
            <w:tcW w:w="0" w:type="auto"/>
            <w:gridSpan w:val="3"/>
            <w:tcMar>
              <w:top w:w="30" w:type="dxa"/>
              <w:left w:w="20" w:type="dxa"/>
              <w:bottom w:w="30" w:type="dxa"/>
              <w:right w:w="20" w:type="dxa"/>
            </w:tcMar>
            <w:vAlign w:val="bottom"/>
            <w:hideMark/>
          </w:tcPr>
          <w:p w:rsidR="00000000" w:rsidRDefault="009D532D">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rsidR="00000000" w:rsidRDefault="009D532D">
            <w:pPr>
              <w:spacing w:after="100"/>
              <w:rPr>
                <w:rFonts w:eastAsia="Times New Roman"/>
              </w:rPr>
            </w:pPr>
            <w:r>
              <w:rPr>
                <w:rFonts w:eastAsia="Times New Roman"/>
                <w:color w:val="000000"/>
                <w:sz w:val="20"/>
                <w:szCs w:val="20"/>
              </w:rPr>
              <w:t>May 10, 2021</w:t>
            </w:r>
          </w:p>
        </w:tc>
        <w:tc>
          <w:tcPr>
            <w:tcW w:w="0" w:type="auto"/>
            <w:gridSpan w:val="3"/>
            <w:tcMar>
              <w:top w:w="0" w:type="dxa"/>
              <w:left w:w="20" w:type="dxa"/>
              <w:bottom w:w="0" w:type="dxa"/>
              <w:right w:w="20" w:type="dxa"/>
            </w:tcMar>
            <w:vAlign w:val="center"/>
            <w:hideMark/>
          </w:tcPr>
          <w:p w:rsidR="00000000" w:rsidRDefault="009D532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D532D">
            <w:pPr>
              <w:spacing w:after="100"/>
              <w:jc w:val="center"/>
              <w:rPr>
                <w:rFonts w:eastAsia="Times New Roman"/>
              </w:rPr>
            </w:pPr>
            <w:r>
              <w:rPr>
                <w:rFonts w:eastAsia="Times New Roman"/>
                <w:i/>
                <w:iCs/>
                <w:color w:val="000000"/>
                <w:sz w:val="20"/>
                <w:szCs w:val="20"/>
              </w:rPr>
              <w:t>(Principal Financial Officer)</w:t>
            </w:r>
          </w:p>
        </w:tc>
      </w:tr>
    </w:tbl>
    <w:p w:rsidR="00000000" w:rsidRDefault="009D532D">
      <w:pPr>
        <w:divId w:val="68701428"/>
        <w:rPr>
          <w:rFonts w:eastAsia="Times New Roman"/>
        </w:rPr>
      </w:pPr>
    </w:p>
    <w:p w:rsidR="00000000" w:rsidRDefault="009D532D">
      <w:pPr>
        <w:jc w:val="center"/>
        <w:divId w:val="1341354382"/>
        <w:rPr>
          <w:rFonts w:eastAsia="Times New Roman"/>
        </w:rPr>
      </w:pPr>
    </w:p>
    <w:p w:rsidR="009D532D" w:rsidRDefault="009D532D">
      <w:pPr>
        <w:jc w:val="center"/>
        <w:divId w:val="1341354382"/>
        <w:rPr>
          <w:rFonts w:eastAsia="Times New Roman"/>
        </w:rPr>
      </w:pPr>
      <w:r>
        <w:rPr>
          <w:rFonts w:eastAsia="Times New Roman"/>
          <w:color w:val="000000"/>
          <w:sz w:val="20"/>
          <w:szCs w:val="20"/>
        </w:rPr>
        <w:t>45</w:t>
      </w:r>
    </w:p>
    <w:sectPr w:rsidR="009D532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D532D"/>
    <w:rsid w:val="009D532D"/>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xbrl.org/2013/inlineXBRL"/>
  <w:attachedSchema w:val="http://fasb.org/srt/2020-01-31"/>
  <w:attachedSchema w:val="http://xbrl.org/2006/xbrldi"/>
  <w:attachedSchema w:val="http://fasb.org/us-gaap/2020-01-31"/>
  <w:attachedSchema w:val="http://www.xbrl.org/2003/instance"/>
  <w:attachedSchema w:val="http://www.macerich.com/20210331"/>
  <w:attachedSchema w:val="http://xbrl.sec.gov/dei/2020-01-31"/>
  <w:attachedSchema w:val="http://www.xbrl.org/2003/iso4217"/>
  <w:attachedSchema w:val="http://www.xbrl.org/2009/utr"/>
  <w:attachedSchema w:val="http://www.xbrl.org/2003/linkbase"/>
  <w:attachedSchema w:val="http://www.w3.org/1999/xlink"/>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97">
      <w:marLeft w:val="0"/>
      <w:marRight w:val="0"/>
      <w:marTop w:val="0"/>
      <w:marBottom w:val="160"/>
      <w:divBdr>
        <w:top w:val="none" w:sz="0" w:space="0" w:color="auto"/>
        <w:left w:val="none" w:sz="0" w:space="0" w:color="auto"/>
        <w:bottom w:val="none" w:sz="0" w:space="0" w:color="auto"/>
        <w:right w:val="none" w:sz="0" w:space="0" w:color="auto"/>
      </w:divBdr>
    </w:div>
    <w:div w:id="2708336">
      <w:marLeft w:val="0"/>
      <w:marRight w:val="0"/>
      <w:marTop w:val="160"/>
      <w:marBottom w:val="160"/>
      <w:divBdr>
        <w:top w:val="none" w:sz="0" w:space="0" w:color="auto"/>
        <w:left w:val="none" w:sz="0" w:space="0" w:color="auto"/>
        <w:bottom w:val="none" w:sz="0" w:space="0" w:color="auto"/>
        <w:right w:val="none" w:sz="0" w:space="0" w:color="auto"/>
      </w:divBdr>
    </w:div>
    <w:div w:id="3678253">
      <w:marLeft w:val="0"/>
      <w:marRight w:val="0"/>
      <w:marTop w:val="160"/>
      <w:marBottom w:val="160"/>
      <w:divBdr>
        <w:top w:val="none" w:sz="0" w:space="0" w:color="auto"/>
        <w:left w:val="none" w:sz="0" w:space="0" w:color="auto"/>
        <w:bottom w:val="none" w:sz="0" w:space="0" w:color="auto"/>
        <w:right w:val="none" w:sz="0" w:space="0" w:color="auto"/>
      </w:divBdr>
    </w:div>
    <w:div w:id="6638620">
      <w:marLeft w:val="0"/>
      <w:marRight w:val="0"/>
      <w:marTop w:val="160"/>
      <w:marBottom w:val="160"/>
      <w:divBdr>
        <w:top w:val="none" w:sz="0" w:space="0" w:color="auto"/>
        <w:left w:val="none" w:sz="0" w:space="0" w:color="auto"/>
        <w:bottom w:val="none" w:sz="0" w:space="0" w:color="auto"/>
        <w:right w:val="none" w:sz="0" w:space="0" w:color="auto"/>
      </w:divBdr>
    </w:div>
    <w:div w:id="8335387">
      <w:marLeft w:val="0"/>
      <w:marRight w:val="0"/>
      <w:marTop w:val="0"/>
      <w:marBottom w:val="0"/>
      <w:divBdr>
        <w:top w:val="none" w:sz="0" w:space="0" w:color="auto"/>
        <w:left w:val="none" w:sz="0" w:space="0" w:color="auto"/>
        <w:bottom w:val="none" w:sz="0" w:space="0" w:color="auto"/>
        <w:right w:val="none" w:sz="0" w:space="0" w:color="auto"/>
      </w:divBdr>
      <w:divsChild>
        <w:div w:id="975450609">
          <w:marLeft w:val="0"/>
          <w:marRight w:val="0"/>
          <w:marTop w:val="0"/>
          <w:marBottom w:val="0"/>
          <w:divBdr>
            <w:top w:val="none" w:sz="0" w:space="0" w:color="auto"/>
            <w:left w:val="none" w:sz="0" w:space="0" w:color="auto"/>
            <w:bottom w:val="none" w:sz="0" w:space="0" w:color="auto"/>
            <w:right w:val="none" w:sz="0" w:space="0" w:color="auto"/>
          </w:divBdr>
        </w:div>
      </w:divsChild>
    </w:div>
    <w:div w:id="9993571">
      <w:marLeft w:val="0"/>
      <w:marRight w:val="0"/>
      <w:marTop w:val="160"/>
      <w:marBottom w:val="160"/>
      <w:divBdr>
        <w:top w:val="none" w:sz="0" w:space="0" w:color="auto"/>
        <w:left w:val="none" w:sz="0" w:space="0" w:color="auto"/>
        <w:bottom w:val="none" w:sz="0" w:space="0" w:color="auto"/>
        <w:right w:val="none" w:sz="0" w:space="0" w:color="auto"/>
      </w:divBdr>
    </w:div>
    <w:div w:id="11499575">
      <w:marLeft w:val="0"/>
      <w:marRight w:val="0"/>
      <w:marTop w:val="0"/>
      <w:marBottom w:val="0"/>
      <w:divBdr>
        <w:top w:val="none" w:sz="0" w:space="0" w:color="auto"/>
        <w:left w:val="none" w:sz="0" w:space="0" w:color="auto"/>
        <w:bottom w:val="none" w:sz="0" w:space="0" w:color="auto"/>
        <w:right w:val="none" w:sz="0" w:space="0" w:color="auto"/>
      </w:divBdr>
    </w:div>
    <w:div w:id="16586642">
      <w:marLeft w:val="0"/>
      <w:marRight w:val="0"/>
      <w:marTop w:val="160"/>
      <w:marBottom w:val="160"/>
      <w:divBdr>
        <w:top w:val="none" w:sz="0" w:space="0" w:color="auto"/>
        <w:left w:val="none" w:sz="0" w:space="0" w:color="auto"/>
        <w:bottom w:val="none" w:sz="0" w:space="0" w:color="auto"/>
        <w:right w:val="none" w:sz="0" w:space="0" w:color="auto"/>
      </w:divBdr>
    </w:div>
    <w:div w:id="20015506">
      <w:marLeft w:val="0"/>
      <w:marRight w:val="0"/>
      <w:marTop w:val="60"/>
      <w:marBottom w:val="60"/>
      <w:divBdr>
        <w:top w:val="none" w:sz="0" w:space="0" w:color="auto"/>
        <w:left w:val="none" w:sz="0" w:space="0" w:color="auto"/>
        <w:bottom w:val="none" w:sz="0" w:space="0" w:color="auto"/>
        <w:right w:val="none" w:sz="0" w:space="0" w:color="auto"/>
      </w:divBdr>
    </w:div>
    <w:div w:id="22636524">
      <w:marLeft w:val="0"/>
      <w:marRight w:val="0"/>
      <w:marTop w:val="160"/>
      <w:marBottom w:val="160"/>
      <w:divBdr>
        <w:top w:val="none" w:sz="0" w:space="0" w:color="auto"/>
        <w:left w:val="none" w:sz="0" w:space="0" w:color="auto"/>
        <w:bottom w:val="none" w:sz="0" w:space="0" w:color="auto"/>
        <w:right w:val="none" w:sz="0" w:space="0" w:color="auto"/>
      </w:divBdr>
    </w:div>
    <w:div w:id="29234341">
      <w:marLeft w:val="0"/>
      <w:marRight w:val="0"/>
      <w:marTop w:val="0"/>
      <w:marBottom w:val="0"/>
      <w:divBdr>
        <w:top w:val="none" w:sz="0" w:space="0" w:color="auto"/>
        <w:left w:val="none" w:sz="0" w:space="0" w:color="auto"/>
        <w:bottom w:val="none" w:sz="0" w:space="0" w:color="auto"/>
        <w:right w:val="none" w:sz="0" w:space="0" w:color="auto"/>
      </w:divBdr>
    </w:div>
    <w:div w:id="30035578">
      <w:marLeft w:val="0"/>
      <w:marRight w:val="0"/>
      <w:marTop w:val="0"/>
      <w:marBottom w:val="0"/>
      <w:divBdr>
        <w:top w:val="none" w:sz="0" w:space="0" w:color="auto"/>
        <w:left w:val="none" w:sz="0" w:space="0" w:color="auto"/>
        <w:bottom w:val="none" w:sz="0" w:space="0" w:color="auto"/>
        <w:right w:val="none" w:sz="0" w:space="0" w:color="auto"/>
      </w:divBdr>
      <w:divsChild>
        <w:div w:id="1899437738">
          <w:marLeft w:val="0"/>
          <w:marRight w:val="0"/>
          <w:marTop w:val="0"/>
          <w:marBottom w:val="0"/>
          <w:divBdr>
            <w:top w:val="none" w:sz="0" w:space="0" w:color="auto"/>
            <w:left w:val="none" w:sz="0" w:space="0" w:color="auto"/>
            <w:bottom w:val="none" w:sz="0" w:space="0" w:color="auto"/>
            <w:right w:val="none" w:sz="0" w:space="0" w:color="auto"/>
          </w:divBdr>
        </w:div>
      </w:divsChild>
    </w:div>
    <w:div w:id="36972179">
      <w:marLeft w:val="0"/>
      <w:marRight w:val="0"/>
      <w:marTop w:val="160"/>
      <w:marBottom w:val="160"/>
      <w:divBdr>
        <w:top w:val="none" w:sz="0" w:space="0" w:color="auto"/>
        <w:left w:val="none" w:sz="0" w:space="0" w:color="auto"/>
        <w:bottom w:val="none" w:sz="0" w:space="0" w:color="auto"/>
        <w:right w:val="none" w:sz="0" w:space="0" w:color="auto"/>
      </w:divBdr>
    </w:div>
    <w:div w:id="48460808">
      <w:marLeft w:val="0"/>
      <w:marRight w:val="0"/>
      <w:marTop w:val="180"/>
      <w:marBottom w:val="0"/>
      <w:divBdr>
        <w:top w:val="none" w:sz="0" w:space="0" w:color="auto"/>
        <w:left w:val="none" w:sz="0" w:space="0" w:color="auto"/>
        <w:bottom w:val="none" w:sz="0" w:space="0" w:color="auto"/>
        <w:right w:val="none" w:sz="0" w:space="0" w:color="auto"/>
      </w:divBdr>
    </w:div>
    <w:div w:id="51084030">
      <w:marLeft w:val="0"/>
      <w:marRight w:val="0"/>
      <w:marTop w:val="160"/>
      <w:marBottom w:val="160"/>
      <w:divBdr>
        <w:top w:val="none" w:sz="0" w:space="0" w:color="auto"/>
        <w:left w:val="none" w:sz="0" w:space="0" w:color="auto"/>
        <w:bottom w:val="none" w:sz="0" w:space="0" w:color="auto"/>
        <w:right w:val="none" w:sz="0" w:space="0" w:color="auto"/>
      </w:divBdr>
    </w:div>
    <w:div w:id="59985722">
      <w:marLeft w:val="0"/>
      <w:marRight w:val="0"/>
      <w:marTop w:val="0"/>
      <w:marBottom w:val="0"/>
      <w:divBdr>
        <w:top w:val="none" w:sz="0" w:space="0" w:color="auto"/>
        <w:left w:val="none" w:sz="0" w:space="0" w:color="auto"/>
        <w:bottom w:val="none" w:sz="0" w:space="0" w:color="auto"/>
        <w:right w:val="none" w:sz="0" w:space="0" w:color="auto"/>
      </w:divBdr>
      <w:divsChild>
        <w:div w:id="850991409">
          <w:marLeft w:val="0"/>
          <w:marRight w:val="0"/>
          <w:marTop w:val="0"/>
          <w:marBottom w:val="0"/>
          <w:divBdr>
            <w:top w:val="none" w:sz="0" w:space="0" w:color="auto"/>
            <w:left w:val="none" w:sz="0" w:space="0" w:color="auto"/>
            <w:bottom w:val="none" w:sz="0" w:space="0" w:color="auto"/>
            <w:right w:val="none" w:sz="0" w:space="0" w:color="auto"/>
          </w:divBdr>
        </w:div>
      </w:divsChild>
    </w:div>
    <w:div w:id="64305662">
      <w:marLeft w:val="0"/>
      <w:marRight w:val="0"/>
      <w:marTop w:val="0"/>
      <w:marBottom w:val="0"/>
      <w:divBdr>
        <w:top w:val="none" w:sz="0" w:space="0" w:color="auto"/>
        <w:left w:val="none" w:sz="0" w:space="0" w:color="auto"/>
        <w:bottom w:val="none" w:sz="0" w:space="0" w:color="auto"/>
        <w:right w:val="none" w:sz="0" w:space="0" w:color="auto"/>
      </w:divBdr>
      <w:divsChild>
        <w:div w:id="1728065055">
          <w:marLeft w:val="0"/>
          <w:marRight w:val="0"/>
          <w:marTop w:val="0"/>
          <w:marBottom w:val="0"/>
          <w:divBdr>
            <w:top w:val="none" w:sz="0" w:space="0" w:color="auto"/>
            <w:left w:val="none" w:sz="0" w:space="0" w:color="auto"/>
            <w:bottom w:val="none" w:sz="0" w:space="0" w:color="auto"/>
            <w:right w:val="none" w:sz="0" w:space="0" w:color="auto"/>
          </w:divBdr>
        </w:div>
      </w:divsChild>
    </w:div>
    <w:div w:id="67461630">
      <w:marLeft w:val="0"/>
      <w:marRight w:val="0"/>
      <w:marTop w:val="160"/>
      <w:marBottom w:val="160"/>
      <w:divBdr>
        <w:top w:val="none" w:sz="0" w:space="0" w:color="auto"/>
        <w:left w:val="none" w:sz="0" w:space="0" w:color="auto"/>
        <w:bottom w:val="none" w:sz="0" w:space="0" w:color="auto"/>
        <w:right w:val="none" w:sz="0" w:space="0" w:color="auto"/>
      </w:divBdr>
    </w:div>
    <w:div w:id="68701428">
      <w:marLeft w:val="0"/>
      <w:marRight w:val="0"/>
      <w:marTop w:val="0"/>
      <w:marBottom w:val="0"/>
      <w:divBdr>
        <w:top w:val="none" w:sz="0" w:space="0" w:color="auto"/>
        <w:left w:val="none" w:sz="0" w:space="0" w:color="auto"/>
        <w:bottom w:val="none" w:sz="0" w:space="0" w:color="auto"/>
        <w:right w:val="none" w:sz="0" w:space="0" w:color="auto"/>
      </w:divBdr>
    </w:div>
    <w:div w:id="73167939">
      <w:marLeft w:val="0"/>
      <w:marRight w:val="0"/>
      <w:marTop w:val="160"/>
      <w:marBottom w:val="160"/>
      <w:divBdr>
        <w:top w:val="none" w:sz="0" w:space="0" w:color="auto"/>
        <w:left w:val="none" w:sz="0" w:space="0" w:color="auto"/>
        <w:bottom w:val="none" w:sz="0" w:space="0" w:color="auto"/>
        <w:right w:val="none" w:sz="0" w:space="0" w:color="auto"/>
      </w:divBdr>
    </w:div>
    <w:div w:id="87041022">
      <w:marLeft w:val="0"/>
      <w:marRight w:val="0"/>
      <w:marTop w:val="160"/>
      <w:marBottom w:val="160"/>
      <w:divBdr>
        <w:top w:val="none" w:sz="0" w:space="0" w:color="auto"/>
        <w:left w:val="none" w:sz="0" w:space="0" w:color="auto"/>
        <w:bottom w:val="none" w:sz="0" w:space="0" w:color="auto"/>
        <w:right w:val="none" w:sz="0" w:space="0" w:color="auto"/>
      </w:divBdr>
    </w:div>
    <w:div w:id="88547591">
      <w:marLeft w:val="0"/>
      <w:marRight w:val="0"/>
      <w:marTop w:val="160"/>
      <w:marBottom w:val="160"/>
      <w:divBdr>
        <w:top w:val="none" w:sz="0" w:space="0" w:color="auto"/>
        <w:left w:val="none" w:sz="0" w:space="0" w:color="auto"/>
        <w:bottom w:val="none" w:sz="0" w:space="0" w:color="auto"/>
        <w:right w:val="none" w:sz="0" w:space="0" w:color="auto"/>
      </w:divBdr>
    </w:div>
    <w:div w:id="88936128">
      <w:marLeft w:val="0"/>
      <w:marRight w:val="0"/>
      <w:marTop w:val="160"/>
      <w:marBottom w:val="160"/>
      <w:divBdr>
        <w:top w:val="none" w:sz="0" w:space="0" w:color="auto"/>
        <w:left w:val="none" w:sz="0" w:space="0" w:color="auto"/>
        <w:bottom w:val="none" w:sz="0" w:space="0" w:color="auto"/>
        <w:right w:val="none" w:sz="0" w:space="0" w:color="auto"/>
      </w:divBdr>
    </w:div>
    <w:div w:id="89208063">
      <w:marLeft w:val="0"/>
      <w:marRight w:val="0"/>
      <w:marTop w:val="160"/>
      <w:marBottom w:val="160"/>
      <w:divBdr>
        <w:top w:val="none" w:sz="0" w:space="0" w:color="auto"/>
        <w:left w:val="none" w:sz="0" w:space="0" w:color="auto"/>
        <w:bottom w:val="none" w:sz="0" w:space="0" w:color="auto"/>
        <w:right w:val="none" w:sz="0" w:space="0" w:color="auto"/>
      </w:divBdr>
    </w:div>
    <w:div w:id="90517603">
      <w:marLeft w:val="0"/>
      <w:marRight w:val="0"/>
      <w:marTop w:val="160"/>
      <w:marBottom w:val="160"/>
      <w:divBdr>
        <w:top w:val="none" w:sz="0" w:space="0" w:color="auto"/>
        <w:left w:val="none" w:sz="0" w:space="0" w:color="auto"/>
        <w:bottom w:val="none" w:sz="0" w:space="0" w:color="auto"/>
        <w:right w:val="none" w:sz="0" w:space="0" w:color="auto"/>
      </w:divBdr>
    </w:div>
    <w:div w:id="91363629">
      <w:marLeft w:val="0"/>
      <w:marRight w:val="0"/>
      <w:marTop w:val="0"/>
      <w:marBottom w:val="0"/>
      <w:divBdr>
        <w:top w:val="none" w:sz="0" w:space="0" w:color="auto"/>
        <w:left w:val="none" w:sz="0" w:space="0" w:color="auto"/>
        <w:bottom w:val="none" w:sz="0" w:space="0" w:color="auto"/>
        <w:right w:val="none" w:sz="0" w:space="0" w:color="auto"/>
      </w:divBdr>
    </w:div>
    <w:div w:id="93982402">
      <w:marLeft w:val="0"/>
      <w:marRight w:val="0"/>
      <w:marTop w:val="0"/>
      <w:marBottom w:val="0"/>
      <w:divBdr>
        <w:top w:val="none" w:sz="0" w:space="0" w:color="auto"/>
        <w:left w:val="none" w:sz="0" w:space="0" w:color="auto"/>
        <w:bottom w:val="none" w:sz="0" w:space="0" w:color="auto"/>
        <w:right w:val="none" w:sz="0" w:space="0" w:color="auto"/>
      </w:divBdr>
      <w:divsChild>
        <w:div w:id="577516504">
          <w:marLeft w:val="0"/>
          <w:marRight w:val="0"/>
          <w:marTop w:val="160"/>
          <w:marBottom w:val="0"/>
          <w:divBdr>
            <w:top w:val="none" w:sz="0" w:space="0" w:color="auto"/>
            <w:left w:val="none" w:sz="0" w:space="0" w:color="auto"/>
            <w:bottom w:val="none" w:sz="0" w:space="0" w:color="auto"/>
            <w:right w:val="none" w:sz="0" w:space="0" w:color="auto"/>
          </w:divBdr>
        </w:div>
        <w:div w:id="144785326">
          <w:marLeft w:val="0"/>
          <w:marRight w:val="0"/>
          <w:marTop w:val="160"/>
          <w:marBottom w:val="0"/>
          <w:divBdr>
            <w:top w:val="none" w:sz="0" w:space="0" w:color="auto"/>
            <w:left w:val="none" w:sz="0" w:space="0" w:color="auto"/>
            <w:bottom w:val="none" w:sz="0" w:space="0" w:color="auto"/>
            <w:right w:val="none" w:sz="0" w:space="0" w:color="auto"/>
          </w:divBdr>
        </w:div>
        <w:div w:id="566648284">
          <w:marLeft w:val="0"/>
          <w:marRight w:val="0"/>
          <w:marTop w:val="160"/>
          <w:marBottom w:val="160"/>
          <w:divBdr>
            <w:top w:val="none" w:sz="0" w:space="0" w:color="auto"/>
            <w:left w:val="none" w:sz="0" w:space="0" w:color="auto"/>
            <w:bottom w:val="none" w:sz="0" w:space="0" w:color="auto"/>
            <w:right w:val="none" w:sz="0" w:space="0" w:color="auto"/>
          </w:divBdr>
        </w:div>
        <w:div w:id="1971784605">
          <w:marLeft w:val="0"/>
          <w:marRight w:val="0"/>
          <w:marTop w:val="160"/>
          <w:marBottom w:val="160"/>
          <w:divBdr>
            <w:top w:val="none" w:sz="0" w:space="0" w:color="auto"/>
            <w:left w:val="none" w:sz="0" w:space="0" w:color="auto"/>
            <w:bottom w:val="none" w:sz="0" w:space="0" w:color="auto"/>
            <w:right w:val="none" w:sz="0" w:space="0" w:color="auto"/>
          </w:divBdr>
        </w:div>
        <w:div w:id="258146772">
          <w:marLeft w:val="0"/>
          <w:marRight w:val="0"/>
          <w:marTop w:val="160"/>
          <w:marBottom w:val="160"/>
          <w:divBdr>
            <w:top w:val="none" w:sz="0" w:space="0" w:color="auto"/>
            <w:left w:val="none" w:sz="0" w:space="0" w:color="auto"/>
            <w:bottom w:val="none" w:sz="0" w:space="0" w:color="auto"/>
            <w:right w:val="none" w:sz="0" w:space="0" w:color="auto"/>
          </w:divBdr>
        </w:div>
        <w:div w:id="545921069">
          <w:marLeft w:val="0"/>
          <w:marRight w:val="0"/>
          <w:marTop w:val="160"/>
          <w:marBottom w:val="160"/>
          <w:divBdr>
            <w:top w:val="none" w:sz="0" w:space="0" w:color="auto"/>
            <w:left w:val="none" w:sz="0" w:space="0" w:color="auto"/>
            <w:bottom w:val="none" w:sz="0" w:space="0" w:color="auto"/>
            <w:right w:val="none" w:sz="0" w:space="0" w:color="auto"/>
          </w:divBdr>
        </w:div>
      </w:divsChild>
    </w:div>
    <w:div w:id="99834596">
      <w:marLeft w:val="0"/>
      <w:marRight w:val="0"/>
      <w:marTop w:val="0"/>
      <w:marBottom w:val="160"/>
      <w:divBdr>
        <w:top w:val="none" w:sz="0" w:space="0" w:color="auto"/>
        <w:left w:val="none" w:sz="0" w:space="0" w:color="auto"/>
        <w:bottom w:val="none" w:sz="0" w:space="0" w:color="auto"/>
        <w:right w:val="none" w:sz="0" w:space="0" w:color="auto"/>
      </w:divBdr>
    </w:div>
    <w:div w:id="101146650">
      <w:marLeft w:val="0"/>
      <w:marRight w:val="0"/>
      <w:marTop w:val="0"/>
      <w:marBottom w:val="0"/>
      <w:divBdr>
        <w:top w:val="none" w:sz="0" w:space="0" w:color="auto"/>
        <w:left w:val="none" w:sz="0" w:space="0" w:color="auto"/>
        <w:bottom w:val="none" w:sz="0" w:space="0" w:color="auto"/>
        <w:right w:val="none" w:sz="0" w:space="0" w:color="auto"/>
      </w:divBdr>
      <w:divsChild>
        <w:div w:id="570581633">
          <w:marLeft w:val="0"/>
          <w:marRight w:val="0"/>
          <w:marTop w:val="0"/>
          <w:marBottom w:val="0"/>
          <w:divBdr>
            <w:top w:val="none" w:sz="0" w:space="0" w:color="auto"/>
            <w:left w:val="none" w:sz="0" w:space="0" w:color="auto"/>
            <w:bottom w:val="none" w:sz="0" w:space="0" w:color="auto"/>
            <w:right w:val="none" w:sz="0" w:space="0" w:color="auto"/>
          </w:divBdr>
        </w:div>
      </w:divsChild>
    </w:div>
    <w:div w:id="102266630">
      <w:marLeft w:val="0"/>
      <w:marRight w:val="0"/>
      <w:marTop w:val="160"/>
      <w:marBottom w:val="160"/>
      <w:divBdr>
        <w:top w:val="none" w:sz="0" w:space="0" w:color="auto"/>
        <w:left w:val="none" w:sz="0" w:space="0" w:color="auto"/>
        <w:bottom w:val="none" w:sz="0" w:space="0" w:color="auto"/>
        <w:right w:val="none" w:sz="0" w:space="0" w:color="auto"/>
      </w:divBdr>
    </w:div>
    <w:div w:id="103426880">
      <w:marLeft w:val="0"/>
      <w:marRight w:val="0"/>
      <w:marTop w:val="160"/>
      <w:marBottom w:val="160"/>
      <w:divBdr>
        <w:top w:val="none" w:sz="0" w:space="0" w:color="auto"/>
        <w:left w:val="none" w:sz="0" w:space="0" w:color="auto"/>
        <w:bottom w:val="none" w:sz="0" w:space="0" w:color="auto"/>
        <w:right w:val="none" w:sz="0" w:space="0" w:color="auto"/>
      </w:divBdr>
    </w:div>
    <w:div w:id="115298169">
      <w:marLeft w:val="0"/>
      <w:marRight w:val="0"/>
      <w:marTop w:val="60"/>
      <w:marBottom w:val="0"/>
      <w:divBdr>
        <w:top w:val="none" w:sz="0" w:space="0" w:color="auto"/>
        <w:left w:val="none" w:sz="0" w:space="0" w:color="auto"/>
        <w:bottom w:val="none" w:sz="0" w:space="0" w:color="auto"/>
        <w:right w:val="none" w:sz="0" w:space="0" w:color="auto"/>
      </w:divBdr>
    </w:div>
    <w:div w:id="119298725">
      <w:marLeft w:val="0"/>
      <w:marRight w:val="0"/>
      <w:marTop w:val="160"/>
      <w:marBottom w:val="160"/>
      <w:divBdr>
        <w:top w:val="none" w:sz="0" w:space="0" w:color="auto"/>
        <w:left w:val="none" w:sz="0" w:space="0" w:color="auto"/>
        <w:bottom w:val="none" w:sz="0" w:space="0" w:color="auto"/>
        <w:right w:val="none" w:sz="0" w:space="0" w:color="auto"/>
      </w:divBdr>
    </w:div>
    <w:div w:id="125127157">
      <w:marLeft w:val="0"/>
      <w:marRight w:val="0"/>
      <w:marTop w:val="160"/>
      <w:marBottom w:val="160"/>
      <w:divBdr>
        <w:top w:val="none" w:sz="0" w:space="0" w:color="auto"/>
        <w:left w:val="none" w:sz="0" w:space="0" w:color="auto"/>
        <w:bottom w:val="none" w:sz="0" w:space="0" w:color="auto"/>
        <w:right w:val="none" w:sz="0" w:space="0" w:color="auto"/>
      </w:divBdr>
    </w:div>
    <w:div w:id="127090680">
      <w:marLeft w:val="0"/>
      <w:marRight w:val="0"/>
      <w:marTop w:val="160"/>
      <w:marBottom w:val="160"/>
      <w:divBdr>
        <w:top w:val="none" w:sz="0" w:space="0" w:color="auto"/>
        <w:left w:val="none" w:sz="0" w:space="0" w:color="auto"/>
        <w:bottom w:val="none" w:sz="0" w:space="0" w:color="auto"/>
        <w:right w:val="none" w:sz="0" w:space="0" w:color="auto"/>
      </w:divBdr>
      <w:divsChild>
        <w:div w:id="854997692">
          <w:marLeft w:val="0"/>
          <w:marRight w:val="0"/>
          <w:marTop w:val="0"/>
          <w:marBottom w:val="0"/>
          <w:divBdr>
            <w:top w:val="none" w:sz="0" w:space="0" w:color="auto"/>
            <w:left w:val="none" w:sz="0" w:space="0" w:color="auto"/>
            <w:bottom w:val="none" w:sz="0" w:space="0" w:color="auto"/>
            <w:right w:val="none" w:sz="0" w:space="0" w:color="auto"/>
          </w:divBdr>
        </w:div>
        <w:div w:id="1751079106">
          <w:marLeft w:val="0"/>
          <w:marRight w:val="0"/>
          <w:marTop w:val="0"/>
          <w:marBottom w:val="0"/>
          <w:divBdr>
            <w:top w:val="none" w:sz="0" w:space="0" w:color="auto"/>
            <w:left w:val="none" w:sz="0" w:space="0" w:color="auto"/>
            <w:bottom w:val="none" w:sz="0" w:space="0" w:color="auto"/>
            <w:right w:val="none" w:sz="0" w:space="0" w:color="auto"/>
          </w:divBdr>
        </w:div>
        <w:div w:id="540553416">
          <w:marLeft w:val="0"/>
          <w:marRight w:val="0"/>
          <w:marTop w:val="0"/>
          <w:marBottom w:val="0"/>
          <w:divBdr>
            <w:top w:val="none" w:sz="0" w:space="0" w:color="auto"/>
            <w:left w:val="none" w:sz="0" w:space="0" w:color="auto"/>
            <w:bottom w:val="none" w:sz="0" w:space="0" w:color="auto"/>
            <w:right w:val="none" w:sz="0" w:space="0" w:color="auto"/>
          </w:divBdr>
        </w:div>
        <w:div w:id="196235080">
          <w:marLeft w:val="0"/>
          <w:marRight w:val="0"/>
          <w:marTop w:val="0"/>
          <w:marBottom w:val="0"/>
          <w:divBdr>
            <w:top w:val="none" w:sz="0" w:space="0" w:color="auto"/>
            <w:left w:val="none" w:sz="0" w:space="0" w:color="auto"/>
            <w:bottom w:val="none" w:sz="0" w:space="0" w:color="auto"/>
            <w:right w:val="none" w:sz="0" w:space="0" w:color="auto"/>
          </w:divBdr>
        </w:div>
        <w:div w:id="449278740">
          <w:marLeft w:val="0"/>
          <w:marRight w:val="0"/>
          <w:marTop w:val="0"/>
          <w:marBottom w:val="0"/>
          <w:divBdr>
            <w:top w:val="none" w:sz="0" w:space="0" w:color="auto"/>
            <w:left w:val="none" w:sz="0" w:space="0" w:color="auto"/>
            <w:bottom w:val="none" w:sz="0" w:space="0" w:color="auto"/>
            <w:right w:val="none" w:sz="0" w:space="0" w:color="auto"/>
          </w:divBdr>
        </w:div>
        <w:div w:id="1806463527">
          <w:marLeft w:val="0"/>
          <w:marRight w:val="0"/>
          <w:marTop w:val="0"/>
          <w:marBottom w:val="0"/>
          <w:divBdr>
            <w:top w:val="none" w:sz="0" w:space="0" w:color="auto"/>
            <w:left w:val="none" w:sz="0" w:space="0" w:color="auto"/>
            <w:bottom w:val="none" w:sz="0" w:space="0" w:color="auto"/>
            <w:right w:val="none" w:sz="0" w:space="0" w:color="auto"/>
          </w:divBdr>
        </w:div>
        <w:div w:id="2057655525">
          <w:marLeft w:val="0"/>
          <w:marRight w:val="0"/>
          <w:marTop w:val="0"/>
          <w:marBottom w:val="0"/>
          <w:divBdr>
            <w:top w:val="none" w:sz="0" w:space="0" w:color="auto"/>
            <w:left w:val="none" w:sz="0" w:space="0" w:color="auto"/>
            <w:bottom w:val="none" w:sz="0" w:space="0" w:color="auto"/>
            <w:right w:val="none" w:sz="0" w:space="0" w:color="auto"/>
          </w:divBdr>
        </w:div>
        <w:div w:id="137965279">
          <w:marLeft w:val="0"/>
          <w:marRight w:val="0"/>
          <w:marTop w:val="0"/>
          <w:marBottom w:val="0"/>
          <w:divBdr>
            <w:top w:val="none" w:sz="0" w:space="0" w:color="auto"/>
            <w:left w:val="none" w:sz="0" w:space="0" w:color="auto"/>
            <w:bottom w:val="none" w:sz="0" w:space="0" w:color="auto"/>
            <w:right w:val="none" w:sz="0" w:space="0" w:color="auto"/>
          </w:divBdr>
        </w:div>
        <w:div w:id="1160727758">
          <w:marLeft w:val="0"/>
          <w:marRight w:val="0"/>
          <w:marTop w:val="0"/>
          <w:marBottom w:val="0"/>
          <w:divBdr>
            <w:top w:val="none" w:sz="0" w:space="0" w:color="auto"/>
            <w:left w:val="none" w:sz="0" w:space="0" w:color="auto"/>
            <w:bottom w:val="none" w:sz="0" w:space="0" w:color="auto"/>
            <w:right w:val="none" w:sz="0" w:space="0" w:color="auto"/>
          </w:divBdr>
        </w:div>
        <w:div w:id="488442752">
          <w:marLeft w:val="0"/>
          <w:marRight w:val="0"/>
          <w:marTop w:val="0"/>
          <w:marBottom w:val="0"/>
          <w:divBdr>
            <w:top w:val="none" w:sz="0" w:space="0" w:color="auto"/>
            <w:left w:val="none" w:sz="0" w:space="0" w:color="auto"/>
            <w:bottom w:val="none" w:sz="0" w:space="0" w:color="auto"/>
            <w:right w:val="none" w:sz="0" w:space="0" w:color="auto"/>
          </w:divBdr>
        </w:div>
        <w:div w:id="799228405">
          <w:marLeft w:val="0"/>
          <w:marRight w:val="0"/>
          <w:marTop w:val="0"/>
          <w:marBottom w:val="0"/>
          <w:divBdr>
            <w:top w:val="none" w:sz="0" w:space="0" w:color="auto"/>
            <w:left w:val="none" w:sz="0" w:space="0" w:color="auto"/>
            <w:bottom w:val="none" w:sz="0" w:space="0" w:color="auto"/>
            <w:right w:val="none" w:sz="0" w:space="0" w:color="auto"/>
          </w:divBdr>
        </w:div>
        <w:div w:id="1554389622">
          <w:marLeft w:val="0"/>
          <w:marRight w:val="0"/>
          <w:marTop w:val="0"/>
          <w:marBottom w:val="0"/>
          <w:divBdr>
            <w:top w:val="none" w:sz="0" w:space="0" w:color="auto"/>
            <w:left w:val="none" w:sz="0" w:space="0" w:color="auto"/>
            <w:bottom w:val="none" w:sz="0" w:space="0" w:color="auto"/>
            <w:right w:val="none" w:sz="0" w:space="0" w:color="auto"/>
          </w:divBdr>
        </w:div>
        <w:div w:id="1136215482">
          <w:marLeft w:val="0"/>
          <w:marRight w:val="0"/>
          <w:marTop w:val="0"/>
          <w:marBottom w:val="0"/>
          <w:divBdr>
            <w:top w:val="none" w:sz="0" w:space="0" w:color="auto"/>
            <w:left w:val="none" w:sz="0" w:space="0" w:color="auto"/>
            <w:bottom w:val="none" w:sz="0" w:space="0" w:color="auto"/>
            <w:right w:val="none" w:sz="0" w:space="0" w:color="auto"/>
          </w:divBdr>
        </w:div>
        <w:div w:id="2106490009">
          <w:marLeft w:val="0"/>
          <w:marRight w:val="0"/>
          <w:marTop w:val="0"/>
          <w:marBottom w:val="0"/>
          <w:divBdr>
            <w:top w:val="none" w:sz="0" w:space="0" w:color="auto"/>
            <w:left w:val="none" w:sz="0" w:space="0" w:color="auto"/>
            <w:bottom w:val="none" w:sz="0" w:space="0" w:color="auto"/>
            <w:right w:val="none" w:sz="0" w:space="0" w:color="auto"/>
          </w:divBdr>
        </w:div>
        <w:div w:id="487210976">
          <w:marLeft w:val="0"/>
          <w:marRight w:val="0"/>
          <w:marTop w:val="0"/>
          <w:marBottom w:val="0"/>
          <w:divBdr>
            <w:top w:val="none" w:sz="0" w:space="0" w:color="auto"/>
            <w:left w:val="none" w:sz="0" w:space="0" w:color="auto"/>
            <w:bottom w:val="none" w:sz="0" w:space="0" w:color="auto"/>
            <w:right w:val="none" w:sz="0" w:space="0" w:color="auto"/>
          </w:divBdr>
        </w:div>
        <w:div w:id="260648148">
          <w:marLeft w:val="0"/>
          <w:marRight w:val="0"/>
          <w:marTop w:val="0"/>
          <w:marBottom w:val="0"/>
          <w:divBdr>
            <w:top w:val="none" w:sz="0" w:space="0" w:color="auto"/>
            <w:left w:val="none" w:sz="0" w:space="0" w:color="auto"/>
            <w:bottom w:val="none" w:sz="0" w:space="0" w:color="auto"/>
            <w:right w:val="none" w:sz="0" w:space="0" w:color="auto"/>
          </w:divBdr>
        </w:div>
        <w:div w:id="1142307547">
          <w:marLeft w:val="0"/>
          <w:marRight w:val="0"/>
          <w:marTop w:val="0"/>
          <w:marBottom w:val="0"/>
          <w:divBdr>
            <w:top w:val="none" w:sz="0" w:space="0" w:color="auto"/>
            <w:left w:val="none" w:sz="0" w:space="0" w:color="auto"/>
            <w:bottom w:val="none" w:sz="0" w:space="0" w:color="auto"/>
            <w:right w:val="none" w:sz="0" w:space="0" w:color="auto"/>
          </w:divBdr>
        </w:div>
        <w:div w:id="2086680638">
          <w:marLeft w:val="0"/>
          <w:marRight w:val="0"/>
          <w:marTop w:val="0"/>
          <w:marBottom w:val="0"/>
          <w:divBdr>
            <w:top w:val="none" w:sz="0" w:space="0" w:color="auto"/>
            <w:left w:val="none" w:sz="0" w:space="0" w:color="auto"/>
            <w:bottom w:val="none" w:sz="0" w:space="0" w:color="auto"/>
            <w:right w:val="none" w:sz="0" w:space="0" w:color="auto"/>
          </w:divBdr>
        </w:div>
        <w:div w:id="1305432839">
          <w:marLeft w:val="0"/>
          <w:marRight w:val="0"/>
          <w:marTop w:val="0"/>
          <w:marBottom w:val="0"/>
          <w:divBdr>
            <w:top w:val="none" w:sz="0" w:space="0" w:color="auto"/>
            <w:left w:val="none" w:sz="0" w:space="0" w:color="auto"/>
            <w:bottom w:val="none" w:sz="0" w:space="0" w:color="auto"/>
            <w:right w:val="none" w:sz="0" w:space="0" w:color="auto"/>
          </w:divBdr>
        </w:div>
        <w:div w:id="1335841168">
          <w:marLeft w:val="0"/>
          <w:marRight w:val="0"/>
          <w:marTop w:val="0"/>
          <w:marBottom w:val="0"/>
          <w:divBdr>
            <w:top w:val="none" w:sz="0" w:space="0" w:color="auto"/>
            <w:left w:val="none" w:sz="0" w:space="0" w:color="auto"/>
            <w:bottom w:val="none" w:sz="0" w:space="0" w:color="auto"/>
            <w:right w:val="none" w:sz="0" w:space="0" w:color="auto"/>
          </w:divBdr>
        </w:div>
        <w:div w:id="815489671">
          <w:marLeft w:val="0"/>
          <w:marRight w:val="0"/>
          <w:marTop w:val="0"/>
          <w:marBottom w:val="0"/>
          <w:divBdr>
            <w:top w:val="none" w:sz="0" w:space="0" w:color="auto"/>
            <w:left w:val="none" w:sz="0" w:space="0" w:color="auto"/>
            <w:bottom w:val="none" w:sz="0" w:space="0" w:color="auto"/>
            <w:right w:val="none" w:sz="0" w:space="0" w:color="auto"/>
          </w:divBdr>
        </w:div>
        <w:div w:id="1843811588">
          <w:marLeft w:val="0"/>
          <w:marRight w:val="0"/>
          <w:marTop w:val="0"/>
          <w:marBottom w:val="0"/>
          <w:divBdr>
            <w:top w:val="none" w:sz="0" w:space="0" w:color="auto"/>
            <w:left w:val="none" w:sz="0" w:space="0" w:color="auto"/>
            <w:bottom w:val="none" w:sz="0" w:space="0" w:color="auto"/>
            <w:right w:val="none" w:sz="0" w:space="0" w:color="auto"/>
          </w:divBdr>
        </w:div>
        <w:div w:id="527528969">
          <w:marLeft w:val="0"/>
          <w:marRight w:val="0"/>
          <w:marTop w:val="0"/>
          <w:marBottom w:val="0"/>
          <w:divBdr>
            <w:top w:val="none" w:sz="0" w:space="0" w:color="auto"/>
            <w:left w:val="none" w:sz="0" w:space="0" w:color="auto"/>
            <w:bottom w:val="none" w:sz="0" w:space="0" w:color="auto"/>
            <w:right w:val="none" w:sz="0" w:space="0" w:color="auto"/>
          </w:divBdr>
        </w:div>
        <w:div w:id="362438142">
          <w:marLeft w:val="0"/>
          <w:marRight w:val="0"/>
          <w:marTop w:val="0"/>
          <w:marBottom w:val="0"/>
          <w:divBdr>
            <w:top w:val="none" w:sz="0" w:space="0" w:color="auto"/>
            <w:left w:val="none" w:sz="0" w:space="0" w:color="auto"/>
            <w:bottom w:val="none" w:sz="0" w:space="0" w:color="auto"/>
            <w:right w:val="none" w:sz="0" w:space="0" w:color="auto"/>
          </w:divBdr>
        </w:div>
        <w:div w:id="1968392366">
          <w:marLeft w:val="0"/>
          <w:marRight w:val="0"/>
          <w:marTop w:val="0"/>
          <w:marBottom w:val="0"/>
          <w:divBdr>
            <w:top w:val="none" w:sz="0" w:space="0" w:color="auto"/>
            <w:left w:val="none" w:sz="0" w:space="0" w:color="auto"/>
            <w:bottom w:val="none" w:sz="0" w:space="0" w:color="auto"/>
            <w:right w:val="none" w:sz="0" w:space="0" w:color="auto"/>
          </w:divBdr>
        </w:div>
        <w:div w:id="1390686875">
          <w:marLeft w:val="0"/>
          <w:marRight w:val="0"/>
          <w:marTop w:val="0"/>
          <w:marBottom w:val="0"/>
          <w:divBdr>
            <w:top w:val="none" w:sz="0" w:space="0" w:color="auto"/>
            <w:left w:val="none" w:sz="0" w:space="0" w:color="auto"/>
            <w:bottom w:val="none" w:sz="0" w:space="0" w:color="auto"/>
            <w:right w:val="none" w:sz="0" w:space="0" w:color="auto"/>
          </w:divBdr>
        </w:div>
        <w:div w:id="43603347">
          <w:marLeft w:val="0"/>
          <w:marRight w:val="0"/>
          <w:marTop w:val="0"/>
          <w:marBottom w:val="0"/>
          <w:divBdr>
            <w:top w:val="none" w:sz="0" w:space="0" w:color="auto"/>
            <w:left w:val="none" w:sz="0" w:space="0" w:color="auto"/>
            <w:bottom w:val="none" w:sz="0" w:space="0" w:color="auto"/>
            <w:right w:val="none" w:sz="0" w:space="0" w:color="auto"/>
          </w:divBdr>
        </w:div>
        <w:div w:id="161243570">
          <w:marLeft w:val="0"/>
          <w:marRight w:val="0"/>
          <w:marTop w:val="0"/>
          <w:marBottom w:val="0"/>
          <w:divBdr>
            <w:top w:val="none" w:sz="0" w:space="0" w:color="auto"/>
            <w:left w:val="none" w:sz="0" w:space="0" w:color="auto"/>
            <w:bottom w:val="none" w:sz="0" w:space="0" w:color="auto"/>
            <w:right w:val="none" w:sz="0" w:space="0" w:color="auto"/>
          </w:divBdr>
        </w:div>
        <w:div w:id="111677179">
          <w:marLeft w:val="0"/>
          <w:marRight w:val="0"/>
          <w:marTop w:val="0"/>
          <w:marBottom w:val="0"/>
          <w:divBdr>
            <w:top w:val="none" w:sz="0" w:space="0" w:color="auto"/>
            <w:left w:val="none" w:sz="0" w:space="0" w:color="auto"/>
            <w:bottom w:val="none" w:sz="0" w:space="0" w:color="auto"/>
            <w:right w:val="none" w:sz="0" w:space="0" w:color="auto"/>
          </w:divBdr>
        </w:div>
      </w:divsChild>
    </w:div>
    <w:div w:id="131220910">
      <w:marLeft w:val="0"/>
      <w:marRight w:val="0"/>
      <w:marTop w:val="160"/>
      <w:marBottom w:val="160"/>
      <w:divBdr>
        <w:top w:val="none" w:sz="0" w:space="0" w:color="auto"/>
        <w:left w:val="none" w:sz="0" w:space="0" w:color="auto"/>
        <w:bottom w:val="none" w:sz="0" w:space="0" w:color="auto"/>
        <w:right w:val="none" w:sz="0" w:space="0" w:color="auto"/>
      </w:divBdr>
    </w:div>
    <w:div w:id="134414426">
      <w:marLeft w:val="0"/>
      <w:marRight w:val="0"/>
      <w:marTop w:val="160"/>
      <w:marBottom w:val="160"/>
      <w:divBdr>
        <w:top w:val="none" w:sz="0" w:space="0" w:color="auto"/>
        <w:left w:val="none" w:sz="0" w:space="0" w:color="auto"/>
        <w:bottom w:val="none" w:sz="0" w:space="0" w:color="auto"/>
        <w:right w:val="none" w:sz="0" w:space="0" w:color="auto"/>
      </w:divBdr>
    </w:div>
    <w:div w:id="141241256">
      <w:marLeft w:val="0"/>
      <w:marRight w:val="0"/>
      <w:marTop w:val="160"/>
      <w:marBottom w:val="160"/>
      <w:divBdr>
        <w:top w:val="none" w:sz="0" w:space="0" w:color="auto"/>
        <w:left w:val="none" w:sz="0" w:space="0" w:color="auto"/>
        <w:bottom w:val="none" w:sz="0" w:space="0" w:color="auto"/>
        <w:right w:val="none" w:sz="0" w:space="0" w:color="auto"/>
      </w:divBdr>
    </w:div>
    <w:div w:id="142744034">
      <w:marLeft w:val="0"/>
      <w:marRight w:val="0"/>
      <w:marTop w:val="0"/>
      <w:marBottom w:val="0"/>
      <w:divBdr>
        <w:top w:val="none" w:sz="0" w:space="0" w:color="auto"/>
        <w:left w:val="none" w:sz="0" w:space="0" w:color="auto"/>
        <w:bottom w:val="none" w:sz="0" w:space="0" w:color="auto"/>
        <w:right w:val="none" w:sz="0" w:space="0" w:color="auto"/>
      </w:divBdr>
      <w:divsChild>
        <w:div w:id="1044259839">
          <w:marLeft w:val="0"/>
          <w:marRight w:val="0"/>
          <w:marTop w:val="0"/>
          <w:marBottom w:val="0"/>
          <w:divBdr>
            <w:top w:val="none" w:sz="0" w:space="0" w:color="auto"/>
            <w:left w:val="none" w:sz="0" w:space="0" w:color="auto"/>
            <w:bottom w:val="none" w:sz="0" w:space="0" w:color="auto"/>
            <w:right w:val="none" w:sz="0" w:space="0" w:color="auto"/>
          </w:divBdr>
        </w:div>
      </w:divsChild>
    </w:div>
    <w:div w:id="143207099">
      <w:marLeft w:val="0"/>
      <w:marRight w:val="0"/>
      <w:marTop w:val="160"/>
      <w:marBottom w:val="160"/>
      <w:divBdr>
        <w:top w:val="none" w:sz="0" w:space="0" w:color="auto"/>
        <w:left w:val="none" w:sz="0" w:space="0" w:color="auto"/>
        <w:bottom w:val="none" w:sz="0" w:space="0" w:color="auto"/>
        <w:right w:val="none" w:sz="0" w:space="0" w:color="auto"/>
      </w:divBdr>
    </w:div>
    <w:div w:id="143280660">
      <w:marLeft w:val="0"/>
      <w:marRight w:val="0"/>
      <w:marTop w:val="0"/>
      <w:marBottom w:val="0"/>
      <w:divBdr>
        <w:top w:val="none" w:sz="0" w:space="0" w:color="auto"/>
        <w:left w:val="none" w:sz="0" w:space="0" w:color="auto"/>
        <w:bottom w:val="none" w:sz="0" w:space="0" w:color="auto"/>
        <w:right w:val="none" w:sz="0" w:space="0" w:color="auto"/>
      </w:divBdr>
      <w:divsChild>
        <w:div w:id="119761711">
          <w:marLeft w:val="0"/>
          <w:marRight w:val="0"/>
          <w:marTop w:val="0"/>
          <w:marBottom w:val="0"/>
          <w:divBdr>
            <w:top w:val="none" w:sz="0" w:space="0" w:color="auto"/>
            <w:left w:val="none" w:sz="0" w:space="0" w:color="auto"/>
            <w:bottom w:val="none" w:sz="0" w:space="0" w:color="auto"/>
            <w:right w:val="none" w:sz="0" w:space="0" w:color="auto"/>
          </w:divBdr>
        </w:div>
      </w:divsChild>
    </w:div>
    <w:div w:id="147017223">
      <w:marLeft w:val="0"/>
      <w:marRight w:val="0"/>
      <w:marTop w:val="0"/>
      <w:marBottom w:val="0"/>
      <w:divBdr>
        <w:top w:val="none" w:sz="0" w:space="0" w:color="auto"/>
        <w:left w:val="none" w:sz="0" w:space="0" w:color="auto"/>
        <w:bottom w:val="none" w:sz="0" w:space="0" w:color="auto"/>
        <w:right w:val="none" w:sz="0" w:space="0" w:color="auto"/>
      </w:divBdr>
      <w:divsChild>
        <w:div w:id="1200554448">
          <w:marLeft w:val="0"/>
          <w:marRight w:val="0"/>
          <w:marTop w:val="0"/>
          <w:marBottom w:val="0"/>
          <w:divBdr>
            <w:top w:val="none" w:sz="0" w:space="0" w:color="auto"/>
            <w:left w:val="none" w:sz="0" w:space="0" w:color="auto"/>
            <w:bottom w:val="none" w:sz="0" w:space="0" w:color="auto"/>
            <w:right w:val="none" w:sz="0" w:space="0" w:color="auto"/>
          </w:divBdr>
        </w:div>
      </w:divsChild>
    </w:div>
    <w:div w:id="151065087">
      <w:marLeft w:val="0"/>
      <w:marRight w:val="0"/>
      <w:marTop w:val="0"/>
      <w:marBottom w:val="0"/>
      <w:divBdr>
        <w:top w:val="none" w:sz="0" w:space="0" w:color="auto"/>
        <w:left w:val="none" w:sz="0" w:space="0" w:color="auto"/>
        <w:bottom w:val="none" w:sz="0" w:space="0" w:color="auto"/>
        <w:right w:val="none" w:sz="0" w:space="0" w:color="auto"/>
      </w:divBdr>
    </w:div>
    <w:div w:id="153644860">
      <w:marLeft w:val="0"/>
      <w:marRight w:val="0"/>
      <w:marTop w:val="0"/>
      <w:marBottom w:val="0"/>
      <w:divBdr>
        <w:top w:val="none" w:sz="0" w:space="0" w:color="auto"/>
        <w:left w:val="none" w:sz="0" w:space="0" w:color="auto"/>
        <w:bottom w:val="none" w:sz="0" w:space="0" w:color="auto"/>
        <w:right w:val="none" w:sz="0" w:space="0" w:color="auto"/>
      </w:divBdr>
      <w:divsChild>
        <w:div w:id="399326619">
          <w:marLeft w:val="0"/>
          <w:marRight w:val="0"/>
          <w:marTop w:val="0"/>
          <w:marBottom w:val="0"/>
          <w:divBdr>
            <w:top w:val="none" w:sz="0" w:space="0" w:color="auto"/>
            <w:left w:val="none" w:sz="0" w:space="0" w:color="auto"/>
            <w:bottom w:val="none" w:sz="0" w:space="0" w:color="auto"/>
            <w:right w:val="none" w:sz="0" w:space="0" w:color="auto"/>
          </w:divBdr>
        </w:div>
      </w:divsChild>
    </w:div>
    <w:div w:id="161511170">
      <w:marLeft w:val="0"/>
      <w:marRight w:val="0"/>
      <w:marTop w:val="160"/>
      <w:marBottom w:val="160"/>
      <w:divBdr>
        <w:top w:val="none" w:sz="0" w:space="0" w:color="auto"/>
        <w:left w:val="none" w:sz="0" w:space="0" w:color="auto"/>
        <w:bottom w:val="none" w:sz="0" w:space="0" w:color="auto"/>
        <w:right w:val="none" w:sz="0" w:space="0" w:color="auto"/>
      </w:divBdr>
    </w:div>
    <w:div w:id="167642035">
      <w:marLeft w:val="0"/>
      <w:marRight w:val="0"/>
      <w:marTop w:val="160"/>
      <w:marBottom w:val="160"/>
      <w:divBdr>
        <w:top w:val="none" w:sz="0" w:space="0" w:color="auto"/>
        <w:left w:val="none" w:sz="0" w:space="0" w:color="auto"/>
        <w:bottom w:val="none" w:sz="0" w:space="0" w:color="auto"/>
        <w:right w:val="none" w:sz="0" w:space="0" w:color="auto"/>
      </w:divBdr>
    </w:div>
    <w:div w:id="174928182">
      <w:marLeft w:val="0"/>
      <w:marRight w:val="0"/>
      <w:marTop w:val="160"/>
      <w:marBottom w:val="160"/>
      <w:divBdr>
        <w:top w:val="none" w:sz="0" w:space="0" w:color="auto"/>
        <w:left w:val="none" w:sz="0" w:space="0" w:color="auto"/>
        <w:bottom w:val="none" w:sz="0" w:space="0" w:color="auto"/>
        <w:right w:val="none" w:sz="0" w:space="0" w:color="auto"/>
      </w:divBdr>
    </w:div>
    <w:div w:id="175119568">
      <w:marLeft w:val="0"/>
      <w:marRight w:val="0"/>
      <w:marTop w:val="160"/>
      <w:marBottom w:val="160"/>
      <w:divBdr>
        <w:top w:val="none" w:sz="0" w:space="0" w:color="auto"/>
        <w:left w:val="none" w:sz="0" w:space="0" w:color="auto"/>
        <w:bottom w:val="none" w:sz="0" w:space="0" w:color="auto"/>
        <w:right w:val="none" w:sz="0" w:space="0" w:color="auto"/>
      </w:divBdr>
    </w:div>
    <w:div w:id="177430393">
      <w:marLeft w:val="0"/>
      <w:marRight w:val="0"/>
      <w:marTop w:val="160"/>
      <w:marBottom w:val="160"/>
      <w:divBdr>
        <w:top w:val="none" w:sz="0" w:space="0" w:color="auto"/>
        <w:left w:val="none" w:sz="0" w:space="0" w:color="auto"/>
        <w:bottom w:val="none" w:sz="0" w:space="0" w:color="auto"/>
        <w:right w:val="none" w:sz="0" w:space="0" w:color="auto"/>
      </w:divBdr>
    </w:div>
    <w:div w:id="181363413">
      <w:marLeft w:val="0"/>
      <w:marRight w:val="0"/>
      <w:marTop w:val="0"/>
      <w:marBottom w:val="0"/>
      <w:divBdr>
        <w:top w:val="none" w:sz="0" w:space="0" w:color="auto"/>
        <w:left w:val="none" w:sz="0" w:space="0" w:color="auto"/>
        <w:bottom w:val="none" w:sz="0" w:space="0" w:color="auto"/>
        <w:right w:val="none" w:sz="0" w:space="0" w:color="auto"/>
      </w:divBdr>
    </w:div>
    <w:div w:id="181628875">
      <w:marLeft w:val="0"/>
      <w:marRight w:val="0"/>
      <w:marTop w:val="160"/>
      <w:marBottom w:val="160"/>
      <w:divBdr>
        <w:top w:val="none" w:sz="0" w:space="0" w:color="auto"/>
        <w:left w:val="none" w:sz="0" w:space="0" w:color="auto"/>
        <w:bottom w:val="none" w:sz="0" w:space="0" w:color="auto"/>
        <w:right w:val="none" w:sz="0" w:space="0" w:color="auto"/>
      </w:divBdr>
    </w:div>
    <w:div w:id="183711274">
      <w:marLeft w:val="0"/>
      <w:marRight w:val="0"/>
      <w:marTop w:val="160"/>
      <w:marBottom w:val="160"/>
      <w:divBdr>
        <w:top w:val="none" w:sz="0" w:space="0" w:color="auto"/>
        <w:left w:val="none" w:sz="0" w:space="0" w:color="auto"/>
        <w:bottom w:val="none" w:sz="0" w:space="0" w:color="auto"/>
        <w:right w:val="none" w:sz="0" w:space="0" w:color="auto"/>
      </w:divBdr>
    </w:div>
    <w:div w:id="184104085">
      <w:marLeft w:val="0"/>
      <w:marRight w:val="0"/>
      <w:marTop w:val="160"/>
      <w:marBottom w:val="160"/>
      <w:divBdr>
        <w:top w:val="none" w:sz="0" w:space="0" w:color="auto"/>
        <w:left w:val="none" w:sz="0" w:space="0" w:color="auto"/>
        <w:bottom w:val="none" w:sz="0" w:space="0" w:color="auto"/>
        <w:right w:val="none" w:sz="0" w:space="0" w:color="auto"/>
      </w:divBdr>
    </w:div>
    <w:div w:id="192505020">
      <w:marLeft w:val="0"/>
      <w:marRight w:val="0"/>
      <w:marTop w:val="60"/>
      <w:marBottom w:val="0"/>
      <w:divBdr>
        <w:top w:val="none" w:sz="0" w:space="0" w:color="auto"/>
        <w:left w:val="none" w:sz="0" w:space="0" w:color="auto"/>
        <w:bottom w:val="none" w:sz="0" w:space="0" w:color="auto"/>
        <w:right w:val="none" w:sz="0" w:space="0" w:color="auto"/>
      </w:divBdr>
    </w:div>
    <w:div w:id="193007651">
      <w:marLeft w:val="0"/>
      <w:marRight w:val="0"/>
      <w:marTop w:val="160"/>
      <w:marBottom w:val="160"/>
      <w:divBdr>
        <w:top w:val="none" w:sz="0" w:space="0" w:color="auto"/>
        <w:left w:val="none" w:sz="0" w:space="0" w:color="auto"/>
        <w:bottom w:val="none" w:sz="0" w:space="0" w:color="auto"/>
        <w:right w:val="none" w:sz="0" w:space="0" w:color="auto"/>
      </w:divBdr>
    </w:div>
    <w:div w:id="201983350">
      <w:marLeft w:val="0"/>
      <w:marRight w:val="0"/>
      <w:marTop w:val="160"/>
      <w:marBottom w:val="160"/>
      <w:divBdr>
        <w:top w:val="none" w:sz="0" w:space="0" w:color="auto"/>
        <w:left w:val="none" w:sz="0" w:space="0" w:color="auto"/>
        <w:bottom w:val="none" w:sz="0" w:space="0" w:color="auto"/>
        <w:right w:val="none" w:sz="0" w:space="0" w:color="auto"/>
      </w:divBdr>
    </w:div>
    <w:div w:id="203180186">
      <w:marLeft w:val="0"/>
      <w:marRight w:val="0"/>
      <w:marTop w:val="160"/>
      <w:marBottom w:val="160"/>
      <w:divBdr>
        <w:top w:val="none" w:sz="0" w:space="0" w:color="auto"/>
        <w:left w:val="none" w:sz="0" w:space="0" w:color="auto"/>
        <w:bottom w:val="none" w:sz="0" w:space="0" w:color="auto"/>
        <w:right w:val="none" w:sz="0" w:space="0" w:color="auto"/>
      </w:divBdr>
    </w:div>
    <w:div w:id="205720868">
      <w:marLeft w:val="0"/>
      <w:marRight w:val="0"/>
      <w:marTop w:val="0"/>
      <w:marBottom w:val="0"/>
      <w:divBdr>
        <w:top w:val="none" w:sz="0" w:space="0" w:color="auto"/>
        <w:left w:val="none" w:sz="0" w:space="0" w:color="auto"/>
        <w:bottom w:val="none" w:sz="0" w:space="0" w:color="auto"/>
        <w:right w:val="none" w:sz="0" w:space="0" w:color="auto"/>
      </w:divBdr>
    </w:div>
    <w:div w:id="206064064">
      <w:marLeft w:val="0"/>
      <w:marRight w:val="0"/>
      <w:marTop w:val="160"/>
      <w:marBottom w:val="160"/>
      <w:divBdr>
        <w:top w:val="none" w:sz="0" w:space="0" w:color="auto"/>
        <w:left w:val="none" w:sz="0" w:space="0" w:color="auto"/>
        <w:bottom w:val="none" w:sz="0" w:space="0" w:color="auto"/>
        <w:right w:val="none" w:sz="0" w:space="0" w:color="auto"/>
      </w:divBdr>
    </w:div>
    <w:div w:id="206331585">
      <w:marLeft w:val="0"/>
      <w:marRight w:val="0"/>
      <w:marTop w:val="160"/>
      <w:marBottom w:val="160"/>
      <w:divBdr>
        <w:top w:val="none" w:sz="0" w:space="0" w:color="auto"/>
        <w:left w:val="none" w:sz="0" w:space="0" w:color="auto"/>
        <w:bottom w:val="none" w:sz="0" w:space="0" w:color="auto"/>
        <w:right w:val="none" w:sz="0" w:space="0" w:color="auto"/>
      </w:divBdr>
    </w:div>
    <w:div w:id="211381743">
      <w:marLeft w:val="0"/>
      <w:marRight w:val="0"/>
      <w:marTop w:val="100"/>
      <w:marBottom w:val="160"/>
      <w:divBdr>
        <w:top w:val="none" w:sz="0" w:space="0" w:color="auto"/>
        <w:left w:val="none" w:sz="0" w:space="0" w:color="auto"/>
        <w:bottom w:val="none" w:sz="0" w:space="0" w:color="auto"/>
        <w:right w:val="none" w:sz="0" w:space="0" w:color="auto"/>
      </w:divBdr>
    </w:div>
    <w:div w:id="213126823">
      <w:marLeft w:val="0"/>
      <w:marRight w:val="0"/>
      <w:marTop w:val="160"/>
      <w:marBottom w:val="160"/>
      <w:divBdr>
        <w:top w:val="none" w:sz="0" w:space="0" w:color="auto"/>
        <w:left w:val="none" w:sz="0" w:space="0" w:color="auto"/>
        <w:bottom w:val="none" w:sz="0" w:space="0" w:color="auto"/>
        <w:right w:val="none" w:sz="0" w:space="0" w:color="auto"/>
      </w:divBdr>
    </w:div>
    <w:div w:id="215093445">
      <w:marLeft w:val="0"/>
      <w:marRight w:val="0"/>
      <w:marTop w:val="160"/>
      <w:marBottom w:val="160"/>
      <w:divBdr>
        <w:top w:val="none" w:sz="0" w:space="0" w:color="auto"/>
        <w:left w:val="none" w:sz="0" w:space="0" w:color="auto"/>
        <w:bottom w:val="none" w:sz="0" w:space="0" w:color="auto"/>
        <w:right w:val="none" w:sz="0" w:space="0" w:color="auto"/>
      </w:divBdr>
    </w:div>
    <w:div w:id="222721909">
      <w:marLeft w:val="0"/>
      <w:marRight w:val="0"/>
      <w:marTop w:val="160"/>
      <w:marBottom w:val="160"/>
      <w:divBdr>
        <w:top w:val="none" w:sz="0" w:space="0" w:color="auto"/>
        <w:left w:val="none" w:sz="0" w:space="0" w:color="auto"/>
        <w:bottom w:val="none" w:sz="0" w:space="0" w:color="auto"/>
        <w:right w:val="none" w:sz="0" w:space="0" w:color="auto"/>
      </w:divBdr>
    </w:div>
    <w:div w:id="222911299">
      <w:marLeft w:val="0"/>
      <w:marRight w:val="0"/>
      <w:marTop w:val="0"/>
      <w:marBottom w:val="0"/>
      <w:divBdr>
        <w:top w:val="none" w:sz="0" w:space="0" w:color="auto"/>
        <w:left w:val="none" w:sz="0" w:space="0" w:color="auto"/>
        <w:bottom w:val="none" w:sz="0" w:space="0" w:color="auto"/>
        <w:right w:val="none" w:sz="0" w:space="0" w:color="auto"/>
      </w:divBdr>
      <w:divsChild>
        <w:div w:id="1866597497">
          <w:marLeft w:val="0"/>
          <w:marRight w:val="0"/>
          <w:marTop w:val="0"/>
          <w:marBottom w:val="0"/>
          <w:divBdr>
            <w:top w:val="none" w:sz="0" w:space="0" w:color="auto"/>
            <w:left w:val="none" w:sz="0" w:space="0" w:color="auto"/>
            <w:bottom w:val="none" w:sz="0" w:space="0" w:color="auto"/>
            <w:right w:val="none" w:sz="0" w:space="0" w:color="auto"/>
          </w:divBdr>
        </w:div>
      </w:divsChild>
    </w:div>
    <w:div w:id="223414373">
      <w:marLeft w:val="0"/>
      <w:marRight w:val="0"/>
      <w:marTop w:val="160"/>
      <w:marBottom w:val="160"/>
      <w:divBdr>
        <w:top w:val="none" w:sz="0" w:space="0" w:color="auto"/>
        <w:left w:val="none" w:sz="0" w:space="0" w:color="auto"/>
        <w:bottom w:val="none" w:sz="0" w:space="0" w:color="auto"/>
        <w:right w:val="none" w:sz="0" w:space="0" w:color="auto"/>
      </w:divBdr>
    </w:div>
    <w:div w:id="223686497">
      <w:marLeft w:val="0"/>
      <w:marRight w:val="0"/>
      <w:marTop w:val="160"/>
      <w:marBottom w:val="160"/>
      <w:divBdr>
        <w:top w:val="none" w:sz="0" w:space="0" w:color="auto"/>
        <w:left w:val="none" w:sz="0" w:space="0" w:color="auto"/>
        <w:bottom w:val="none" w:sz="0" w:space="0" w:color="auto"/>
        <w:right w:val="none" w:sz="0" w:space="0" w:color="auto"/>
      </w:divBdr>
    </w:div>
    <w:div w:id="224487696">
      <w:marLeft w:val="0"/>
      <w:marRight w:val="0"/>
      <w:marTop w:val="0"/>
      <w:marBottom w:val="0"/>
      <w:divBdr>
        <w:top w:val="none" w:sz="0" w:space="0" w:color="auto"/>
        <w:left w:val="none" w:sz="0" w:space="0" w:color="auto"/>
        <w:bottom w:val="none" w:sz="0" w:space="0" w:color="auto"/>
        <w:right w:val="none" w:sz="0" w:space="0" w:color="auto"/>
      </w:divBdr>
      <w:divsChild>
        <w:div w:id="1916084857">
          <w:marLeft w:val="0"/>
          <w:marRight w:val="0"/>
          <w:marTop w:val="0"/>
          <w:marBottom w:val="0"/>
          <w:divBdr>
            <w:top w:val="none" w:sz="0" w:space="0" w:color="auto"/>
            <w:left w:val="none" w:sz="0" w:space="0" w:color="auto"/>
            <w:bottom w:val="none" w:sz="0" w:space="0" w:color="auto"/>
            <w:right w:val="none" w:sz="0" w:space="0" w:color="auto"/>
          </w:divBdr>
        </w:div>
      </w:divsChild>
    </w:div>
    <w:div w:id="225994243">
      <w:marLeft w:val="0"/>
      <w:marRight w:val="0"/>
      <w:marTop w:val="160"/>
      <w:marBottom w:val="160"/>
      <w:divBdr>
        <w:top w:val="none" w:sz="0" w:space="0" w:color="auto"/>
        <w:left w:val="none" w:sz="0" w:space="0" w:color="auto"/>
        <w:bottom w:val="none" w:sz="0" w:space="0" w:color="auto"/>
        <w:right w:val="none" w:sz="0" w:space="0" w:color="auto"/>
      </w:divBdr>
    </w:div>
    <w:div w:id="230359690">
      <w:marLeft w:val="0"/>
      <w:marRight w:val="0"/>
      <w:marTop w:val="0"/>
      <w:marBottom w:val="0"/>
      <w:divBdr>
        <w:top w:val="none" w:sz="0" w:space="0" w:color="auto"/>
        <w:left w:val="none" w:sz="0" w:space="0" w:color="auto"/>
        <w:bottom w:val="none" w:sz="0" w:space="0" w:color="auto"/>
        <w:right w:val="none" w:sz="0" w:space="0" w:color="auto"/>
      </w:divBdr>
      <w:divsChild>
        <w:div w:id="1449008484">
          <w:marLeft w:val="0"/>
          <w:marRight w:val="0"/>
          <w:marTop w:val="0"/>
          <w:marBottom w:val="0"/>
          <w:divBdr>
            <w:top w:val="none" w:sz="0" w:space="0" w:color="auto"/>
            <w:left w:val="none" w:sz="0" w:space="0" w:color="auto"/>
            <w:bottom w:val="none" w:sz="0" w:space="0" w:color="auto"/>
            <w:right w:val="none" w:sz="0" w:space="0" w:color="auto"/>
          </w:divBdr>
        </w:div>
      </w:divsChild>
    </w:div>
    <w:div w:id="234702970">
      <w:marLeft w:val="0"/>
      <w:marRight w:val="0"/>
      <w:marTop w:val="160"/>
      <w:marBottom w:val="160"/>
      <w:divBdr>
        <w:top w:val="none" w:sz="0" w:space="0" w:color="auto"/>
        <w:left w:val="none" w:sz="0" w:space="0" w:color="auto"/>
        <w:bottom w:val="none" w:sz="0" w:space="0" w:color="auto"/>
        <w:right w:val="none" w:sz="0" w:space="0" w:color="auto"/>
      </w:divBdr>
    </w:div>
    <w:div w:id="236324337">
      <w:marLeft w:val="0"/>
      <w:marRight w:val="0"/>
      <w:marTop w:val="160"/>
      <w:marBottom w:val="160"/>
      <w:divBdr>
        <w:top w:val="none" w:sz="0" w:space="0" w:color="auto"/>
        <w:left w:val="none" w:sz="0" w:space="0" w:color="auto"/>
        <w:bottom w:val="none" w:sz="0" w:space="0" w:color="auto"/>
        <w:right w:val="none" w:sz="0" w:space="0" w:color="auto"/>
      </w:divBdr>
    </w:div>
    <w:div w:id="237399300">
      <w:marLeft w:val="0"/>
      <w:marRight w:val="0"/>
      <w:marTop w:val="160"/>
      <w:marBottom w:val="160"/>
      <w:divBdr>
        <w:top w:val="none" w:sz="0" w:space="0" w:color="auto"/>
        <w:left w:val="none" w:sz="0" w:space="0" w:color="auto"/>
        <w:bottom w:val="none" w:sz="0" w:space="0" w:color="auto"/>
        <w:right w:val="none" w:sz="0" w:space="0" w:color="auto"/>
      </w:divBdr>
    </w:div>
    <w:div w:id="251473722">
      <w:marLeft w:val="0"/>
      <w:marRight w:val="0"/>
      <w:marTop w:val="0"/>
      <w:marBottom w:val="0"/>
      <w:divBdr>
        <w:top w:val="none" w:sz="0" w:space="0" w:color="auto"/>
        <w:left w:val="none" w:sz="0" w:space="0" w:color="auto"/>
        <w:bottom w:val="none" w:sz="0" w:space="0" w:color="auto"/>
        <w:right w:val="none" w:sz="0" w:space="0" w:color="auto"/>
      </w:divBdr>
      <w:divsChild>
        <w:div w:id="567573176">
          <w:marLeft w:val="0"/>
          <w:marRight w:val="0"/>
          <w:marTop w:val="0"/>
          <w:marBottom w:val="0"/>
          <w:divBdr>
            <w:top w:val="none" w:sz="0" w:space="0" w:color="auto"/>
            <w:left w:val="none" w:sz="0" w:space="0" w:color="auto"/>
            <w:bottom w:val="none" w:sz="0" w:space="0" w:color="auto"/>
            <w:right w:val="none" w:sz="0" w:space="0" w:color="auto"/>
          </w:divBdr>
        </w:div>
      </w:divsChild>
    </w:div>
    <w:div w:id="264197665">
      <w:marLeft w:val="0"/>
      <w:marRight w:val="0"/>
      <w:marTop w:val="160"/>
      <w:marBottom w:val="160"/>
      <w:divBdr>
        <w:top w:val="none" w:sz="0" w:space="0" w:color="auto"/>
        <w:left w:val="none" w:sz="0" w:space="0" w:color="auto"/>
        <w:bottom w:val="none" w:sz="0" w:space="0" w:color="auto"/>
        <w:right w:val="none" w:sz="0" w:space="0" w:color="auto"/>
      </w:divBdr>
    </w:div>
    <w:div w:id="268007990">
      <w:marLeft w:val="0"/>
      <w:marRight w:val="0"/>
      <w:marTop w:val="160"/>
      <w:marBottom w:val="160"/>
      <w:divBdr>
        <w:top w:val="none" w:sz="0" w:space="0" w:color="auto"/>
        <w:left w:val="none" w:sz="0" w:space="0" w:color="auto"/>
        <w:bottom w:val="none" w:sz="0" w:space="0" w:color="auto"/>
        <w:right w:val="none" w:sz="0" w:space="0" w:color="auto"/>
      </w:divBdr>
    </w:div>
    <w:div w:id="268247199">
      <w:marLeft w:val="0"/>
      <w:marRight w:val="0"/>
      <w:marTop w:val="160"/>
      <w:marBottom w:val="160"/>
      <w:divBdr>
        <w:top w:val="none" w:sz="0" w:space="0" w:color="auto"/>
        <w:left w:val="none" w:sz="0" w:space="0" w:color="auto"/>
        <w:bottom w:val="none" w:sz="0" w:space="0" w:color="auto"/>
        <w:right w:val="none" w:sz="0" w:space="0" w:color="auto"/>
      </w:divBdr>
    </w:div>
    <w:div w:id="270892568">
      <w:marLeft w:val="0"/>
      <w:marRight w:val="0"/>
      <w:marTop w:val="160"/>
      <w:marBottom w:val="160"/>
      <w:divBdr>
        <w:top w:val="none" w:sz="0" w:space="0" w:color="auto"/>
        <w:left w:val="none" w:sz="0" w:space="0" w:color="auto"/>
        <w:bottom w:val="none" w:sz="0" w:space="0" w:color="auto"/>
        <w:right w:val="none" w:sz="0" w:space="0" w:color="auto"/>
      </w:divBdr>
    </w:div>
    <w:div w:id="285084971">
      <w:marLeft w:val="0"/>
      <w:marRight w:val="0"/>
      <w:marTop w:val="160"/>
      <w:marBottom w:val="160"/>
      <w:divBdr>
        <w:top w:val="none" w:sz="0" w:space="0" w:color="auto"/>
        <w:left w:val="none" w:sz="0" w:space="0" w:color="auto"/>
        <w:bottom w:val="none" w:sz="0" w:space="0" w:color="auto"/>
        <w:right w:val="none" w:sz="0" w:space="0" w:color="auto"/>
      </w:divBdr>
    </w:div>
    <w:div w:id="290482927">
      <w:marLeft w:val="0"/>
      <w:marRight w:val="0"/>
      <w:marTop w:val="160"/>
      <w:marBottom w:val="160"/>
      <w:divBdr>
        <w:top w:val="none" w:sz="0" w:space="0" w:color="auto"/>
        <w:left w:val="none" w:sz="0" w:space="0" w:color="auto"/>
        <w:bottom w:val="none" w:sz="0" w:space="0" w:color="auto"/>
        <w:right w:val="none" w:sz="0" w:space="0" w:color="auto"/>
      </w:divBdr>
    </w:div>
    <w:div w:id="292641219">
      <w:marLeft w:val="0"/>
      <w:marRight w:val="0"/>
      <w:marTop w:val="160"/>
      <w:marBottom w:val="160"/>
      <w:divBdr>
        <w:top w:val="none" w:sz="0" w:space="0" w:color="auto"/>
        <w:left w:val="none" w:sz="0" w:space="0" w:color="auto"/>
        <w:bottom w:val="none" w:sz="0" w:space="0" w:color="auto"/>
        <w:right w:val="none" w:sz="0" w:space="0" w:color="auto"/>
      </w:divBdr>
    </w:div>
    <w:div w:id="293950163">
      <w:marLeft w:val="0"/>
      <w:marRight w:val="0"/>
      <w:marTop w:val="160"/>
      <w:marBottom w:val="160"/>
      <w:divBdr>
        <w:top w:val="none" w:sz="0" w:space="0" w:color="auto"/>
        <w:left w:val="none" w:sz="0" w:space="0" w:color="auto"/>
        <w:bottom w:val="none" w:sz="0" w:space="0" w:color="auto"/>
        <w:right w:val="none" w:sz="0" w:space="0" w:color="auto"/>
      </w:divBdr>
    </w:div>
    <w:div w:id="303393658">
      <w:marLeft w:val="0"/>
      <w:marRight w:val="0"/>
      <w:marTop w:val="160"/>
      <w:marBottom w:val="160"/>
      <w:divBdr>
        <w:top w:val="none" w:sz="0" w:space="0" w:color="auto"/>
        <w:left w:val="none" w:sz="0" w:space="0" w:color="auto"/>
        <w:bottom w:val="none" w:sz="0" w:space="0" w:color="auto"/>
        <w:right w:val="none" w:sz="0" w:space="0" w:color="auto"/>
      </w:divBdr>
    </w:div>
    <w:div w:id="322318223">
      <w:marLeft w:val="0"/>
      <w:marRight w:val="0"/>
      <w:marTop w:val="160"/>
      <w:marBottom w:val="160"/>
      <w:divBdr>
        <w:top w:val="none" w:sz="0" w:space="0" w:color="auto"/>
        <w:left w:val="none" w:sz="0" w:space="0" w:color="auto"/>
        <w:bottom w:val="none" w:sz="0" w:space="0" w:color="auto"/>
        <w:right w:val="none" w:sz="0" w:space="0" w:color="auto"/>
      </w:divBdr>
    </w:div>
    <w:div w:id="325209198">
      <w:marLeft w:val="0"/>
      <w:marRight w:val="0"/>
      <w:marTop w:val="160"/>
      <w:marBottom w:val="0"/>
      <w:divBdr>
        <w:top w:val="none" w:sz="0" w:space="0" w:color="auto"/>
        <w:left w:val="none" w:sz="0" w:space="0" w:color="auto"/>
        <w:bottom w:val="none" w:sz="0" w:space="0" w:color="auto"/>
        <w:right w:val="none" w:sz="0" w:space="0" w:color="auto"/>
      </w:divBdr>
    </w:div>
    <w:div w:id="325474519">
      <w:marLeft w:val="0"/>
      <w:marRight w:val="0"/>
      <w:marTop w:val="160"/>
      <w:marBottom w:val="160"/>
      <w:divBdr>
        <w:top w:val="none" w:sz="0" w:space="0" w:color="auto"/>
        <w:left w:val="none" w:sz="0" w:space="0" w:color="auto"/>
        <w:bottom w:val="none" w:sz="0" w:space="0" w:color="auto"/>
        <w:right w:val="none" w:sz="0" w:space="0" w:color="auto"/>
      </w:divBdr>
    </w:div>
    <w:div w:id="325523354">
      <w:marLeft w:val="0"/>
      <w:marRight w:val="0"/>
      <w:marTop w:val="160"/>
      <w:marBottom w:val="160"/>
      <w:divBdr>
        <w:top w:val="none" w:sz="0" w:space="0" w:color="auto"/>
        <w:left w:val="none" w:sz="0" w:space="0" w:color="auto"/>
        <w:bottom w:val="none" w:sz="0" w:space="0" w:color="auto"/>
        <w:right w:val="none" w:sz="0" w:space="0" w:color="auto"/>
      </w:divBdr>
    </w:div>
    <w:div w:id="330569420">
      <w:marLeft w:val="0"/>
      <w:marRight w:val="0"/>
      <w:marTop w:val="0"/>
      <w:marBottom w:val="0"/>
      <w:divBdr>
        <w:top w:val="none" w:sz="0" w:space="0" w:color="auto"/>
        <w:left w:val="none" w:sz="0" w:space="0" w:color="auto"/>
        <w:bottom w:val="none" w:sz="0" w:space="0" w:color="auto"/>
        <w:right w:val="none" w:sz="0" w:space="0" w:color="auto"/>
      </w:divBdr>
      <w:divsChild>
        <w:div w:id="1561596202">
          <w:marLeft w:val="0"/>
          <w:marRight w:val="0"/>
          <w:marTop w:val="0"/>
          <w:marBottom w:val="0"/>
          <w:divBdr>
            <w:top w:val="none" w:sz="0" w:space="0" w:color="auto"/>
            <w:left w:val="none" w:sz="0" w:space="0" w:color="auto"/>
            <w:bottom w:val="none" w:sz="0" w:space="0" w:color="auto"/>
            <w:right w:val="none" w:sz="0" w:space="0" w:color="auto"/>
          </w:divBdr>
        </w:div>
      </w:divsChild>
    </w:div>
    <w:div w:id="332727157">
      <w:marLeft w:val="0"/>
      <w:marRight w:val="0"/>
      <w:marTop w:val="160"/>
      <w:marBottom w:val="160"/>
      <w:divBdr>
        <w:top w:val="none" w:sz="0" w:space="0" w:color="auto"/>
        <w:left w:val="none" w:sz="0" w:space="0" w:color="auto"/>
        <w:bottom w:val="none" w:sz="0" w:space="0" w:color="auto"/>
        <w:right w:val="none" w:sz="0" w:space="0" w:color="auto"/>
      </w:divBdr>
    </w:div>
    <w:div w:id="336230874">
      <w:marLeft w:val="0"/>
      <w:marRight w:val="0"/>
      <w:marTop w:val="160"/>
      <w:marBottom w:val="160"/>
      <w:divBdr>
        <w:top w:val="none" w:sz="0" w:space="0" w:color="auto"/>
        <w:left w:val="none" w:sz="0" w:space="0" w:color="auto"/>
        <w:bottom w:val="none" w:sz="0" w:space="0" w:color="auto"/>
        <w:right w:val="none" w:sz="0" w:space="0" w:color="auto"/>
      </w:divBdr>
    </w:div>
    <w:div w:id="346367104">
      <w:marLeft w:val="0"/>
      <w:marRight w:val="0"/>
      <w:marTop w:val="160"/>
      <w:marBottom w:val="160"/>
      <w:divBdr>
        <w:top w:val="none" w:sz="0" w:space="0" w:color="auto"/>
        <w:left w:val="none" w:sz="0" w:space="0" w:color="auto"/>
        <w:bottom w:val="none" w:sz="0" w:space="0" w:color="auto"/>
        <w:right w:val="none" w:sz="0" w:space="0" w:color="auto"/>
      </w:divBdr>
    </w:div>
    <w:div w:id="351076656">
      <w:marLeft w:val="0"/>
      <w:marRight w:val="0"/>
      <w:marTop w:val="160"/>
      <w:marBottom w:val="160"/>
      <w:divBdr>
        <w:top w:val="none" w:sz="0" w:space="0" w:color="auto"/>
        <w:left w:val="none" w:sz="0" w:space="0" w:color="auto"/>
        <w:bottom w:val="none" w:sz="0" w:space="0" w:color="auto"/>
        <w:right w:val="none" w:sz="0" w:space="0" w:color="auto"/>
      </w:divBdr>
    </w:div>
    <w:div w:id="351958235">
      <w:marLeft w:val="0"/>
      <w:marRight w:val="0"/>
      <w:marTop w:val="0"/>
      <w:marBottom w:val="0"/>
      <w:divBdr>
        <w:top w:val="none" w:sz="0" w:space="0" w:color="auto"/>
        <w:left w:val="none" w:sz="0" w:space="0" w:color="auto"/>
        <w:bottom w:val="none" w:sz="0" w:space="0" w:color="auto"/>
        <w:right w:val="none" w:sz="0" w:space="0" w:color="auto"/>
      </w:divBdr>
      <w:divsChild>
        <w:div w:id="1245454742">
          <w:marLeft w:val="0"/>
          <w:marRight w:val="0"/>
          <w:marTop w:val="0"/>
          <w:marBottom w:val="0"/>
          <w:divBdr>
            <w:top w:val="none" w:sz="0" w:space="0" w:color="auto"/>
            <w:left w:val="none" w:sz="0" w:space="0" w:color="auto"/>
            <w:bottom w:val="none" w:sz="0" w:space="0" w:color="auto"/>
            <w:right w:val="none" w:sz="0" w:space="0" w:color="auto"/>
          </w:divBdr>
        </w:div>
      </w:divsChild>
    </w:div>
    <w:div w:id="363218589">
      <w:marLeft w:val="0"/>
      <w:marRight w:val="0"/>
      <w:marTop w:val="0"/>
      <w:marBottom w:val="0"/>
      <w:divBdr>
        <w:top w:val="none" w:sz="0" w:space="0" w:color="auto"/>
        <w:left w:val="none" w:sz="0" w:space="0" w:color="auto"/>
        <w:bottom w:val="none" w:sz="0" w:space="0" w:color="auto"/>
        <w:right w:val="none" w:sz="0" w:space="0" w:color="auto"/>
      </w:divBdr>
      <w:divsChild>
        <w:div w:id="429157134">
          <w:marLeft w:val="0"/>
          <w:marRight w:val="0"/>
          <w:marTop w:val="0"/>
          <w:marBottom w:val="0"/>
          <w:divBdr>
            <w:top w:val="none" w:sz="0" w:space="0" w:color="auto"/>
            <w:left w:val="none" w:sz="0" w:space="0" w:color="auto"/>
            <w:bottom w:val="none" w:sz="0" w:space="0" w:color="auto"/>
            <w:right w:val="none" w:sz="0" w:space="0" w:color="auto"/>
          </w:divBdr>
        </w:div>
      </w:divsChild>
    </w:div>
    <w:div w:id="373584538">
      <w:marLeft w:val="0"/>
      <w:marRight w:val="0"/>
      <w:marTop w:val="160"/>
      <w:marBottom w:val="160"/>
      <w:divBdr>
        <w:top w:val="none" w:sz="0" w:space="0" w:color="auto"/>
        <w:left w:val="none" w:sz="0" w:space="0" w:color="auto"/>
        <w:bottom w:val="none" w:sz="0" w:space="0" w:color="auto"/>
        <w:right w:val="none" w:sz="0" w:space="0" w:color="auto"/>
      </w:divBdr>
    </w:div>
    <w:div w:id="375350030">
      <w:marLeft w:val="0"/>
      <w:marRight w:val="0"/>
      <w:marTop w:val="0"/>
      <w:marBottom w:val="160"/>
      <w:divBdr>
        <w:top w:val="none" w:sz="0" w:space="0" w:color="auto"/>
        <w:left w:val="none" w:sz="0" w:space="0" w:color="auto"/>
        <w:bottom w:val="none" w:sz="0" w:space="0" w:color="auto"/>
        <w:right w:val="none" w:sz="0" w:space="0" w:color="auto"/>
      </w:divBdr>
    </w:div>
    <w:div w:id="379332169">
      <w:marLeft w:val="0"/>
      <w:marRight w:val="0"/>
      <w:marTop w:val="160"/>
      <w:marBottom w:val="160"/>
      <w:divBdr>
        <w:top w:val="none" w:sz="0" w:space="0" w:color="auto"/>
        <w:left w:val="none" w:sz="0" w:space="0" w:color="auto"/>
        <w:bottom w:val="none" w:sz="0" w:space="0" w:color="auto"/>
        <w:right w:val="none" w:sz="0" w:space="0" w:color="auto"/>
      </w:divBdr>
    </w:div>
    <w:div w:id="383607190">
      <w:marLeft w:val="0"/>
      <w:marRight w:val="0"/>
      <w:marTop w:val="60"/>
      <w:marBottom w:val="60"/>
      <w:divBdr>
        <w:top w:val="none" w:sz="0" w:space="0" w:color="auto"/>
        <w:left w:val="none" w:sz="0" w:space="0" w:color="auto"/>
        <w:bottom w:val="none" w:sz="0" w:space="0" w:color="auto"/>
        <w:right w:val="none" w:sz="0" w:space="0" w:color="auto"/>
      </w:divBdr>
    </w:div>
    <w:div w:id="384260127">
      <w:marLeft w:val="0"/>
      <w:marRight w:val="0"/>
      <w:marTop w:val="160"/>
      <w:marBottom w:val="160"/>
      <w:divBdr>
        <w:top w:val="none" w:sz="0" w:space="0" w:color="auto"/>
        <w:left w:val="none" w:sz="0" w:space="0" w:color="auto"/>
        <w:bottom w:val="none" w:sz="0" w:space="0" w:color="auto"/>
        <w:right w:val="none" w:sz="0" w:space="0" w:color="auto"/>
      </w:divBdr>
    </w:div>
    <w:div w:id="384330382">
      <w:marLeft w:val="0"/>
      <w:marRight w:val="0"/>
      <w:marTop w:val="160"/>
      <w:marBottom w:val="160"/>
      <w:divBdr>
        <w:top w:val="none" w:sz="0" w:space="0" w:color="auto"/>
        <w:left w:val="none" w:sz="0" w:space="0" w:color="auto"/>
        <w:bottom w:val="none" w:sz="0" w:space="0" w:color="auto"/>
        <w:right w:val="none" w:sz="0" w:space="0" w:color="auto"/>
      </w:divBdr>
    </w:div>
    <w:div w:id="385490988">
      <w:marLeft w:val="0"/>
      <w:marRight w:val="0"/>
      <w:marTop w:val="160"/>
      <w:marBottom w:val="160"/>
      <w:divBdr>
        <w:top w:val="none" w:sz="0" w:space="0" w:color="auto"/>
        <w:left w:val="none" w:sz="0" w:space="0" w:color="auto"/>
        <w:bottom w:val="none" w:sz="0" w:space="0" w:color="auto"/>
        <w:right w:val="none" w:sz="0" w:space="0" w:color="auto"/>
      </w:divBdr>
    </w:div>
    <w:div w:id="388572480">
      <w:marLeft w:val="0"/>
      <w:marRight w:val="0"/>
      <w:marTop w:val="160"/>
      <w:marBottom w:val="160"/>
      <w:divBdr>
        <w:top w:val="none" w:sz="0" w:space="0" w:color="auto"/>
        <w:left w:val="none" w:sz="0" w:space="0" w:color="auto"/>
        <w:bottom w:val="none" w:sz="0" w:space="0" w:color="auto"/>
        <w:right w:val="none" w:sz="0" w:space="0" w:color="auto"/>
      </w:divBdr>
    </w:div>
    <w:div w:id="389035491">
      <w:marLeft w:val="0"/>
      <w:marRight w:val="0"/>
      <w:marTop w:val="160"/>
      <w:marBottom w:val="160"/>
      <w:divBdr>
        <w:top w:val="none" w:sz="0" w:space="0" w:color="auto"/>
        <w:left w:val="none" w:sz="0" w:space="0" w:color="auto"/>
        <w:bottom w:val="none" w:sz="0" w:space="0" w:color="auto"/>
        <w:right w:val="none" w:sz="0" w:space="0" w:color="auto"/>
      </w:divBdr>
    </w:div>
    <w:div w:id="391805773">
      <w:marLeft w:val="0"/>
      <w:marRight w:val="0"/>
      <w:marTop w:val="160"/>
      <w:marBottom w:val="160"/>
      <w:divBdr>
        <w:top w:val="none" w:sz="0" w:space="0" w:color="auto"/>
        <w:left w:val="none" w:sz="0" w:space="0" w:color="auto"/>
        <w:bottom w:val="none" w:sz="0" w:space="0" w:color="auto"/>
        <w:right w:val="none" w:sz="0" w:space="0" w:color="auto"/>
      </w:divBdr>
    </w:div>
    <w:div w:id="397557819">
      <w:marLeft w:val="0"/>
      <w:marRight w:val="0"/>
      <w:marTop w:val="100"/>
      <w:marBottom w:val="160"/>
      <w:divBdr>
        <w:top w:val="none" w:sz="0" w:space="0" w:color="auto"/>
        <w:left w:val="none" w:sz="0" w:space="0" w:color="auto"/>
        <w:bottom w:val="none" w:sz="0" w:space="0" w:color="auto"/>
        <w:right w:val="none" w:sz="0" w:space="0" w:color="auto"/>
      </w:divBdr>
    </w:div>
    <w:div w:id="398284200">
      <w:marLeft w:val="0"/>
      <w:marRight w:val="0"/>
      <w:marTop w:val="160"/>
      <w:marBottom w:val="160"/>
      <w:divBdr>
        <w:top w:val="none" w:sz="0" w:space="0" w:color="auto"/>
        <w:left w:val="none" w:sz="0" w:space="0" w:color="auto"/>
        <w:bottom w:val="none" w:sz="0" w:space="0" w:color="auto"/>
        <w:right w:val="none" w:sz="0" w:space="0" w:color="auto"/>
      </w:divBdr>
    </w:div>
    <w:div w:id="401568331">
      <w:marLeft w:val="0"/>
      <w:marRight w:val="0"/>
      <w:marTop w:val="160"/>
      <w:marBottom w:val="160"/>
      <w:divBdr>
        <w:top w:val="none" w:sz="0" w:space="0" w:color="auto"/>
        <w:left w:val="none" w:sz="0" w:space="0" w:color="auto"/>
        <w:bottom w:val="none" w:sz="0" w:space="0" w:color="auto"/>
        <w:right w:val="none" w:sz="0" w:space="0" w:color="auto"/>
      </w:divBdr>
    </w:div>
    <w:div w:id="401759540">
      <w:marLeft w:val="0"/>
      <w:marRight w:val="0"/>
      <w:marTop w:val="160"/>
      <w:marBottom w:val="160"/>
      <w:divBdr>
        <w:top w:val="none" w:sz="0" w:space="0" w:color="auto"/>
        <w:left w:val="none" w:sz="0" w:space="0" w:color="auto"/>
        <w:bottom w:val="none" w:sz="0" w:space="0" w:color="auto"/>
        <w:right w:val="none" w:sz="0" w:space="0" w:color="auto"/>
      </w:divBdr>
    </w:div>
    <w:div w:id="407504806">
      <w:marLeft w:val="0"/>
      <w:marRight w:val="0"/>
      <w:marTop w:val="0"/>
      <w:marBottom w:val="0"/>
      <w:divBdr>
        <w:top w:val="none" w:sz="0" w:space="0" w:color="auto"/>
        <w:left w:val="none" w:sz="0" w:space="0" w:color="auto"/>
        <w:bottom w:val="none" w:sz="0" w:space="0" w:color="auto"/>
        <w:right w:val="none" w:sz="0" w:space="0" w:color="auto"/>
      </w:divBdr>
      <w:divsChild>
        <w:div w:id="762535813">
          <w:marLeft w:val="0"/>
          <w:marRight w:val="0"/>
          <w:marTop w:val="0"/>
          <w:marBottom w:val="0"/>
          <w:divBdr>
            <w:top w:val="none" w:sz="0" w:space="0" w:color="auto"/>
            <w:left w:val="none" w:sz="0" w:space="0" w:color="auto"/>
            <w:bottom w:val="none" w:sz="0" w:space="0" w:color="auto"/>
            <w:right w:val="none" w:sz="0" w:space="0" w:color="auto"/>
          </w:divBdr>
        </w:div>
      </w:divsChild>
    </w:div>
    <w:div w:id="407577877">
      <w:marLeft w:val="0"/>
      <w:marRight w:val="0"/>
      <w:marTop w:val="160"/>
      <w:marBottom w:val="160"/>
      <w:divBdr>
        <w:top w:val="none" w:sz="0" w:space="0" w:color="auto"/>
        <w:left w:val="none" w:sz="0" w:space="0" w:color="auto"/>
        <w:bottom w:val="none" w:sz="0" w:space="0" w:color="auto"/>
        <w:right w:val="none" w:sz="0" w:space="0" w:color="auto"/>
      </w:divBdr>
    </w:div>
    <w:div w:id="409154846">
      <w:marLeft w:val="0"/>
      <w:marRight w:val="0"/>
      <w:marTop w:val="160"/>
      <w:marBottom w:val="160"/>
      <w:divBdr>
        <w:top w:val="none" w:sz="0" w:space="0" w:color="auto"/>
        <w:left w:val="none" w:sz="0" w:space="0" w:color="auto"/>
        <w:bottom w:val="none" w:sz="0" w:space="0" w:color="auto"/>
        <w:right w:val="none" w:sz="0" w:space="0" w:color="auto"/>
      </w:divBdr>
    </w:div>
    <w:div w:id="412043758">
      <w:marLeft w:val="0"/>
      <w:marRight w:val="0"/>
      <w:marTop w:val="0"/>
      <w:marBottom w:val="0"/>
      <w:divBdr>
        <w:top w:val="none" w:sz="0" w:space="0" w:color="auto"/>
        <w:left w:val="none" w:sz="0" w:space="0" w:color="auto"/>
        <w:bottom w:val="none" w:sz="0" w:space="0" w:color="auto"/>
        <w:right w:val="none" w:sz="0" w:space="0" w:color="auto"/>
      </w:divBdr>
      <w:divsChild>
        <w:div w:id="1706248858">
          <w:marLeft w:val="0"/>
          <w:marRight w:val="0"/>
          <w:marTop w:val="0"/>
          <w:marBottom w:val="0"/>
          <w:divBdr>
            <w:top w:val="none" w:sz="0" w:space="0" w:color="auto"/>
            <w:left w:val="none" w:sz="0" w:space="0" w:color="auto"/>
            <w:bottom w:val="none" w:sz="0" w:space="0" w:color="auto"/>
            <w:right w:val="none" w:sz="0" w:space="0" w:color="auto"/>
          </w:divBdr>
        </w:div>
      </w:divsChild>
    </w:div>
    <w:div w:id="418911979">
      <w:marLeft w:val="0"/>
      <w:marRight w:val="0"/>
      <w:marTop w:val="160"/>
      <w:marBottom w:val="160"/>
      <w:divBdr>
        <w:top w:val="none" w:sz="0" w:space="0" w:color="auto"/>
        <w:left w:val="none" w:sz="0" w:space="0" w:color="auto"/>
        <w:bottom w:val="none" w:sz="0" w:space="0" w:color="auto"/>
        <w:right w:val="none" w:sz="0" w:space="0" w:color="auto"/>
      </w:divBdr>
    </w:div>
    <w:div w:id="426119439">
      <w:marLeft w:val="0"/>
      <w:marRight w:val="0"/>
      <w:marTop w:val="160"/>
      <w:marBottom w:val="160"/>
      <w:divBdr>
        <w:top w:val="none" w:sz="0" w:space="0" w:color="auto"/>
        <w:left w:val="none" w:sz="0" w:space="0" w:color="auto"/>
        <w:bottom w:val="none" w:sz="0" w:space="0" w:color="auto"/>
        <w:right w:val="none" w:sz="0" w:space="0" w:color="auto"/>
      </w:divBdr>
    </w:div>
    <w:div w:id="427164643">
      <w:marLeft w:val="0"/>
      <w:marRight w:val="0"/>
      <w:marTop w:val="160"/>
      <w:marBottom w:val="160"/>
      <w:divBdr>
        <w:top w:val="none" w:sz="0" w:space="0" w:color="auto"/>
        <w:left w:val="none" w:sz="0" w:space="0" w:color="auto"/>
        <w:bottom w:val="none" w:sz="0" w:space="0" w:color="auto"/>
        <w:right w:val="none" w:sz="0" w:space="0" w:color="auto"/>
      </w:divBdr>
    </w:div>
    <w:div w:id="428282472">
      <w:marLeft w:val="0"/>
      <w:marRight w:val="0"/>
      <w:marTop w:val="160"/>
      <w:marBottom w:val="160"/>
      <w:divBdr>
        <w:top w:val="none" w:sz="0" w:space="0" w:color="auto"/>
        <w:left w:val="none" w:sz="0" w:space="0" w:color="auto"/>
        <w:bottom w:val="none" w:sz="0" w:space="0" w:color="auto"/>
        <w:right w:val="none" w:sz="0" w:space="0" w:color="auto"/>
      </w:divBdr>
    </w:div>
    <w:div w:id="428964548">
      <w:marLeft w:val="0"/>
      <w:marRight w:val="0"/>
      <w:marTop w:val="160"/>
      <w:marBottom w:val="160"/>
      <w:divBdr>
        <w:top w:val="none" w:sz="0" w:space="0" w:color="auto"/>
        <w:left w:val="none" w:sz="0" w:space="0" w:color="auto"/>
        <w:bottom w:val="none" w:sz="0" w:space="0" w:color="auto"/>
        <w:right w:val="none" w:sz="0" w:space="0" w:color="auto"/>
      </w:divBdr>
    </w:div>
    <w:div w:id="430125577">
      <w:marLeft w:val="0"/>
      <w:marRight w:val="0"/>
      <w:marTop w:val="160"/>
      <w:marBottom w:val="160"/>
      <w:divBdr>
        <w:top w:val="none" w:sz="0" w:space="0" w:color="auto"/>
        <w:left w:val="none" w:sz="0" w:space="0" w:color="auto"/>
        <w:bottom w:val="none" w:sz="0" w:space="0" w:color="auto"/>
        <w:right w:val="none" w:sz="0" w:space="0" w:color="auto"/>
      </w:divBdr>
    </w:div>
    <w:div w:id="430781816">
      <w:marLeft w:val="0"/>
      <w:marRight w:val="0"/>
      <w:marTop w:val="0"/>
      <w:marBottom w:val="0"/>
      <w:divBdr>
        <w:top w:val="none" w:sz="0" w:space="0" w:color="auto"/>
        <w:left w:val="none" w:sz="0" w:space="0" w:color="auto"/>
        <w:bottom w:val="none" w:sz="0" w:space="0" w:color="auto"/>
        <w:right w:val="none" w:sz="0" w:space="0" w:color="auto"/>
      </w:divBdr>
    </w:div>
    <w:div w:id="442190088">
      <w:marLeft w:val="0"/>
      <w:marRight w:val="0"/>
      <w:marTop w:val="0"/>
      <w:marBottom w:val="0"/>
      <w:divBdr>
        <w:top w:val="none" w:sz="0" w:space="0" w:color="auto"/>
        <w:left w:val="none" w:sz="0" w:space="0" w:color="auto"/>
        <w:bottom w:val="none" w:sz="0" w:space="0" w:color="auto"/>
        <w:right w:val="none" w:sz="0" w:space="0" w:color="auto"/>
      </w:divBdr>
      <w:divsChild>
        <w:div w:id="1827278813">
          <w:marLeft w:val="0"/>
          <w:marRight w:val="0"/>
          <w:marTop w:val="160"/>
          <w:marBottom w:val="160"/>
          <w:divBdr>
            <w:top w:val="none" w:sz="0" w:space="0" w:color="auto"/>
            <w:left w:val="none" w:sz="0" w:space="0" w:color="auto"/>
            <w:bottom w:val="none" w:sz="0" w:space="0" w:color="auto"/>
            <w:right w:val="none" w:sz="0" w:space="0" w:color="auto"/>
          </w:divBdr>
        </w:div>
        <w:div w:id="452020097">
          <w:marLeft w:val="0"/>
          <w:marRight w:val="0"/>
          <w:marTop w:val="160"/>
          <w:marBottom w:val="160"/>
          <w:divBdr>
            <w:top w:val="none" w:sz="0" w:space="0" w:color="auto"/>
            <w:left w:val="none" w:sz="0" w:space="0" w:color="auto"/>
            <w:bottom w:val="none" w:sz="0" w:space="0" w:color="auto"/>
            <w:right w:val="none" w:sz="0" w:space="0" w:color="auto"/>
          </w:divBdr>
        </w:div>
        <w:div w:id="936711198">
          <w:marLeft w:val="0"/>
          <w:marRight w:val="0"/>
          <w:marTop w:val="160"/>
          <w:marBottom w:val="160"/>
          <w:divBdr>
            <w:top w:val="none" w:sz="0" w:space="0" w:color="auto"/>
            <w:left w:val="none" w:sz="0" w:space="0" w:color="auto"/>
            <w:bottom w:val="none" w:sz="0" w:space="0" w:color="auto"/>
            <w:right w:val="none" w:sz="0" w:space="0" w:color="auto"/>
          </w:divBdr>
        </w:div>
        <w:div w:id="1629166304">
          <w:marLeft w:val="0"/>
          <w:marRight w:val="0"/>
          <w:marTop w:val="160"/>
          <w:marBottom w:val="160"/>
          <w:divBdr>
            <w:top w:val="none" w:sz="0" w:space="0" w:color="auto"/>
            <w:left w:val="none" w:sz="0" w:space="0" w:color="auto"/>
            <w:bottom w:val="none" w:sz="0" w:space="0" w:color="auto"/>
            <w:right w:val="none" w:sz="0" w:space="0" w:color="auto"/>
          </w:divBdr>
        </w:div>
        <w:div w:id="371080229">
          <w:marLeft w:val="0"/>
          <w:marRight w:val="0"/>
          <w:marTop w:val="160"/>
          <w:marBottom w:val="160"/>
          <w:divBdr>
            <w:top w:val="none" w:sz="0" w:space="0" w:color="auto"/>
            <w:left w:val="none" w:sz="0" w:space="0" w:color="auto"/>
            <w:bottom w:val="none" w:sz="0" w:space="0" w:color="auto"/>
            <w:right w:val="none" w:sz="0" w:space="0" w:color="auto"/>
          </w:divBdr>
        </w:div>
        <w:div w:id="2034308365">
          <w:marLeft w:val="0"/>
          <w:marRight w:val="0"/>
          <w:marTop w:val="160"/>
          <w:marBottom w:val="160"/>
          <w:divBdr>
            <w:top w:val="none" w:sz="0" w:space="0" w:color="auto"/>
            <w:left w:val="none" w:sz="0" w:space="0" w:color="auto"/>
            <w:bottom w:val="none" w:sz="0" w:space="0" w:color="auto"/>
            <w:right w:val="none" w:sz="0" w:space="0" w:color="auto"/>
          </w:divBdr>
        </w:div>
        <w:div w:id="432895642">
          <w:marLeft w:val="0"/>
          <w:marRight w:val="0"/>
          <w:marTop w:val="0"/>
          <w:marBottom w:val="0"/>
          <w:divBdr>
            <w:top w:val="none" w:sz="0" w:space="0" w:color="auto"/>
            <w:left w:val="none" w:sz="0" w:space="0" w:color="auto"/>
            <w:bottom w:val="none" w:sz="0" w:space="0" w:color="auto"/>
            <w:right w:val="none" w:sz="0" w:space="0" w:color="auto"/>
          </w:divBdr>
        </w:div>
      </w:divsChild>
    </w:div>
    <w:div w:id="442920389">
      <w:marLeft w:val="0"/>
      <w:marRight w:val="0"/>
      <w:marTop w:val="0"/>
      <w:marBottom w:val="0"/>
      <w:divBdr>
        <w:top w:val="none" w:sz="0" w:space="0" w:color="auto"/>
        <w:left w:val="none" w:sz="0" w:space="0" w:color="auto"/>
        <w:bottom w:val="none" w:sz="0" w:space="0" w:color="auto"/>
        <w:right w:val="none" w:sz="0" w:space="0" w:color="auto"/>
      </w:divBdr>
      <w:divsChild>
        <w:div w:id="1687437921">
          <w:marLeft w:val="0"/>
          <w:marRight w:val="0"/>
          <w:marTop w:val="0"/>
          <w:marBottom w:val="0"/>
          <w:divBdr>
            <w:top w:val="none" w:sz="0" w:space="0" w:color="auto"/>
            <w:left w:val="none" w:sz="0" w:space="0" w:color="auto"/>
            <w:bottom w:val="none" w:sz="0" w:space="0" w:color="auto"/>
            <w:right w:val="none" w:sz="0" w:space="0" w:color="auto"/>
          </w:divBdr>
        </w:div>
      </w:divsChild>
    </w:div>
    <w:div w:id="445466026">
      <w:marLeft w:val="0"/>
      <w:marRight w:val="0"/>
      <w:marTop w:val="160"/>
      <w:marBottom w:val="160"/>
      <w:divBdr>
        <w:top w:val="none" w:sz="0" w:space="0" w:color="auto"/>
        <w:left w:val="none" w:sz="0" w:space="0" w:color="auto"/>
        <w:bottom w:val="none" w:sz="0" w:space="0" w:color="auto"/>
        <w:right w:val="none" w:sz="0" w:space="0" w:color="auto"/>
      </w:divBdr>
    </w:div>
    <w:div w:id="457728389">
      <w:marLeft w:val="0"/>
      <w:marRight w:val="0"/>
      <w:marTop w:val="0"/>
      <w:marBottom w:val="0"/>
      <w:divBdr>
        <w:top w:val="none" w:sz="0" w:space="0" w:color="auto"/>
        <w:left w:val="none" w:sz="0" w:space="0" w:color="auto"/>
        <w:bottom w:val="none" w:sz="0" w:space="0" w:color="auto"/>
        <w:right w:val="none" w:sz="0" w:space="0" w:color="auto"/>
      </w:divBdr>
      <w:divsChild>
        <w:div w:id="1944146166">
          <w:marLeft w:val="0"/>
          <w:marRight w:val="0"/>
          <w:marTop w:val="0"/>
          <w:marBottom w:val="0"/>
          <w:divBdr>
            <w:top w:val="none" w:sz="0" w:space="0" w:color="auto"/>
            <w:left w:val="none" w:sz="0" w:space="0" w:color="auto"/>
            <w:bottom w:val="none" w:sz="0" w:space="0" w:color="auto"/>
            <w:right w:val="none" w:sz="0" w:space="0" w:color="auto"/>
          </w:divBdr>
        </w:div>
      </w:divsChild>
    </w:div>
    <w:div w:id="458495231">
      <w:marLeft w:val="0"/>
      <w:marRight w:val="0"/>
      <w:marTop w:val="160"/>
      <w:marBottom w:val="160"/>
      <w:divBdr>
        <w:top w:val="none" w:sz="0" w:space="0" w:color="auto"/>
        <w:left w:val="none" w:sz="0" w:space="0" w:color="auto"/>
        <w:bottom w:val="none" w:sz="0" w:space="0" w:color="auto"/>
        <w:right w:val="none" w:sz="0" w:space="0" w:color="auto"/>
      </w:divBdr>
    </w:div>
    <w:div w:id="460465167">
      <w:marLeft w:val="0"/>
      <w:marRight w:val="0"/>
      <w:marTop w:val="160"/>
      <w:marBottom w:val="160"/>
      <w:divBdr>
        <w:top w:val="none" w:sz="0" w:space="0" w:color="auto"/>
        <w:left w:val="none" w:sz="0" w:space="0" w:color="auto"/>
        <w:bottom w:val="none" w:sz="0" w:space="0" w:color="auto"/>
        <w:right w:val="none" w:sz="0" w:space="0" w:color="auto"/>
      </w:divBdr>
    </w:div>
    <w:div w:id="461772602">
      <w:marLeft w:val="0"/>
      <w:marRight w:val="0"/>
      <w:marTop w:val="160"/>
      <w:marBottom w:val="160"/>
      <w:divBdr>
        <w:top w:val="none" w:sz="0" w:space="0" w:color="auto"/>
        <w:left w:val="none" w:sz="0" w:space="0" w:color="auto"/>
        <w:bottom w:val="none" w:sz="0" w:space="0" w:color="auto"/>
        <w:right w:val="none" w:sz="0" w:space="0" w:color="auto"/>
      </w:divBdr>
    </w:div>
    <w:div w:id="465510429">
      <w:marLeft w:val="0"/>
      <w:marRight w:val="0"/>
      <w:marTop w:val="160"/>
      <w:marBottom w:val="160"/>
      <w:divBdr>
        <w:top w:val="none" w:sz="0" w:space="0" w:color="auto"/>
        <w:left w:val="none" w:sz="0" w:space="0" w:color="auto"/>
        <w:bottom w:val="none" w:sz="0" w:space="0" w:color="auto"/>
        <w:right w:val="none" w:sz="0" w:space="0" w:color="auto"/>
      </w:divBdr>
    </w:div>
    <w:div w:id="467088409">
      <w:marLeft w:val="0"/>
      <w:marRight w:val="0"/>
      <w:marTop w:val="0"/>
      <w:marBottom w:val="0"/>
      <w:divBdr>
        <w:top w:val="none" w:sz="0" w:space="0" w:color="auto"/>
        <w:left w:val="none" w:sz="0" w:space="0" w:color="auto"/>
        <w:bottom w:val="none" w:sz="0" w:space="0" w:color="auto"/>
        <w:right w:val="none" w:sz="0" w:space="0" w:color="auto"/>
      </w:divBdr>
      <w:divsChild>
        <w:div w:id="601228662">
          <w:marLeft w:val="0"/>
          <w:marRight w:val="0"/>
          <w:marTop w:val="0"/>
          <w:marBottom w:val="0"/>
          <w:divBdr>
            <w:top w:val="none" w:sz="0" w:space="0" w:color="auto"/>
            <w:left w:val="none" w:sz="0" w:space="0" w:color="auto"/>
            <w:bottom w:val="none" w:sz="0" w:space="0" w:color="auto"/>
            <w:right w:val="none" w:sz="0" w:space="0" w:color="auto"/>
          </w:divBdr>
        </w:div>
      </w:divsChild>
    </w:div>
    <w:div w:id="467940881">
      <w:marLeft w:val="0"/>
      <w:marRight w:val="0"/>
      <w:marTop w:val="160"/>
      <w:marBottom w:val="160"/>
      <w:divBdr>
        <w:top w:val="none" w:sz="0" w:space="0" w:color="auto"/>
        <w:left w:val="none" w:sz="0" w:space="0" w:color="auto"/>
        <w:bottom w:val="none" w:sz="0" w:space="0" w:color="auto"/>
        <w:right w:val="none" w:sz="0" w:space="0" w:color="auto"/>
      </w:divBdr>
    </w:div>
    <w:div w:id="468783252">
      <w:marLeft w:val="0"/>
      <w:marRight w:val="0"/>
      <w:marTop w:val="160"/>
      <w:marBottom w:val="160"/>
      <w:divBdr>
        <w:top w:val="none" w:sz="0" w:space="0" w:color="auto"/>
        <w:left w:val="none" w:sz="0" w:space="0" w:color="auto"/>
        <w:bottom w:val="none" w:sz="0" w:space="0" w:color="auto"/>
        <w:right w:val="none" w:sz="0" w:space="0" w:color="auto"/>
      </w:divBdr>
    </w:div>
    <w:div w:id="470244545">
      <w:marLeft w:val="0"/>
      <w:marRight w:val="0"/>
      <w:marTop w:val="160"/>
      <w:marBottom w:val="160"/>
      <w:divBdr>
        <w:top w:val="none" w:sz="0" w:space="0" w:color="auto"/>
        <w:left w:val="none" w:sz="0" w:space="0" w:color="auto"/>
        <w:bottom w:val="none" w:sz="0" w:space="0" w:color="auto"/>
        <w:right w:val="none" w:sz="0" w:space="0" w:color="auto"/>
      </w:divBdr>
    </w:div>
    <w:div w:id="474951547">
      <w:marLeft w:val="0"/>
      <w:marRight w:val="0"/>
      <w:marTop w:val="160"/>
      <w:marBottom w:val="160"/>
      <w:divBdr>
        <w:top w:val="none" w:sz="0" w:space="0" w:color="auto"/>
        <w:left w:val="none" w:sz="0" w:space="0" w:color="auto"/>
        <w:bottom w:val="none" w:sz="0" w:space="0" w:color="auto"/>
        <w:right w:val="none" w:sz="0" w:space="0" w:color="auto"/>
      </w:divBdr>
    </w:div>
    <w:div w:id="481308955">
      <w:marLeft w:val="0"/>
      <w:marRight w:val="0"/>
      <w:marTop w:val="160"/>
      <w:marBottom w:val="160"/>
      <w:divBdr>
        <w:top w:val="none" w:sz="0" w:space="0" w:color="auto"/>
        <w:left w:val="none" w:sz="0" w:space="0" w:color="auto"/>
        <w:bottom w:val="none" w:sz="0" w:space="0" w:color="auto"/>
        <w:right w:val="none" w:sz="0" w:space="0" w:color="auto"/>
      </w:divBdr>
    </w:div>
    <w:div w:id="501555598">
      <w:marLeft w:val="0"/>
      <w:marRight w:val="0"/>
      <w:marTop w:val="160"/>
      <w:marBottom w:val="160"/>
      <w:divBdr>
        <w:top w:val="none" w:sz="0" w:space="0" w:color="auto"/>
        <w:left w:val="none" w:sz="0" w:space="0" w:color="auto"/>
        <w:bottom w:val="none" w:sz="0" w:space="0" w:color="auto"/>
        <w:right w:val="none" w:sz="0" w:space="0" w:color="auto"/>
      </w:divBdr>
    </w:div>
    <w:div w:id="501622368">
      <w:marLeft w:val="0"/>
      <w:marRight w:val="0"/>
      <w:marTop w:val="160"/>
      <w:marBottom w:val="160"/>
      <w:divBdr>
        <w:top w:val="none" w:sz="0" w:space="0" w:color="auto"/>
        <w:left w:val="none" w:sz="0" w:space="0" w:color="auto"/>
        <w:bottom w:val="none" w:sz="0" w:space="0" w:color="auto"/>
        <w:right w:val="none" w:sz="0" w:space="0" w:color="auto"/>
      </w:divBdr>
    </w:div>
    <w:div w:id="502480094">
      <w:marLeft w:val="0"/>
      <w:marRight w:val="0"/>
      <w:marTop w:val="160"/>
      <w:marBottom w:val="160"/>
      <w:divBdr>
        <w:top w:val="none" w:sz="0" w:space="0" w:color="auto"/>
        <w:left w:val="none" w:sz="0" w:space="0" w:color="auto"/>
        <w:bottom w:val="none" w:sz="0" w:space="0" w:color="auto"/>
        <w:right w:val="none" w:sz="0" w:space="0" w:color="auto"/>
      </w:divBdr>
    </w:div>
    <w:div w:id="504133455">
      <w:marLeft w:val="0"/>
      <w:marRight w:val="0"/>
      <w:marTop w:val="0"/>
      <w:marBottom w:val="0"/>
      <w:divBdr>
        <w:top w:val="none" w:sz="0" w:space="0" w:color="auto"/>
        <w:left w:val="none" w:sz="0" w:space="0" w:color="auto"/>
        <w:bottom w:val="none" w:sz="0" w:space="0" w:color="auto"/>
        <w:right w:val="none" w:sz="0" w:space="0" w:color="auto"/>
      </w:divBdr>
      <w:divsChild>
        <w:div w:id="2065526129">
          <w:marLeft w:val="0"/>
          <w:marRight w:val="0"/>
          <w:marTop w:val="0"/>
          <w:marBottom w:val="0"/>
          <w:divBdr>
            <w:top w:val="none" w:sz="0" w:space="0" w:color="auto"/>
            <w:left w:val="none" w:sz="0" w:space="0" w:color="auto"/>
            <w:bottom w:val="none" w:sz="0" w:space="0" w:color="auto"/>
            <w:right w:val="none" w:sz="0" w:space="0" w:color="auto"/>
          </w:divBdr>
        </w:div>
      </w:divsChild>
    </w:div>
    <w:div w:id="521095097">
      <w:marLeft w:val="0"/>
      <w:marRight w:val="0"/>
      <w:marTop w:val="160"/>
      <w:marBottom w:val="160"/>
      <w:divBdr>
        <w:top w:val="none" w:sz="0" w:space="0" w:color="auto"/>
        <w:left w:val="none" w:sz="0" w:space="0" w:color="auto"/>
        <w:bottom w:val="none" w:sz="0" w:space="0" w:color="auto"/>
        <w:right w:val="none" w:sz="0" w:space="0" w:color="auto"/>
      </w:divBdr>
    </w:div>
    <w:div w:id="523248925">
      <w:marLeft w:val="0"/>
      <w:marRight w:val="0"/>
      <w:marTop w:val="160"/>
      <w:marBottom w:val="160"/>
      <w:divBdr>
        <w:top w:val="none" w:sz="0" w:space="0" w:color="auto"/>
        <w:left w:val="none" w:sz="0" w:space="0" w:color="auto"/>
        <w:bottom w:val="none" w:sz="0" w:space="0" w:color="auto"/>
        <w:right w:val="none" w:sz="0" w:space="0" w:color="auto"/>
      </w:divBdr>
    </w:div>
    <w:div w:id="524296504">
      <w:marLeft w:val="0"/>
      <w:marRight w:val="0"/>
      <w:marTop w:val="0"/>
      <w:marBottom w:val="0"/>
      <w:divBdr>
        <w:top w:val="none" w:sz="0" w:space="0" w:color="auto"/>
        <w:left w:val="none" w:sz="0" w:space="0" w:color="auto"/>
        <w:bottom w:val="none" w:sz="0" w:space="0" w:color="auto"/>
        <w:right w:val="none" w:sz="0" w:space="0" w:color="auto"/>
      </w:divBdr>
    </w:div>
    <w:div w:id="527765919">
      <w:marLeft w:val="0"/>
      <w:marRight w:val="0"/>
      <w:marTop w:val="160"/>
      <w:marBottom w:val="160"/>
      <w:divBdr>
        <w:top w:val="none" w:sz="0" w:space="0" w:color="auto"/>
        <w:left w:val="none" w:sz="0" w:space="0" w:color="auto"/>
        <w:bottom w:val="none" w:sz="0" w:space="0" w:color="auto"/>
        <w:right w:val="none" w:sz="0" w:space="0" w:color="auto"/>
      </w:divBdr>
    </w:div>
    <w:div w:id="539708128">
      <w:marLeft w:val="0"/>
      <w:marRight w:val="0"/>
      <w:marTop w:val="0"/>
      <w:marBottom w:val="0"/>
      <w:divBdr>
        <w:top w:val="none" w:sz="0" w:space="0" w:color="auto"/>
        <w:left w:val="none" w:sz="0" w:space="0" w:color="auto"/>
        <w:bottom w:val="none" w:sz="0" w:space="0" w:color="auto"/>
        <w:right w:val="none" w:sz="0" w:space="0" w:color="auto"/>
      </w:divBdr>
    </w:div>
    <w:div w:id="540089549">
      <w:marLeft w:val="0"/>
      <w:marRight w:val="0"/>
      <w:marTop w:val="0"/>
      <w:marBottom w:val="0"/>
      <w:divBdr>
        <w:top w:val="none" w:sz="0" w:space="0" w:color="auto"/>
        <w:left w:val="none" w:sz="0" w:space="0" w:color="auto"/>
        <w:bottom w:val="none" w:sz="0" w:space="0" w:color="auto"/>
        <w:right w:val="none" w:sz="0" w:space="0" w:color="auto"/>
      </w:divBdr>
      <w:divsChild>
        <w:div w:id="1856071408">
          <w:marLeft w:val="0"/>
          <w:marRight w:val="0"/>
          <w:marTop w:val="0"/>
          <w:marBottom w:val="0"/>
          <w:divBdr>
            <w:top w:val="none" w:sz="0" w:space="0" w:color="auto"/>
            <w:left w:val="none" w:sz="0" w:space="0" w:color="auto"/>
            <w:bottom w:val="none" w:sz="0" w:space="0" w:color="auto"/>
            <w:right w:val="none" w:sz="0" w:space="0" w:color="auto"/>
          </w:divBdr>
        </w:div>
      </w:divsChild>
    </w:div>
    <w:div w:id="542179667">
      <w:marLeft w:val="0"/>
      <w:marRight w:val="0"/>
      <w:marTop w:val="100"/>
      <w:marBottom w:val="160"/>
      <w:divBdr>
        <w:top w:val="none" w:sz="0" w:space="0" w:color="auto"/>
        <w:left w:val="none" w:sz="0" w:space="0" w:color="auto"/>
        <w:bottom w:val="none" w:sz="0" w:space="0" w:color="auto"/>
        <w:right w:val="none" w:sz="0" w:space="0" w:color="auto"/>
      </w:divBdr>
    </w:div>
    <w:div w:id="545290205">
      <w:marLeft w:val="0"/>
      <w:marRight w:val="0"/>
      <w:marTop w:val="160"/>
      <w:marBottom w:val="160"/>
      <w:divBdr>
        <w:top w:val="none" w:sz="0" w:space="0" w:color="auto"/>
        <w:left w:val="none" w:sz="0" w:space="0" w:color="auto"/>
        <w:bottom w:val="none" w:sz="0" w:space="0" w:color="auto"/>
        <w:right w:val="none" w:sz="0" w:space="0" w:color="auto"/>
      </w:divBdr>
      <w:divsChild>
        <w:div w:id="1336835819">
          <w:marLeft w:val="0"/>
          <w:marRight w:val="0"/>
          <w:marTop w:val="0"/>
          <w:marBottom w:val="0"/>
          <w:divBdr>
            <w:top w:val="none" w:sz="0" w:space="0" w:color="auto"/>
            <w:left w:val="none" w:sz="0" w:space="0" w:color="auto"/>
            <w:bottom w:val="none" w:sz="0" w:space="0" w:color="auto"/>
            <w:right w:val="none" w:sz="0" w:space="0" w:color="auto"/>
          </w:divBdr>
        </w:div>
        <w:div w:id="896084117">
          <w:marLeft w:val="0"/>
          <w:marRight w:val="0"/>
          <w:marTop w:val="0"/>
          <w:marBottom w:val="0"/>
          <w:divBdr>
            <w:top w:val="none" w:sz="0" w:space="0" w:color="auto"/>
            <w:left w:val="none" w:sz="0" w:space="0" w:color="auto"/>
            <w:bottom w:val="none" w:sz="0" w:space="0" w:color="auto"/>
            <w:right w:val="none" w:sz="0" w:space="0" w:color="auto"/>
          </w:divBdr>
        </w:div>
        <w:div w:id="22362365">
          <w:marLeft w:val="0"/>
          <w:marRight w:val="0"/>
          <w:marTop w:val="0"/>
          <w:marBottom w:val="0"/>
          <w:divBdr>
            <w:top w:val="none" w:sz="0" w:space="0" w:color="auto"/>
            <w:left w:val="none" w:sz="0" w:space="0" w:color="auto"/>
            <w:bottom w:val="none" w:sz="0" w:space="0" w:color="auto"/>
            <w:right w:val="none" w:sz="0" w:space="0" w:color="auto"/>
          </w:divBdr>
        </w:div>
        <w:div w:id="1362318877">
          <w:marLeft w:val="0"/>
          <w:marRight w:val="0"/>
          <w:marTop w:val="0"/>
          <w:marBottom w:val="0"/>
          <w:divBdr>
            <w:top w:val="none" w:sz="0" w:space="0" w:color="auto"/>
            <w:left w:val="none" w:sz="0" w:space="0" w:color="auto"/>
            <w:bottom w:val="none" w:sz="0" w:space="0" w:color="auto"/>
            <w:right w:val="none" w:sz="0" w:space="0" w:color="auto"/>
          </w:divBdr>
        </w:div>
        <w:div w:id="1241059932">
          <w:marLeft w:val="0"/>
          <w:marRight w:val="0"/>
          <w:marTop w:val="0"/>
          <w:marBottom w:val="0"/>
          <w:divBdr>
            <w:top w:val="none" w:sz="0" w:space="0" w:color="auto"/>
            <w:left w:val="none" w:sz="0" w:space="0" w:color="auto"/>
            <w:bottom w:val="none" w:sz="0" w:space="0" w:color="auto"/>
            <w:right w:val="none" w:sz="0" w:space="0" w:color="auto"/>
          </w:divBdr>
        </w:div>
        <w:div w:id="1661036915">
          <w:marLeft w:val="0"/>
          <w:marRight w:val="0"/>
          <w:marTop w:val="0"/>
          <w:marBottom w:val="0"/>
          <w:divBdr>
            <w:top w:val="none" w:sz="0" w:space="0" w:color="auto"/>
            <w:left w:val="none" w:sz="0" w:space="0" w:color="auto"/>
            <w:bottom w:val="none" w:sz="0" w:space="0" w:color="auto"/>
            <w:right w:val="none" w:sz="0" w:space="0" w:color="auto"/>
          </w:divBdr>
        </w:div>
        <w:div w:id="366949962">
          <w:marLeft w:val="0"/>
          <w:marRight w:val="0"/>
          <w:marTop w:val="0"/>
          <w:marBottom w:val="0"/>
          <w:divBdr>
            <w:top w:val="none" w:sz="0" w:space="0" w:color="auto"/>
            <w:left w:val="none" w:sz="0" w:space="0" w:color="auto"/>
            <w:bottom w:val="none" w:sz="0" w:space="0" w:color="auto"/>
            <w:right w:val="none" w:sz="0" w:space="0" w:color="auto"/>
          </w:divBdr>
        </w:div>
        <w:div w:id="1480656809">
          <w:marLeft w:val="0"/>
          <w:marRight w:val="0"/>
          <w:marTop w:val="0"/>
          <w:marBottom w:val="0"/>
          <w:divBdr>
            <w:top w:val="none" w:sz="0" w:space="0" w:color="auto"/>
            <w:left w:val="none" w:sz="0" w:space="0" w:color="auto"/>
            <w:bottom w:val="none" w:sz="0" w:space="0" w:color="auto"/>
            <w:right w:val="none" w:sz="0" w:space="0" w:color="auto"/>
          </w:divBdr>
        </w:div>
        <w:div w:id="2049405445">
          <w:marLeft w:val="0"/>
          <w:marRight w:val="0"/>
          <w:marTop w:val="0"/>
          <w:marBottom w:val="0"/>
          <w:divBdr>
            <w:top w:val="none" w:sz="0" w:space="0" w:color="auto"/>
            <w:left w:val="none" w:sz="0" w:space="0" w:color="auto"/>
            <w:bottom w:val="none" w:sz="0" w:space="0" w:color="auto"/>
            <w:right w:val="none" w:sz="0" w:space="0" w:color="auto"/>
          </w:divBdr>
        </w:div>
        <w:div w:id="1278953152">
          <w:marLeft w:val="0"/>
          <w:marRight w:val="0"/>
          <w:marTop w:val="0"/>
          <w:marBottom w:val="0"/>
          <w:divBdr>
            <w:top w:val="none" w:sz="0" w:space="0" w:color="auto"/>
            <w:left w:val="none" w:sz="0" w:space="0" w:color="auto"/>
            <w:bottom w:val="none" w:sz="0" w:space="0" w:color="auto"/>
            <w:right w:val="none" w:sz="0" w:space="0" w:color="auto"/>
          </w:divBdr>
        </w:div>
        <w:div w:id="1373846524">
          <w:marLeft w:val="0"/>
          <w:marRight w:val="0"/>
          <w:marTop w:val="0"/>
          <w:marBottom w:val="0"/>
          <w:divBdr>
            <w:top w:val="none" w:sz="0" w:space="0" w:color="auto"/>
            <w:left w:val="none" w:sz="0" w:space="0" w:color="auto"/>
            <w:bottom w:val="none" w:sz="0" w:space="0" w:color="auto"/>
            <w:right w:val="none" w:sz="0" w:space="0" w:color="auto"/>
          </w:divBdr>
        </w:div>
        <w:div w:id="1022511693">
          <w:marLeft w:val="0"/>
          <w:marRight w:val="0"/>
          <w:marTop w:val="0"/>
          <w:marBottom w:val="0"/>
          <w:divBdr>
            <w:top w:val="none" w:sz="0" w:space="0" w:color="auto"/>
            <w:left w:val="none" w:sz="0" w:space="0" w:color="auto"/>
            <w:bottom w:val="none" w:sz="0" w:space="0" w:color="auto"/>
            <w:right w:val="none" w:sz="0" w:space="0" w:color="auto"/>
          </w:divBdr>
        </w:div>
        <w:div w:id="437062692">
          <w:marLeft w:val="0"/>
          <w:marRight w:val="0"/>
          <w:marTop w:val="0"/>
          <w:marBottom w:val="0"/>
          <w:divBdr>
            <w:top w:val="none" w:sz="0" w:space="0" w:color="auto"/>
            <w:left w:val="none" w:sz="0" w:space="0" w:color="auto"/>
            <w:bottom w:val="none" w:sz="0" w:space="0" w:color="auto"/>
            <w:right w:val="none" w:sz="0" w:space="0" w:color="auto"/>
          </w:divBdr>
        </w:div>
        <w:div w:id="1454405276">
          <w:marLeft w:val="0"/>
          <w:marRight w:val="0"/>
          <w:marTop w:val="0"/>
          <w:marBottom w:val="0"/>
          <w:divBdr>
            <w:top w:val="none" w:sz="0" w:space="0" w:color="auto"/>
            <w:left w:val="none" w:sz="0" w:space="0" w:color="auto"/>
            <w:bottom w:val="none" w:sz="0" w:space="0" w:color="auto"/>
            <w:right w:val="none" w:sz="0" w:space="0" w:color="auto"/>
          </w:divBdr>
        </w:div>
        <w:div w:id="1522622247">
          <w:marLeft w:val="0"/>
          <w:marRight w:val="0"/>
          <w:marTop w:val="0"/>
          <w:marBottom w:val="0"/>
          <w:divBdr>
            <w:top w:val="none" w:sz="0" w:space="0" w:color="auto"/>
            <w:left w:val="none" w:sz="0" w:space="0" w:color="auto"/>
            <w:bottom w:val="none" w:sz="0" w:space="0" w:color="auto"/>
            <w:right w:val="none" w:sz="0" w:space="0" w:color="auto"/>
          </w:divBdr>
        </w:div>
        <w:div w:id="1897467643">
          <w:marLeft w:val="0"/>
          <w:marRight w:val="0"/>
          <w:marTop w:val="0"/>
          <w:marBottom w:val="0"/>
          <w:divBdr>
            <w:top w:val="none" w:sz="0" w:space="0" w:color="auto"/>
            <w:left w:val="none" w:sz="0" w:space="0" w:color="auto"/>
            <w:bottom w:val="none" w:sz="0" w:space="0" w:color="auto"/>
            <w:right w:val="none" w:sz="0" w:space="0" w:color="auto"/>
          </w:divBdr>
        </w:div>
        <w:div w:id="1135492418">
          <w:marLeft w:val="0"/>
          <w:marRight w:val="0"/>
          <w:marTop w:val="0"/>
          <w:marBottom w:val="0"/>
          <w:divBdr>
            <w:top w:val="none" w:sz="0" w:space="0" w:color="auto"/>
            <w:left w:val="none" w:sz="0" w:space="0" w:color="auto"/>
            <w:bottom w:val="none" w:sz="0" w:space="0" w:color="auto"/>
            <w:right w:val="none" w:sz="0" w:space="0" w:color="auto"/>
          </w:divBdr>
        </w:div>
        <w:div w:id="338776867">
          <w:marLeft w:val="0"/>
          <w:marRight w:val="0"/>
          <w:marTop w:val="0"/>
          <w:marBottom w:val="0"/>
          <w:divBdr>
            <w:top w:val="none" w:sz="0" w:space="0" w:color="auto"/>
            <w:left w:val="none" w:sz="0" w:space="0" w:color="auto"/>
            <w:bottom w:val="none" w:sz="0" w:space="0" w:color="auto"/>
            <w:right w:val="none" w:sz="0" w:space="0" w:color="auto"/>
          </w:divBdr>
        </w:div>
        <w:div w:id="298851190">
          <w:marLeft w:val="0"/>
          <w:marRight w:val="0"/>
          <w:marTop w:val="0"/>
          <w:marBottom w:val="0"/>
          <w:divBdr>
            <w:top w:val="none" w:sz="0" w:space="0" w:color="auto"/>
            <w:left w:val="none" w:sz="0" w:space="0" w:color="auto"/>
            <w:bottom w:val="none" w:sz="0" w:space="0" w:color="auto"/>
            <w:right w:val="none" w:sz="0" w:space="0" w:color="auto"/>
          </w:divBdr>
        </w:div>
      </w:divsChild>
    </w:div>
    <w:div w:id="546182316">
      <w:marLeft w:val="0"/>
      <w:marRight w:val="0"/>
      <w:marTop w:val="0"/>
      <w:marBottom w:val="0"/>
      <w:divBdr>
        <w:top w:val="none" w:sz="0" w:space="0" w:color="auto"/>
        <w:left w:val="none" w:sz="0" w:space="0" w:color="auto"/>
        <w:bottom w:val="none" w:sz="0" w:space="0" w:color="auto"/>
        <w:right w:val="none" w:sz="0" w:space="0" w:color="auto"/>
      </w:divBdr>
      <w:divsChild>
        <w:div w:id="52461304">
          <w:marLeft w:val="0"/>
          <w:marRight w:val="0"/>
          <w:marTop w:val="0"/>
          <w:marBottom w:val="0"/>
          <w:divBdr>
            <w:top w:val="none" w:sz="0" w:space="0" w:color="auto"/>
            <w:left w:val="none" w:sz="0" w:space="0" w:color="auto"/>
            <w:bottom w:val="none" w:sz="0" w:space="0" w:color="auto"/>
            <w:right w:val="none" w:sz="0" w:space="0" w:color="auto"/>
          </w:divBdr>
        </w:div>
      </w:divsChild>
    </w:div>
    <w:div w:id="550003384">
      <w:marLeft w:val="0"/>
      <w:marRight w:val="0"/>
      <w:marTop w:val="160"/>
      <w:marBottom w:val="160"/>
      <w:divBdr>
        <w:top w:val="none" w:sz="0" w:space="0" w:color="auto"/>
        <w:left w:val="none" w:sz="0" w:space="0" w:color="auto"/>
        <w:bottom w:val="none" w:sz="0" w:space="0" w:color="auto"/>
        <w:right w:val="none" w:sz="0" w:space="0" w:color="auto"/>
      </w:divBdr>
    </w:div>
    <w:div w:id="575015005">
      <w:marLeft w:val="0"/>
      <w:marRight w:val="0"/>
      <w:marTop w:val="160"/>
      <w:marBottom w:val="160"/>
      <w:divBdr>
        <w:top w:val="none" w:sz="0" w:space="0" w:color="auto"/>
        <w:left w:val="none" w:sz="0" w:space="0" w:color="auto"/>
        <w:bottom w:val="none" w:sz="0" w:space="0" w:color="auto"/>
        <w:right w:val="none" w:sz="0" w:space="0" w:color="auto"/>
      </w:divBdr>
    </w:div>
    <w:div w:id="575748411">
      <w:marLeft w:val="0"/>
      <w:marRight w:val="0"/>
      <w:marTop w:val="160"/>
      <w:marBottom w:val="160"/>
      <w:divBdr>
        <w:top w:val="none" w:sz="0" w:space="0" w:color="auto"/>
        <w:left w:val="none" w:sz="0" w:space="0" w:color="auto"/>
        <w:bottom w:val="none" w:sz="0" w:space="0" w:color="auto"/>
        <w:right w:val="none" w:sz="0" w:space="0" w:color="auto"/>
      </w:divBdr>
    </w:div>
    <w:div w:id="578365907">
      <w:marLeft w:val="0"/>
      <w:marRight w:val="0"/>
      <w:marTop w:val="160"/>
      <w:marBottom w:val="160"/>
      <w:divBdr>
        <w:top w:val="none" w:sz="0" w:space="0" w:color="auto"/>
        <w:left w:val="none" w:sz="0" w:space="0" w:color="auto"/>
        <w:bottom w:val="none" w:sz="0" w:space="0" w:color="auto"/>
        <w:right w:val="none" w:sz="0" w:space="0" w:color="auto"/>
      </w:divBdr>
    </w:div>
    <w:div w:id="580213216">
      <w:marLeft w:val="0"/>
      <w:marRight w:val="0"/>
      <w:marTop w:val="60"/>
      <w:marBottom w:val="0"/>
      <w:divBdr>
        <w:top w:val="none" w:sz="0" w:space="0" w:color="auto"/>
        <w:left w:val="none" w:sz="0" w:space="0" w:color="auto"/>
        <w:bottom w:val="none" w:sz="0" w:space="0" w:color="auto"/>
        <w:right w:val="none" w:sz="0" w:space="0" w:color="auto"/>
      </w:divBdr>
    </w:div>
    <w:div w:id="581186812">
      <w:marLeft w:val="0"/>
      <w:marRight w:val="0"/>
      <w:marTop w:val="160"/>
      <w:marBottom w:val="160"/>
      <w:divBdr>
        <w:top w:val="none" w:sz="0" w:space="0" w:color="auto"/>
        <w:left w:val="none" w:sz="0" w:space="0" w:color="auto"/>
        <w:bottom w:val="none" w:sz="0" w:space="0" w:color="auto"/>
        <w:right w:val="none" w:sz="0" w:space="0" w:color="auto"/>
      </w:divBdr>
    </w:div>
    <w:div w:id="582881454">
      <w:marLeft w:val="0"/>
      <w:marRight w:val="0"/>
      <w:marTop w:val="100"/>
      <w:marBottom w:val="160"/>
      <w:divBdr>
        <w:top w:val="none" w:sz="0" w:space="0" w:color="auto"/>
        <w:left w:val="none" w:sz="0" w:space="0" w:color="auto"/>
        <w:bottom w:val="none" w:sz="0" w:space="0" w:color="auto"/>
        <w:right w:val="none" w:sz="0" w:space="0" w:color="auto"/>
      </w:divBdr>
    </w:div>
    <w:div w:id="584457132">
      <w:marLeft w:val="0"/>
      <w:marRight w:val="0"/>
      <w:marTop w:val="0"/>
      <w:marBottom w:val="0"/>
      <w:divBdr>
        <w:top w:val="none" w:sz="0" w:space="0" w:color="auto"/>
        <w:left w:val="none" w:sz="0" w:space="0" w:color="auto"/>
        <w:bottom w:val="none" w:sz="0" w:space="0" w:color="auto"/>
        <w:right w:val="none" w:sz="0" w:space="0" w:color="auto"/>
      </w:divBdr>
      <w:divsChild>
        <w:div w:id="605961491">
          <w:marLeft w:val="0"/>
          <w:marRight w:val="0"/>
          <w:marTop w:val="0"/>
          <w:marBottom w:val="0"/>
          <w:divBdr>
            <w:top w:val="none" w:sz="0" w:space="0" w:color="auto"/>
            <w:left w:val="none" w:sz="0" w:space="0" w:color="auto"/>
            <w:bottom w:val="none" w:sz="0" w:space="0" w:color="auto"/>
            <w:right w:val="none" w:sz="0" w:space="0" w:color="auto"/>
          </w:divBdr>
        </w:div>
      </w:divsChild>
    </w:div>
    <w:div w:id="585924309">
      <w:marLeft w:val="0"/>
      <w:marRight w:val="0"/>
      <w:marTop w:val="160"/>
      <w:marBottom w:val="160"/>
      <w:divBdr>
        <w:top w:val="none" w:sz="0" w:space="0" w:color="auto"/>
        <w:left w:val="none" w:sz="0" w:space="0" w:color="auto"/>
        <w:bottom w:val="none" w:sz="0" w:space="0" w:color="auto"/>
        <w:right w:val="none" w:sz="0" w:space="0" w:color="auto"/>
      </w:divBdr>
    </w:div>
    <w:div w:id="597252619">
      <w:marLeft w:val="0"/>
      <w:marRight w:val="0"/>
      <w:marTop w:val="160"/>
      <w:marBottom w:val="160"/>
      <w:divBdr>
        <w:top w:val="none" w:sz="0" w:space="0" w:color="auto"/>
        <w:left w:val="none" w:sz="0" w:space="0" w:color="auto"/>
        <w:bottom w:val="none" w:sz="0" w:space="0" w:color="auto"/>
        <w:right w:val="none" w:sz="0" w:space="0" w:color="auto"/>
      </w:divBdr>
    </w:div>
    <w:div w:id="602802453">
      <w:marLeft w:val="0"/>
      <w:marRight w:val="0"/>
      <w:marTop w:val="0"/>
      <w:marBottom w:val="0"/>
      <w:divBdr>
        <w:top w:val="none" w:sz="0" w:space="0" w:color="auto"/>
        <w:left w:val="none" w:sz="0" w:space="0" w:color="auto"/>
        <w:bottom w:val="none" w:sz="0" w:space="0" w:color="auto"/>
        <w:right w:val="none" w:sz="0" w:space="0" w:color="auto"/>
      </w:divBdr>
    </w:div>
    <w:div w:id="603928911">
      <w:marLeft w:val="0"/>
      <w:marRight w:val="0"/>
      <w:marTop w:val="0"/>
      <w:marBottom w:val="0"/>
      <w:divBdr>
        <w:top w:val="none" w:sz="0" w:space="0" w:color="auto"/>
        <w:left w:val="none" w:sz="0" w:space="0" w:color="auto"/>
        <w:bottom w:val="none" w:sz="0" w:space="0" w:color="auto"/>
        <w:right w:val="none" w:sz="0" w:space="0" w:color="auto"/>
      </w:divBdr>
      <w:divsChild>
        <w:div w:id="671572099">
          <w:marLeft w:val="0"/>
          <w:marRight w:val="0"/>
          <w:marTop w:val="0"/>
          <w:marBottom w:val="0"/>
          <w:divBdr>
            <w:top w:val="none" w:sz="0" w:space="0" w:color="auto"/>
            <w:left w:val="none" w:sz="0" w:space="0" w:color="auto"/>
            <w:bottom w:val="none" w:sz="0" w:space="0" w:color="auto"/>
            <w:right w:val="none" w:sz="0" w:space="0" w:color="auto"/>
          </w:divBdr>
        </w:div>
      </w:divsChild>
    </w:div>
    <w:div w:id="604584102">
      <w:marLeft w:val="0"/>
      <w:marRight w:val="0"/>
      <w:marTop w:val="160"/>
      <w:marBottom w:val="160"/>
      <w:divBdr>
        <w:top w:val="none" w:sz="0" w:space="0" w:color="auto"/>
        <w:left w:val="none" w:sz="0" w:space="0" w:color="auto"/>
        <w:bottom w:val="none" w:sz="0" w:space="0" w:color="auto"/>
        <w:right w:val="none" w:sz="0" w:space="0" w:color="auto"/>
      </w:divBdr>
    </w:div>
    <w:div w:id="606155492">
      <w:marLeft w:val="0"/>
      <w:marRight w:val="0"/>
      <w:marTop w:val="160"/>
      <w:marBottom w:val="160"/>
      <w:divBdr>
        <w:top w:val="none" w:sz="0" w:space="0" w:color="auto"/>
        <w:left w:val="none" w:sz="0" w:space="0" w:color="auto"/>
        <w:bottom w:val="none" w:sz="0" w:space="0" w:color="auto"/>
        <w:right w:val="none" w:sz="0" w:space="0" w:color="auto"/>
      </w:divBdr>
    </w:div>
    <w:div w:id="611399459">
      <w:marLeft w:val="0"/>
      <w:marRight w:val="0"/>
      <w:marTop w:val="160"/>
      <w:marBottom w:val="160"/>
      <w:divBdr>
        <w:top w:val="none" w:sz="0" w:space="0" w:color="auto"/>
        <w:left w:val="none" w:sz="0" w:space="0" w:color="auto"/>
        <w:bottom w:val="none" w:sz="0" w:space="0" w:color="auto"/>
        <w:right w:val="none" w:sz="0" w:space="0" w:color="auto"/>
      </w:divBdr>
    </w:div>
    <w:div w:id="611938827">
      <w:marLeft w:val="0"/>
      <w:marRight w:val="0"/>
      <w:marTop w:val="160"/>
      <w:marBottom w:val="160"/>
      <w:divBdr>
        <w:top w:val="none" w:sz="0" w:space="0" w:color="auto"/>
        <w:left w:val="none" w:sz="0" w:space="0" w:color="auto"/>
        <w:bottom w:val="none" w:sz="0" w:space="0" w:color="auto"/>
        <w:right w:val="none" w:sz="0" w:space="0" w:color="auto"/>
      </w:divBdr>
    </w:div>
    <w:div w:id="612706740">
      <w:marLeft w:val="0"/>
      <w:marRight w:val="0"/>
      <w:marTop w:val="160"/>
      <w:marBottom w:val="160"/>
      <w:divBdr>
        <w:top w:val="none" w:sz="0" w:space="0" w:color="auto"/>
        <w:left w:val="none" w:sz="0" w:space="0" w:color="auto"/>
        <w:bottom w:val="none" w:sz="0" w:space="0" w:color="auto"/>
        <w:right w:val="none" w:sz="0" w:space="0" w:color="auto"/>
      </w:divBdr>
    </w:div>
    <w:div w:id="618494469">
      <w:marLeft w:val="0"/>
      <w:marRight w:val="0"/>
      <w:marTop w:val="160"/>
      <w:marBottom w:val="160"/>
      <w:divBdr>
        <w:top w:val="none" w:sz="0" w:space="0" w:color="auto"/>
        <w:left w:val="none" w:sz="0" w:space="0" w:color="auto"/>
        <w:bottom w:val="none" w:sz="0" w:space="0" w:color="auto"/>
        <w:right w:val="none" w:sz="0" w:space="0" w:color="auto"/>
      </w:divBdr>
    </w:div>
    <w:div w:id="619459636">
      <w:marLeft w:val="0"/>
      <w:marRight w:val="0"/>
      <w:marTop w:val="0"/>
      <w:marBottom w:val="160"/>
      <w:divBdr>
        <w:top w:val="none" w:sz="0" w:space="0" w:color="auto"/>
        <w:left w:val="none" w:sz="0" w:space="0" w:color="auto"/>
        <w:bottom w:val="none" w:sz="0" w:space="0" w:color="auto"/>
        <w:right w:val="none" w:sz="0" w:space="0" w:color="auto"/>
      </w:divBdr>
    </w:div>
    <w:div w:id="620377090">
      <w:marLeft w:val="0"/>
      <w:marRight w:val="0"/>
      <w:marTop w:val="160"/>
      <w:marBottom w:val="160"/>
      <w:divBdr>
        <w:top w:val="none" w:sz="0" w:space="0" w:color="auto"/>
        <w:left w:val="none" w:sz="0" w:space="0" w:color="auto"/>
        <w:bottom w:val="none" w:sz="0" w:space="0" w:color="auto"/>
        <w:right w:val="none" w:sz="0" w:space="0" w:color="auto"/>
      </w:divBdr>
    </w:div>
    <w:div w:id="628129314">
      <w:marLeft w:val="0"/>
      <w:marRight w:val="0"/>
      <w:marTop w:val="160"/>
      <w:marBottom w:val="160"/>
      <w:divBdr>
        <w:top w:val="none" w:sz="0" w:space="0" w:color="auto"/>
        <w:left w:val="none" w:sz="0" w:space="0" w:color="auto"/>
        <w:bottom w:val="none" w:sz="0" w:space="0" w:color="auto"/>
        <w:right w:val="none" w:sz="0" w:space="0" w:color="auto"/>
      </w:divBdr>
    </w:div>
    <w:div w:id="629046150">
      <w:marLeft w:val="0"/>
      <w:marRight w:val="0"/>
      <w:marTop w:val="160"/>
      <w:marBottom w:val="160"/>
      <w:divBdr>
        <w:top w:val="none" w:sz="0" w:space="0" w:color="auto"/>
        <w:left w:val="none" w:sz="0" w:space="0" w:color="auto"/>
        <w:bottom w:val="none" w:sz="0" w:space="0" w:color="auto"/>
        <w:right w:val="none" w:sz="0" w:space="0" w:color="auto"/>
      </w:divBdr>
    </w:div>
    <w:div w:id="631789716">
      <w:marLeft w:val="0"/>
      <w:marRight w:val="0"/>
      <w:marTop w:val="160"/>
      <w:marBottom w:val="160"/>
      <w:divBdr>
        <w:top w:val="none" w:sz="0" w:space="0" w:color="auto"/>
        <w:left w:val="none" w:sz="0" w:space="0" w:color="auto"/>
        <w:bottom w:val="none" w:sz="0" w:space="0" w:color="auto"/>
        <w:right w:val="none" w:sz="0" w:space="0" w:color="auto"/>
      </w:divBdr>
    </w:div>
    <w:div w:id="634411798">
      <w:marLeft w:val="0"/>
      <w:marRight w:val="0"/>
      <w:marTop w:val="160"/>
      <w:marBottom w:val="160"/>
      <w:divBdr>
        <w:top w:val="none" w:sz="0" w:space="0" w:color="auto"/>
        <w:left w:val="none" w:sz="0" w:space="0" w:color="auto"/>
        <w:bottom w:val="none" w:sz="0" w:space="0" w:color="auto"/>
        <w:right w:val="none" w:sz="0" w:space="0" w:color="auto"/>
      </w:divBdr>
    </w:div>
    <w:div w:id="635380861">
      <w:marLeft w:val="0"/>
      <w:marRight w:val="0"/>
      <w:marTop w:val="0"/>
      <w:marBottom w:val="0"/>
      <w:divBdr>
        <w:top w:val="none" w:sz="0" w:space="0" w:color="auto"/>
        <w:left w:val="none" w:sz="0" w:space="0" w:color="auto"/>
        <w:bottom w:val="none" w:sz="0" w:space="0" w:color="auto"/>
        <w:right w:val="none" w:sz="0" w:space="0" w:color="auto"/>
      </w:divBdr>
      <w:divsChild>
        <w:div w:id="1900433201">
          <w:marLeft w:val="0"/>
          <w:marRight w:val="0"/>
          <w:marTop w:val="0"/>
          <w:marBottom w:val="0"/>
          <w:divBdr>
            <w:top w:val="none" w:sz="0" w:space="0" w:color="auto"/>
            <w:left w:val="none" w:sz="0" w:space="0" w:color="auto"/>
            <w:bottom w:val="none" w:sz="0" w:space="0" w:color="auto"/>
            <w:right w:val="none" w:sz="0" w:space="0" w:color="auto"/>
          </w:divBdr>
        </w:div>
      </w:divsChild>
    </w:div>
    <w:div w:id="635455059">
      <w:marLeft w:val="0"/>
      <w:marRight w:val="0"/>
      <w:marTop w:val="0"/>
      <w:marBottom w:val="0"/>
      <w:divBdr>
        <w:top w:val="none" w:sz="0" w:space="0" w:color="auto"/>
        <w:left w:val="none" w:sz="0" w:space="0" w:color="auto"/>
        <w:bottom w:val="none" w:sz="0" w:space="0" w:color="auto"/>
        <w:right w:val="none" w:sz="0" w:space="0" w:color="auto"/>
      </w:divBdr>
      <w:divsChild>
        <w:div w:id="114763870">
          <w:marLeft w:val="0"/>
          <w:marRight w:val="0"/>
          <w:marTop w:val="0"/>
          <w:marBottom w:val="0"/>
          <w:divBdr>
            <w:top w:val="none" w:sz="0" w:space="0" w:color="auto"/>
            <w:left w:val="none" w:sz="0" w:space="0" w:color="auto"/>
            <w:bottom w:val="none" w:sz="0" w:space="0" w:color="auto"/>
            <w:right w:val="none" w:sz="0" w:space="0" w:color="auto"/>
          </w:divBdr>
        </w:div>
      </w:divsChild>
    </w:div>
    <w:div w:id="637031139">
      <w:marLeft w:val="0"/>
      <w:marRight w:val="0"/>
      <w:marTop w:val="0"/>
      <w:marBottom w:val="0"/>
      <w:divBdr>
        <w:top w:val="none" w:sz="0" w:space="0" w:color="auto"/>
        <w:left w:val="none" w:sz="0" w:space="0" w:color="auto"/>
        <w:bottom w:val="none" w:sz="0" w:space="0" w:color="auto"/>
        <w:right w:val="none" w:sz="0" w:space="0" w:color="auto"/>
      </w:divBdr>
      <w:divsChild>
        <w:div w:id="1765568928">
          <w:marLeft w:val="0"/>
          <w:marRight w:val="0"/>
          <w:marTop w:val="0"/>
          <w:marBottom w:val="0"/>
          <w:divBdr>
            <w:top w:val="none" w:sz="0" w:space="0" w:color="auto"/>
            <w:left w:val="none" w:sz="0" w:space="0" w:color="auto"/>
            <w:bottom w:val="none" w:sz="0" w:space="0" w:color="auto"/>
            <w:right w:val="none" w:sz="0" w:space="0" w:color="auto"/>
          </w:divBdr>
        </w:div>
      </w:divsChild>
    </w:div>
    <w:div w:id="641082503">
      <w:marLeft w:val="0"/>
      <w:marRight w:val="0"/>
      <w:marTop w:val="160"/>
      <w:marBottom w:val="160"/>
      <w:divBdr>
        <w:top w:val="none" w:sz="0" w:space="0" w:color="auto"/>
        <w:left w:val="none" w:sz="0" w:space="0" w:color="auto"/>
        <w:bottom w:val="none" w:sz="0" w:space="0" w:color="auto"/>
        <w:right w:val="none" w:sz="0" w:space="0" w:color="auto"/>
      </w:divBdr>
    </w:div>
    <w:div w:id="646782922">
      <w:marLeft w:val="0"/>
      <w:marRight w:val="0"/>
      <w:marTop w:val="160"/>
      <w:marBottom w:val="160"/>
      <w:divBdr>
        <w:top w:val="none" w:sz="0" w:space="0" w:color="auto"/>
        <w:left w:val="none" w:sz="0" w:space="0" w:color="auto"/>
        <w:bottom w:val="none" w:sz="0" w:space="0" w:color="auto"/>
        <w:right w:val="none" w:sz="0" w:space="0" w:color="auto"/>
      </w:divBdr>
    </w:div>
    <w:div w:id="651445792">
      <w:marLeft w:val="0"/>
      <w:marRight w:val="0"/>
      <w:marTop w:val="0"/>
      <w:marBottom w:val="60"/>
      <w:divBdr>
        <w:top w:val="none" w:sz="0" w:space="0" w:color="auto"/>
        <w:left w:val="none" w:sz="0" w:space="0" w:color="auto"/>
        <w:bottom w:val="none" w:sz="0" w:space="0" w:color="auto"/>
        <w:right w:val="none" w:sz="0" w:space="0" w:color="auto"/>
      </w:divBdr>
    </w:div>
    <w:div w:id="653726651">
      <w:marLeft w:val="0"/>
      <w:marRight w:val="0"/>
      <w:marTop w:val="160"/>
      <w:marBottom w:val="160"/>
      <w:divBdr>
        <w:top w:val="none" w:sz="0" w:space="0" w:color="auto"/>
        <w:left w:val="none" w:sz="0" w:space="0" w:color="auto"/>
        <w:bottom w:val="none" w:sz="0" w:space="0" w:color="auto"/>
        <w:right w:val="none" w:sz="0" w:space="0" w:color="auto"/>
      </w:divBdr>
    </w:div>
    <w:div w:id="663047780">
      <w:marLeft w:val="0"/>
      <w:marRight w:val="0"/>
      <w:marTop w:val="160"/>
      <w:marBottom w:val="160"/>
      <w:divBdr>
        <w:top w:val="none" w:sz="0" w:space="0" w:color="auto"/>
        <w:left w:val="none" w:sz="0" w:space="0" w:color="auto"/>
        <w:bottom w:val="none" w:sz="0" w:space="0" w:color="auto"/>
        <w:right w:val="none" w:sz="0" w:space="0" w:color="auto"/>
      </w:divBdr>
    </w:div>
    <w:div w:id="667055981">
      <w:marLeft w:val="0"/>
      <w:marRight w:val="0"/>
      <w:marTop w:val="160"/>
      <w:marBottom w:val="160"/>
      <w:divBdr>
        <w:top w:val="none" w:sz="0" w:space="0" w:color="auto"/>
        <w:left w:val="none" w:sz="0" w:space="0" w:color="auto"/>
        <w:bottom w:val="none" w:sz="0" w:space="0" w:color="auto"/>
        <w:right w:val="none" w:sz="0" w:space="0" w:color="auto"/>
      </w:divBdr>
    </w:div>
    <w:div w:id="667251275">
      <w:marLeft w:val="0"/>
      <w:marRight w:val="0"/>
      <w:marTop w:val="0"/>
      <w:marBottom w:val="0"/>
      <w:divBdr>
        <w:top w:val="none" w:sz="0" w:space="0" w:color="auto"/>
        <w:left w:val="none" w:sz="0" w:space="0" w:color="auto"/>
        <w:bottom w:val="none" w:sz="0" w:space="0" w:color="auto"/>
        <w:right w:val="none" w:sz="0" w:space="0" w:color="auto"/>
      </w:divBdr>
      <w:divsChild>
        <w:div w:id="670447934">
          <w:marLeft w:val="0"/>
          <w:marRight w:val="0"/>
          <w:marTop w:val="0"/>
          <w:marBottom w:val="0"/>
          <w:divBdr>
            <w:top w:val="none" w:sz="0" w:space="0" w:color="auto"/>
            <w:left w:val="none" w:sz="0" w:space="0" w:color="auto"/>
            <w:bottom w:val="none" w:sz="0" w:space="0" w:color="auto"/>
            <w:right w:val="none" w:sz="0" w:space="0" w:color="auto"/>
          </w:divBdr>
          <w:divsChild>
            <w:div w:id="8505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916">
      <w:marLeft w:val="0"/>
      <w:marRight w:val="0"/>
      <w:marTop w:val="160"/>
      <w:marBottom w:val="160"/>
      <w:divBdr>
        <w:top w:val="none" w:sz="0" w:space="0" w:color="auto"/>
        <w:left w:val="none" w:sz="0" w:space="0" w:color="auto"/>
        <w:bottom w:val="none" w:sz="0" w:space="0" w:color="auto"/>
        <w:right w:val="none" w:sz="0" w:space="0" w:color="auto"/>
      </w:divBdr>
    </w:div>
    <w:div w:id="669254482">
      <w:marLeft w:val="0"/>
      <w:marRight w:val="0"/>
      <w:marTop w:val="160"/>
      <w:marBottom w:val="160"/>
      <w:divBdr>
        <w:top w:val="none" w:sz="0" w:space="0" w:color="auto"/>
        <w:left w:val="none" w:sz="0" w:space="0" w:color="auto"/>
        <w:bottom w:val="none" w:sz="0" w:space="0" w:color="auto"/>
        <w:right w:val="none" w:sz="0" w:space="0" w:color="auto"/>
      </w:divBdr>
    </w:div>
    <w:div w:id="671221585">
      <w:marLeft w:val="0"/>
      <w:marRight w:val="0"/>
      <w:marTop w:val="160"/>
      <w:marBottom w:val="160"/>
      <w:divBdr>
        <w:top w:val="none" w:sz="0" w:space="0" w:color="auto"/>
        <w:left w:val="none" w:sz="0" w:space="0" w:color="auto"/>
        <w:bottom w:val="none" w:sz="0" w:space="0" w:color="auto"/>
        <w:right w:val="none" w:sz="0" w:space="0" w:color="auto"/>
      </w:divBdr>
    </w:div>
    <w:div w:id="679897589">
      <w:marLeft w:val="0"/>
      <w:marRight w:val="0"/>
      <w:marTop w:val="160"/>
      <w:marBottom w:val="160"/>
      <w:divBdr>
        <w:top w:val="none" w:sz="0" w:space="0" w:color="auto"/>
        <w:left w:val="none" w:sz="0" w:space="0" w:color="auto"/>
        <w:bottom w:val="none" w:sz="0" w:space="0" w:color="auto"/>
        <w:right w:val="none" w:sz="0" w:space="0" w:color="auto"/>
      </w:divBdr>
    </w:div>
    <w:div w:id="681972071">
      <w:marLeft w:val="0"/>
      <w:marRight w:val="0"/>
      <w:marTop w:val="160"/>
      <w:marBottom w:val="160"/>
      <w:divBdr>
        <w:top w:val="none" w:sz="0" w:space="0" w:color="auto"/>
        <w:left w:val="none" w:sz="0" w:space="0" w:color="auto"/>
        <w:bottom w:val="none" w:sz="0" w:space="0" w:color="auto"/>
        <w:right w:val="none" w:sz="0" w:space="0" w:color="auto"/>
      </w:divBdr>
    </w:div>
    <w:div w:id="684866637">
      <w:marLeft w:val="0"/>
      <w:marRight w:val="0"/>
      <w:marTop w:val="160"/>
      <w:marBottom w:val="160"/>
      <w:divBdr>
        <w:top w:val="none" w:sz="0" w:space="0" w:color="auto"/>
        <w:left w:val="none" w:sz="0" w:space="0" w:color="auto"/>
        <w:bottom w:val="none" w:sz="0" w:space="0" w:color="auto"/>
        <w:right w:val="none" w:sz="0" w:space="0" w:color="auto"/>
      </w:divBdr>
    </w:div>
    <w:div w:id="685403960">
      <w:marLeft w:val="0"/>
      <w:marRight w:val="0"/>
      <w:marTop w:val="160"/>
      <w:marBottom w:val="160"/>
      <w:divBdr>
        <w:top w:val="none" w:sz="0" w:space="0" w:color="auto"/>
        <w:left w:val="none" w:sz="0" w:space="0" w:color="auto"/>
        <w:bottom w:val="none" w:sz="0" w:space="0" w:color="auto"/>
        <w:right w:val="none" w:sz="0" w:space="0" w:color="auto"/>
      </w:divBdr>
    </w:div>
    <w:div w:id="689453583">
      <w:marLeft w:val="0"/>
      <w:marRight w:val="0"/>
      <w:marTop w:val="0"/>
      <w:marBottom w:val="0"/>
      <w:divBdr>
        <w:top w:val="none" w:sz="0" w:space="0" w:color="auto"/>
        <w:left w:val="none" w:sz="0" w:space="0" w:color="auto"/>
        <w:bottom w:val="none" w:sz="0" w:space="0" w:color="auto"/>
        <w:right w:val="none" w:sz="0" w:space="0" w:color="auto"/>
      </w:divBdr>
      <w:divsChild>
        <w:div w:id="1982616219">
          <w:marLeft w:val="0"/>
          <w:marRight w:val="0"/>
          <w:marTop w:val="0"/>
          <w:marBottom w:val="0"/>
          <w:divBdr>
            <w:top w:val="none" w:sz="0" w:space="0" w:color="auto"/>
            <w:left w:val="none" w:sz="0" w:space="0" w:color="auto"/>
            <w:bottom w:val="none" w:sz="0" w:space="0" w:color="auto"/>
            <w:right w:val="none" w:sz="0" w:space="0" w:color="auto"/>
          </w:divBdr>
        </w:div>
      </w:divsChild>
    </w:div>
    <w:div w:id="691030589">
      <w:marLeft w:val="0"/>
      <w:marRight w:val="0"/>
      <w:marTop w:val="160"/>
      <w:marBottom w:val="160"/>
      <w:divBdr>
        <w:top w:val="none" w:sz="0" w:space="0" w:color="auto"/>
        <w:left w:val="none" w:sz="0" w:space="0" w:color="auto"/>
        <w:bottom w:val="none" w:sz="0" w:space="0" w:color="auto"/>
        <w:right w:val="none" w:sz="0" w:space="0" w:color="auto"/>
      </w:divBdr>
    </w:div>
    <w:div w:id="701320303">
      <w:marLeft w:val="0"/>
      <w:marRight w:val="0"/>
      <w:marTop w:val="160"/>
      <w:marBottom w:val="160"/>
      <w:divBdr>
        <w:top w:val="none" w:sz="0" w:space="0" w:color="auto"/>
        <w:left w:val="none" w:sz="0" w:space="0" w:color="auto"/>
        <w:bottom w:val="none" w:sz="0" w:space="0" w:color="auto"/>
        <w:right w:val="none" w:sz="0" w:space="0" w:color="auto"/>
      </w:divBdr>
    </w:div>
    <w:div w:id="703864140">
      <w:marLeft w:val="0"/>
      <w:marRight w:val="0"/>
      <w:marTop w:val="160"/>
      <w:marBottom w:val="160"/>
      <w:divBdr>
        <w:top w:val="none" w:sz="0" w:space="0" w:color="auto"/>
        <w:left w:val="none" w:sz="0" w:space="0" w:color="auto"/>
        <w:bottom w:val="none" w:sz="0" w:space="0" w:color="auto"/>
        <w:right w:val="none" w:sz="0" w:space="0" w:color="auto"/>
      </w:divBdr>
    </w:div>
    <w:div w:id="705181597">
      <w:marLeft w:val="0"/>
      <w:marRight w:val="0"/>
      <w:marTop w:val="160"/>
      <w:marBottom w:val="160"/>
      <w:divBdr>
        <w:top w:val="none" w:sz="0" w:space="0" w:color="auto"/>
        <w:left w:val="none" w:sz="0" w:space="0" w:color="auto"/>
        <w:bottom w:val="none" w:sz="0" w:space="0" w:color="auto"/>
        <w:right w:val="none" w:sz="0" w:space="0" w:color="auto"/>
      </w:divBdr>
    </w:div>
    <w:div w:id="707144594">
      <w:marLeft w:val="0"/>
      <w:marRight w:val="0"/>
      <w:marTop w:val="160"/>
      <w:marBottom w:val="160"/>
      <w:divBdr>
        <w:top w:val="none" w:sz="0" w:space="0" w:color="auto"/>
        <w:left w:val="none" w:sz="0" w:space="0" w:color="auto"/>
        <w:bottom w:val="none" w:sz="0" w:space="0" w:color="auto"/>
        <w:right w:val="none" w:sz="0" w:space="0" w:color="auto"/>
      </w:divBdr>
    </w:div>
    <w:div w:id="714159743">
      <w:marLeft w:val="0"/>
      <w:marRight w:val="0"/>
      <w:marTop w:val="160"/>
      <w:marBottom w:val="160"/>
      <w:divBdr>
        <w:top w:val="none" w:sz="0" w:space="0" w:color="auto"/>
        <w:left w:val="none" w:sz="0" w:space="0" w:color="auto"/>
        <w:bottom w:val="none" w:sz="0" w:space="0" w:color="auto"/>
        <w:right w:val="none" w:sz="0" w:space="0" w:color="auto"/>
      </w:divBdr>
    </w:div>
    <w:div w:id="715743278">
      <w:marLeft w:val="0"/>
      <w:marRight w:val="0"/>
      <w:marTop w:val="160"/>
      <w:marBottom w:val="160"/>
      <w:divBdr>
        <w:top w:val="none" w:sz="0" w:space="0" w:color="auto"/>
        <w:left w:val="none" w:sz="0" w:space="0" w:color="auto"/>
        <w:bottom w:val="none" w:sz="0" w:space="0" w:color="auto"/>
        <w:right w:val="none" w:sz="0" w:space="0" w:color="auto"/>
      </w:divBdr>
    </w:div>
    <w:div w:id="717969603">
      <w:marLeft w:val="0"/>
      <w:marRight w:val="0"/>
      <w:marTop w:val="160"/>
      <w:marBottom w:val="160"/>
      <w:divBdr>
        <w:top w:val="none" w:sz="0" w:space="0" w:color="auto"/>
        <w:left w:val="none" w:sz="0" w:space="0" w:color="auto"/>
        <w:bottom w:val="none" w:sz="0" w:space="0" w:color="auto"/>
        <w:right w:val="none" w:sz="0" w:space="0" w:color="auto"/>
      </w:divBdr>
    </w:div>
    <w:div w:id="719746353">
      <w:marLeft w:val="0"/>
      <w:marRight w:val="0"/>
      <w:marTop w:val="160"/>
      <w:marBottom w:val="160"/>
      <w:divBdr>
        <w:top w:val="none" w:sz="0" w:space="0" w:color="auto"/>
        <w:left w:val="none" w:sz="0" w:space="0" w:color="auto"/>
        <w:bottom w:val="none" w:sz="0" w:space="0" w:color="auto"/>
        <w:right w:val="none" w:sz="0" w:space="0" w:color="auto"/>
      </w:divBdr>
    </w:div>
    <w:div w:id="733234786">
      <w:marLeft w:val="0"/>
      <w:marRight w:val="0"/>
      <w:marTop w:val="160"/>
      <w:marBottom w:val="0"/>
      <w:divBdr>
        <w:top w:val="none" w:sz="0" w:space="0" w:color="auto"/>
        <w:left w:val="none" w:sz="0" w:space="0" w:color="auto"/>
        <w:bottom w:val="none" w:sz="0" w:space="0" w:color="auto"/>
        <w:right w:val="none" w:sz="0" w:space="0" w:color="auto"/>
      </w:divBdr>
    </w:div>
    <w:div w:id="733285438">
      <w:marLeft w:val="0"/>
      <w:marRight w:val="0"/>
      <w:marTop w:val="160"/>
      <w:marBottom w:val="160"/>
      <w:divBdr>
        <w:top w:val="none" w:sz="0" w:space="0" w:color="auto"/>
        <w:left w:val="none" w:sz="0" w:space="0" w:color="auto"/>
        <w:bottom w:val="none" w:sz="0" w:space="0" w:color="auto"/>
        <w:right w:val="none" w:sz="0" w:space="0" w:color="auto"/>
      </w:divBdr>
    </w:div>
    <w:div w:id="741177368">
      <w:marLeft w:val="0"/>
      <w:marRight w:val="0"/>
      <w:marTop w:val="160"/>
      <w:marBottom w:val="160"/>
      <w:divBdr>
        <w:top w:val="none" w:sz="0" w:space="0" w:color="auto"/>
        <w:left w:val="none" w:sz="0" w:space="0" w:color="auto"/>
        <w:bottom w:val="none" w:sz="0" w:space="0" w:color="auto"/>
        <w:right w:val="none" w:sz="0" w:space="0" w:color="auto"/>
      </w:divBdr>
    </w:div>
    <w:div w:id="744180689">
      <w:marLeft w:val="0"/>
      <w:marRight w:val="0"/>
      <w:marTop w:val="160"/>
      <w:marBottom w:val="160"/>
      <w:divBdr>
        <w:top w:val="none" w:sz="0" w:space="0" w:color="auto"/>
        <w:left w:val="none" w:sz="0" w:space="0" w:color="auto"/>
        <w:bottom w:val="none" w:sz="0" w:space="0" w:color="auto"/>
        <w:right w:val="none" w:sz="0" w:space="0" w:color="auto"/>
      </w:divBdr>
    </w:div>
    <w:div w:id="746652947">
      <w:marLeft w:val="0"/>
      <w:marRight w:val="0"/>
      <w:marTop w:val="0"/>
      <w:marBottom w:val="0"/>
      <w:divBdr>
        <w:top w:val="none" w:sz="0" w:space="0" w:color="auto"/>
        <w:left w:val="none" w:sz="0" w:space="0" w:color="auto"/>
        <w:bottom w:val="none" w:sz="0" w:space="0" w:color="auto"/>
        <w:right w:val="none" w:sz="0" w:space="0" w:color="auto"/>
      </w:divBdr>
      <w:divsChild>
        <w:div w:id="1484468939">
          <w:marLeft w:val="0"/>
          <w:marRight w:val="0"/>
          <w:marTop w:val="0"/>
          <w:marBottom w:val="0"/>
          <w:divBdr>
            <w:top w:val="none" w:sz="0" w:space="0" w:color="auto"/>
            <w:left w:val="none" w:sz="0" w:space="0" w:color="auto"/>
            <w:bottom w:val="none" w:sz="0" w:space="0" w:color="auto"/>
            <w:right w:val="none" w:sz="0" w:space="0" w:color="auto"/>
          </w:divBdr>
        </w:div>
      </w:divsChild>
    </w:div>
    <w:div w:id="753284894">
      <w:marLeft w:val="0"/>
      <w:marRight w:val="0"/>
      <w:marTop w:val="160"/>
      <w:marBottom w:val="160"/>
      <w:divBdr>
        <w:top w:val="none" w:sz="0" w:space="0" w:color="auto"/>
        <w:left w:val="none" w:sz="0" w:space="0" w:color="auto"/>
        <w:bottom w:val="none" w:sz="0" w:space="0" w:color="auto"/>
        <w:right w:val="none" w:sz="0" w:space="0" w:color="auto"/>
      </w:divBdr>
    </w:div>
    <w:div w:id="754129127">
      <w:marLeft w:val="0"/>
      <w:marRight w:val="0"/>
      <w:marTop w:val="160"/>
      <w:marBottom w:val="160"/>
      <w:divBdr>
        <w:top w:val="none" w:sz="0" w:space="0" w:color="auto"/>
        <w:left w:val="none" w:sz="0" w:space="0" w:color="auto"/>
        <w:bottom w:val="none" w:sz="0" w:space="0" w:color="auto"/>
        <w:right w:val="none" w:sz="0" w:space="0" w:color="auto"/>
      </w:divBdr>
    </w:div>
    <w:div w:id="755251687">
      <w:marLeft w:val="0"/>
      <w:marRight w:val="0"/>
      <w:marTop w:val="160"/>
      <w:marBottom w:val="160"/>
      <w:divBdr>
        <w:top w:val="none" w:sz="0" w:space="0" w:color="auto"/>
        <w:left w:val="none" w:sz="0" w:space="0" w:color="auto"/>
        <w:bottom w:val="none" w:sz="0" w:space="0" w:color="auto"/>
        <w:right w:val="none" w:sz="0" w:space="0" w:color="auto"/>
      </w:divBdr>
    </w:div>
    <w:div w:id="756899718">
      <w:marLeft w:val="0"/>
      <w:marRight w:val="0"/>
      <w:marTop w:val="60"/>
      <w:marBottom w:val="60"/>
      <w:divBdr>
        <w:top w:val="none" w:sz="0" w:space="0" w:color="auto"/>
        <w:left w:val="none" w:sz="0" w:space="0" w:color="auto"/>
        <w:bottom w:val="none" w:sz="0" w:space="0" w:color="auto"/>
        <w:right w:val="none" w:sz="0" w:space="0" w:color="auto"/>
      </w:divBdr>
    </w:div>
    <w:div w:id="757864910">
      <w:marLeft w:val="0"/>
      <w:marRight w:val="0"/>
      <w:marTop w:val="0"/>
      <w:marBottom w:val="0"/>
      <w:divBdr>
        <w:top w:val="none" w:sz="0" w:space="0" w:color="auto"/>
        <w:left w:val="none" w:sz="0" w:space="0" w:color="auto"/>
        <w:bottom w:val="none" w:sz="0" w:space="0" w:color="auto"/>
        <w:right w:val="none" w:sz="0" w:space="0" w:color="auto"/>
      </w:divBdr>
      <w:divsChild>
        <w:div w:id="932980970">
          <w:marLeft w:val="0"/>
          <w:marRight w:val="0"/>
          <w:marTop w:val="0"/>
          <w:marBottom w:val="0"/>
          <w:divBdr>
            <w:top w:val="none" w:sz="0" w:space="0" w:color="auto"/>
            <w:left w:val="none" w:sz="0" w:space="0" w:color="auto"/>
            <w:bottom w:val="none" w:sz="0" w:space="0" w:color="auto"/>
            <w:right w:val="none" w:sz="0" w:space="0" w:color="auto"/>
          </w:divBdr>
        </w:div>
      </w:divsChild>
    </w:div>
    <w:div w:id="782067800">
      <w:marLeft w:val="0"/>
      <w:marRight w:val="0"/>
      <w:marTop w:val="160"/>
      <w:marBottom w:val="160"/>
      <w:divBdr>
        <w:top w:val="none" w:sz="0" w:space="0" w:color="auto"/>
        <w:left w:val="none" w:sz="0" w:space="0" w:color="auto"/>
        <w:bottom w:val="none" w:sz="0" w:space="0" w:color="auto"/>
        <w:right w:val="none" w:sz="0" w:space="0" w:color="auto"/>
      </w:divBdr>
    </w:div>
    <w:div w:id="784469504">
      <w:marLeft w:val="0"/>
      <w:marRight w:val="0"/>
      <w:marTop w:val="160"/>
      <w:marBottom w:val="160"/>
      <w:divBdr>
        <w:top w:val="none" w:sz="0" w:space="0" w:color="auto"/>
        <w:left w:val="none" w:sz="0" w:space="0" w:color="auto"/>
        <w:bottom w:val="none" w:sz="0" w:space="0" w:color="auto"/>
        <w:right w:val="none" w:sz="0" w:space="0" w:color="auto"/>
      </w:divBdr>
    </w:div>
    <w:div w:id="790562447">
      <w:marLeft w:val="0"/>
      <w:marRight w:val="0"/>
      <w:marTop w:val="160"/>
      <w:marBottom w:val="160"/>
      <w:divBdr>
        <w:top w:val="none" w:sz="0" w:space="0" w:color="auto"/>
        <w:left w:val="none" w:sz="0" w:space="0" w:color="auto"/>
        <w:bottom w:val="none" w:sz="0" w:space="0" w:color="auto"/>
        <w:right w:val="none" w:sz="0" w:space="0" w:color="auto"/>
      </w:divBdr>
    </w:div>
    <w:div w:id="790973785">
      <w:marLeft w:val="0"/>
      <w:marRight w:val="0"/>
      <w:marTop w:val="0"/>
      <w:marBottom w:val="0"/>
      <w:divBdr>
        <w:top w:val="none" w:sz="0" w:space="0" w:color="auto"/>
        <w:left w:val="none" w:sz="0" w:space="0" w:color="auto"/>
        <w:bottom w:val="none" w:sz="0" w:space="0" w:color="auto"/>
        <w:right w:val="none" w:sz="0" w:space="0" w:color="auto"/>
      </w:divBdr>
      <w:divsChild>
        <w:div w:id="850920142">
          <w:marLeft w:val="0"/>
          <w:marRight w:val="0"/>
          <w:marTop w:val="0"/>
          <w:marBottom w:val="0"/>
          <w:divBdr>
            <w:top w:val="none" w:sz="0" w:space="0" w:color="auto"/>
            <w:left w:val="none" w:sz="0" w:space="0" w:color="auto"/>
            <w:bottom w:val="none" w:sz="0" w:space="0" w:color="auto"/>
            <w:right w:val="none" w:sz="0" w:space="0" w:color="auto"/>
          </w:divBdr>
        </w:div>
      </w:divsChild>
    </w:div>
    <w:div w:id="791095415">
      <w:marLeft w:val="0"/>
      <w:marRight w:val="0"/>
      <w:marTop w:val="0"/>
      <w:marBottom w:val="0"/>
      <w:divBdr>
        <w:top w:val="none" w:sz="0" w:space="0" w:color="auto"/>
        <w:left w:val="none" w:sz="0" w:space="0" w:color="auto"/>
        <w:bottom w:val="none" w:sz="0" w:space="0" w:color="auto"/>
        <w:right w:val="none" w:sz="0" w:space="0" w:color="auto"/>
      </w:divBdr>
    </w:div>
    <w:div w:id="799230544">
      <w:marLeft w:val="0"/>
      <w:marRight w:val="0"/>
      <w:marTop w:val="0"/>
      <w:marBottom w:val="0"/>
      <w:divBdr>
        <w:top w:val="none" w:sz="0" w:space="0" w:color="auto"/>
        <w:left w:val="none" w:sz="0" w:space="0" w:color="auto"/>
        <w:bottom w:val="none" w:sz="0" w:space="0" w:color="auto"/>
        <w:right w:val="none" w:sz="0" w:space="0" w:color="auto"/>
      </w:divBdr>
    </w:div>
    <w:div w:id="824128259">
      <w:marLeft w:val="0"/>
      <w:marRight w:val="0"/>
      <w:marTop w:val="0"/>
      <w:marBottom w:val="0"/>
      <w:divBdr>
        <w:top w:val="none" w:sz="0" w:space="0" w:color="auto"/>
        <w:left w:val="none" w:sz="0" w:space="0" w:color="auto"/>
        <w:bottom w:val="none" w:sz="0" w:space="0" w:color="auto"/>
        <w:right w:val="none" w:sz="0" w:space="0" w:color="auto"/>
      </w:divBdr>
      <w:divsChild>
        <w:div w:id="1907763735">
          <w:marLeft w:val="0"/>
          <w:marRight w:val="0"/>
          <w:marTop w:val="160"/>
          <w:marBottom w:val="0"/>
          <w:divBdr>
            <w:top w:val="none" w:sz="0" w:space="0" w:color="auto"/>
            <w:left w:val="none" w:sz="0" w:space="0" w:color="auto"/>
            <w:bottom w:val="none" w:sz="0" w:space="0" w:color="auto"/>
            <w:right w:val="none" w:sz="0" w:space="0" w:color="auto"/>
          </w:divBdr>
        </w:div>
        <w:div w:id="990871207">
          <w:marLeft w:val="0"/>
          <w:marRight w:val="0"/>
          <w:marTop w:val="160"/>
          <w:marBottom w:val="0"/>
          <w:divBdr>
            <w:top w:val="none" w:sz="0" w:space="0" w:color="auto"/>
            <w:left w:val="none" w:sz="0" w:space="0" w:color="auto"/>
            <w:bottom w:val="none" w:sz="0" w:space="0" w:color="auto"/>
            <w:right w:val="none" w:sz="0" w:space="0" w:color="auto"/>
          </w:divBdr>
        </w:div>
        <w:div w:id="2017492755">
          <w:marLeft w:val="0"/>
          <w:marRight w:val="0"/>
          <w:marTop w:val="160"/>
          <w:marBottom w:val="160"/>
          <w:divBdr>
            <w:top w:val="none" w:sz="0" w:space="0" w:color="auto"/>
            <w:left w:val="none" w:sz="0" w:space="0" w:color="auto"/>
            <w:bottom w:val="none" w:sz="0" w:space="0" w:color="auto"/>
            <w:right w:val="none" w:sz="0" w:space="0" w:color="auto"/>
          </w:divBdr>
        </w:div>
        <w:div w:id="434373262">
          <w:marLeft w:val="0"/>
          <w:marRight w:val="0"/>
          <w:marTop w:val="160"/>
          <w:marBottom w:val="160"/>
          <w:divBdr>
            <w:top w:val="none" w:sz="0" w:space="0" w:color="auto"/>
            <w:left w:val="none" w:sz="0" w:space="0" w:color="auto"/>
            <w:bottom w:val="none" w:sz="0" w:space="0" w:color="auto"/>
            <w:right w:val="none" w:sz="0" w:space="0" w:color="auto"/>
          </w:divBdr>
        </w:div>
        <w:div w:id="2067727615">
          <w:marLeft w:val="0"/>
          <w:marRight w:val="0"/>
          <w:marTop w:val="160"/>
          <w:marBottom w:val="160"/>
          <w:divBdr>
            <w:top w:val="none" w:sz="0" w:space="0" w:color="auto"/>
            <w:left w:val="none" w:sz="0" w:space="0" w:color="auto"/>
            <w:bottom w:val="none" w:sz="0" w:space="0" w:color="auto"/>
            <w:right w:val="none" w:sz="0" w:space="0" w:color="auto"/>
          </w:divBdr>
        </w:div>
      </w:divsChild>
    </w:div>
    <w:div w:id="824979645">
      <w:marLeft w:val="0"/>
      <w:marRight w:val="0"/>
      <w:marTop w:val="0"/>
      <w:marBottom w:val="0"/>
      <w:divBdr>
        <w:top w:val="none" w:sz="0" w:space="0" w:color="auto"/>
        <w:left w:val="none" w:sz="0" w:space="0" w:color="auto"/>
        <w:bottom w:val="none" w:sz="0" w:space="0" w:color="auto"/>
        <w:right w:val="none" w:sz="0" w:space="0" w:color="auto"/>
      </w:divBdr>
    </w:div>
    <w:div w:id="825126395">
      <w:marLeft w:val="0"/>
      <w:marRight w:val="0"/>
      <w:marTop w:val="160"/>
      <w:marBottom w:val="160"/>
      <w:divBdr>
        <w:top w:val="none" w:sz="0" w:space="0" w:color="auto"/>
        <w:left w:val="none" w:sz="0" w:space="0" w:color="auto"/>
        <w:bottom w:val="none" w:sz="0" w:space="0" w:color="auto"/>
        <w:right w:val="none" w:sz="0" w:space="0" w:color="auto"/>
      </w:divBdr>
    </w:div>
    <w:div w:id="828062149">
      <w:marLeft w:val="0"/>
      <w:marRight w:val="0"/>
      <w:marTop w:val="160"/>
      <w:marBottom w:val="160"/>
      <w:divBdr>
        <w:top w:val="none" w:sz="0" w:space="0" w:color="auto"/>
        <w:left w:val="none" w:sz="0" w:space="0" w:color="auto"/>
        <w:bottom w:val="none" w:sz="0" w:space="0" w:color="auto"/>
        <w:right w:val="none" w:sz="0" w:space="0" w:color="auto"/>
      </w:divBdr>
    </w:div>
    <w:div w:id="828981449">
      <w:marLeft w:val="0"/>
      <w:marRight w:val="0"/>
      <w:marTop w:val="160"/>
      <w:marBottom w:val="160"/>
      <w:divBdr>
        <w:top w:val="none" w:sz="0" w:space="0" w:color="auto"/>
        <w:left w:val="none" w:sz="0" w:space="0" w:color="auto"/>
        <w:bottom w:val="none" w:sz="0" w:space="0" w:color="auto"/>
        <w:right w:val="none" w:sz="0" w:space="0" w:color="auto"/>
      </w:divBdr>
    </w:div>
    <w:div w:id="830100869">
      <w:marLeft w:val="0"/>
      <w:marRight w:val="0"/>
      <w:marTop w:val="160"/>
      <w:marBottom w:val="160"/>
      <w:divBdr>
        <w:top w:val="none" w:sz="0" w:space="0" w:color="auto"/>
        <w:left w:val="none" w:sz="0" w:space="0" w:color="auto"/>
        <w:bottom w:val="none" w:sz="0" w:space="0" w:color="auto"/>
        <w:right w:val="none" w:sz="0" w:space="0" w:color="auto"/>
      </w:divBdr>
    </w:div>
    <w:div w:id="832523764">
      <w:marLeft w:val="0"/>
      <w:marRight w:val="0"/>
      <w:marTop w:val="160"/>
      <w:marBottom w:val="160"/>
      <w:divBdr>
        <w:top w:val="none" w:sz="0" w:space="0" w:color="auto"/>
        <w:left w:val="none" w:sz="0" w:space="0" w:color="auto"/>
        <w:bottom w:val="none" w:sz="0" w:space="0" w:color="auto"/>
        <w:right w:val="none" w:sz="0" w:space="0" w:color="auto"/>
      </w:divBdr>
    </w:div>
    <w:div w:id="841243792">
      <w:marLeft w:val="0"/>
      <w:marRight w:val="0"/>
      <w:marTop w:val="160"/>
      <w:marBottom w:val="160"/>
      <w:divBdr>
        <w:top w:val="none" w:sz="0" w:space="0" w:color="auto"/>
        <w:left w:val="none" w:sz="0" w:space="0" w:color="auto"/>
        <w:bottom w:val="none" w:sz="0" w:space="0" w:color="auto"/>
        <w:right w:val="none" w:sz="0" w:space="0" w:color="auto"/>
      </w:divBdr>
    </w:div>
    <w:div w:id="850217008">
      <w:marLeft w:val="0"/>
      <w:marRight w:val="0"/>
      <w:marTop w:val="0"/>
      <w:marBottom w:val="0"/>
      <w:divBdr>
        <w:top w:val="none" w:sz="0" w:space="0" w:color="auto"/>
        <w:left w:val="none" w:sz="0" w:space="0" w:color="auto"/>
        <w:bottom w:val="none" w:sz="0" w:space="0" w:color="auto"/>
        <w:right w:val="none" w:sz="0" w:space="0" w:color="auto"/>
      </w:divBdr>
      <w:divsChild>
        <w:div w:id="1117455188">
          <w:marLeft w:val="0"/>
          <w:marRight w:val="0"/>
          <w:marTop w:val="0"/>
          <w:marBottom w:val="0"/>
          <w:divBdr>
            <w:top w:val="none" w:sz="0" w:space="0" w:color="auto"/>
            <w:left w:val="none" w:sz="0" w:space="0" w:color="auto"/>
            <w:bottom w:val="none" w:sz="0" w:space="0" w:color="auto"/>
            <w:right w:val="none" w:sz="0" w:space="0" w:color="auto"/>
          </w:divBdr>
        </w:div>
      </w:divsChild>
    </w:div>
    <w:div w:id="853687253">
      <w:marLeft w:val="0"/>
      <w:marRight w:val="0"/>
      <w:marTop w:val="160"/>
      <w:marBottom w:val="160"/>
      <w:divBdr>
        <w:top w:val="none" w:sz="0" w:space="0" w:color="auto"/>
        <w:left w:val="none" w:sz="0" w:space="0" w:color="auto"/>
        <w:bottom w:val="none" w:sz="0" w:space="0" w:color="auto"/>
        <w:right w:val="none" w:sz="0" w:space="0" w:color="auto"/>
      </w:divBdr>
    </w:div>
    <w:div w:id="860164517">
      <w:marLeft w:val="0"/>
      <w:marRight w:val="0"/>
      <w:marTop w:val="160"/>
      <w:marBottom w:val="160"/>
      <w:divBdr>
        <w:top w:val="none" w:sz="0" w:space="0" w:color="auto"/>
        <w:left w:val="none" w:sz="0" w:space="0" w:color="auto"/>
        <w:bottom w:val="none" w:sz="0" w:space="0" w:color="auto"/>
        <w:right w:val="none" w:sz="0" w:space="0" w:color="auto"/>
      </w:divBdr>
    </w:div>
    <w:div w:id="861430412">
      <w:marLeft w:val="0"/>
      <w:marRight w:val="0"/>
      <w:marTop w:val="0"/>
      <w:marBottom w:val="160"/>
      <w:divBdr>
        <w:top w:val="none" w:sz="0" w:space="0" w:color="auto"/>
        <w:left w:val="none" w:sz="0" w:space="0" w:color="auto"/>
        <w:bottom w:val="none" w:sz="0" w:space="0" w:color="auto"/>
        <w:right w:val="none" w:sz="0" w:space="0" w:color="auto"/>
      </w:divBdr>
    </w:div>
    <w:div w:id="867257617">
      <w:marLeft w:val="0"/>
      <w:marRight w:val="0"/>
      <w:marTop w:val="160"/>
      <w:marBottom w:val="160"/>
      <w:divBdr>
        <w:top w:val="none" w:sz="0" w:space="0" w:color="auto"/>
        <w:left w:val="none" w:sz="0" w:space="0" w:color="auto"/>
        <w:bottom w:val="none" w:sz="0" w:space="0" w:color="auto"/>
        <w:right w:val="none" w:sz="0" w:space="0" w:color="auto"/>
      </w:divBdr>
    </w:div>
    <w:div w:id="870453807">
      <w:marLeft w:val="0"/>
      <w:marRight w:val="0"/>
      <w:marTop w:val="160"/>
      <w:marBottom w:val="160"/>
      <w:divBdr>
        <w:top w:val="none" w:sz="0" w:space="0" w:color="auto"/>
        <w:left w:val="none" w:sz="0" w:space="0" w:color="auto"/>
        <w:bottom w:val="none" w:sz="0" w:space="0" w:color="auto"/>
        <w:right w:val="none" w:sz="0" w:space="0" w:color="auto"/>
      </w:divBdr>
      <w:divsChild>
        <w:div w:id="548608248">
          <w:marLeft w:val="0"/>
          <w:marRight w:val="0"/>
          <w:marTop w:val="160"/>
          <w:marBottom w:val="160"/>
          <w:divBdr>
            <w:top w:val="none" w:sz="0" w:space="0" w:color="auto"/>
            <w:left w:val="none" w:sz="0" w:space="0" w:color="auto"/>
            <w:bottom w:val="none" w:sz="0" w:space="0" w:color="auto"/>
            <w:right w:val="none" w:sz="0" w:space="0" w:color="auto"/>
          </w:divBdr>
        </w:div>
      </w:divsChild>
    </w:div>
    <w:div w:id="872302713">
      <w:marLeft w:val="0"/>
      <w:marRight w:val="0"/>
      <w:marTop w:val="160"/>
      <w:marBottom w:val="0"/>
      <w:divBdr>
        <w:top w:val="none" w:sz="0" w:space="0" w:color="auto"/>
        <w:left w:val="none" w:sz="0" w:space="0" w:color="auto"/>
        <w:bottom w:val="none" w:sz="0" w:space="0" w:color="auto"/>
        <w:right w:val="none" w:sz="0" w:space="0" w:color="auto"/>
      </w:divBdr>
    </w:div>
    <w:div w:id="872421684">
      <w:marLeft w:val="0"/>
      <w:marRight w:val="0"/>
      <w:marTop w:val="160"/>
      <w:marBottom w:val="160"/>
      <w:divBdr>
        <w:top w:val="none" w:sz="0" w:space="0" w:color="auto"/>
        <w:left w:val="none" w:sz="0" w:space="0" w:color="auto"/>
        <w:bottom w:val="none" w:sz="0" w:space="0" w:color="auto"/>
        <w:right w:val="none" w:sz="0" w:space="0" w:color="auto"/>
      </w:divBdr>
    </w:div>
    <w:div w:id="874275693">
      <w:marLeft w:val="0"/>
      <w:marRight w:val="0"/>
      <w:marTop w:val="0"/>
      <w:marBottom w:val="0"/>
      <w:divBdr>
        <w:top w:val="none" w:sz="0" w:space="0" w:color="auto"/>
        <w:left w:val="none" w:sz="0" w:space="0" w:color="auto"/>
        <w:bottom w:val="none" w:sz="0" w:space="0" w:color="auto"/>
        <w:right w:val="none" w:sz="0" w:space="0" w:color="auto"/>
      </w:divBdr>
      <w:divsChild>
        <w:div w:id="1692099842">
          <w:marLeft w:val="0"/>
          <w:marRight w:val="0"/>
          <w:marTop w:val="0"/>
          <w:marBottom w:val="0"/>
          <w:divBdr>
            <w:top w:val="none" w:sz="0" w:space="0" w:color="auto"/>
            <w:left w:val="none" w:sz="0" w:space="0" w:color="auto"/>
            <w:bottom w:val="none" w:sz="0" w:space="0" w:color="auto"/>
            <w:right w:val="none" w:sz="0" w:space="0" w:color="auto"/>
          </w:divBdr>
        </w:div>
      </w:divsChild>
    </w:div>
    <w:div w:id="875388661">
      <w:marLeft w:val="0"/>
      <w:marRight w:val="0"/>
      <w:marTop w:val="160"/>
      <w:marBottom w:val="160"/>
      <w:divBdr>
        <w:top w:val="none" w:sz="0" w:space="0" w:color="auto"/>
        <w:left w:val="none" w:sz="0" w:space="0" w:color="auto"/>
        <w:bottom w:val="none" w:sz="0" w:space="0" w:color="auto"/>
        <w:right w:val="none" w:sz="0" w:space="0" w:color="auto"/>
      </w:divBdr>
    </w:div>
    <w:div w:id="876284021">
      <w:marLeft w:val="0"/>
      <w:marRight w:val="0"/>
      <w:marTop w:val="0"/>
      <w:marBottom w:val="0"/>
      <w:divBdr>
        <w:top w:val="none" w:sz="0" w:space="0" w:color="auto"/>
        <w:left w:val="none" w:sz="0" w:space="0" w:color="auto"/>
        <w:bottom w:val="none" w:sz="0" w:space="0" w:color="auto"/>
        <w:right w:val="none" w:sz="0" w:space="0" w:color="auto"/>
      </w:divBdr>
      <w:divsChild>
        <w:div w:id="2048335422">
          <w:marLeft w:val="0"/>
          <w:marRight w:val="0"/>
          <w:marTop w:val="0"/>
          <w:marBottom w:val="0"/>
          <w:divBdr>
            <w:top w:val="none" w:sz="0" w:space="0" w:color="auto"/>
            <w:left w:val="none" w:sz="0" w:space="0" w:color="auto"/>
            <w:bottom w:val="none" w:sz="0" w:space="0" w:color="auto"/>
            <w:right w:val="none" w:sz="0" w:space="0" w:color="auto"/>
          </w:divBdr>
        </w:div>
      </w:divsChild>
    </w:div>
    <w:div w:id="878006902">
      <w:marLeft w:val="0"/>
      <w:marRight w:val="0"/>
      <w:marTop w:val="160"/>
      <w:marBottom w:val="160"/>
      <w:divBdr>
        <w:top w:val="none" w:sz="0" w:space="0" w:color="auto"/>
        <w:left w:val="none" w:sz="0" w:space="0" w:color="auto"/>
        <w:bottom w:val="none" w:sz="0" w:space="0" w:color="auto"/>
        <w:right w:val="none" w:sz="0" w:space="0" w:color="auto"/>
      </w:divBdr>
    </w:div>
    <w:div w:id="878393438">
      <w:marLeft w:val="0"/>
      <w:marRight w:val="0"/>
      <w:marTop w:val="160"/>
      <w:marBottom w:val="160"/>
      <w:divBdr>
        <w:top w:val="none" w:sz="0" w:space="0" w:color="auto"/>
        <w:left w:val="none" w:sz="0" w:space="0" w:color="auto"/>
        <w:bottom w:val="none" w:sz="0" w:space="0" w:color="auto"/>
        <w:right w:val="none" w:sz="0" w:space="0" w:color="auto"/>
      </w:divBdr>
    </w:div>
    <w:div w:id="879198140">
      <w:marLeft w:val="0"/>
      <w:marRight w:val="0"/>
      <w:marTop w:val="160"/>
      <w:marBottom w:val="160"/>
      <w:divBdr>
        <w:top w:val="none" w:sz="0" w:space="0" w:color="auto"/>
        <w:left w:val="none" w:sz="0" w:space="0" w:color="auto"/>
        <w:bottom w:val="none" w:sz="0" w:space="0" w:color="auto"/>
        <w:right w:val="none" w:sz="0" w:space="0" w:color="auto"/>
      </w:divBdr>
    </w:div>
    <w:div w:id="884484315">
      <w:marLeft w:val="0"/>
      <w:marRight w:val="0"/>
      <w:marTop w:val="0"/>
      <w:marBottom w:val="0"/>
      <w:divBdr>
        <w:top w:val="none" w:sz="0" w:space="0" w:color="auto"/>
        <w:left w:val="none" w:sz="0" w:space="0" w:color="auto"/>
        <w:bottom w:val="none" w:sz="0" w:space="0" w:color="auto"/>
        <w:right w:val="none" w:sz="0" w:space="0" w:color="auto"/>
      </w:divBdr>
      <w:divsChild>
        <w:div w:id="1296445418">
          <w:marLeft w:val="0"/>
          <w:marRight w:val="0"/>
          <w:marTop w:val="0"/>
          <w:marBottom w:val="0"/>
          <w:divBdr>
            <w:top w:val="none" w:sz="0" w:space="0" w:color="auto"/>
            <w:left w:val="none" w:sz="0" w:space="0" w:color="auto"/>
            <w:bottom w:val="none" w:sz="0" w:space="0" w:color="auto"/>
            <w:right w:val="none" w:sz="0" w:space="0" w:color="auto"/>
          </w:divBdr>
        </w:div>
      </w:divsChild>
    </w:div>
    <w:div w:id="893275670">
      <w:marLeft w:val="0"/>
      <w:marRight w:val="0"/>
      <w:marTop w:val="0"/>
      <w:marBottom w:val="0"/>
      <w:divBdr>
        <w:top w:val="none" w:sz="0" w:space="0" w:color="auto"/>
        <w:left w:val="none" w:sz="0" w:space="0" w:color="auto"/>
        <w:bottom w:val="none" w:sz="0" w:space="0" w:color="auto"/>
        <w:right w:val="none" w:sz="0" w:space="0" w:color="auto"/>
      </w:divBdr>
      <w:divsChild>
        <w:div w:id="1776904143">
          <w:marLeft w:val="0"/>
          <w:marRight w:val="0"/>
          <w:marTop w:val="160"/>
          <w:marBottom w:val="160"/>
          <w:divBdr>
            <w:top w:val="none" w:sz="0" w:space="0" w:color="auto"/>
            <w:left w:val="none" w:sz="0" w:space="0" w:color="auto"/>
            <w:bottom w:val="none" w:sz="0" w:space="0" w:color="auto"/>
            <w:right w:val="none" w:sz="0" w:space="0" w:color="auto"/>
          </w:divBdr>
        </w:div>
        <w:div w:id="427847141">
          <w:marLeft w:val="0"/>
          <w:marRight w:val="0"/>
          <w:marTop w:val="160"/>
          <w:marBottom w:val="160"/>
          <w:divBdr>
            <w:top w:val="none" w:sz="0" w:space="0" w:color="auto"/>
            <w:left w:val="none" w:sz="0" w:space="0" w:color="auto"/>
            <w:bottom w:val="none" w:sz="0" w:space="0" w:color="auto"/>
            <w:right w:val="none" w:sz="0" w:space="0" w:color="auto"/>
          </w:divBdr>
        </w:div>
        <w:div w:id="243420497">
          <w:marLeft w:val="0"/>
          <w:marRight w:val="0"/>
          <w:marTop w:val="160"/>
          <w:marBottom w:val="160"/>
          <w:divBdr>
            <w:top w:val="none" w:sz="0" w:space="0" w:color="auto"/>
            <w:left w:val="none" w:sz="0" w:space="0" w:color="auto"/>
            <w:bottom w:val="none" w:sz="0" w:space="0" w:color="auto"/>
            <w:right w:val="none" w:sz="0" w:space="0" w:color="auto"/>
          </w:divBdr>
        </w:div>
        <w:div w:id="1294827317">
          <w:marLeft w:val="0"/>
          <w:marRight w:val="0"/>
          <w:marTop w:val="160"/>
          <w:marBottom w:val="160"/>
          <w:divBdr>
            <w:top w:val="none" w:sz="0" w:space="0" w:color="auto"/>
            <w:left w:val="none" w:sz="0" w:space="0" w:color="auto"/>
            <w:bottom w:val="none" w:sz="0" w:space="0" w:color="auto"/>
            <w:right w:val="none" w:sz="0" w:space="0" w:color="auto"/>
          </w:divBdr>
        </w:div>
        <w:div w:id="998192527">
          <w:marLeft w:val="0"/>
          <w:marRight w:val="0"/>
          <w:marTop w:val="160"/>
          <w:marBottom w:val="160"/>
          <w:divBdr>
            <w:top w:val="none" w:sz="0" w:space="0" w:color="auto"/>
            <w:left w:val="none" w:sz="0" w:space="0" w:color="auto"/>
            <w:bottom w:val="none" w:sz="0" w:space="0" w:color="auto"/>
            <w:right w:val="none" w:sz="0" w:space="0" w:color="auto"/>
          </w:divBdr>
        </w:div>
        <w:div w:id="961616105">
          <w:marLeft w:val="0"/>
          <w:marRight w:val="0"/>
          <w:marTop w:val="160"/>
          <w:marBottom w:val="160"/>
          <w:divBdr>
            <w:top w:val="none" w:sz="0" w:space="0" w:color="auto"/>
            <w:left w:val="none" w:sz="0" w:space="0" w:color="auto"/>
            <w:bottom w:val="none" w:sz="0" w:space="0" w:color="auto"/>
            <w:right w:val="none" w:sz="0" w:space="0" w:color="auto"/>
          </w:divBdr>
        </w:div>
      </w:divsChild>
    </w:div>
    <w:div w:id="894004716">
      <w:marLeft w:val="0"/>
      <w:marRight w:val="0"/>
      <w:marTop w:val="160"/>
      <w:marBottom w:val="160"/>
      <w:divBdr>
        <w:top w:val="none" w:sz="0" w:space="0" w:color="auto"/>
        <w:left w:val="none" w:sz="0" w:space="0" w:color="auto"/>
        <w:bottom w:val="none" w:sz="0" w:space="0" w:color="auto"/>
        <w:right w:val="none" w:sz="0" w:space="0" w:color="auto"/>
      </w:divBdr>
    </w:div>
    <w:div w:id="894899492">
      <w:marLeft w:val="0"/>
      <w:marRight w:val="0"/>
      <w:marTop w:val="160"/>
      <w:marBottom w:val="160"/>
      <w:divBdr>
        <w:top w:val="none" w:sz="0" w:space="0" w:color="auto"/>
        <w:left w:val="none" w:sz="0" w:space="0" w:color="auto"/>
        <w:bottom w:val="none" w:sz="0" w:space="0" w:color="auto"/>
        <w:right w:val="none" w:sz="0" w:space="0" w:color="auto"/>
      </w:divBdr>
    </w:div>
    <w:div w:id="900940695">
      <w:marLeft w:val="0"/>
      <w:marRight w:val="0"/>
      <w:marTop w:val="160"/>
      <w:marBottom w:val="160"/>
      <w:divBdr>
        <w:top w:val="none" w:sz="0" w:space="0" w:color="auto"/>
        <w:left w:val="none" w:sz="0" w:space="0" w:color="auto"/>
        <w:bottom w:val="none" w:sz="0" w:space="0" w:color="auto"/>
        <w:right w:val="none" w:sz="0" w:space="0" w:color="auto"/>
      </w:divBdr>
    </w:div>
    <w:div w:id="907424503">
      <w:marLeft w:val="0"/>
      <w:marRight w:val="0"/>
      <w:marTop w:val="0"/>
      <w:marBottom w:val="0"/>
      <w:divBdr>
        <w:top w:val="none" w:sz="0" w:space="0" w:color="auto"/>
        <w:left w:val="none" w:sz="0" w:space="0" w:color="auto"/>
        <w:bottom w:val="none" w:sz="0" w:space="0" w:color="auto"/>
        <w:right w:val="none" w:sz="0" w:space="0" w:color="auto"/>
      </w:divBdr>
    </w:div>
    <w:div w:id="908805781">
      <w:marLeft w:val="0"/>
      <w:marRight w:val="0"/>
      <w:marTop w:val="160"/>
      <w:marBottom w:val="160"/>
      <w:divBdr>
        <w:top w:val="none" w:sz="0" w:space="0" w:color="auto"/>
        <w:left w:val="none" w:sz="0" w:space="0" w:color="auto"/>
        <w:bottom w:val="none" w:sz="0" w:space="0" w:color="auto"/>
        <w:right w:val="none" w:sz="0" w:space="0" w:color="auto"/>
      </w:divBdr>
    </w:div>
    <w:div w:id="911358226">
      <w:marLeft w:val="0"/>
      <w:marRight w:val="0"/>
      <w:marTop w:val="160"/>
      <w:marBottom w:val="160"/>
      <w:divBdr>
        <w:top w:val="none" w:sz="0" w:space="0" w:color="auto"/>
        <w:left w:val="none" w:sz="0" w:space="0" w:color="auto"/>
        <w:bottom w:val="none" w:sz="0" w:space="0" w:color="auto"/>
        <w:right w:val="none" w:sz="0" w:space="0" w:color="auto"/>
      </w:divBdr>
    </w:div>
    <w:div w:id="916213837">
      <w:marLeft w:val="0"/>
      <w:marRight w:val="0"/>
      <w:marTop w:val="160"/>
      <w:marBottom w:val="160"/>
      <w:divBdr>
        <w:top w:val="none" w:sz="0" w:space="0" w:color="auto"/>
        <w:left w:val="none" w:sz="0" w:space="0" w:color="auto"/>
        <w:bottom w:val="none" w:sz="0" w:space="0" w:color="auto"/>
        <w:right w:val="none" w:sz="0" w:space="0" w:color="auto"/>
      </w:divBdr>
    </w:div>
    <w:div w:id="916287176">
      <w:marLeft w:val="0"/>
      <w:marRight w:val="0"/>
      <w:marTop w:val="160"/>
      <w:marBottom w:val="160"/>
      <w:divBdr>
        <w:top w:val="none" w:sz="0" w:space="0" w:color="auto"/>
        <w:left w:val="none" w:sz="0" w:space="0" w:color="auto"/>
        <w:bottom w:val="none" w:sz="0" w:space="0" w:color="auto"/>
        <w:right w:val="none" w:sz="0" w:space="0" w:color="auto"/>
      </w:divBdr>
    </w:div>
    <w:div w:id="917522044">
      <w:marLeft w:val="0"/>
      <w:marRight w:val="0"/>
      <w:marTop w:val="160"/>
      <w:marBottom w:val="160"/>
      <w:divBdr>
        <w:top w:val="none" w:sz="0" w:space="0" w:color="auto"/>
        <w:left w:val="none" w:sz="0" w:space="0" w:color="auto"/>
        <w:bottom w:val="none" w:sz="0" w:space="0" w:color="auto"/>
        <w:right w:val="none" w:sz="0" w:space="0" w:color="auto"/>
      </w:divBdr>
    </w:div>
    <w:div w:id="918101401">
      <w:marLeft w:val="0"/>
      <w:marRight w:val="0"/>
      <w:marTop w:val="0"/>
      <w:marBottom w:val="0"/>
      <w:divBdr>
        <w:top w:val="none" w:sz="0" w:space="0" w:color="auto"/>
        <w:left w:val="none" w:sz="0" w:space="0" w:color="auto"/>
        <w:bottom w:val="none" w:sz="0" w:space="0" w:color="auto"/>
        <w:right w:val="none" w:sz="0" w:space="0" w:color="auto"/>
      </w:divBdr>
    </w:div>
    <w:div w:id="920062368">
      <w:marLeft w:val="0"/>
      <w:marRight w:val="0"/>
      <w:marTop w:val="160"/>
      <w:marBottom w:val="160"/>
      <w:divBdr>
        <w:top w:val="none" w:sz="0" w:space="0" w:color="auto"/>
        <w:left w:val="none" w:sz="0" w:space="0" w:color="auto"/>
        <w:bottom w:val="none" w:sz="0" w:space="0" w:color="auto"/>
        <w:right w:val="none" w:sz="0" w:space="0" w:color="auto"/>
      </w:divBdr>
    </w:div>
    <w:div w:id="930239896">
      <w:marLeft w:val="0"/>
      <w:marRight w:val="0"/>
      <w:marTop w:val="160"/>
      <w:marBottom w:val="160"/>
      <w:divBdr>
        <w:top w:val="none" w:sz="0" w:space="0" w:color="auto"/>
        <w:left w:val="none" w:sz="0" w:space="0" w:color="auto"/>
        <w:bottom w:val="none" w:sz="0" w:space="0" w:color="auto"/>
        <w:right w:val="none" w:sz="0" w:space="0" w:color="auto"/>
      </w:divBdr>
    </w:div>
    <w:div w:id="936400666">
      <w:marLeft w:val="0"/>
      <w:marRight w:val="0"/>
      <w:marTop w:val="160"/>
      <w:marBottom w:val="160"/>
      <w:divBdr>
        <w:top w:val="none" w:sz="0" w:space="0" w:color="auto"/>
        <w:left w:val="none" w:sz="0" w:space="0" w:color="auto"/>
        <w:bottom w:val="none" w:sz="0" w:space="0" w:color="auto"/>
        <w:right w:val="none" w:sz="0" w:space="0" w:color="auto"/>
      </w:divBdr>
    </w:div>
    <w:div w:id="939990933">
      <w:marLeft w:val="0"/>
      <w:marRight w:val="0"/>
      <w:marTop w:val="160"/>
      <w:marBottom w:val="160"/>
      <w:divBdr>
        <w:top w:val="none" w:sz="0" w:space="0" w:color="auto"/>
        <w:left w:val="none" w:sz="0" w:space="0" w:color="auto"/>
        <w:bottom w:val="none" w:sz="0" w:space="0" w:color="auto"/>
        <w:right w:val="none" w:sz="0" w:space="0" w:color="auto"/>
      </w:divBdr>
    </w:div>
    <w:div w:id="942687253">
      <w:marLeft w:val="0"/>
      <w:marRight w:val="0"/>
      <w:marTop w:val="160"/>
      <w:marBottom w:val="160"/>
      <w:divBdr>
        <w:top w:val="none" w:sz="0" w:space="0" w:color="auto"/>
        <w:left w:val="none" w:sz="0" w:space="0" w:color="auto"/>
        <w:bottom w:val="none" w:sz="0" w:space="0" w:color="auto"/>
        <w:right w:val="none" w:sz="0" w:space="0" w:color="auto"/>
      </w:divBdr>
    </w:div>
    <w:div w:id="945619762">
      <w:marLeft w:val="0"/>
      <w:marRight w:val="0"/>
      <w:marTop w:val="160"/>
      <w:marBottom w:val="160"/>
      <w:divBdr>
        <w:top w:val="none" w:sz="0" w:space="0" w:color="auto"/>
        <w:left w:val="none" w:sz="0" w:space="0" w:color="auto"/>
        <w:bottom w:val="none" w:sz="0" w:space="0" w:color="auto"/>
        <w:right w:val="none" w:sz="0" w:space="0" w:color="auto"/>
      </w:divBdr>
    </w:div>
    <w:div w:id="947275901">
      <w:marLeft w:val="0"/>
      <w:marRight w:val="0"/>
      <w:marTop w:val="0"/>
      <w:marBottom w:val="160"/>
      <w:divBdr>
        <w:top w:val="none" w:sz="0" w:space="0" w:color="auto"/>
        <w:left w:val="none" w:sz="0" w:space="0" w:color="auto"/>
        <w:bottom w:val="none" w:sz="0" w:space="0" w:color="auto"/>
        <w:right w:val="none" w:sz="0" w:space="0" w:color="auto"/>
      </w:divBdr>
    </w:div>
    <w:div w:id="952128458">
      <w:marLeft w:val="0"/>
      <w:marRight w:val="0"/>
      <w:marTop w:val="0"/>
      <w:marBottom w:val="0"/>
      <w:divBdr>
        <w:top w:val="none" w:sz="0" w:space="0" w:color="auto"/>
        <w:left w:val="none" w:sz="0" w:space="0" w:color="auto"/>
        <w:bottom w:val="none" w:sz="0" w:space="0" w:color="auto"/>
        <w:right w:val="none" w:sz="0" w:space="0" w:color="auto"/>
      </w:divBdr>
    </w:div>
    <w:div w:id="952907042">
      <w:marLeft w:val="0"/>
      <w:marRight w:val="0"/>
      <w:marTop w:val="160"/>
      <w:marBottom w:val="160"/>
      <w:divBdr>
        <w:top w:val="none" w:sz="0" w:space="0" w:color="auto"/>
        <w:left w:val="none" w:sz="0" w:space="0" w:color="auto"/>
        <w:bottom w:val="none" w:sz="0" w:space="0" w:color="auto"/>
        <w:right w:val="none" w:sz="0" w:space="0" w:color="auto"/>
      </w:divBdr>
    </w:div>
    <w:div w:id="957024894">
      <w:marLeft w:val="0"/>
      <w:marRight w:val="0"/>
      <w:marTop w:val="0"/>
      <w:marBottom w:val="0"/>
      <w:divBdr>
        <w:top w:val="none" w:sz="0" w:space="0" w:color="auto"/>
        <w:left w:val="none" w:sz="0" w:space="0" w:color="auto"/>
        <w:bottom w:val="none" w:sz="0" w:space="0" w:color="auto"/>
        <w:right w:val="none" w:sz="0" w:space="0" w:color="auto"/>
      </w:divBdr>
      <w:divsChild>
        <w:div w:id="1350060979">
          <w:marLeft w:val="0"/>
          <w:marRight w:val="0"/>
          <w:marTop w:val="0"/>
          <w:marBottom w:val="0"/>
          <w:divBdr>
            <w:top w:val="none" w:sz="0" w:space="0" w:color="auto"/>
            <w:left w:val="none" w:sz="0" w:space="0" w:color="auto"/>
            <w:bottom w:val="none" w:sz="0" w:space="0" w:color="auto"/>
            <w:right w:val="none" w:sz="0" w:space="0" w:color="auto"/>
          </w:divBdr>
        </w:div>
      </w:divsChild>
    </w:div>
    <w:div w:id="957644449">
      <w:marLeft w:val="0"/>
      <w:marRight w:val="0"/>
      <w:marTop w:val="160"/>
      <w:marBottom w:val="160"/>
      <w:divBdr>
        <w:top w:val="none" w:sz="0" w:space="0" w:color="auto"/>
        <w:left w:val="none" w:sz="0" w:space="0" w:color="auto"/>
        <w:bottom w:val="none" w:sz="0" w:space="0" w:color="auto"/>
        <w:right w:val="none" w:sz="0" w:space="0" w:color="auto"/>
      </w:divBdr>
    </w:div>
    <w:div w:id="961350208">
      <w:marLeft w:val="0"/>
      <w:marRight w:val="0"/>
      <w:marTop w:val="160"/>
      <w:marBottom w:val="160"/>
      <w:divBdr>
        <w:top w:val="none" w:sz="0" w:space="0" w:color="auto"/>
        <w:left w:val="none" w:sz="0" w:space="0" w:color="auto"/>
        <w:bottom w:val="none" w:sz="0" w:space="0" w:color="auto"/>
        <w:right w:val="none" w:sz="0" w:space="0" w:color="auto"/>
      </w:divBdr>
    </w:div>
    <w:div w:id="963265821">
      <w:marLeft w:val="0"/>
      <w:marRight w:val="0"/>
      <w:marTop w:val="160"/>
      <w:marBottom w:val="160"/>
      <w:divBdr>
        <w:top w:val="none" w:sz="0" w:space="0" w:color="auto"/>
        <w:left w:val="none" w:sz="0" w:space="0" w:color="auto"/>
        <w:bottom w:val="none" w:sz="0" w:space="0" w:color="auto"/>
        <w:right w:val="none" w:sz="0" w:space="0" w:color="auto"/>
      </w:divBdr>
    </w:div>
    <w:div w:id="963577887">
      <w:marLeft w:val="0"/>
      <w:marRight w:val="0"/>
      <w:marTop w:val="160"/>
      <w:marBottom w:val="160"/>
      <w:divBdr>
        <w:top w:val="none" w:sz="0" w:space="0" w:color="auto"/>
        <w:left w:val="none" w:sz="0" w:space="0" w:color="auto"/>
        <w:bottom w:val="none" w:sz="0" w:space="0" w:color="auto"/>
        <w:right w:val="none" w:sz="0" w:space="0" w:color="auto"/>
      </w:divBdr>
    </w:div>
    <w:div w:id="964232581">
      <w:marLeft w:val="0"/>
      <w:marRight w:val="0"/>
      <w:marTop w:val="160"/>
      <w:marBottom w:val="160"/>
      <w:divBdr>
        <w:top w:val="none" w:sz="0" w:space="0" w:color="auto"/>
        <w:left w:val="none" w:sz="0" w:space="0" w:color="auto"/>
        <w:bottom w:val="none" w:sz="0" w:space="0" w:color="auto"/>
        <w:right w:val="none" w:sz="0" w:space="0" w:color="auto"/>
      </w:divBdr>
    </w:div>
    <w:div w:id="965814606">
      <w:marLeft w:val="0"/>
      <w:marRight w:val="0"/>
      <w:marTop w:val="160"/>
      <w:marBottom w:val="160"/>
      <w:divBdr>
        <w:top w:val="none" w:sz="0" w:space="0" w:color="auto"/>
        <w:left w:val="none" w:sz="0" w:space="0" w:color="auto"/>
        <w:bottom w:val="none" w:sz="0" w:space="0" w:color="auto"/>
        <w:right w:val="none" w:sz="0" w:space="0" w:color="auto"/>
      </w:divBdr>
    </w:div>
    <w:div w:id="969290611">
      <w:marLeft w:val="0"/>
      <w:marRight w:val="0"/>
      <w:marTop w:val="160"/>
      <w:marBottom w:val="160"/>
      <w:divBdr>
        <w:top w:val="none" w:sz="0" w:space="0" w:color="auto"/>
        <w:left w:val="none" w:sz="0" w:space="0" w:color="auto"/>
        <w:bottom w:val="none" w:sz="0" w:space="0" w:color="auto"/>
        <w:right w:val="none" w:sz="0" w:space="0" w:color="auto"/>
      </w:divBdr>
    </w:div>
    <w:div w:id="971523509">
      <w:marLeft w:val="0"/>
      <w:marRight w:val="0"/>
      <w:marTop w:val="160"/>
      <w:marBottom w:val="160"/>
      <w:divBdr>
        <w:top w:val="none" w:sz="0" w:space="0" w:color="auto"/>
        <w:left w:val="none" w:sz="0" w:space="0" w:color="auto"/>
        <w:bottom w:val="none" w:sz="0" w:space="0" w:color="auto"/>
        <w:right w:val="none" w:sz="0" w:space="0" w:color="auto"/>
      </w:divBdr>
    </w:div>
    <w:div w:id="974214566">
      <w:marLeft w:val="0"/>
      <w:marRight w:val="0"/>
      <w:marTop w:val="160"/>
      <w:marBottom w:val="160"/>
      <w:divBdr>
        <w:top w:val="none" w:sz="0" w:space="0" w:color="auto"/>
        <w:left w:val="none" w:sz="0" w:space="0" w:color="auto"/>
        <w:bottom w:val="none" w:sz="0" w:space="0" w:color="auto"/>
        <w:right w:val="none" w:sz="0" w:space="0" w:color="auto"/>
      </w:divBdr>
    </w:div>
    <w:div w:id="983048481">
      <w:marLeft w:val="0"/>
      <w:marRight w:val="0"/>
      <w:marTop w:val="160"/>
      <w:marBottom w:val="160"/>
      <w:divBdr>
        <w:top w:val="none" w:sz="0" w:space="0" w:color="auto"/>
        <w:left w:val="none" w:sz="0" w:space="0" w:color="auto"/>
        <w:bottom w:val="none" w:sz="0" w:space="0" w:color="auto"/>
        <w:right w:val="none" w:sz="0" w:space="0" w:color="auto"/>
      </w:divBdr>
    </w:div>
    <w:div w:id="985741196">
      <w:marLeft w:val="0"/>
      <w:marRight w:val="0"/>
      <w:marTop w:val="160"/>
      <w:marBottom w:val="160"/>
      <w:divBdr>
        <w:top w:val="none" w:sz="0" w:space="0" w:color="auto"/>
        <w:left w:val="none" w:sz="0" w:space="0" w:color="auto"/>
        <w:bottom w:val="none" w:sz="0" w:space="0" w:color="auto"/>
        <w:right w:val="none" w:sz="0" w:space="0" w:color="auto"/>
      </w:divBdr>
    </w:div>
    <w:div w:id="998271714">
      <w:marLeft w:val="0"/>
      <w:marRight w:val="0"/>
      <w:marTop w:val="0"/>
      <w:marBottom w:val="0"/>
      <w:divBdr>
        <w:top w:val="none" w:sz="0" w:space="0" w:color="auto"/>
        <w:left w:val="none" w:sz="0" w:space="0" w:color="auto"/>
        <w:bottom w:val="none" w:sz="0" w:space="0" w:color="auto"/>
        <w:right w:val="none" w:sz="0" w:space="0" w:color="auto"/>
      </w:divBdr>
    </w:div>
    <w:div w:id="999389021">
      <w:marLeft w:val="0"/>
      <w:marRight w:val="0"/>
      <w:marTop w:val="160"/>
      <w:marBottom w:val="160"/>
      <w:divBdr>
        <w:top w:val="none" w:sz="0" w:space="0" w:color="auto"/>
        <w:left w:val="none" w:sz="0" w:space="0" w:color="auto"/>
        <w:bottom w:val="none" w:sz="0" w:space="0" w:color="auto"/>
        <w:right w:val="none" w:sz="0" w:space="0" w:color="auto"/>
      </w:divBdr>
    </w:div>
    <w:div w:id="1003976207">
      <w:marLeft w:val="0"/>
      <w:marRight w:val="0"/>
      <w:marTop w:val="160"/>
      <w:marBottom w:val="160"/>
      <w:divBdr>
        <w:top w:val="none" w:sz="0" w:space="0" w:color="auto"/>
        <w:left w:val="none" w:sz="0" w:space="0" w:color="auto"/>
        <w:bottom w:val="none" w:sz="0" w:space="0" w:color="auto"/>
        <w:right w:val="none" w:sz="0" w:space="0" w:color="auto"/>
      </w:divBdr>
    </w:div>
    <w:div w:id="1004480780">
      <w:marLeft w:val="0"/>
      <w:marRight w:val="0"/>
      <w:marTop w:val="160"/>
      <w:marBottom w:val="160"/>
      <w:divBdr>
        <w:top w:val="none" w:sz="0" w:space="0" w:color="auto"/>
        <w:left w:val="none" w:sz="0" w:space="0" w:color="auto"/>
        <w:bottom w:val="none" w:sz="0" w:space="0" w:color="auto"/>
        <w:right w:val="none" w:sz="0" w:space="0" w:color="auto"/>
      </w:divBdr>
    </w:div>
    <w:div w:id="1006057764">
      <w:marLeft w:val="0"/>
      <w:marRight w:val="0"/>
      <w:marTop w:val="0"/>
      <w:marBottom w:val="0"/>
      <w:divBdr>
        <w:top w:val="none" w:sz="0" w:space="0" w:color="auto"/>
        <w:left w:val="none" w:sz="0" w:space="0" w:color="auto"/>
        <w:bottom w:val="none" w:sz="0" w:space="0" w:color="auto"/>
        <w:right w:val="none" w:sz="0" w:space="0" w:color="auto"/>
      </w:divBdr>
      <w:divsChild>
        <w:div w:id="2076196183">
          <w:marLeft w:val="0"/>
          <w:marRight w:val="0"/>
          <w:marTop w:val="0"/>
          <w:marBottom w:val="0"/>
          <w:divBdr>
            <w:top w:val="none" w:sz="0" w:space="0" w:color="auto"/>
            <w:left w:val="none" w:sz="0" w:space="0" w:color="auto"/>
            <w:bottom w:val="none" w:sz="0" w:space="0" w:color="auto"/>
            <w:right w:val="none" w:sz="0" w:space="0" w:color="auto"/>
          </w:divBdr>
        </w:div>
      </w:divsChild>
    </w:div>
    <w:div w:id="1013994671">
      <w:marLeft w:val="0"/>
      <w:marRight w:val="0"/>
      <w:marTop w:val="160"/>
      <w:marBottom w:val="160"/>
      <w:divBdr>
        <w:top w:val="none" w:sz="0" w:space="0" w:color="auto"/>
        <w:left w:val="none" w:sz="0" w:space="0" w:color="auto"/>
        <w:bottom w:val="none" w:sz="0" w:space="0" w:color="auto"/>
        <w:right w:val="none" w:sz="0" w:space="0" w:color="auto"/>
      </w:divBdr>
    </w:div>
    <w:div w:id="1015114882">
      <w:marLeft w:val="0"/>
      <w:marRight w:val="0"/>
      <w:marTop w:val="160"/>
      <w:marBottom w:val="160"/>
      <w:divBdr>
        <w:top w:val="none" w:sz="0" w:space="0" w:color="auto"/>
        <w:left w:val="none" w:sz="0" w:space="0" w:color="auto"/>
        <w:bottom w:val="none" w:sz="0" w:space="0" w:color="auto"/>
        <w:right w:val="none" w:sz="0" w:space="0" w:color="auto"/>
      </w:divBdr>
    </w:div>
    <w:div w:id="1016467355">
      <w:marLeft w:val="0"/>
      <w:marRight w:val="0"/>
      <w:marTop w:val="0"/>
      <w:marBottom w:val="0"/>
      <w:divBdr>
        <w:top w:val="none" w:sz="0" w:space="0" w:color="auto"/>
        <w:left w:val="none" w:sz="0" w:space="0" w:color="auto"/>
        <w:bottom w:val="none" w:sz="0" w:space="0" w:color="auto"/>
        <w:right w:val="none" w:sz="0" w:space="0" w:color="auto"/>
      </w:divBdr>
      <w:divsChild>
        <w:div w:id="82724131">
          <w:marLeft w:val="0"/>
          <w:marRight w:val="0"/>
          <w:marTop w:val="160"/>
          <w:marBottom w:val="160"/>
          <w:divBdr>
            <w:top w:val="none" w:sz="0" w:space="0" w:color="auto"/>
            <w:left w:val="none" w:sz="0" w:space="0" w:color="auto"/>
            <w:bottom w:val="none" w:sz="0" w:space="0" w:color="auto"/>
            <w:right w:val="none" w:sz="0" w:space="0" w:color="auto"/>
          </w:divBdr>
        </w:div>
        <w:div w:id="1680693730">
          <w:marLeft w:val="0"/>
          <w:marRight w:val="0"/>
          <w:marTop w:val="160"/>
          <w:marBottom w:val="160"/>
          <w:divBdr>
            <w:top w:val="none" w:sz="0" w:space="0" w:color="auto"/>
            <w:left w:val="none" w:sz="0" w:space="0" w:color="auto"/>
            <w:bottom w:val="none" w:sz="0" w:space="0" w:color="auto"/>
            <w:right w:val="none" w:sz="0" w:space="0" w:color="auto"/>
          </w:divBdr>
        </w:div>
        <w:div w:id="1666937950">
          <w:marLeft w:val="0"/>
          <w:marRight w:val="0"/>
          <w:marTop w:val="160"/>
          <w:marBottom w:val="160"/>
          <w:divBdr>
            <w:top w:val="none" w:sz="0" w:space="0" w:color="auto"/>
            <w:left w:val="none" w:sz="0" w:space="0" w:color="auto"/>
            <w:bottom w:val="none" w:sz="0" w:space="0" w:color="auto"/>
            <w:right w:val="none" w:sz="0" w:space="0" w:color="auto"/>
          </w:divBdr>
        </w:div>
        <w:div w:id="1953323586">
          <w:marLeft w:val="0"/>
          <w:marRight w:val="0"/>
          <w:marTop w:val="160"/>
          <w:marBottom w:val="160"/>
          <w:divBdr>
            <w:top w:val="none" w:sz="0" w:space="0" w:color="auto"/>
            <w:left w:val="none" w:sz="0" w:space="0" w:color="auto"/>
            <w:bottom w:val="none" w:sz="0" w:space="0" w:color="auto"/>
            <w:right w:val="none" w:sz="0" w:space="0" w:color="auto"/>
          </w:divBdr>
        </w:div>
        <w:div w:id="1063717240">
          <w:marLeft w:val="0"/>
          <w:marRight w:val="0"/>
          <w:marTop w:val="160"/>
          <w:marBottom w:val="160"/>
          <w:divBdr>
            <w:top w:val="none" w:sz="0" w:space="0" w:color="auto"/>
            <w:left w:val="none" w:sz="0" w:space="0" w:color="auto"/>
            <w:bottom w:val="none" w:sz="0" w:space="0" w:color="auto"/>
            <w:right w:val="none" w:sz="0" w:space="0" w:color="auto"/>
          </w:divBdr>
        </w:div>
      </w:divsChild>
    </w:div>
    <w:div w:id="1016732606">
      <w:marLeft w:val="0"/>
      <w:marRight w:val="0"/>
      <w:marTop w:val="160"/>
      <w:marBottom w:val="16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1019165688">
      <w:marLeft w:val="0"/>
      <w:marRight w:val="0"/>
      <w:marTop w:val="0"/>
      <w:marBottom w:val="0"/>
      <w:divBdr>
        <w:top w:val="none" w:sz="0" w:space="0" w:color="auto"/>
        <w:left w:val="none" w:sz="0" w:space="0" w:color="auto"/>
        <w:bottom w:val="none" w:sz="0" w:space="0" w:color="auto"/>
        <w:right w:val="none" w:sz="0" w:space="0" w:color="auto"/>
      </w:divBdr>
      <w:divsChild>
        <w:div w:id="95952029">
          <w:marLeft w:val="0"/>
          <w:marRight w:val="0"/>
          <w:marTop w:val="0"/>
          <w:marBottom w:val="0"/>
          <w:divBdr>
            <w:top w:val="none" w:sz="0" w:space="0" w:color="auto"/>
            <w:left w:val="none" w:sz="0" w:space="0" w:color="auto"/>
            <w:bottom w:val="none" w:sz="0" w:space="0" w:color="auto"/>
            <w:right w:val="none" w:sz="0" w:space="0" w:color="auto"/>
          </w:divBdr>
        </w:div>
      </w:divsChild>
    </w:div>
    <w:div w:id="1027295949">
      <w:marLeft w:val="0"/>
      <w:marRight w:val="0"/>
      <w:marTop w:val="160"/>
      <w:marBottom w:val="160"/>
      <w:divBdr>
        <w:top w:val="none" w:sz="0" w:space="0" w:color="auto"/>
        <w:left w:val="none" w:sz="0" w:space="0" w:color="auto"/>
        <w:bottom w:val="none" w:sz="0" w:space="0" w:color="auto"/>
        <w:right w:val="none" w:sz="0" w:space="0" w:color="auto"/>
      </w:divBdr>
    </w:div>
    <w:div w:id="1028025243">
      <w:marLeft w:val="0"/>
      <w:marRight w:val="0"/>
      <w:marTop w:val="160"/>
      <w:marBottom w:val="160"/>
      <w:divBdr>
        <w:top w:val="none" w:sz="0" w:space="0" w:color="auto"/>
        <w:left w:val="none" w:sz="0" w:space="0" w:color="auto"/>
        <w:bottom w:val="none" w:sz="0" w:space="0" w:color="auto"/>
        <w:right w:val="none" w:sz="0" w:space="0" w:color="auto"/>
      </w:divBdr>
    </w:div>
    <w:div w:id="1028288729">
      <w:marLeft w:val="0"/>
      <w:marRight w:val="0"/>
      <w:marTop w:val="160"/>
      <w:marBottom w:val="160"/>
      <w:divBdr>
        <w:top w:val="none" w:sz="0" w:space="0" w:color="auto"/>
        <w:left w:val="none" w:sz="0" w:space="0" w:color="auto"/>
        <w:bottom w:val="none" w:sz="0" w:space="0" w:color="auto"/>
        <w:right w:val="none" w:sz="0" w:space="0" w:color="auto"/>
      </w:divBdr>
    </w:div>
    <w:div w:id="1029917714">
      <w:marLeft w:val="0"/>
      <w:marRight w:val="0"/>
      <w:marTop w:val="160"/>
      <w:marBottom w:val="160"/>
      <w:divBdr>
        <w:top w:val="none" w:sz="0" w:space="0" w:color="auto"/>
        <w:left w:val="none" w:sz="0" w:space="0" w:color="auto"/>
        <w:bottom w:val="none" w:sz="0" w:space="0" w:color="auto"/>
        <w:right w:val="none" w:sz="0" w:space="0" w:color="auto"/>
      </w:divBdr>
    </w:div>
    <w:div w:id="1039210675">
      <w:marLeft w:val="0"/>
      <w:marRight w:val="0"/>
      <w:marTop w:val="0"/>
      <w:marBottom w:val="0"/>
      <w:divBdr>
        <w:top w:val="none" w:sz="0" w:space="0" w:color="auto"/>
        <w:left w:val="none" w:sz="0" w:space="0" w:color="auto"/>
        <w:bottom w:val="none" w:sz="0" w:space="0" w:color="auto"/>
        <w:right w:val="none" w:sz="0" w:space="0" w:color="auto"/>
      </w:divBdr>
      <w:divsChild>
        <w:div w:id="2010055061">
          <w:marLeft w:val="0"/>
          <w:marRight w:val="0"/>
          <w:marTop w:val="0"/>
          <w:marBottom w:val="0"/>
          <w:divBdr>
            <w:top w:val="none" w:sz="0" w:space="0" w:color="auto"/>
            <w:left w:val="none" w:sz="0" w:space="0" w:color="auto"/>
            <w:bottom w:val="none" w:sz="0" w:space="0" w:color="auto"/>
            <w:right w:val="none" w:sz="0" w:space="0" w:color="auto"/>
          </w:divBdr>
        </w:div>
      </w:divsChild>
    </w:div>
    <w:div w:id="1041133239">
      <w:marLeft w:val="0"/>
      <w:marRight w:val="0"/>
      <w:marTop w:val="0"/>
      <w:marBottom w:val="160"/>
      <w:divBdr>
        <w:top w:val="none" w:sz="0" w:space="0" w:color="auto"/>
        <w:left w:val="none" w:sz="0" w:space="0" w:color="auto"/>
        <w:bottom w:val="none" w:sz="0" w:space="0" w:color="auto"/>
        <w:right w:val="none" w:sz="0" w:space="0" w:color="auto"/>
      </w:divBdr>
    </w:div>
    <w:div w:id="1042557952">
      <w:marLeft w:val="0"/>
      <w:marRight w:val="0"/>
      <w:marTop w:val="160"/>
      <w:marBottom w:val="160"/>
      <w:divBdr>
        <w:top w:val="none" w:sz="0" w:space="0" w:color="auto"/>
        <w:left w:val="none" w:sz="0" w:space="0" w:color="auto"/>
        <w:bottom w:val="none" w:sz="0" w:space="0" w:color="auto"/>
        <w:right w:val="none" w:sz="0" w:space="0" w:color="auto"/>
      </w:divBdr>
    </w:div>
    <w:div w:id="1052539714">
      <w:marLeft w:val="0"/>
      <w:marRight w:val="0"/>
      <w:marTop w:val="160"/>
      <w:marBottom w:val="160"/>
      <w:divBdr>
        <w:top w:val="none" w:sz="0" w:space="0" w:color="auto"/>
        <w:left w:val="none" w:sz="0" w:space="0" w:color="auto"/>
        <w:bottom w:val="none" w:sz="0" w:space="0" w:color="auto"/>
        <w:right w:val="none" w:sz="0" w:space="0" w:color="auto"/>
      </w:divBdr>
    </w:div>
    <w:div w:id="1058475260">
      <w:marLeft w:val="0"/>
      <w:marRight w:val="0"/>
      <w:marTop w:val="0"/>
      <w:marBottom w:val="0"/>
      <w:divBdr>
        <w:top w:val="none" w:sz="0" w:space="0" w:color="auto"/>
        <w:left w:val="none" w:sz="0" w:space="0" w:color="auto"/>
        <w:bottom w:val="none" w:sz="0" w:space="0" w:color="auto"/>
        <w:right w:val="none" w:sz="0" w:space="0" w:color="auto"/>
      </w:divBdr>
      <w:divsChild>
        <w:div w:id="1740399588">
          <w:marLeft w:val="0"/>
          <w:marRight w:val="0"/>
          <w:marTop w:val="160"/>
          <w:marBottom w:val="160"/>
          <w:divBdr>
            <w:top w:val="none" w:sz="0" w:space="0" w:color="auto"/>
            <w:left w:val="none" w:sz="0" w:space="0" w:color="auto"/>
            <w:bottom w:val="none" w:sz="0" w:space="0" w:color="auto"/>
            <w:right w:val="none" w:sz="0" w:space="0" w:color="auto"/>
          </w:divBdr>
        </w:div>
        <w:div w:id="1271937798">
          <w:marLeft w:val="0"/>
          <w:marRight w:val="0"/>
          <w:marTop w:val="160"/>
          <w:marBottom w:val="160"/>
          <w:divBdr>
            <w:top w:val="none" w:sz="0" w:space="0" w:color="auto"/>
            <w:left w:val="none" w:sz="0" w:space="0" w:color="auto"/>
            <w:bottom w:val="none" w:sz="0" w:space="0" w:color="auto"/>
            <w:right w:val="none" w:sz="0" w:space="0" w:color="auto"/>
          </w:divBdr>
        </w:div>
        <w:div w:id="1628579784">
          <w:marLeft w:val="0"/>
          <w:marRight w:val="0"/>
          <w:marTop w:val="160"/>
          <w:marBottom w:val="160"/>
          <w:divBdr>
            <w:top w:val="none" w:sz="0" w:space="0" w:color="auto"/>
            <w:left w:val="none" w:sz="0" w:space="0" w:color="auto"/>
            <w:bottom w:val="none" w:sz="0" w:space="0" w:color="auto"/>
            <w:right w:val="none" w:sz="0" w:space="0" w:color="auto"/>
          </w:divBdr>
        </w:div>
        <w:div w:id="738211668">
          <w:marLeft w:val="0"/>
          <w:marRight w:val="0"/>
          <w:marTop w:val="160"/>
          <w:marBottom w:val="160"/>
          <w:divBdr>
            <w:top w:val="none" w:sz="0" w:space="0" w:color="auto"/>
            <w:left w:val="none" w:sz="0" w:space="0" w:color="auto"/>
            <w:bottom w:val="none" w:sz="0" w:space="0" w:color="auto"/>
            <w:right w:val="none" w:sz="0" w:space="0" w:color="auto"/>
          </w:divBdr>
        </w:div>
        <w:div w:id="958293975">
          <w:marLeft w:val="0"/>
          <w:marRight w:val="0"/>
          <w:marTop w:val="160"/>
          <w:marBottom w:val="160"/>
          <w:divBdr>
            <w:top w:val="none" w:sz="0" w:space="0" w:color="auto"/>
            <w:left w:val="none" w:sz="0" w:space="0" w:color="auto"/>
            <w:bottom w:val="none" w:sz="0" w:space="0" w:color="auto"/>
            <w:right w:val="none" w:sz="0" w:space="0" w:color="auto"/>
          </w:divBdr>
        </w:div>
        <w:div w:id="1039624087">
          <w:marLeft w:val="0"/>
          <w:marRight w:val="0"/>
          <w:marTop w:val="160"/>
          <w:marBottom w:val="160"/>
          <w:divBdr>
            <w:top w:val="none" w:sz="0" w:space="0" w:color="auto"/>
            <w:left w:val="none" w:sz="0" w:space="0" w:color="auto"/>
            <w:bottom w:val="none" w:sz="0" w:space="0" w:color="auto"/>
            <w:right w:val="none" w:sz="0" w:space="0" w:color="auto"/>
          </w:divBdr>
        </w:div>
      </w:divsChild>
    </w:div>
    <w:div w:id="1059593672">
      <w:marLeft w:val="0"/>
      <w:marRight w:val="0"/>
      <w:marTop w:val="160"/>
      <w:marBottom w:val="160"/>
      <w:divBdr>
        <w:top w:val="none" w:sz="0" w:space="0" w:color="auto"/>
        <w:left w:val="none" w:sz="0" w:space="0" w:color="auto"/>
        <w:bottom w:val="none" w:sz="0" w:space="0" w:color="auto"/>
        <w:right w:val="none" w:sz="0" w:space="0" w:color="auto"/>
      </w:divBdr>
    </w:div>
    <w:div w:id="1060400676">
      <w:marLeft w:val="0"/>
      <w:marRight w:val="0"/>
      <w:marTop w:val="160"/>
      <w:marBottom w:val="160"/>
      <w:divBdr>
        <w:top w:val="none" w:sz="0" w:space="0" w:color="auto"/>
        <w:left w:val="none" w:sz="0" w:space="0" w:color="auto"/>
        <w:bottom w:val="none" w:sz="0" w:space="0" w:color="auto"/>
        <w:right w:val="none" w:sz="0" w:space="0" w:color="auto"/>
      </w:divBdr>
    </w:div>
    <w:div w:id="1066218429">
      <w:marLeft w:val="0"/>
      <w:marRight w:val="0"/>
      <w:marTop w:val="0"/>
      <w:marBottom w:val="0"/>
      <w:divBdr>
        <w:top w:val="none" w:sz="0" w:space="0" w:color="auto"/>
        <w:left w:val="none" w:sz="0" w:space="0" w:color="auto"/>
        <w:bottom w:val="none" w:sz="0" w:space="0" w:color="auto"/>
        <w:right w:val="none" w:sz="0" w:space="0" w:color="auto"/>
      </w:divBdr>
    </w:div>
    <w:div w:id="1067342716">
      <w:marLeft w:val="0"/>
      <w:marRight w:val="0"/>
      <w:marTop w:val="0"/>
      <w:marBottom w:val="0"/>
      <w:divBdr>
        <w:top w:val="none" w:sz="0" w:space="0" w:color="auto"/>
        <w:left w:val="none" w:sz="0" w:space="0" w:color="auto"/>
        <w:bottom w:val="none" w:sz="0" w:space="0" w:color="auto"/>
        <w:right w:val="none" w:sz="0" w:space="0" w:color="auto"/>
      </w:divBdr>
      <w:divsChild>
        <w:div w:id="768047224">
          <w:marLeft w:val="0"/>
          <w:marRight w:val="0"/>
          <w:marTop w:val="0"/>
          <w:marBottom w:val="0"/>
          <w:divBdr>
            <w:top w:val="none" w:sz="0" w:space="0" w:color="auto"/>
            <w:left w:val="none" w:sz="0" w:space="0" w:color="auto"/>
            <w:bottom w:val="none" w:sz="0" w:space="0" w:color="auto"/>
            <w:right w:val="none" w:sz="0" w:space="0" w:color="auto"/>
          </w:divBdr>
        </w:div>
      </w:divsChild>
    </w:div>
    <w:div w:id="1073430337">
      <w:marLeft w:val="0"/>
      <w:marRight w:val="0"/>
      <w:marTop w:val="160"/>
      <w:marBottom w:val="160"/>
      <w:divBdr>
        <w:top w:val="none" w:sz="0" w:space="0" w:color="auto"/>
        <w:left w:val="none" w:sz="0" w:space="0" w:color="auto"/>
        <w:bottom w:val="none" w:sz="0" w:space="0" w:color="auto"/>
        <w:right w:val="none" w:sz="0" w:space="0" w:color="auto"/>
      </w:divBdr>
    </w:div>
    <w:div w:id="1075543280">
      <w:marLeft w:val="0"/>
      <w:marRight w:val="0"/>
      <w:marTop w:val="160"/>
      <w:marBottom w:val="160"/>
      <w:divBdr>
        <w:top w:val="none" w:sz="0" w:space="0" w:color="auto"/>
        <w:left w:val="none" w:sz="0" w:space="0" w:color="auto"/>
        <w:bottom w:val="none" w:sz="0" w:space="0" w:color="auto"/>
        <w:right w:val="none" w:sz="0" w:space="0" w:color="auto"/>
      </w:divBdr>
    </w:div>
    <w:div w:id="1075589490">
      <w:marLeft w:val="0"/>
      <w:marRight w:val="0"/>
      <w:marTop w:val="0"/>
      <w:marBottom w:val="0"/>
      <w:divBdr>
        <w:top w:val="none" w:sz="0" w:space="0" w:color="auto"/>
        <w:left w:val="none" w:sz="0" w:space="0" w:color="auto"/>
        <w:bottom w:val="none" w:sz="0" w:space="0" w:color="auto"/>
        <w:right w:val="none" w:sz="0" w:space="0" w:color="auto"/>
      </w:divBdr>
      <w:divsChild>
        <w:div w:id="831338581">
          <w:marLeft w:val="0"/>
          <w:marRight w:val="0"/>
          <w:marTop w:val="0"/>
          <w:marBottom w:val="0"/>
          <w:divBdr>
            <w:top w:val="none" w:sz="0" w:space="0" w:color="auto"/>
            <w:left w:val="none" w:sz="0" w:space="0" w:color="auto"/>
            <w:bottom w:val="none" w:sz="0" w:space="0" w:color="auto"/>
            <w:right w:val="none" w:sz="0" w:space="0" w:color="auto"/>
          </w:divBdr>
        </w:div>
      </w:divsChild>
    </w:div>
    <w:div w:id="1089542276">
      <w:marLeft w:val="0"/>
      <w:marRight w:val="0"/>
      <w:marTop w:val="160"/>
      <w:marBottom w:val="160"/>
      <w:divBdr>
        <w:top w:val="none" w:sz="0" w:space="0" w:color="auto"/>
        <w:left w:val="none" w:sz="0" w:space="0" w:color="auto"/>
        <w:bottom w:val="none" w:sz="0" w:space="0" w:color="auto"/>
        <w:right w:val="none" w:sz="0" w:space="0" w:color="auto"/>
      </w:divBdr>
    </w:div>
    <w:div w:id="1091463183">
      <w:marLeft w:val="0"/>
      <w:marRight w:val="0"/>
      <w:marTop w:val="160"/>
      <w:marBottom w:val="40"/>
      <w:divBdr>
        <w:top w:val="none" w:sz="0" w:space="0" w:color="auto"/>
        <w:left w:val="none" w:sz="0" w:space="0" w:color="auto"/>
        <w:bottom w:val="none" w:sz="0" w:space="0" w:color="auto"/>
        <w:right w:val="none" w:sz="0" w:space="0" w:color="auto"/>
      </w:divBdr>
    </w:div>
    <w:div w:id="1097367017">
      <w:marLeft w:val="0"/>
      <w:marRight w:val="0"/>
      <w:marTop w:val="160"/>
      <w:marBottom w:val="160"/>
      <w:divBdr>
        <w:top w:val="none" w:sz="0" w:space="0" w:color="auto"/>
        <w:left w:val="none" w:sz="0" w:space="0" w:color="auto"/>
        <w:bottom w:val="none" w:sz="0" w:space="0" w:color="auto"/>
        <w:right w:val="none" w:sz="0" w:space="0" w:color="auto"/>
      </w:divBdr>
    </w:div>
    <w:div w:id="1105808694">
      <w:marLeft w:val="0"/>
      <w:marRight w:val="0"/>
      <w:marTop w:val="0"/>
      <w:marBottom w:val="0"/>
      <w:divBdr>
        <w:top w:val="none" w:sz="0" w:space="0" w:color="auto"/>
        <w:left w:val="none" w:sz="0" w:space="0" w:color="auto"/>
        <w:bottom w:val="none" w:sz="0" w:space="0" w:color="auto"/>
        <w:right w:val="none" w:sz="0" w:space="0" w:color="auto"/>
      </w:divBdr>
      <w:divsChild>
        <w:div w:id="857620393">
          <w:marLeft w:val="0"/>
          <w:marRight w:val="0"/>
          <w:marTop w:val="160"/>
          <w:marBottom w:val="160"/>
          <w:divBdr>
            <w:top w:val="none" w:sz="0" w:space="0" w:color="auto"/>
            <w:left w:val="none" w:sz="0" w:space="0" w:color="auto"/>
            <w:bottom w:val="none" w:sz="0" w:space="0" w:color="auto"/>
            <w:right w:val="none" w:sz="0" w:space="0" w:color="auto"/>
          </w:divBdr>
        </w:div>
        <w:div w:id="1356343985">
          <w:marLeft w:val="0"/>
          <w:marRight w:val="0"/>
          <w:marTop w:val="160"/>
          <w:marBottom w:val="160"/>
          <w:divBdr>
            <w:top w:val="none" w:sz="0" w:space="0" w:color="auto"/>
            <w:left w:val="none" w:sz="0" w:space="0" w:color="auto"/>
            <w:bottom w:val="none" w:sz="0" w:space="0" w:color="auto"/>
            <w:right w:val="none" w:sz="0" w:space="0" w:color="auto"/>
          </w:divBdr>
        </w:div>
        <w:div w:id="1376389796">
          <w:marLeft w:val="0"/>
          <w:marRight w:val="0"/>
          <w:marTop w:val="160"/>
          <w:marBottom w:val="160"/>
          <w:divBdr>
            <w:top w:val="none" w:sz="0" w:space="0" w:color="auto"/>
            <w:left w:val="none" w:sz="0" w:space="0" w:color="auto"/>
            <w:bottom w:val="none" w:sz="0" w:space="0" w:color="auto"/>
            <w:right w:val="none" w:sz="0" w:space="0" w:color="auto"/>
          </w:divBdr>
        </w:div>
        <w:div w:id="1282802881">
          <w:marLeft w:val="0"/>
          <w:marRight w:val="0"/>
          <w:marTop w:val="160"/>
          <w:marBottom w:val="160"/>
          <w:divBdr>
            <w:top w:val="none" w:sz="0" w:space="0" w:color="auto"/>
            <w:left w:val="none" w:sz="0" w:space="0" w:color="auto"/>
            <w:bottom w:val="none" w:sz="0" w:space="0" w:color="auto"/>
            <w:right w:val="none" w:sz="0" w:space="0" w:color="auto"/>
          </w:divBdr>
        </w:div>
        <w:div w:id="2058242120">
          <w:marLeft w:val="0"/>
          <w:marRight w:val="0"/>
          <w:marTop w:val="160"/>
          <w:marBottom w:val="160"/>
          <w:divBdr>
            <w:top w:val="none" w:sz="0" w:space="0" w:color="auto"/>
            <w:left w:val="none" w:sz="0" w:space="0" w:color="auto"/>
            <w:bottom w:val="none" w:sz="0" w:space="0" w:color="auto"/>
            <w:right w:val="none" w:sz="0" w:space="0" w:color="auto"/>
          </w:divBdr>
        </w:div>
        <w:div w:id="395980595">
          <w:marLeft w:val="0"/>
          <w:marRight w:val="0"/>
          <w:marTop w:val="160"/>
          <w:marBottom w:val="160"/>
          <w:divBdr>
            <w:top w:val="none" w:sz="0" w:space="0" w:color="auto"/>
            <w:left w:val="none" w:sz="0" w:space="0" w:color="auto"/>
            <w:bottom w:val="none" w:sz="0" w:space="0" w:color="auto"/>
            <w:right w:val="none" w:sz="0" w:space="0" w:color="auto"/>
          </w:divBdr>
        </w:div>
      </w:divsChild>
    </w:div>
    <w:div w:id="1106581542">
      <w:marLeft w:val="0"/>
      <w:marRight w:val="0"/>
      <w:marTop w:val="0"/>
      <w:marBottom w:val="0"/>
      <w:divBdr>
        <w:top w:val="none" w:sz="0" w:space="0" w:color="auto"/>
        <w:left w:val="none" w:sz="0" w:space="0" w:color="auto"/>
        <w:bottom w:val="none" w:sz="0" w:space="0" w:color="auto"/>
        <w:right w:val="none" w:sz="0" w:space="0" w:color="auto"/>
      </w:divBdr>
      <w:divsChild>
        <w:div w:id="706415568">
          <w:marLeft w:val="0"/>
          <w:marRight w:val="0"/>
          <w:marTop w:val="0"/>
          <w:marBottom w:val="0"/>
          <w:divBdr>
            <w:top w:val="none" w:sz="0" w:space="0" w:color="auto"/>
            <w:left w:val="none" w:sz="0" w:space="0" w:color="auto"/>
            <w:bottom w:val="none" w:sz="0" w:space="0" w:color="auto"/>
            <w:right w:val="none" w:sz="0" w:space="0" w:color="auto"/>
          </w:divBdr>
        </w:div>
      </w:divsChild>
    </w:div>
    <w:div w:id="1107240763">
      <w:marLeft w:val="0"/>
      <w:marRight w:val="0"/>
      <w:marTop w:val="0"/>
      <w:marBottom w:val="0"/>
      <w:divBdr>
        <w:top w:val="none" w:sz="0" w:space="0" w:color="auto"/>
        <w:left w:val="none" w:sz="0" w:space="0" w:color="auto"/>
        <w:bottom w:val="none" w:sz="0" w:space="0" w:color="auto"/>
        <w:right w:val="none" w:sz="0" w:space="0" w:color="auto"/>
      </w:divBdr>
      <w:divsChild>
        <w:div w:id="2057896625">
          <w:marLeft w:val="0"/>
          <w:marRight w:val="0"/>
          <w:marTop w:val="0"/>
          <w:marBottom w:val="0"/>
          <w:divBdr>
            <w:top w:val="none" w:sz="0" w:space="0" w:color="auto"/>
            <w:left w:val="none" w:sz="0" w:space="0" w:color="auto"/>
            <w:bottom w:val="none" w:sz="0" w:space="0" w:color="auto"/>
            <w:right w:val="none" w:sz="0" w:space="0" w:color="auto"/>
          </w:divBdr>
        </w:div>
      </w:divsChild>
    </w:div>
    <w:div w:id="1108086933">
      <w:marLeft w:val="0"/>
      <w:marRight w:val="0"/>
      <w:marTop w:val="160"/>
      <w:marBottom w:val="160"/>
      <w:divBdr>
        <w:top w:val="none" w:sz="0" w:space="0" w:color="auto"/>
        <w:left w:val="none" w:sz="0" w:space="0" w:color="auto"/>
        <w:bottom w:val="none" w:sz="0" w:space="0" w:color="auto"/>
        <w:right w:val="none" w:sz="0" w:space="0" w:color="auto"/>
      </w:divBdr>
    </w:div>
    <w:div w:id="1118329757">
      <w:marLeft w:val="0"/>
      <w:marRight w:val="0"/>
      <w:marTop w:val="160"/>
      <w:marBottom w:val="160"/>
      <w:divBdr>
        <w:top w:val="none" w:sz="0" w:space="0" w:color="auto"/>
        <w:left w:val="none" w:sz="0" w:space="0" w:color="auto"/>
        <w:bottom w:val="none" w:sz="0" w:space="0" w:color="auto"/>
        <w:right w:val="none" w:sz="0" w:space="0" w:color="auto"/>
      </w:divBdr>
    </w:div>
    <w:div w:id="1124035507">
      <w:marLeft w:val="0"/>
      <w:marRight w:val="0"/>
      <w:marTop w:val="160"/>
      <w:marBottom w:val="160"/>
      <w:divBdr>
        <w:top w:val="none" w:sz="0" w:space="0" w:color="auto"/>
        <w:left w:val="none" w:sz="0" w:space="0" w:color="auto"/>
        <w:bottom w:val="none" w:sz="0" w:space="0" w:color="auto"/>
        <w:right w:val="none" w:sz="0" w:space="0" w:color="auto"/>
      </w:divBdr>
    </w:div>
    <w:div w:id="1129086602">
      <w:marLeft w:val="0"/>
      <w:marRight w:val="0"/>
      <w:marTop w:val="160"/>
      <w:marBottom w:val="160"/>
      <w:divBdr>
        <w:top w:val="none" w:sz="0" w:space="0" w:color="auto"/>
        <w:left w:val="none" w:sz="0" w:space="0" w:color="auto"/>
        <w:bottom w:val="none" w:sz="0" w:space="0" w:color="auto"/>
        <w:right w:val="none" w:sz="0" w:space="0" w:color="auto"/>
      </w:divBdr>
    </w:div>
    <w:div w:id="1131285734">
      <w:marLeft w:val="0"/>
      <w:marRight w:val="0"/>
      <w:marTop w:val="160"/>
      <w:marBottom w:val="160"/>
      <w:divBdr>
        <w:top w:val="none" w:sz="0" w:space="0" w:color="auto"/>
        <w:left w:val="none" w:sz="0" w:space="0" w:color="auto"/>
        <w:bottom w:val="none" w:sz="0" w:space="0" w:color="auto"/>
        <w:right w:val="none" w:sz="0" w:space="0" w:color="auto"/>
      </w:divBdr>
    </w:div>
    <w:div w:id="1137574505">
      <w:marLeft w:val="0"/>
      <w:marRight w:val="0"/>
      <w:marTop w:val="160"/>
      <w:marBottom w:val="160"/>
      <w:divBdr>
        <w:top w:val="none" w:sz="0" w:space="0" w:color="auto"/>
        <w:left w:val="none" w:sz="0" w:space="0" w:color="auto"/>
        <w:bottom w:val="none" w:sz="0" w:space="0" w:color="auto"/>
        <w:right w:val="none" w:sz="0" w:space="0" w:color="auto"/>
      </w:divBdr>
    </w:div>
    <w:div w:id="1138500409">
      <w:marLeft w:val="0"/>
      <w:marRight w:val="0"/>
      <w:marTop w:val="0"/>
      <w:marBottom w:val="0"/>
      <w:divBdr>
        <w:top w:val="none" w:sz="0" w:space="0" w:color="auto"/>
        <w:left w:val="none" w:sz="0" w:space="0" w:color="auto"/>
        <w:bottom w:val="none" w:sz="0" w:space="0" w:color="auto"/>
        <w:right w:val="none" w:sz="0" w:space="0" w:color="auto"/>
      </w:divBdr>
    </w:div>
    <w:div w:id="1148325357">
      <w:marLeft w:val="0"/>
      <w:marRight w:val="0"/>
      <w:marTop w:val="160"/>
      <w:marBottom w:val="160"/>
      <w:divBdr>
        <w:top w:val="none" w:sz="0" w:space="0" w:color="auto"/>
        <w:left w:val="none" w:sz="0" w:space="0" w:color="auto"/>
        <w:bottom w:val="none" w:sz="0" w:space="0" w:color="auto"/>
        <w:right w:val="none" w:sz="0" w:space="0" w:color="auto"/>
      </w:divBdr>
    </w:div>
    <w:div w:id="1149051664">
      <w:marLeft w:val="0"/>
      <w:marRight w:val="0"/>
      <w:marTop w:val="160"/>
      <w:marBottom w:val="160"/>
      <w:divBdr>
        <w:top w:val="none" w:sz="0" w:space="0" w:color="auto"/>
        <w:left w:val="none" w:sz="0" w:space="0" w:color="auto"/>
        <w:bottom w:val="none" w:sz="0" w:space="0" w:color="auto"/>
        <w:right w:val="none" w:sz="0" w:space="0" w:color="auto"/>
      </w:divBdr>
    </w:div>
    <w:div w:id="1150054979">
      <w:marLeft w:val="0"/>
      <w:marRight w:val="0"/>
      <w:marTop w:val="0"/>
      <w:marBottom w:val="0"/>
      <w:divBdr>
        <w:top w:val="none" w:sz="0" w:space="0" w:color="auto"/>
        <w:left w:val="none" w:sz="0" w:space="0" w:color="auto"/>
        <w:bottom w:val="none" w:sz="0" w:space="0" w:color="auto"/>
        <w:right w:val="none" w:sz="0" w:space="0" w:color="auto"/>
      </w:divBdr>
      <w:divsChild>
        <w:div w:id="566036975">
          <w:marLeft w:val="0"/>
          <w:marRight w:val="0"/>
          <w:marTop w:val="160"/>
          <w:marBottom w:val="160"/>
          <w:divBdr>
            <w:top w:val="none" w:sz="0" w:space="0" w:color="auto"/>
            <w:left w:val="none" w:sz="0" w:space="0" w:color="auto"/>
            <w:bottom w:val="none" w:sz="0" w:space="0" w:color="auto"/>
            <w:right w:val="none" w:sz="0" w:space="0" w:color="auto"/>
          </w:divBdr>
        </w:div>
        <w:div w:id="764543097">
          <w:marLeft w:val="0"/>
          <w:marRight w:val="0"/>
          <w:marTop w:val="160"/>
          <w:marBottom w:val="160"/>
          <w:divBdr>
            <w:top w:val="none" w:sz="0" w:space="0" w:color="auto"/>
            <w:left w:val="none" w:sz="0" w:space="0" w:color="auto"/>
            <w:bottom w:val="none" w:sz="0" w:space="0" w:color="auto"/>
            <w:right w:val="none" w:sz="0" w:space="0" w:color="auto"/>
          </w:divBdr>
        </w:div>
        <w:div w:id="848525734">
          <w:marLeft w:val="0"/>
          <w:marRight w:val="0"/>
          <w:marTop w:val="160"/>
          <w:marBottom w:val="160"/>
          <w:divBdr>
            <w:top w:val="none" w:sz="0" w:space="0" w:color="auto"/>
            <w:left w:val="none" w:sz="0" w:space="0" w:color="auto"/>
            <w:bottom w:val="none" w:sz="0" w:space="0" w:color="auto"/>
            <w:right w:val="none" w:sz="0" w:space="0" w:color="auto"/>
          </w:divBdr>
        </w:div>
        <w:div w:id="2102480919">
          <w:marLeft w:val="0"/>
          <w:marRight w:val="0"/>
          <w:marTop w:val="160"/>
          <w:marBottom w:val="160"/>
          <w:divBdr>
            <w:top w:val="none" w:sz="0" w:space="0" w:color="auto"/>
            <w:left w:val="none" w:sz="0" w:space="0" w:color="auto"/>
            <w:bottom w:val="none" w:sz="0" w:space="0" w:color="auto"/>
            <w:right w:val="none" w:sz="0" w:space="0" w:color="auto"/>
          </w:divBdr>
        </w:div>
        <w:div w:id="892817032">
          <w:marLeft w:val="0"/>
          <w:marRight w:val="0"/>
          <w:marTop w:val="160"/>
          <w:marBottom w:val="160"/>
          <w:divBdr>
            <w:top w:val="none" w:sz="0" w:space="0" w:color="auto"/>
            <w:left w:val="none" w:sz="0" w:space="0" w:color="auto"/>
            <w:bottom w:val="none" w:sz="0" w:space="0" w:color="auto"/>
            <w:right w:val="none" w:sz="0" w:space="0" w:color="auto"/>
          </w:divBdr>
        </w:div>
        <w:div w:id="1260748787">
          <w:marLeft w:val="0"/>
          <w:marRight w:val="0"/>
          <w:marTop w:val="160"/>
          <w:marBottom w:val="160"/>
          <w:divBdr>
            <w:top w:val="none" w:sz="0" w:space="0" w:color="auto"/>
            <w:left w:val="none" w:sz="0" w:space="0" w:color="auto"/>
            <w:bottom w:val="none" w:sz="0" w:space="0" w:color="auto"/>
            <w:right w:val="none" w:sz="0" w:space="0" w:color="auto"/>
          </w:divBdr>
        </w:div>
      </w:divsChild>
    </w:div>
    <w:div w:id="1151365701">
      <w:marLeft w:val="0"/>
      <w:marRight w:val="0"/>
      <w:marTop w:val="0"/>
      <w:marBottom w:val="0"/>
      <w:divBdr>
        <w:top w:val="none" w:sz="0" w:space="0" w:color="auto"/>
        <w:left w:val="none" w:sz="0" w:space="0" w:color="auto"/>
        <w:bottom w:val="none" w:sz="0" w:space="0" w:color="auto"/>
        <w:right w:val="none" w:sz="0" w:space="0" w:color="auto"/>
      </w:divBdr>
      <w:divsChild>
        <w:div w:id="199098564">
          <w:marLeft w:val="0"/>
          <w:marRight w:val="0"/>
          <w:marTop w:val="160"/>
          <w:marBottom w:val="0"/>
          <w:divBdr>
            <w:top w:val="none" w:sz="0" w:space="0" w:color="auto"/>
            <w:left w:val="none" w:sz="0" w:space="0" w:color="auto"/>
            <w:bottom w:val="none" w:sz="0" w:space="0" w:color="auto"/>
            <w:right w:val="none" w:sz="0" w:space="0" w:color="auto"/>
          </w:divBdr>
        </w:div>
        <w:div w:id="1589849218">
          <w:marLeft w:val="0"/>
          <w:marRight w:val="0"/>
          <w:marTop w:val="160"/>
          <w:marBottom w:val="160"/>
          <w:divBdr>
            <w:top w:val="none" w:sz="0" w:space="0" w:color="auto"/>
            <w:left w:val="none" w:sz="0" w:space="0" w:color="auto"/>
            <w:bottom w:val="none" w:sz="0" w:space="0" w:color="auto"/>
            <w:right w:val="none" w:sz="0" w:space="0" w:color="auto"/>
          </w:divBdr>
        </w:div>
        <w:div w:id="236214171">
          <w:marLeft w:val="0"/>
          <w:marRight w:val="0"/>
          <w:marTop w:val="160"/>
          <w:marBottom w:val="160"/>
          <w:divBdr>
            <w:top w:val="none" w:sz="0" w:space="0" w:color="auto"/>
            <w:left w:val="none" w:sz="0" w:space="0" w:color="auto"/>
            <w:bottom w:val="none" w:sz="0" w:space="0" w:color="auto"/>
            <w:right w:val="none" w:sz="0" w:space="0" w:color="auto"/>
          </w:divBdr>
        </w:div>
        <w:div w:id="1830441231">
          <w:marLeft w:val="0"/>
          <w:marRight w:val="0"/>
          <w:marTop w:val="160"/>
          <w:marBottom w:val="160"/>
          <w:divBdr>
            <w:top w:val="none" w:sz="0" w:space="0" w:color="auto"/>
            <w:left w:val="none" w:sz="0" w:space="0" w:color="auto"/>
            <w:bottom w:val="none" w:sz="0" w:space="0" w:color="auto"/>
            <w:right w:val="none" w:sz="0" w:space="0" w:color="auto"/>
          </w:divBdr>
        </w:div>
        <w:div w:id="1179075654">
          <w:marLeft w:val="0"/>
          <w:marRight w:val="0"/>
          <w:marTop w:val="0"/>
          <w:marBottom w:val="0"/>
          <w:divBdr>
            <w:top w:val="none" w:sz="0" w:space="0" w:color="auto"/>
            <w:left w:val="none" w:sz="0" w:space="0" w:color="auto"/>
            <w:bottom w:val="none" w:sz="0" w:space="0" w:color="auto"/>
            <w:right w:val="none" w:sz="0" w:space="0" w:color="auto"/>
          </w:divBdr>
        </w:div>
      </w:divsChild>
    </w:div>
    <w:div w:id="1154568241">
      <w:marLeft w:val="0"/>
      <w:marRight w:val="0"/>
      <w:marTop w:val="160"/>
      <w:marBottom w:val="160"/>
      <w:divBdr>
        <w:top w:val="none" w:sz="0" w:space="0" w:color="auto"/>
        <w:left w:val="none" w:sz="0" w:space="0" w:color="auto"/>
        <w:bottom w:val="none" w:sz="0" w:space="0" w:color="auto"/>
        <w:right w:val="none" w:sz="0" w:space="0" w:color="auto"/>
      </w:divBdr>
    </w:div>
    <w:div w:id="1154755197">
      <w:marLeft w:val="0"/>
      <w:marRight w:val="0"/>
      <w:marTop w:val="0"/>
      <w:marBottom w:val="0"/>
      <w:divBdr>
        <w:top w:val="none" w:sz="0" w:space="0" w:color="auto"/>
        <w:left w:val="none" w:sz="0" w:space="0" w:color="auto"/>
        <w:bottom w:val="none" w:sz="0" w:space="0" w:color="auto"/>
        <w:right w:val="none" w:sz="0" w:space="0" w:color="auto"/>
      </w:divBdr>
      <w:divsChild>
        <w:div w:id="416949620">
          <w:marLeft w:val="0"/>
          <w:marRight w:val="0"/>
          <w:marTop w:val="160"/>
          <w:marBottom w:val="160"/>
          <w:divBdr>
            <w:top w:val="none" w:sz="0" w:space="0" w:color="auto"/>
            <w:left w:val="none" w:sz="0" w:space="0" w:color="auto"/>
            <w:bottom w:val="none" w:sz="0" w:space="0" w:color="auto"/>
            <w:right w:val="none" w:sz="0" w:space="0" w:color="auto"/>
          </w:divBdr>
        </w:div>
        <w:div w:id="1540242850">
          <w:marLeft w:val="0"/>
          <w:marRight w:val="0"/>
          <w:marTop w:val="160"/>
          <w:marBottom w:val="160"/>
          <w:divBdr>
            <w:top w:val="none" w:sz="0" w:space="0" w:color="auto"/>
            <w:left w:val="none" w:sz="0" w:space="0" w:color="auto"/>
            <w:bottom w:val="none" w:sz="0" w:space="0" w:color="auto"/>
            <w:right w:val="none" w:sz="0" w:space="0" w:color="auto"/>
          </w:divBdr>
        </w:div>
        <w:div w:id="102305883">
          <w:marLeft w:val="0"/>
          <w:marRight w:val="0"/>
          <w:marTop w:val="160"/>
          <w:marBottom w:val="160"/>
          <w:divBdr>
            <w:top w:val="none" w:sz="0" w:space="0" w:color="auto"/>
            <w:left w:val="none" w:sz="0" w:space="0" w:color="auto"/>
            <w:bottom w:val="none" w:sz="0" w:space="0" w:color="auto"/>
            <w:right w:val="none" w:sz="0" w:space="0" w:color="auto"/>
          </w:divBdr>
        </w:div>
        <w:div w:id="1960799813">
          <w:marLeft w:val="0"/>
          <w:marRight w:val="0"/>
          <w:marTop w:val="160"/>
          <w:marBottom w:val="160"/>
          <w:divBdr>
            <w:top w:val="none" w:sz="0" w:space="0" w:color="auto"/>
            <w:left w:val="none" w:sz="0" w:space="0" w:color="auto"/>
            <w:bottom w:val="none" w:sz="0" w:space="0" w:color="auto"/>
            <w:right w:val="none" w:sz="0" w:space="0" w:color="auto"/>
          </w:divBdr>
        </w:div>
        <w:div w:id="1794975925">
          <w:marLeft w:val="0"/>
          <w:marRight w:val="0"/>
          <w:marTop w:val="160"/>
          <w:marBottom w:val="160"/>
          <w:divBdr>
            <w:top w:val="none" w:sz="0" w:space="0" w:color="auto"/>
            <w:left w:val="none" w:sz="0" w:space="0" w:color="auto"/>
            <w:bottom w:val="none" w:sz="0" w:space="0" w:color="auto"/>
            <w:right w:val="none" w:sz="0" w:space="0" w:color="auto"/>
          </w:divBdr>
        </w:div>
        <w:div w:id="1113281857">
          <w:marLeft w:val="0"/>
          <w:marRight w:val="0"/>
          <w:marTop w:val="160"/>
          <w:marBottom w:val="160"/>
          <w:divBdr>
            <w:top w:val="none" w:sz="0" w:space="0" w:color="auto"/>
            <w:left w:val="none" w:sz="0" w:space="0" w:color="auto"/>
            <w:bottom w:val="none" w:sz="0" w:space="0" w:color="auto"/>
            <w:right w:val="none" w:sz="0" w:space="0" w:color="auto"/>
          </w:divBdr>
        </w:div>
      </w:divsChild>
    </w:div>
    <w:div w:id="1159228857">
      <w:marLeft w:val="0"/>
      <w:marRight w:val="0"/>
      <w:marTop w:val="160"/>
      <w:marBottom w:val="160"/>
      <w:divBdr>
        <w:top w:val="none" w:sz="0" w:space="0" w:color="auto"/>
        <w:left w:val="none" w:sz="0" w:space="0" w:color="auto"/>
        <w:bottom w:val="none" w:sz="0" w:space="0" w:color="auto"/>
        <w:right w:val="none" w:sz="0" w:space="0" w:color="auto"/>
      </w:divBdr>
    </w:div>
    <w:div w:id="1184125250">
      <w:marLeft w:val="0"/>
      <w:marRight w:val="0"/>
      <w:marTop w:val="160"/>
      <w:marBottom w:val="160"/>
      <w:divBdr>
        <w:top w:val="none" w:sz="0" w:space="0" w:color="auto"/>
        <w:left w:val="none" w:sz="0" w:space="0" w:color="auto"/>
        <w:bottom w:val="none" w:sz="0" w:space="0" w:color="auto"/>
        <w:right w:val="none" w:sz="0" w:space="0" w:color="auto"/>
      </w:divBdr>
    </w:div>
    <w:div w:id="1186167484">
      <w:marLeft w:val="0"/>
      <w:marRight w:val="0"/>
      <w:marTop w:val="160"/>
      <w:marBottom w:val="160"/>
      <w:divBdr>
        <w:top w:val="none" w:sz="0" w:space="0" w:color="auto"/>
        <w:left w:val="none" w:sz="0" w:space="0" w:color="auto"/>
        <w:bottom w:val="none" w:sz="0" w:space="0" w:color="auto"/>
        <w:right w:val="none" w:sz="0" w:space="0" w:color="auto"/>
      </w:divBdr>
    </w:div>
    <w:div w:id="1195843860">
      <w:marLeft w:val="0"/>
      <w:marRight w:val="0"/>
      <w:marTop w:val="160"/>
      <w:marBottom w:val="160"/>
      <w:divBdr>
        <w:top w:val="none" w:sz="0" w:space="0" w:color="auto"/>
        <w:left w:val="none" w:sz="0" w:space="0" w:color="auto"/>
        <w:bottom w:val="none" w:sz="0" w:space="0" w:color="auto"/>
        <w:right w:val="none" w:sz="0" w:space="0" w:color="auto"/>
      </w:divBdr>
    </w:div>
    <w:div w:id="1196044606">
      <w:marLeft w:val="0"/>
      <w:marRight w:val="0"/>
      <w:marTop w:val="160"/>
      <w:marBottom w:val="160"/>
      <w:divBdr>
        <w:top w:val="none" w:sz="0" w:space="0" w:color="auto"/>
        <w:left w:val="none" w:sz="0" w:space="0" w:color="auto"/>
        <w:bottom w:val="none" w:sz="0" w:space="0" w:color="auto"/>
        <w:right w:val="none" w:sz="0" w:space="0" w:color="auto"/>
      </w:divBdr>
    </w:div>
    <w:div w:id="1200170470">
      <w:marLeft w:val="0"/>
      <w:marRight w:val="0"/>
      <w:marTop w:val="0"/>
      <w:marBottom w:val="0"/>
      <w:divBdr>
        <w:top w:val="none" w:sz="0" w:space="0" w:color="auto"/>
        <w:left w:val="none" w:sz="0" w:space="0" w:color="auto"/>
        <w:bottom w:val="none" w:sz="0" w:space="0" w:color="auto"/>
        <w:right w:val="none" w:sz="0" w:space="0" w:color="auto"/>
      </w:divBdr>
      <w:divsChild>
        <w:div w:id="1916237925">
          <w:marLeft w:val="0"/>
          <w:marRight w:val="0"/>
          <w:marTop w:val="160"/>
          <w:marBottom w:val="0"/>
          <w:divBdr>
            <w:top w:val="none" w:sz="0" w:space="0" w:color="auto"/>
            <w:left w:val="none" w:sz="0" w:space="0" w:color="auto"/>
            <w:bottom w:val="none" w:sz="0" w:space="0" w:color="auto"/>
            <w:right w:val="none" w:sz="0" w:space="0" w:color="auto"/>
          </w:divBdr>
        </w:div>
        <w:div w:id="1940942792">
          <w:marLeft w:val="0"/>
          <w:marRight w:val="0"/>
          <w:marTop w:val="160"/>
          <w:marBottom w:val="0"/>
          <w:divBdr>
            <w:top w:val="none" w:sz="0" w:space="0" w:color="auto"/>
            <w:left w:val="none" w:sz="0" w:space="0" w:color="auto"/>
            <w:bottom w:val="none" w:sz="0" w:space="0" w:color="auto"/>
            <w:right w:val="none" w:sz="0" w:space="0" w:color="auto"/>
          </w:divBdr>
        </w:div>
        <w:div w:id="1930842876">
          <w:marLeft w:val="0"/>
          <w:marRight w:val="0"/>
          <w:marTop w:val="160"/>
          <w:marBottom w:val="160"/>
          <w:divBdr>
            <w:top w:val="none" w:sz="0" w:space="0" w:color="auto"/>
            <w:left w:val="none" w:sz="0" w:space="0" w:color="auto"/>
            <w:bottom w:val="none" w:sz="0" w:space="0" w:color="auto"/>
            <w:right w:val="none" w:sz="0" w:space="0" w:color="auto"/>
          </w:divBdr>
        </w:div>
        <w:div w:id="1017000000">
          <w:marLeft w:val="0"/>
          <w:marRight w:val="0"/>
          <w:marTop w:val="160"/>
          <w:marBottom w:val="160"/>
          <w:divBdr>
            <w:top w:val="none" w:sz="0" w:space="0" w:color="auto"/>
            <w:left w:val="none" w:sz="0" w:space="0" w:color="auto"/>
            <w:bottom w:val="none" w:sz="0" w:space="0" w:color="auto"/>
            <w:right w:val="none" w:sz="0" w:space="0" w:color="auto"/>
          </w:divBdr>
        </w:div>
        <w:div w:id="502164549">
          <w:marLeft w:val="0"/>
          <w:marRight w:val="0"/>
          <w:marTop w:val="160"/>
          <w:marBottom w:val="160"/>
          <w:divBdr>
            <w:top w:val="none" w:sz="0" w:space="0" w:color="auto"/>
            <w:left w:val="none" w:sz="0" w:space="0" w:color="auto"/>
            <w:bottom w:val="none" w:sz="0" w:space="0" w:color="auto"/>
            <w:right w:val="none" w:sz="0" w:space="0" w:color="auto"/>
          </w:divBdr>
        </w:div>
      </w:divsChild>
    </w:div>
    <w:div w:id="1203980931">
      <w:marLeft w:val="0"/>
      <w:marRight w:val="0"/>
      <w:marTop w:val="0"/>
      <w:marBottom w:val="0"/>
      <w:divBdr>
        <w:top w:val="none" w:sz="0" w:space="0" w:color="auto"/>
        <w:left w:val="none" w:sz="0" w:space="0" w:color="auto"/>
        <w:bottom w:val="none" w:sz="0" w:space="0" w:color="auto"/>
        <w:right w:val="none" w:sz="0" w:space="0" w:color="auto"/>
      </w:divBdr>
      <w:divsChild>
        <w:div w:id="77799755">
          <w:marLeft w:val="0"/>
          <w:marRight w:val="0"/>
          <w:marTop w:val="0"/>
          <w:marBottom w:val="0"/>
          <w:divBdr>
            <w:top w:val="none" w:sz="0" w:space="0" w:color="auto"/>
            <w:left w:val="none" w:sz="0" w:space="0" w:color="auto"/>
            <w:bottom w:val="none" w:sz="0" w:space="0" w:color="auto"/>
            <w:right w:val="none" w:sz="0" w:space="0" w:color="auto"/>
          </w:divBdr>
        </w:div>
      </w:divsChild>
    </w:div>
    <w:div w:id="1206599981">
      <w:marLeft w:val="0"/>
      <w:marRight w:val="0"/>
      <w:marTop w:val="160"/>
      <w:marBottom w:val="160"/>
      <w:divBdr>
        <w:top w:val="none" w:sz="0" w:space="0" w:color="auto"/>
        <w:left w:val="none" w:sz="0" w:space="0" w:color="auto"/>
        <w:bottom w:val="none" w:sz="0" w:space="0" w:color="auto"/>
        <w:right w:val="none" w:sz="0" w:space="0" w:color="auto"/>
      </w:divBdr>
    </w:div>
    <w:div w:id="1209688682">
      <w:marLeft w:val="0"/>
      <w:marRight w:val="0"/>
      <w:marTop w:val="100"/>
      <w:marBottom w:val="160"/>
      <w:divBdr>
        <w:top w:val="none" w:sz="0" w:space="0" w:color="auto"/>
        <w:left w:val="none" w:sz="0" w:space="0" w:color="auto"/>
        <w:bottom w:val="none" w:sz="0" w:space="0" w:color="auto"/>
        <w:right w:val="none" w:sz="0" w:space="0" w:color="auto"/>
      </w:divBdr>
    </w:div>
    <w:div w:id="1209802072">
      <w:marLeft w:val="0"/>
      <w:marRight w:val="0"/>
      <w:marTop w:val="160"/>
      <w:marBottom w:val="160"/>
      <w:divBdr>
        <w:top w:val="none" w:sz="0" w:space="0" w:color="auto"/>
        <w:left w:val="none" w:sz="0" w:space="0" w:color="auto"/>
        <w:bottom w:val="none" w:sz="0" w:space="0" w:color="auto"/>
        <w:right w:val="none" w:sz="0" w:space="0" w:color="auto"/>
      </w:divBdr>
    </w:div>
    <w:div w:id="1231189142">
      <w:marLeft w:val="0"/>
      <w:marRight w:val="0"/>
      <w:marTop w:val="160"/>
      <w:marBottom w:val="160"/>
      <w:divBdr>
        <w:top w:val="none" w:sz="0" w:space="0" w:color="auto"/>
        <w:left w:val="none" w:sz="0" w:space="0" w:color="auto"/>
        <w:bottom w:val="none" w:sz="0" w:space="0" w:color="auto"/>
        <w:right w:val="none" w:sz="0" w:space="0" w:color="auto"/>
      </w:divBdr>
    </w:div>
    <w:div w:id="1235820301">
      <w:marLeft w:val="0"/>
      <w:marRight w:val="0"/>
      <w:marTop w:val="0"/>
      <w:marBottom w:val="0"/>
      <w:divBdr>
        <w:top w:val="none" w:sz="0" w:space="0" w:color="auto"/>
        <w:left w:val="none" w:sz="0" w:space="0" w:color="auto"/>
        <w:bottom w:val="none" w:sz="0" w:space="0" w:color="auto"/>
        <w:right w:val="none" w:sz="0" w:space="0" w:color="auto"/>
      </w:divBdr>
    </w:div>
    <w:div w:id="1237858891">
      <w:marLeft w:val="0"/>
      <w:marRight w:val="0"/>
      <w:marTop w:val="0"/>
      <w:marBottom w:val="0"/>
      <w:divBdr>
        <w:top w:val="none" w:sz="0" w:space="0" w:color="auto"/>
        <w:left w:val="none" w:sz="0" w:space="0" w:color="auto"/>
        <w:bottom w:val="none" w:sz="0" w:space="0" w:color="auto"/>
        <w:right w:val="none" w:sz="0" w:space="0" w:color="auto"/>
      </w:divBdr>
    </w:div>
    <w:div w:id="1239485597">
      <w:marLeft w:val="0"/>
      <w:marRight w:val="0"/>
      <w:marTop w:val="160"/>
      <w:marBottom w:val="160"/>
      <w:divBdr>
        <w:top w:val="none" w:sz="0" w:space="0" w:color="auto"/>
        <w:left w:val="none" w:sz="0" w:space="0" w:color="auto"/>
        <w:bottom w:val="none" w:sz="0" w:space="0" w:color="auto"/>
        <w:right w:val="none" w:sz="0" w:space="0" w:color="auto"/>
      </w:divBdr>
    </w:div>
    <w:div w:id="1239973157">
      <w:marLeft w:val="0"/>
      <w:marRight w:val="0"/>
      <w:marTop w:val="160"/>
      <w:marBottom w:val="160"/>
      <w:divBdr>
        <w:top w:val="none" w:sz="0" w:space="0" w:color="auto"/>
        <w:left w:val="none" w:sz="0" w:space="0" w:color="auto"/>
        <w:bottom w:val="none" w:sz="0" w:space="0" w:color="auto"/>
        <w:right w:val="none" w:sz="0" w:space="0" w:color="auto"/>
      </w:divBdr>
    </w:div>
    <w:div w:id="1240944583">
      <w:marLeft w:val="0"/>
      <w:marRight w:val="0"/>
      <w:marTop w:val="160"/>
      <w:marBottom w:val="160"/>
      <w:divBdr>
        <w:top w:val="none" w:sz="0" w:space="0" w:color="auto"/>
        <w:left w:val="none" w:sz="0" w:space="0" w:color="auto"/>
        <w:bottom w:val="none" w:sz="0" w:space="0" w:color="auto"/>
        <w:right w:val="none" w:sz="0" w:space="0" w:color="auto"/>
      </w:divBdr>
    </w:div>
    <w:div w:id="1243880166">
      <w:marLeft w:val="0"/>
      <w:marRight w:val="0"/>
      <w:marTop w:val="0"/>
      <w:marBottom w:val="0"/>
      <w:divBdr>
        <w:top w:val="none" w:sz="0" w:space="0" w:color="auto"/>
        <w:left w:val="none" w:sz="0" w:space="0" w:color="auto"/>
        <w:bottom w:val="none" w:sz="0" w:space="0" w:color="auto"/>
        <w:right w:val="none" w:sz="0" w:space="0" w:color="auto"/>
      </w:divBdr>
    </w:div>
    <w:div w:id="1254972020">
      <w:marLeft w:val="0"/>
      <w:marRight w:val="0"/>
      <w:marTop w:val="160"/>
      <w:marBottom w:val="160"/>
      <w:divBdr>
        <w:top w:val="none" w:sz="0" w:space="0" w:color="auto"/>
        <w:left w:val="none" w:sz="0" w:space="0" w:color="auto"/>
        <w:bottom w:val="none" w:sz="0" w:space="0" w:color="auto"/>
        <w:right w:val="none" w:sz="0" w:space="0" w:color="auto"/>
      </w:divBdr>
    </w:div>
    <w:div w:id="1267732258">
      <w:marLeft w:val="0"/>
      <w:marRight w:val="0"/>
      <w:marTop w:val="0"/>
      <w:marBottom w:val="0"/>
      <w:divBdr>
        <w:top w:val="none" w:sz="0" w:space="0" w:color="auto"/>
        <w:left w:val="none" w:sz="0" w:space="0" w:color="auto"/>
        <w:bottom w:val="none" w:sz="0" w:space="0" w:color="auto"/>
        <w:right w:val="none" w:sz="0" w:space="0" w:color="auto"/>
      </w:divBdr>
      <w:divsChild>
        <w:div w:id="1945529624">
          <w:marLeft w:val="0"/>
          <w:marRight w:val="0"/>
          <w:marTop w:val="0"/>
          <w:marBottom w:val="0"/>
          <w:divBdr>
            <w:top w:val="none" w:sz="0" w:space="0" w:color="auto"/>
            <w:left w:val="none" w:sz="0" w:space="0" w:color="auto"/>
            <w:bottom w:val="none" w:sz="0" w:space="0" w:color="auto"/>
            <w:right w:val="none" w:sz="0" w:space="0" w:color="auto"/>
          </w:divBdr>
        </w:div>
      </w:divsChild>
    </w:div>
    <w:div w:id="1268805269">
      <w:marLeft w:val="0"/>
      <w:marRight w:val="0"/>
      <w:marTop w:val="160"/>
      <w:marBottom w:val="160"/>
      <w:divBdr>
        <w:top w:val="none" w:sz="0" w:space="0" w:color="auto"/>
        <w:left w:val="none" w:sz="0" w:space="0" w:color="auto"/>
        <w:bottom w:val="none" w:sz="0" w:space="0" w:color="auto"/>
        <w:right w:val="none" w:sz="0" w:space="0" w:color="auto"/>
      </w:divBdr>
    </w:div>
    <w:div w:id="1273249048">
      <w:marLeft w:val="0"/>
      <w:marRight w:val="0"/>
      <w:marTop w:val="160"/>
      <w:marBottom w:val="160"/>
      <w:divBdr>
        <w:top w:val="none" w:sz="0" w:space="0" w:color="auto"/>
        <w:left w:val="none" w:sz="0" w:space="0" w:color="auto"/>
        <w:bottom w:val="none" w:sz="0" w:space="0" w:color="auto"/>
        <w:right w:val="none" w:sz="0" w:space="0" w:color="auto"/>
      </w:divBdr>
    </w:div>
    <w:div w:id="1281916013">
      <w:marLeft w:val="0"/>
      <w:marRight w:val="0"/>
      <w:marTop w:val="160"/>
      <w:marBottom w:val="160"/>
      <w:divBdr>
        <w:top w:val="none" w:sz="0" w:space="0" w:color="auto"/>
        <w:left w:val="none" w:sz="0" w:space="0" w:color="auto"/>
        <w:bottom w:val="none" w:sz="0" w:space="0" w:color="auto"/>
        <w:right w:val="none" w:sz="0" w:space="0" w:color="auto"/>
      </w:divBdr>
    </w:div>
    <w:div w:id="1284271334">
      <w:marLeft w:val="0"/>
      <w:marRight w:val="0"/>
      <w:marTop w:val="160"/>
      <w:marBottom w:val="160"/>
      <w:divBdr>
        <w:top w:val="none" w:sz="0" w:space="0" w:color="auto"/>
        <w:left w:val="none" w:sz="0" w:space="0" w:color="auto"/>
        <w:bottom w:val="none" w:sz="0" w:space="0" w:color="auto"/>
        <w:right w:val="none" w:sz="0" w:space="0" w:color="auto"/>
      </w:divBdr>
    </w:div>
    <w:div w:id="1287464989">
      <w:marLeft w:val="0"/>
      <w:marRight w:val="0"/>
      <w:marTop w:val="160"/>
      <w:marBottom w:val="160"/>
      <w:divBdr>
        <w:top w:val="none" w:sz="0" w:space="0" w:color="auto"/>
        <w:left w:val="none" w:sz="0" w:space="0" w:color="auto"/>
        <w:bottom w:val="none" w:sz="0" w:space="0" w:color="auto"/>
        <w:right w:val="none" w:sz="0" w:space="0" w:color="auto"/>
      </w:divBdr>
    </w:div>
    <w:div w:id="1291863286">
      <w:marLeft w:val="0"/>
      <w:marRight w:val="0"/>
      <w:marTop w:val="160"/>
      <w:marBottom w:val="160"/>
      <w:divBdr>
        <w:top w:val="none" w:sz="0" w:space="0" w:color="auto"/>
        <w:left w:val="none" w:sz="0" w:space="0" w:color="auto"/>
        <w:bottom w:val="none" w:sz="0" w:space="0" w:color="auto"/>
        <w:right w:val="none" w:sz="0" w:space="0" w:color="auto"/>
      </w:divBdr>
    </w:div>
    <w:div w:id="1292521121">
      <w:marLeft w:val="0"/>
      <w:marRight w:val="0"/>
      <w:marTop w:val="160"/>
      <w:marBottom w:val="160"/>
      <w:divBdr>
        <w:top w:val="none" w:sz="0" w:space="0" w:color="auto"/>
        <w:left w:val="none" w:sz="0" w:space="0" w:color="auto"/>
        <w:bottom w:val="none" w:sz="0" w:space="0" w:color="auto"/>
        <w:right w:val="none" w:sz="0" w:space="0" w:color="auto"/>
      </w:divBdr>
    </w:div>
    <w:div w:id="1296906780">
      <w:marLeft w:val="0"/>
      <w:marRight w:val="0"/>
      <w:marTop w:val="160"/>
      <w:marBottom w:val="160"/>
      <w:divBdr>
        <w:top w:val="none" w:sz="0" w:space="0" w:color="auto"/>
        <w:left w:val="none" w:sz="0" w:space="0" w:color="auto"/>
        <w:bottom w:val="none" w:sz="0" w:space="0" w:color="auto"/>
        <w:right w:val="none" w:sz="0" w:space="0" w:color="auto"/>
      </w:divBdr>
    </w:div>
    <w:div w:id="1301570064">
      <w:marLeft w:val="0"/>
      <w:marRight w:val="0"/>
      <w:marTop w:val="160"/>
      <w:marBottom w:val="160"/>
      <w:divBdr>
        <w:top w:val="none" w:sz="0" w:space="0" w:color="auto"/>
        <w:left w:val="none" w:sz="0" w:space="0" w:color="auto"/>
        <w:bottom w:val="none" w:sz="0" w:space="0" w:color="auto"/>
        <w:right w:val="none" w:sz="0" w:space="0" w:color="auto"/>
      </w:divBdr>
    </w:div>
    <w:div w:id="1308365148">
      <w:marLeft w:val="0"/>
      <w:marRight w:val="0"/>
      <w:marTop w:val="160"/>
      <w:marBottom w:val="160"/>
      <w:divBdr>
        <w:top w:val="none" w:sz="0" w:space="0" w:color="auto"/>
        <w:left w:val="none" w:sz="0" w:space="0" w:color="auto"/>
        <w:bottom w:val="none" w:sz="0" w:space="0" w:color="auto"/>
        <w:right w:val="none" w:sz="0" w:space="0" w:color="auto"/>
      </w:divBdr>
    </w:div>
    <w:div w:id="1313364857">
      <w:marLeft w:val="0"/>
      <w:marRight w:val="0"/>
      <w:marTop w:val="160"/>
      <w:marBottom w:val="160"/>
      <w:divBdr>
        <w:top w:val="none" w:sz="0" w:space="0" w:color="auto"/>
        <w:left w:val="none" w:sz="0" w:space="0" w:color="auto"/>
        <w:bottom w:val="none" w:sz="0" w:space="0" w:color="auto"/>
        <w:right w:val="none" w:sz="0" w:space="0" w:color="auto"/>
      </w:divBdr>
    </w:div>
    <w:div w:id="1314338223">
      <w:marLeft w:val="0"/>
      <w:marRight w:val="0"/>
      <w:marTop w:val="0"/>
      <w:marBottom w:val="0"/>
      <w:divBdr>
        <w:top w:val="none" w:sz="0" w:space="0" w:color="auto"/>
        <w:left w:val="none" w:sz="0" w:space="0" w:color="auto"/>
        <w:bottom w:val="none" w:sz="0" w:space="0" w:color="auto"/>
        <w:right w:val="none" w:sz="0" w:space="0" w:color="auto"/>
      </w:divBdr>
      <w:divsChild>
        <w:div w:id="1099371914">
          <w:marLeft w:val="0"/>
          <w:marRight w:val="0"/>
          <w:marTop w:val="0"/>
          <w:marBottom w:val="0"/>
          <w:divBdr>
            <w:top w:val="none" w:sz="0" w:space="0" w:color="auto"/>
            <w:left w:val="none" w:sz="0" w:space="0" w:color="auto"/>
            <w:bottom w:val="none" w:sz="0" w:space="0" w:color="auto"/>
            <w:right w:val="none" w:sz="0" w:space="0" w:color="auto"/>
          </w:divBdr>
        </w:div>
      </w:divsChild>
    </w:div>
    <w:div w:id="1320381201">
      <w:marLeft w:val="0"/>
      <w:marRight w:val="0"/>
      <w:marTop w:val="160"/>
      <w:marBottom w:val="160"/>
      <w:divBdr>
        <w:top w:val="none" w:sz="0" w:space="0" w:color="auto"/>
        <w:left w:val="none" w:sz="0" w:space="0" w:color="auto"/>
        <w:bottom w:val="none" w:sz="0" w:space="0" w:color="auto"/>
        <w:right w:val="none" w:sz="0" w:space="0" w:color="auto"/>
      </w:divBdr>
    </w:div>
    <w:div w:id="1321226415">
      <w:marLeft w:val="0"/>
      <w:marRight w:val="0"/>
      <w:marTop w:val="0"/>
      <w:marBottom w:val="0"/>
      <w:divBdr>
        <w:top w:val="none" w:sz="0" w:space="0" w:color="auto"/>
        <w:left w:val="none" w:sz="0" w:space="0" w:color="auto"/>
        <w:bottom w:val="none" w:sz="0" w:space="0" w:color="auto"/>
        <w:right w:val="none" w:sz="0" w:space="0" w:color="auto"/>
      </w:divBdr>
      <w:divsChild>
        <w:div w:id="1114591623">
          <w:marLeft w:val="0"/>
          <w:marRight w:val="0"/>
          <w:marTop w:val="0"/>
          <w:marBottom w:val="0"/>
          <w:divBdr>
            <w:top w:val="none" w:sz="0" w:space="0" w:color="auto"/>
            <w:left w:val="none" w:sz="0" w:space="0" w:color="auto"/>
            <w:bottom w:val="none" w:sz="0" w:space="0" w:color="auto"/>
            <w:right w:val="none" w:sz="0" w:space="0" w:color="auto"/>
          </w:divBdr>
        </w:div>
      </w:divsChild>
    </w:div>
    <w:div w:id="1323267500">
      <w:marLeft w:val="0"/>
      <w:marRight w:val="0"/>
      <w:marTop w:val="160"/>
      <w:marBottom w:val="160"/>
      <w:divBdr>
        <w:top w:val="none" w:sz="0" w:space="0" w:color="auto"/>
        <w:left w:val="none" w:sz="0" w:space="0" w:color="auto"/>
        <w:bottom w:val="none" w:sz="0" w:space="0" w:color="auto"/>
        <w:right w:val="none" w:sz="0" w:space="0" w:color="auto"/>
      </w:divBdr>
    </w:div>
    <w:div w:id="1328289871">
      <w:marLeft w:val="0"/>
      <w:marRight w:val="0"/>
      <w:marTop w:val="0"/>
      <w:marBottom w:val="0"/>
      <w:divBdr>
        <w:top w:val="none" w:sz="0" w:space="0" w:color="auto"/>
        <w:left w:val="none" w:sz="0" w:space="0" w:color="auto"/>
        <w:bottom w:val="none" w:sz="0" w:space="0" w:color="auto"/>
        <w:right w:val="none" w:sz="0" w:space="0" w:color="auto"/>
      </w:divBdr>
      <w:divsChild>
        <w:div w:id="1717580031">
          <w:marLeft w:val="0"/>
          <w:marRight w:val="0"/>
          <w:marTop w:val="0"/>
          <w:marBottom w:val="0"/>
          <w:divBdr>
            <w:top w:val="none" w:sz="0" w:space="0" w:color="auto"/>
            <w:left w:val="none" w:sz="0" w:space="0" w:color="auto"/>
            <w:bottom w:val="none" w:sz="0" w:space="0" w:color="auto"/>
            <w:right w:val="none" w:sz="0" w:space="0" w:color="auto"/>
          </w:divBdr>
        </w:div>
      </w:divsChild>
    </w:div>
    <w:div w:id="1350374526">
      <w:marLeft w:val="0"/>
      <w:marRight w:val="0"/>
      <w:marTop w:val="160"/>
      <w:marBottom w:val="160"/>
      <w:divBdr>
        <w:top w:val="none" w:sz="0" w:space="0" w:color="auto"/>
        <w:left w:val="none" w:sz="0" w:space="0" w:color="auto"/>
        <w:bottom w:val="none" w:sz="0" w:space="0" w:color="auto"/>
        <w:right w:val="none" w:sz="0" w:space="0" w:color="auto"/>
      </w:divBdr>
    </w:div>
    <w:div w:id="1358433648">
      <w:marLeft w:val="0"/>
      <w:marRight w:val="0"/>
      <w:marTop w:val="160"/>
      <w:marBottom w:val="160"/>
      <w:divBdr>
        <w:top w:val="none" w:sz="0" w:space="0" w:color="auto"/>
        <w:left w:val="none" w:sz="0" w:space="0" w:color="auto"/>
        <w:bottom w:val="none" w:sz="0" w:space="0" w:color="auto"/>
        <w:right w:val="none" w:sz="0" w:space="0" w:color="auto"/>
      </w:divBdr>
    </w:div>
    <w:div w:id="1359046444">
      <w:marLeft w:val="0"/>
      <w:marRight w:val="0"/>
      <w:marTop w:val="160"/>
      <w:marBottom w:val="160"/>
      <w:divBdr>
        <w:top w:val="none" w:sz="0" w:space="0" w:color="auto"/>
        <w:left w:val="none" w:sz="0" w:space="0" w:color="auto"/>
        <w:bottom w:val="none" w:sz="0" w:space="0" w:color="auto"/>
        <w:right w:val="none" w:sz="0" w:space="0" w:color="auto"/>
      </w:divBdr>
    </w:div>
    <w:div w:id="1365254311">
      <w:marLeft w:val="0"/>
      <w:marRight w:val="0"/>
      <w:marTop w:val="160"/>
      <w:marBottom w:val="160"/>
      <w:divBdr>
        <w:top w:val="none" w:sz="0" w:space="0" w:color="auto"/>
        <w:left w:val="none" w:sz="0" w:space="0" w:color="auto"/>
        <w:bottom w:val="none" w:sz="0" w:space="0" w:color="auto"/>
        <w:right w:val="none" w:sz="0" w:space="0" w:color="auto"/>
      </w:divBdr>
    </w:div>
    <w:div w:id="1365446636">
      <w:marLeft w:val="0"/>
      <w:marRight w:val="0"/>
      <w:marTop w:val="160"/>
      <w:marBottom w:val="160"/>
      <w:divBdr>
        <w:top w:val="none" w:sz="0" w:space="0" w:color="auto"/>
        <w:left w:val="none" w:sz="0" w:space="0" w:color="auto"/>
        <w:bottom w:val="none" w:sz="0" w:space="0" w:color="auto"/>
        <w:right w:val="none" w:sz="0" w:space="0" w:color="auto"/>
      </w:divBdr>
    </w:div>
    <w:div w:id="1368942961">
      <w:marLeft w:val="0"/>
      <w:marRight w:val="0"/>
      <w:marTop w:val="160"/>
      <w:marBottom w:val="160"/>
      <w:divBdr>
        <w:top w:val="none" w:sz="0" w:space="0" w:color="auto"/>
        <w:left w:val="none" w:sz="0" w:space="0" w:color="auto"/>
        <w:bottom w:val="none" w:sz="0" w:space="0" w:color="auto"/>
        <w:right w:val="none" w:sz="0" w:space="0" w:color="auto"/>
      </w:divBdr>
    </w:div>
    <w:div w:id="1370565953">
      <w:marLeft w:val="0"/>
      <w:marRight w:val="0"/>
      <w:marTop w:val="160"/>
      <w:marBottom w:val="160"/>
      <w:divBdr>
        <w:top w:val="none" w:sz="0" w:space="0" w:color="auto"/>
        <w:left w:val="none" w:sz="0" w:space="0" w:color="auto"/>
        <w:bottom w:val="none" w:sz="0" w:space="0" w:color="auto"/>
        <w:right w:val="none" w:sz="0" w:space="0" w:color="auto"/>
      </w:divBdr>
    </w:div>
    <w:div w:id="1379087613">
      <w:marLeft w:val="0"/>
      <w:marRight w:val="0"/>
      <w:marTop w:val="160"/>
      <w:marBottom w:val="160"/>
      <w:divBdr>
        <w:top w:val="none" w:sz="0" w:space="0" w:color="auto"/>
        <w:left w:val="none" w:sz="0" w:space="0" w:color="auto"/>
        <w:bottom w:val="none" w:sz="0" w:space="0" w:color="auto"/>
        <w:right w:val="none" w:sz="0" w:space="0" w:color="auto"/>
      </w:divBdr>
    </w:div>
    <w:div w:id="1379357215">
      <w:marLeft w:val="0"/>
      <w:marRight w:val="0"/>
      <w:marTop w:val="160"/>
      <w:marBottom w:val="160"/>
      <w:divBdr>
        <w:top w:val="none" w:sz="0" w:space="0" w:color="auto"/>
        <w:left w:val="none" w:sz="0" w:space="0" w:color="auto"/>
        <w:bottom w:val="none" w:sz="0" w:space="0" w:color="auto"/>
        <w:right w:val="none" w:sz="0" w:space="0" w:color="auto"/>
      </w:divBdr>
    </w:div>
    <w:div w:id="1384406920">
      <w:marLeft w:val="0"/>
      <w:marRight w:val="0"/>
      <w:marTop w:val="180"/>
      <w:marBottom w:val="0"/>
      <w:divBdr>
        <w:top w:val="none" w:sz="0" w:space="0" w:color="auto"/>
        <w:left w:val="none" w:sz="0" w:space="0" w:color="auto"/>
        <w:bottom w:val="none" w:sz="0" w:space="0" w:color="auto"/>
        <w:right w:val="none" w:sz="0" w:space="0" w:color="auto"/>
      </w:divBdr>
    </w:div>
    <w:div w:id="1386561444">
      <w:marLeft w:val="0"/>
      <w:marRight w:val="0"/>
      <w:marTop w:val="0"/>
      <w:marBottom w:val="0"/>
      <w:divBdr>
        <w:top w:val="none" w:sz="0" w:space="0" w:color="auto"/>
        <w:left w:val="none" w:sz="0" w:space="0" w:color="auto"/>
        <w:bottom w:val="none" w:sz="0" w:space="0" w:color="auto"/>
        <w:right w:val="none" w:sz="0" w:space="0" w:color="auto"/>
      </w:divBdr>
      <w:divsChild>
        <w:div w:id="175848217">
          <w:marLeft w:val="0"/>
          <w:marRight w:val="0"/>
          <w:marTop w:val="160"/>
          <w:marBottom w:val="160"/>
          <w:divBdr>
            <w:top w:val="none" w:sz="0" w:space="0" w:color="auto"/>
            <w:left w:val="none" w:sz="0" w:space="0" w:color="auto"/>
            <w:bottom w:val="none" w:sz="0" w:space="0" w:color="auto"/>
            <w:right w:val="none" w:sz="0" w:space="0" w:color="auto"/>
          </w:divBdr>
        </w:div>
        <w:div w:id="1396706269">
          <w:marLeft w:val="0"/>
          <w:marRight w:val="0"/>
          <w:marTop w:val="160"/>
          <w:marBottom w:val="160"/>
          <w:divBdr>
            <w:top w:val="none" w:sz="0" w:space="0" w:color="auto"/>
            <w:left w:val="none" w:sz="0" w:space="0" w:color="auto"/>
            <w:bottom w:val="none" w:sz="0" w:space="0" w:color="auto"/>
            <w:right w:val="none" w:sz="0" w:space="0" w:color="auto"/>
          </w:divBdr>
        </w:div>
        <w:div w:id="388580369">
          <w:marLeft w:val="0"/>
          <w:marRight w:val="0"/>
          <w:marTop w:val="160"/>
          <w:marBottom w:val="160"/>
          <w:divBdr>
            <w:top w:val="none" w:sz="0" w:space="0" w:color="auto"/>
            <w:left w:val="none" w:sz="0" w:space="0" w:color="auto"/>
            <w:bottom w:val="none" w:sz="0" w:space="0" w:color="auto"/>
            <w:right w:val="none" w:sz="0" w:space="0" w:color="auto"/>
          </w:divBdr>
        </w:div>
        <w:div w:id="1862546528">
          <w:marLeft w:val="0"/>
          <w:marRight w:val="0"/>
          <w:marTop w:val="160"/>
          <w:marBottom w:val="160"/>
          <w:divBdr>
            <w:top w:val="none" w:sz="0" w:space="0" w:color="auto"/>
            <w:left w:val="none" w:sz="0" w:space="0" w:color="auto"/>
            <w:bottom w:val="none" w:sz="0" w:space="0" w:color="auto"/>
            <w:right w:val="none" w:sz="0" w:space="0" w:color="auto"/>
          </w:divBdr>
        </w:div>
        <w:div w:id="1853180693">
          <w:marLeft w:val="0"/>
          <w:marRight w:val="0"/>
          <w:marTop w:val="160"/>
          <w:marBottom w:val="160"/>
          <w:divBdr>
            <w:top w:val="none" w:sz="0" w:space="0" w:color="auto"/>
            <w:left w:val="none" w:sz="0" w:space="0" w:color="auto"/>
            <w:bottom w:val="none" w:sz="0" w:space="0" w:color="auto"/>
            <w:right w:val="none" w:sz="0" w:space="0" w:color="auto"/>
          </w:divBdr>
        </w:div>
        <w:div w:id="1911423232">
          <w:marLeft w:val="0"/>
          <w:marRight w:val="0"/>
          <w:marTop w:val="0"/>
          <w:marBottom w:val="0"/>
          <w:divBdr>
            <w:top w:val="none" w:sz="0" w:space="0" w:color="auto"/>
            <w:left w:val="none" w:sz="0" w:space="0" w:color="auto"/>
            <w:bottom w:val="none" w:sz="0" w:space="0" w:color="auto"/>
            <w:right w:val="none" w:sz="0" w:space="0" w:color="auto"/>
          </w:divBdr>
        </w:div>
      </w:divsChild>
    </w:div>
    <w:div w:id="1392459403">
      <w:marLeft w:val="0"/>
      <w:marRight w:val="0"/>
      <w:marTop w:val="60"/>
      <w:marBottom w:val="0"/>
      <w:divBdr>
        <w:top w:val="none" w:sz="0" w:space="0" w:color="auto"/>
        <w:left w:val="none" w:sz="0" w:space="0" w:color="auto"/>
        <w:bottom w:val="none" w:sz="0" w:space="0" w:color="auto"/>
        <w:right w:val="none" w:sz="0" w:space="0" w:color="auto"/>
      </w:divBdr>
    </w:div>
    <w:div w:id="1399204730">
      <w:marLeft w:val="0"/>
      <w:marRight w:val="0"/>
      <w:marTop w:val="0"/>
      <w:marBottom w:val="0"/>
      <w:divBdr>
        <w:top w:val="none" w:sz="0" w:space="0" w:color="auto"/>
        <w:left w:val="none" w:sz="0" w:space="0" w:color="auto"/>
        <w:bottom w:val="none" w:sz="0" w:space="0" w:color="auto"/>
        <w:right w:val="none" w:sz="0" w:space="0" w:color="auto"/>
      </w:divBdr>
      <w:divsChild>
        <w:div w:id="306250584">
          <w:marLeft w:val="0"/>
          <w:marRight w:val="0"/>
          <w:marTop w:val="0"/>
          <w:marBottom w:val="0"/>
          <w:divBdr>
            <w:top w:val="none" w:sz="0" w:space="0" w:color="auto"/>
            <w:left w:val="none" w:sz="0" w:space="0" w:color="auto"/>
            <w:bottom w:val="none" w:sz="0" w:space="0" w:color="auto"/>
            <w:right w:val="none" w:sz="0" w:space="0" w:color="auto"/>
          </w:divBdr>
        </w:div>
      </w:divsChild>
    </w:div>
    <w:div w:id="1405645544">
      <w:marLeft w:val="0"/>
      <w:marRight w:val="0"/>
      <w:marTop w:val="160"/>
      <w:marBottom w:val="160"/>
      <w:divBdr>
        <w:top w:val="none" w:sz="0" w:space="0" w:color="auto"/>
        <w:left w:val="none" w:sz="0" w:space="0" w:color="auto"/>
        <w:bottom w:val="none" w:sz="0" w:space="0" w:color="auto"/>
        <w:right w:val="none" w:sz="0" w:space="0" w:color="auto"/>
      </w:divBdr>
    </w:div>
    <w:div w:id="1406029640">
      <w:marLeft w:val="0"/>
      <w:marRight w:val="0"/>
      <w:marTop w:val="160"/>
      <w:marBottom w:val="160"/>
      <w:divBdr>
        <w:top w:val="none" w:sz="0" w:space="0" w:color="auto"/>
        <w:left w:val="none" w:sz="0" w:space="0" w:color="auto"/>
        <w:bottom w:val="none" w:sz="0" w:space="0" w:color="auto"/>
        <w:right w:val="none" w:sz="0" w:space="0" w:color="auto"/>
      </w:divBdr>
    </w:div>
    <w:div w:id="1410887551">
      <w:marLeft w:val="0"/>
      <w:marRight w:val="0"/>
      <w:marTop w:val="0"/>
      <w:marBottom w:val="0"/>
      <w:divBdr>
        <w:top w:val="none" w:sz="0" w:space="0" w:color="auto"/>
        <w:left w:val="none" w:sz="0" w:space="0" w:color="auto"/>
        <w:bottom w:val="none" w:sz="0" w:space="0" w:color="auto"/>
        <w:right w:val="none" w:sz="0" w:space="0" w:color="auto"/>
      </w:divBdr>
      <w:divsChild>
        <w:div w:id="1083376909">
          <w:marLeft w:val="0"/>
          <w:marRight w:val="0"/>
          <w:marTop w:val="0"/>
          <w:marBottom w:val="0"/>
          <w:divBdr>
            <w:top w:val="none" w:sz="0" w:space="0" w:color="auto"/>
            <w:left w:val="none" w:sz="0" w:space="0" w:color="auto"/>
            <w:bottom w:val="none" w:sz="0" w:space="0" w:color="auto"/>
            <w:right w:val="none" w:sz="0" w:space="0" w:color="auto"/>
          </w:divBdr>
        </w:div>
      </w:divsChild>
    </w:div>
    <w:div w:id="1421372379">
      <w:marLeft w:val="0"/>
      <w:marRight w:val="0"/>
      <w:marTop w:val="0"/>
      <w:marBottom w:val="0"/>
      <w:divBdr>
        <w:top w:val="none" w:sz="0" w:space="0" w:color="auto"/>
        <w:left w:val="none" w:sz="0" w:space="0" w:color="auto"/>
        <w:bottom w:val="none" w:sz="0" w:space="0" w:color="auto"/>
        <w:right w:val="none" w:sz="0" w:space="0" w:color="auto"/>
      </w:divBdr>
      <w:divsChild>
        <w:div w:id="347871801">
          <w:marLeft w:val="0"/>
          <w:marRight w:val="0"/>
          <w:marTop w:val="160"/>
          <w:marBottom w:val="160"/>
          <w:divBdr>
            <w:top w:val="none" w:sz="0" w:space="0" w:color="auto"/>
            <w:left w:val="none" w:sz="0" w:space="0" w:color="auto"/>
            <w:bottom w:val="none" w:sz="0" w:space="0" w:color="auto"/>
            <w:right w:val="none" w:sz="0" w:space="0" w:color="auto"/>
          </w:divBdr>
        </w:div>
        <w:div w:id="2124878827">
          <w:marLeft w:val="0"/>
          <w:marRight w:val="0"/>
          <w:marTop w:val="160"/>
          <w:marBottom w:val="160"/>
          <w:divBdr>
            <w:top w:val="none" w:sz="0" w:space="0" w:color="auto"/>
            <w:left w:val="none" w:sz="0" w:space="0" w:color="auto"/>
            <w:bottom w:val="none" w:sz="0" w:space="0" w:color="auto"/>
            <w:right w:val="none" w:sz="0" w:space="0" w:color="auto"/>
          </w:divBdr>
        </w:div>
        <w:div w:id="462163447">
          <w:marLeft w:val="0"/>
          <w:marRight w:val="0"/>
          <w:marTop w:val="160"/>
          <w:marBottom w:val="160"/>
          <w:divBdr>
            <w:top w:val="none" w:sz="0" w:space="0" w:color="auto"/>
            <w:left w:val="none" w:sz="0" w:space="0" w:color="auto"/>
            <w:bottom w:val="none" w:sz="0" w:space="0" w:color="auto"/>
            <w:right w:val="none" w:sz="0" w:space="0" w:color="auto"/>
          </w:divBdr>
        </w:div>
        <w:div w:id="1104575051">
          <w:marLeft w:val="0"/>
          <w:marRight w:val="0"/>
          <w:marTop w:val="160"/>
          <w:marBottom w:val="160"/>
          <w:divBdr>
            <w:top w:val="none" w:sz="0" w:space="0" w:color="auto"/>
            <w:left w:val="none" w:sz="0" w:space="0" w:color="auto"/>
            <w:bottom w:val="none" w:sz="0" w:space="0" w:color="auto"/>
            <w:right w:val="none" w:sz="0" w:space="0" w:color="auto"/>
          </w:divBdr>
        </w:div>
        <w:div w:id="756250946">
          <w:marLeft w:val="0"/>
          <w:marRight w:val="0"/>
          <w:marTop w:val="160"/>
          <w:marBottom w:val="160"/>
          <w:divBdr>
            <w:top w:val="none" w:sz="0" w:space="0" w:color="auto"/>
            <w:left w:val="none" w:sz="0" w:space="0" w:color="auto"/>
            <w:bottom w:val="none" w:sz="0" w:space="0" w:color="auto"/>
            <w:right w:val="none" w:sz="0" w:space="0" w:color="auto"/>
          </w:divBdr>
        </w:div>
        <w:div w:id="2067023578">
          <w:marLeft w:val="0"/>
          <w:marRight w:val="0"/>
          <w:marTop w:val="160"/>
          <w:marBottom w:val="160"/>
          <w:divBdr>
            <w:top w:val="none" w:sz="0" w:space="0" w:color="auto"/>
            <w:left w:val="none" w:sz="0" w:space="0" w:color="auto"/>
            <w:bottom w:val="none" w:sz="0" w:space="0" w:color="auto"/>
            <w:right w:val="none" w:sz="0" w:space="0" w:color="auto"/>
          </w:divBdr>
        </w:div>
        <w:div w:id="611985533">
          <w:marLeft w:val="0"/>
          <w:marRight w:val="0"/>
          <w:marTop w:val="0"/>
          <w:marBottom w:val="0"/>
          <w:divBdr>
            <w:top w:val="none" w:sz="0" w:space="0" w:color="auto"/>
            <w:left w:val="none" w:sz="0" w:space="0" w:color="auto"/>
            <w:bottom w:val="none" w:sz="0" w:space="0" w:color="auto"/>
            <w:right w:val="none" w:sz="0" w:space="0" w:color="auto"/>
          </w:divBdr>
        </w:div>
      </w:divsChild>
    </w:div>
    <w:div w:id="1425422776">
      <w:marLeft w:val="0"/>
      <w:marRight w:val="0"/>
      <w:marTop w:val="60"/>
      <w:marBottom w:val="0"/>
      <w:divBdr>
        <w:top w:val="none" w:sz="0" w:space="0" w:color="auto"/>
        <w:left w:val="none" w:sz="0" w:space="0" w:color="auto"/>
        <w:bottom w:val="none" w:sz="0" w:space="0" w:color="auto"/>
        <w:right w:val="none" w:sz="0" w:space="0" w:color="auto"/>
      </w:divBdr>
    </w:div>
    <w:div w:id="1438870098">
      <w:marLeft w:val="0"/>
      <w:marRight w:val="0"/>
      <w:marTop w:val="160"/>
      <w:marBottom w:val="160"/>
      <w:divBdr>
        <w:top w:val="none" w:sz="0" w:space="0" w:color="auto"/>
        <w:left w:val="none" w:sz="0" w:space="0" w:color="auto"/>
        <w:bottom w:val="none" w:sz="0" w:space="0" w:color="auto"/>
        <w:right w:val="none" w:sz="0" w:space="0" w:color="auto"/>
      </w:divBdr>
    </w:div>
    <w:div w:id="1444688270">
      <w:marLeft w:val="0"/>
      <w:marRight w:val="0"/>
      <w:marTop w:val="0"/>
      <w:marBottom w:val="160"/>
      <w:divBdr>
        <w:top w:val="none" w:sz="0" w:space="0" w:color="auto"/>
        <w:left w:val="none" w:sz="0" w:space="0" w:color="auto"/>
        <w:bottom w:val="none" w:sz="0" w:space="0" w:color="auto"/>
        <w:right w:val="none" w:sz="0" w:space="0" w:color="auto"/>
      </w:divBdr>
    </w:div>
    <w:div w:id="1446803905">
      <w:marLeft w:val="0"/>
      <w:marRight w:val="0"/>
      <w:marTop w:val="180"/>
      <w:marBottom w:val="0"/>
      <w:divBdr>
        <w:top w:val="none" w:sz="0" w:space="0" w:color="auto"/>
        <w:left w:val="none" w:sz="0" w:space="0" w:color="auto"/>
        <w:bottom w:val="none" w:sz="0" w:space="0" w:color="auto"/>
        <w:right w:val="none" w:sz="0" w:space="0" w:color="auto"/>
      </w:divBdr>
      <w:divsChild>
        <w:div w:id="1780907389">
          <w:marLeft w:val="0"/>
          <w:marRight w:val="0"/>
          <w:marTop w:val="0"/>
          <w:marBottom w:val="60"/>
          <w:divBdr>
            <w:top w:val="none" w:sz="0" w:space="0" w:color="auto"/>
            <w:left w:val="none" w:sz="0" w:space="0" w:color="auto"/>
            <w:bottom w:val="none" w:sz="0" w:space="0" w:color="auto"/>
            <w:right w:val="none" w:sz="0" w:space="0" w:color="auto"/>
          </w:divBdr>
        </w:div>
        <w:div w:id="1453785538">
          <w:marLeft w:val="0"/>
          <w:marRight w:val="0"/>
          <w:marTop w:val="0"/>
          <w:marBottom w:val="60"/>
          <w:divBdr>
            <w:top w:val="none" w:sz="0" w:space="0" w:color="auto"/>
            <w:left w:val="none" w:sz="0" w:space="0" w:color="auto"/>
            <w:bottom w:val="none" w:sz="0" w:space="0" w:color="auto"/>
            <w:right w:val="none" w:sz="0" w:space="0" w:color="auto"/>
          </w:divBdr>
        </w:div>
        <w:div w:id="2145273488">
          <w:marLeft w:val="0"/>
          <w:marRight w:val="0"/>
          <w:marTop w:val="0"/>
          <w:marBottom w:val="60"/>
          <w:divBdr>
            <w:top w:val="none" w:sz="0" w:space="0" w:color="auto"/>
            <w:left w:val="none" w:sz="0" w:space="0" w:color="auto"/>
            <w:bottom w:val="none" w:sz="0" w:space="0" w:color="auto"/>
            <w:right w:val="none" w:sz="0" w:space="0" w:color="auto"/>
          </w:divBdr>
        </w:div>
        <w:div w:id="766658335">
          <w:marLeft w:val="0"/>
          <w:marRight w:val="0"/>
          <w:marTop w:val="140"/>
          <w:marBottom w:val="0"/>
          <w:divBdr>
            <w:top w:val="none" w:sz="0" w:space="0" w:color="auto"/>
            <w:left w:val="none" w:sz="0" w:space="0" w:color="auto"/>
            <w:bottom w:val="none" w:sz="0" w:space="0" w:color="auto"/>
            <w:right w:val="none" w:sz="0" w:space="0" w:color="auto"/>
          </w:divBdr>
        </w:div>
      </w:divsChild>
    </w:div>
    <w:div w:id="1448549596">
      <w:marLeft w:val="0"/>
      <w:marRight w:val="0"/>
      <w:marTop w:val="60"/>
      <w:marBottom w:val="60"/>
      <w:divBdr>
        <w:top w:val="none" w:sz="0" w:space="0" w:color="auto"/>
        <w:left w:val="none" w:sz="0" w:space="0" w:color="auto"/>
        <w:bottom w:val="none" w:sz="0" w:space="0" w:color="auto"/>
        <w:right w:val="none" w:sz="0" w:space="0" w:color="auto"/>
      </w:divBdr>
    </w:div>
    <w:div w:id="1453666654">
      <w:marLeft w:val="0"/>
      <w:marRight w:val="0"/>
      <w:marTop w:val="160"/>
      <w:marBottom w:val="160"/>
      <w:divBdr>
        <w:top w:val="none" w:sz="0" w:space="0" w:color="auto"/>
        <w:left w:val="none" w:sz="0" w:space="0" w:color="auto"/>
        <w:bottom w:val="none" w:sz="0" w:space="0" w:color="auto"/>
        <w:right w:val="none" w:sz="0" w:space="0" w:color="auto"/>
      </w:divBdr>
    </w:div>
    <w:div w:id="1455828913">
      <w:marLeft w:val="0"/>
      <w:marRight w:val="0"/>
      <w:marTop w:val="160"/>
      <w:marBottom w:val="160"/>
      <w:divBdr>
        <w:top w:val="none" w:sz="0" w:space="0" w:color="auto"/>
        <w:left w:val="none" w:sz="0" w:space="0" w:color="auto"/>
        <w:bottom w:val="none" w:sz="0" w:space="0" w:color="auto"/>
        <w:right w:val="none" w:sz="0" w:space="0" w:color="auto"/>
      </w:divBdr>
    </w:div>
    <w:div w:id="1460296913">
      <w:marLeft w:val="0"/>
      <w:marRight w:val="0"/>
      <w:marTop w:val="160"/>
      <w:marBottom w:val="160"/>
      <w:divBdr>
        <w:top w:val="none" w:sz="0" w:space="0" w:color="auto"/>
        <w:left w:val="none" w:sz="0" w:space="0" w:color="auto"/>
        <w:bottom w:val="none" w:sz="0" w:space="0" w:color="auto"/>
        <w:right w:val="none" w:sz="0" w:space="0" w:color="auto"/>
      </w:divBdr>
    </w:div>
    <w:div w:id="1462265410">
      <w:marLeft w:val="0"/>
      <w:marRight w:val="0"/>
      <w:marTop w:val="160"/>
      <w:marBottom w:val="160"/>
      <w:divBdr>
        <w:top w:val="none" w:sz="0" w:space="0" w:color="auto"/>
        <w:left w:val="none" w:sz="0" w:space="0" w:color="auto"/>
        <w:bottom w:val="none" w:sz="0" w:space="0" w:color="auto"/>
        <w:right w:val="none" w:sz="0" w:space="0" w:color="auto"/>
      </w:divBdr>
    </w:div>
    <w:div w:id="1464035030">
      <w:marLeft w:val="0"/>
      <w:marRight w:val="0"/>
      <w:marTop w:val="160"/>
      <w:marBottom w:val="160"/>
      <w:divBdr>
        <w:top w:val="none" w:sz="0" w:space="0" w:color="auto"/>
        <w:left w:val="none" w:sz="0" w:space="0" w:color="auto"/>
        <w:bottom w:val="none" w:sz="0" w:space="0" w:color="auto"/>
        <w:right w:val="none" w:sz="0" w:space="0" w:color="auto"/>
      </w:divBdr>
    </w:div>
    <w:div w:id="1469860366">
      <w:marLeft w:val="0"/>
      <w:marRight w:val="0"/>
      <w:marTop w:val="160"/>
      <w:marBottom w:val="160"/>
      <w:divBdr>
        <w:top w:val="none" w:sz="0" w:space="0" w:color="auto"/>
        <w:left w:val="none" w:sz="0" w:space="0" w:color="auto"/>
        <w:bottom w:val="none" w:sz="0" w:space="0" w:color="auto"/>
        <w:right w:val="none" w:sz="0" w:space="0" w:color="auto"/>
      </w:divBdr>
    </w:div>
    <w:div w:id="1472400492">
      <w:marLeft w:val="0"/>
      <w:marRight w:val="0"/>
      <w:marTop w:val="160"/>
      <w:marBottom w:val="160"/>
      <w:divBdr>
        <w:top w:val="none" w:sz="0" w:space="0" w:color="auto"/>
        <w:left w:val="none" w:sz="0" w:space="0" w:color="auto"/>
        <w:bottom w:val="none" w:sz="0" w:space="0" w:color="auto"/>
        <w:right w:val="none" w:sz="0" w:space="0" w:color="auto"/>
      </w:divBdr>
    </w:div>
    <w:div w:id="1476871479">
      <w:marLeft w:val="0"/>
      <w:marRight w:val="0"/>
      <w:marTop w:val="160"/>
      <w:marBottom w:val="160"/>
      <w:divBdr>
        <w:top w:val="none" w:sz="0" w:space="0" w:color="auto"/>
        <w:left w:val="none" w:sz="0" w:space="0" w:color="auto"/>
        <w:bottom w:val="none" w:sz="0" w:space="0" w:color="auto"/>
        <w:right w:val="none" w:sz="0" w:space="0" w:color="auto"/>
      </w:divBdr>
    </w:div>
    <w:div w:id="1485583948">
      <w:marLeft w:val="0"/>
      <w:marRight w:val="0"/>
      <w:marTop w:val="0"/>
      <w:marBottom w:val="0"/>
      <w:divBdr>
        <w:top w:val="none" w:sz="0" w:space="0" w:color="auto"/>
        <w:left w:val="none" w:sz="0" w:space="0" w:color="auto"/>
        <w:bottom w:val="none" w:sz="0" w:space="0" w:color="auto"/>
        <w:right w:val="none" w:sz="0" w:space="0" w:color="auto"/>
      </w:divBdr>
      <w:divsChild>
        <w:div w:id="1849909640">
          <w:marLeft w:val="0"/>
          <w:marRight w:val="0"/>
          <w:marTop w:val="160"/>
          <w:marBottom w:val="160"/>
          <w:divBdr>
            <w:top w:val="none" w:sz="0" w:space="0" w:color="auto"/>
            <w:left w:val="none" w:sz="0" w:space="0" w:color="auto"/>
            <w:bottom w:val="none" w:sz="0" w:space="0" w:color="auto"/>
            <w:right w:val="none" w:sz="0" w:space="0" w:color="auto"/>
          </w:divBdr>
        </w:div>
        <w:div w:id="847258047">
          <w:marLeft w:val="0"/>
          <w:marRight w:val="0"/>
          <w:marTop w:val="160"/>
          <w:marBottom w:val="160"/>
          <w:divBdr>
            <w:top w:val="none" w:sz="0" w:space="0" w:color="auto"/>
            <w:left w:val="none" w:sz="0" w:space="0" w:color="auto"/>
            <w:bottom w:val="none" w:sz="0" w:space="0" w:color="auto"/>
            <w:right w:val="none" w:sz="0" w:space="0" w:color="auto"/>
          </w:divBdr>
        </w:div>
        <w:div w:id="468131640">
          <w:marLeft w:val="0"/>
          <w:marRight w:val="0"/>
          <w:marTop w:val="160"/>
          <w:marBottom w:val="160"/>
          <w:divBdr>
            <w:top w:val="none" w:sz="0" w:space="0" w:color="auto"/>
            <w:left w:val="none" w:sz="0" w:space="0" w:color="auto"/>
            <w:bottom w:val="none" w:sz="0" w:space="0" w:color="auto"/>
            <w:right w:val="none" w:sz="0" w:space="0" w:color="auto"/>
          </w:divBdr>
        </w:div>
        <w:div w:id="861481444">
          <w:marLeft w:val="0"/>
          <w:marRight w:val="0"/>
          <w:marTop w:val="160"/>
          <w:marBottom w:val="160"/>
          <w:divBdr>
            <w:top w:val="none" w:sz="0" w:space="0" w:color="auto"/>
            <w:left w:val="none" w:sz="0" w:space="0" w:color="auto"/>
            <w:bottom w:val="none" w:sz="0" w:space="0" w:color="auto"/>
            <w:right w:val="none" w:sz="0" w:space="0" w:color="auto"/>
          </w:divBdr>
        </w:div>
        <w:div w:id="828403362">
          <w:marLeft w:val="0"/>
          <w:marRight w:val="0"/>
          <w:marTop w:val="160"/>
          <w:marBottom w:val="160"/>
          <w:divBdr>
            <w:top w:val="none" w:sz="0" w:space="0" w:color="auto"/>
            <w:left w:val="none" w:sz="0" w:space="0" w:color="auto"/>
            <w:bottom w:val="none" w:sz="0" w:space="0" w:color="auto"/>
            <w:right w:val="none" w:sz="0" w:space="0" w:color="auto"/>
          </w:divBdr>
        </w:div>
        <w:div w:id="1909806715">
          <w:marLeft w:val="0"/>
          <w:marRight w:val="0"/>
          <w:marTop w:val="160"/>
          <w:marBottom w:val="160"/>
          <w:divBdr>
            <w:top w:val="none" w:sz="0" w:space="0" w:color="auto"/>
            <w:left w:val="none" w:sz="0" w:space="0" w:color="auto"/>
            <w:bottom w:val="none" w:sz="0" w:space="0" w:color="auto"/>
            <w:right w:val="none" w:sz="0" w:space="0" w:color="auto"/>
          </w:divBdr>
        </w:div>
        <w:div w:id="1325470750">
          <w:marLeft w:val="0"/>
          <w:marRight w:val="0"/>
          <w:marTop w:val="0"/>
          <w:marBottom w:val="0"/>
          <w:divBdr>
            <w:top w:val="none" w:sz="0" w:space="0" w:color="auto"/>
            <w:left w:val="none" w:sz="0" w:space="0" w:color="auto"/>
            <w:bottom w:val="none" w:sz="0" w:space="0" w:color="auto"/>
            <w:right w:val="none" w:sz="0" w:space="0" w:color="auto"/>
          </w:divBdr>
        </w:div>
      </w:divsChild>
    </w:div>
    <w:div w:id="1487436495">
      <w:marLeft w:val="0"/>
      <w:marRight w:val="0"/>
      <w:marTop w:val="160"/>
      <w:marBottom w:val="160"/>
      <w:divBdr>
        <w:top w:val="none" w:sz="0" w:space="0" w:color="auto"/>
        <w:left w:val="none" w:sz="0" w:space="0" w:color="auto"/>
        <w:bottom w:val="none" w:sz="0" w:space="0" w:color="auto"/>
        <w:right w:val="none" w:sz="0" w:space="0" w:color="auto"/>
      </w:divBdr>
      <w:divsChild>
        <w:div w:id="1937206855">
          <w:marLeft w:val="0"/>
          <w:marRight w:val="0"/>
          <w:marTop w:val="0"/>
          <w:marBottom w:val="0"/>
          <w:divBdr>
            <w:top w:val="none" w:sz="0" w:space="0" w:color="auto"/>
            <w:left w:val="none" w:sz="0" w:space="0" w:color="auto"/>
            <w:bottom w:val="none" w:sz="0" w:space="0" w:color="auto"/>
            <w:right w:val="none" w:sz="0" w:space="0" w:color="auto"/>
          </w:divBdr>
        </w:div>
      </w:divsChild>
    </w:div>
    <w:div w:id="1487866909">
      <w:marLeft w:val="0"/>
      <w:marRight w:val="0"/>
      <w:marTop w:val="160"/>
      <w:marBottom w:val="160"/>
      <w:divBdr>
        <w:top w:val="none" w:sz="0" w:space="0" w:color="auto"/>
        <w:left w:val="none" w:sz="0" w:space="0" w:color="auto"/>
        <w:bottom w:val="none" w:sz="0" w:space="0" w:color="auto"/>
        <w:right w:val="none" w:sz="0" w:space="0" w:color="auto"/>
      </w:divBdr>
    </w:div>
    <w:div w:id="1489596009">
      <w:marLeft w:val="0"/>
      <w:marRight w:val="0"/>
      <w:marTop w:val="0"/>
      <w:marBottom w:val="0"/>
      <w:divBdr>
        <w:top w:val="none" w:sz="0" w:space="0" w:color="auto"/>
        <w:left w:val="none" w:sz="0" w:space="0" w:color="auto"/>
        <w:bottom w:val="none" w:sz="0" w:space="0" w:color="auto"/>
        <w:right w:val="none" w:sz="0" w:space="0" w:color="auto"/>
      </w:divBdr>
      <w:divsChild>
        <w:div w:id="597567703">
          <w:marLeft w:val="0"/>
          <w:marRight w:val="0"/>
          <w:marTop w:val="0"/>
          <w:marBottom w:val="0"/>
          <w:divBdr>
            <w:top w:val="none" w:sz="0" w:space="0" w:color="auto"/>
            <w:left w:val="none" w:sz="0" w:space="0" w:color="auto"/>
            <w:bottom w:val="none" w:sz="0" w:space="0" w:color="auto"/>
            <w:right w:val="none" w:sz="0" w:space="0" w:color="auto"/>
          </w:divBdr>
        </w:div>
      </w:divsChild>
    </w:div>
    <w:div w:id="1489634457">
      <w:marLeft w:val="0"/>
      <w:marRight w:val="0"/>
      <w:marTop w:val="160"/>
      <w:marBottom w:val="0"/>
      <w:divBdr>
        <w:top w:val="none" w:sz="0" w:space="0" w:color="auto"/>
        <w:left w:val="none" w:sz="0" w:space="0" w:color="auto"/>
        <w:bottom w:val="none" w:sz="0" w:space="0" w:color="auto"/>
        <w:right w:val="none" w:sz="0" w:space="0" w:color="auto"/>
      </w:divBdr>
    </w:div>
    <w:div w:id="1491487179">
      <w:marLeft w:val="0"/>
      <w:marRight w:val="0"/>
      <w:marTop w:val="160"/>
      <w:marBottom w:val="160"/>
      <w:divBdr>
        <w:top w:val="none" w:sz="0" w:space="0" w:color="auto"/>
        <w:left w:val="none" w:sz="0" w:space="0" w:color="auto"/>
        <w:bottom w:val="none" w:sz="0" w:space="0" w:color="auto"/>
        <w:right w:val="none" w:sz="0" w:space="0" w:color="auto"/>
      </w:divBdr>
    </w:div>
    <w:div w:id="1497649033">
      <w:marLeft w:val="0"/>
      <w:marRight w:val="0"/>
      <w:marTop w:val="160"/>
      <w:marBottom w:val="160"/>
      <w:divBdr>
        <w:top w:val="none" w:sz="0" w:space="0" w:color="auto"/>
        <w:left w:val="none" w:sz="0" w:space="0" w:color="auto"/>
        <w:bottom w:val="none" w:sz="0" w:space="0" w:color="auto"/>
        <w:right w:val="none" w:sz="0" w:space="0" w:color="auto"/>
      </w:divBdr>
    </w:div>
    <w:div w:id="1501657749">
      <w:marLeft w:val="0"/>
      <w:marRight w:val="0"/>
      <w:marTop w:val="160"/>
      <w:marBottom w:val="160"/>
      <w:divBdr>
        <w:top w:val="none" w:sz="0" w:space="0" w:color="auto"/>
        <w:left w:val="none" w:sz="0" w:space="0" w:color="auto"/>
        <w:bottom w:val="none" w:sz="0" w:space="0" w:color="auto"/>
        <w:right w:val="none" w:sz="0" w:space="0" w:color="auto"/>
      </w:divBdr>
    </w:div>
    <w:div w:id="1511212694">
      <w:marLeft w:val="0"/>
      <w:marRight w:val="0"/>
      <w:marTop w:val="0"/>
      <w:marBottom w:val="0"/>
      <w:divBdr>
        <w:top w:val="none" w:sz="0" w:space="0" w:color="auto"/>
        <w:left w:val="none" w:sz="0" w:space="0" w:color="auto"/>
        <w:bottom w:val="none" w:sz="0" w:space="0" w:color="auto"/>
        <w:right w:val="none" w:sz="0" w:space="0" w:color="auto"/>
      </w:divBdr>
    </w:div>
    <w:div w:id="1522358518">
      <w:marLeft w:val="0"/>
      <w:marRight w:val="0"/>
      <w:marTop w:val="0"/>
      <w:marBottom w:val="0"/>
      <w:divBdr>
        <w:top w:val="none" w:sz="0" w:space="0" w:color="auto"/>
        <w:left w:val="none" w:sz="0" w:space="0" w:color="auto"/>
        <w:bottom w:val="none" w:sz="0" w:space="0" w:color="auto"/>
        <w:right w:val="none" w:sz="0" w:space="0" w:color="auto"/>
      </w:divBdr>
      <w:divsChild>
        <w:div w:id="955410885">
          <w:marLeft w:val="0"/>
          <w:marRight w:val="0"/>
          <w:marTop w:val="0"/>
          <w:marBottom w:val="0"/>
          <w:divBdr>
            <w:top w:val="none" w:sz="0" w:space="0" w:color="auto"/>
            <w:left w:val="none" w:sz="0" w:space="0" w:color="auto"/>
            <w:bottom w:val="none" w:sz="0" w:space="0" w:color="auto"/>
            <w:right w:val="none" w:sz="0" w:space="0" w:color="auto"/>
          </w:divBdr>
        </w:div>
      </w:divsChild>
    </w:div>
    <w:div w:id="1528761940">
      <w:marLeft w:val="0"/>
      <w:marRight w:val="0"/>
      <w:marTop w:val="160"/>
      <w:marBottom w:val="160"/>
      <w:divBdr>
        <w:top w:val="none" w:sz="0" w:space="0" w:color="auto"/>
        <w:left w:val="none" w:sz="0" w:space="0" w:color="auto"/>
        <w:bottom w:val="none" w:sz="0" w:space="0" w:color="auto"/>
        <w:right w:val="none" w:sz="0" w:space="0" w:color="auto"/>
      </w:divBdr>
    </w:div>
    <w:div w:id="1532062367">
      <w:marLeft w:val="0"/>
      <w:marRight w:val="0"/>
      <w:marTop w:val="0"/>
      <w:marBottom w:val="0"/>
      <w:divBdr>
        <w:top w:val="none" w:sz="0" w:space="0" w:color="auto"/>
        <w:left w:val="none" w:sz="0" w:space="0" w:color="auto"/>
        <w:bottom w:val="none" w:sz="0" w:space="0" w:color="auto"/>
        <w:right w:val="none" w:sz="0" w:space="0" w:color="auto"/>
      </w:divBdr>
      <w:divsChild>
        <w:div w:id="1381827114">
          <w:marLeft w:val="0"/>
          <w:marRight w:val="0"/>
          <w:marTop w:val="160"/>
          <w:marBottom w:val="160"/>
          <w:divBdr>
            <w:top w:val="none" w:sz="0" w:space="0" w:color="auto"/>
            <w:left w:val="none" w:sz="0" w:space="0" w:color="auto"/>
            <w:bottom w:val="none" w:sz="0" w:space="0" w:color="auto"/>
            <w:right w:val="none" w:sz="0" w:space="0" w:color="auto"/>
          </w:divBdr>
        </w:div>
        <w:div w:id="277953937">
          <w:marLeft w:val="0"/>
          <w:marRight w:val="0"/>
          <w:marTop w:val="160"/>
          <w:marBottom w:val="160"/>
          <w:divBdr>
            <w:top w:val="none" w:sz="0" w:space="0" w:color="auto"/>
            <w:left w:val="none" w:sz="0" w:space="0" w:color="auto"/>
            <w:bottom w:val="none" w:sz="0" w:space="0" w:color="auto"/>
            <w:right w:val="none" w:sz="0" w:space="0" w:color="auto"/>
          </w:divBdr>
        </w:div>
        <w:div w:id="1917855981">
          <w:marLeft w:val="0"/>
          <w:marRight w:val="0"/>
          <w:marTop w:val="160"/>
          <w:marBottom w:val="160"/>
          <w:divBdr>
            <w:top w:val="none" w:sz="0" w:space="0" w:color="auto"/>
            <w:left w:val="none" w:sz="0" w:space="0" w:color="auto"/>
            <w:bottom w:val="none" w:sz="0" w:space="0" w:color="auto"/>
            <w:right w:val="none" w:sz="0" w:space="0" w:color="auto"/>
          </w:divBdr>
        </w:div>
        <w:div w:id="547227351">
          <w:marLeft w:val="0"/>
          <w:marRight w:val="0"/>
          <w:marTop w:val="160"/>
          <w:marBottom w:val="160"/>
          <w:divBdr>
            <w:top w:val="none" w:sz="0" w:space="0" w:color="auto"/>
            <w:left w:val="none" w:sz="0" w:space="0" w:color="auto"/>
            <w:bottom w:val="none" w:sz="0" w:space="0" w:color="auto"/>
            <w:right w:val="none" w:sz="0" w:space="0" w:color="auto"/>
          </w:divBdr>
        </w:div>
        <w:div w:id="1915698413">
          <w:marLeft w:val="0"/>
          <w:marRight w:val="0"/>
          <w:marTop w:val="160"/>
          <w:marBottom w:val="160"/>
          <w:divBdr>
            <w:top w:val="none" w:sz="0" w:space="0" w:color="auto"/>
            <w:left w:val="none" w:sz="0" w:space="0" w:color="auto"/>
            <w:bottom w:val="none" w:sz="0" w:space="0" w:color="auto"/>
            <w:right w:val="none" w:sz="0" w:space="0" w:color="auto"/>
          </w:divBdr>
        </w:div>
      </w:divsChild>
    </w:div>
    <w:div w:id="1533420173">
      <w:marLeft w:val="0"/>
      <w:marRight w:val="0"/>
      <w:marTop w:val="0"/>
      <w:marBottom w:val="0"/>
      <w:divBdr>
        <w:top w:val="none" w:sz="0" w:space="0" w:color="auto"/>
        <w:left w:val="none" w:sz="0" w:space="0" w:color="auto"/>
        <w:bottom w:val="none" w:sz="0" w:space="0" w:color="auto"/>
        <w:right w:val="none" w:sz="0" w:space="0" w:color="auto"/>
      </w:divBdr>
    </w:div>
    <w:div w:id="1547523343">
      <w:marLeft w:val="0"/>
      <w:marRight w:val="0"/>
      <w:marTop w:val="160"/>
      <w:marBottom w:val="160"/>
      <w:divBdr>
        <w:top w:val="none" w:sz="0" w:space="0" w:color="auto"/>
        <w:left w:val="none" w:sz="0" w:space="0" w:color="auto"/>
        <w:bottom w:val="none" w:sz="0" w:space="0" w:color="auto"/>
        <w:right w:val="none" w:sz="0" w:space="0" w:color="auto"/>
      </w:divBdr>
    </w:div>
    <w:div w:id="1549761495">
      <w:marLeft w:val="0"/>
      <w:marRight w:val="0"/>
      <w:marTop w:val="160"/>
      <w:marBottom w:val="160"/>
      <w:divBdr>
        <w:top w:val="none" w:sz="0" w:space="0" w:color="auto"/>
        <w:left w:val="none" w:sz="0" w:space="0" w:color="auto"/>
        <w:bottom w:val="none" w:sz="0" w:space="0" w:color="auto"/>
        <w:right w:val="none" w:sz="0" w:space="0" w:color="auto"/>
      </w:divBdr>
    </w:div>
    <w:div w:id="1552157404">
      <w:marLeft w:val="0"/>
      <w:marRight w:val="0"/>
      <w:marTop w:val="160"/>
      <w:marBottom w:val="160"/>
      <w:divBdr>
        <w:top w:val="none" w:sz="0" w:space="0" w:color="auto"/>
        <w:left w:val="none" w:sz="0" w:space="0" w:color="auto"/>
        <w:bottom w:val="none" w:sz="0" w:space="0" w:color="auto"/>
        <w:right w:val="none" w:sz="0" w:space="0" w:color="auto"/>
      </w:divBdr>
    </w:div>
    <w:div w:id="1558397031">
      <w:marLeft w:val="0"/>
      <w:marRight w:val="0"/>
      <w:marTop w:val="160"/>
      <w:marBottom w:val="160"/>
      <w:divBdr>
        <w:top w:val="none" w:sz="0" w:space="0" w:color="auto"/>
        <w:left w:val="none" w:sz="0" w:space="0" w:color="auto"/>
        <w:bottom w:val="none" w:sz="0" w:space="0" w:color="auto"/>
        <w:right w:val="none" w:sz="0" w:space="0" w:color="auto"/>
      </w:divBdr>
    </w:div>
    <w:div w:id="1565486038">
      <w:marLeft w:val="0"/>
      <w:marRight w:val="0"/>
      <w:marTop w:val="160"/>
      <w:marBottom w:val="160"/>
      <w:divBdr>
        <w:top w:val="none" w:sz="0" w:space="0" w:color="auto"/>
        <w:left w:val="none" w:sz="0" w:space="0" w:color="auto"/>
        <w:bottom w:val="none" w:sz="0" w:space="0" w:color="auto"/>
        <w:right w:val="none" w:sz="0" w:space="0" w:color="auto"/>
      </w:divBdr>
    </w:div>
    <w:div w:id="1566379674">
      <w:marLeft w:val="0"/>
      <w:marRight w:val="0"/>
      <w:marTop w:val="160"/>
      <w:marBottom w:val="160"/>
      <w:divBdr>
        <w:top w:val="none" w:sz="0" w:space="0" w:color="auto"/>
        <w:left w:val="none" w:sz="0" w:space="0" w:color="auto"/>
        <w:bottom w:val="none" w:sz="0" w:space="0" w:color="auto"/>
        <w:right w:val="none" w:sz="0" w:space="0" w:color="auto"/>
      </w:divBdr>
    </w:div>
    <w:div w:id="1572541901">
      <w:marLeft w:val="0"/>
      <w:marRight w:val="0"/>
      <w:marTop w:val="0"/>
      <w:marBottom w:val="0"/>
      <w:divBdr>
        <w:top w:val="none" w:sz="0" w:space="0" w:color="auto"/>
        <w:left w:val="none" w:sz="0" w:space="0" w:color="auto"/>
        <w:bottom w:val="none" w:sz="0" w:space="0" w:color="auto"/>
        <w:right w:val="none" w:sz="0" w:space="0" w:color="auto"/>
      </w:divBdr>
      <w:divsChild>
        <w:div w:id="1077631839">
          <w:marLeft w:val="0"/>
          <w:marRight w:val="0"/>
          <w:marTop w:val="0"/>
          <w:marBottom w:val="0"/>
          <w:divBdr>
            <w:top w:val="none" w:sz="0" w:space="0" w:color="auto"/>
            <w:left w:val="none" w:sz="0" w:space="0" w:color="auto"/>
            <w:bottom w:val="none" w:sz="0" w:space="0" w:color="auto"/>
            <w:right w:val="none" w:sz="0" w:space="0" w:color="auto"/>
          </w:divBdr>
        </w:div>
      </w:divsChild>
    </w:div>
    <w:div w:id="1576696879">
      <w:marLeft w:val="0"/>
      <w:marRight w:val="0"/>
      <w:marTop w:val="0"/>
      <w:marBottom w:val="0"/>
      <w:divBdr>
        <w:top w:val="none" w:sz="0" w:space="0" w:color="auto"/>
        <w:left w:val="none" w:sz="0" w:space="0" w:color="auto"/>
        <w:bottom w:val="none" w:sz="0" w:space="0" w:color="auto"/>
        <w:right w:val="none" w:sz="0" w:space="0" w:color="auto"/>
      </w:divBdr>
      <w:divsChild>
        <w:div w:id="221674407">
          <w:marLeft w:val="0"/>
          <w:marRight w:val="0"/>
          <w:marTop w:val="0"/>
          <w:marBottom w:val="0"/>
          <w:divBdr>
            <w:top w:val="none" w:sz="0" w:space="0" w:color="auto"/>
            <w:left w:val="none" w:sz="0" w:space="0" w:color="auto"/>
            <w:bottom w:val="none" w:sz="0" w:space="0" w:color="auto"/>
            <w:right w:val="none" w:sz="0" w:space="0" w:color="auto"/>
          </w:divBdr>
        </w:div>
      </w:divsChild>
    </w:div>
    <w:div w:id="1582250992">
      <w:marLeft w:val="0"/>
      <w:marRight w:val="0"/>
      <w:marTop w:val="160"/>
      <w:marBottom w:val="160"/>
      <w:divBdr>
        <w:top w:val="none" w:sz="0" w:space="0" w:color="auto"/>
        <w:left w:val="none" w:sz="0" w:space="0" w:color="auto"/>
        <w:bottom w:val="none" w:sz="0" w:space="0" w:color="auto"/>
        <w:right w:val="none" w:sz="0" w:space="0" w:color="auto"/>
      </w:divBdr>
    </w:div>
    <w:div w:id="1582913171">
      <w:marLeft w:val="0"/>
      <w:marRight w:val="0"/>
      <w:marTop w:val="160"/>
      <w:marBottom w:val="160"/>
      <w:divBdr>
        <w:top w:val="none" w:sz="0" w:space="0" w:color="auto"/>
        <w:left w:val="none" w:sz="0" w:space="0" w:color="auto"/>
        <w:bottom w:val="none" w:sz="0" w:space="0" w:color="auto"/>
        <w:right w:val="none" w:sz="0" w:space="0" w:color="auto"/>
      </w:divBdr>
    </w:div>
    <w:div w:id="1583022222">
      <w:marLeft w:val="0"/>
      <w:marRight w:val="0"/>
      <w:marTop w:val="160"/>
      <w:marBottom w:val="160"/>
      <w:divBdr>
        <w:top w:val="none" w:sz="0" w:space="0" w:color="auto"/>
        <w:left w:val="none" w:sz="0" w:space="0" w:color="auto"/>
        <w:bottom w:val="none" w:sz="0" w:space="0" w:color="auto"/>
        <w:right w:val="none" w:sz="0" w:space="0" w:color="auto"/>
      </w:divBdr>
    </w:div>
    <w:div w:id="1588421655">
      <w:marLeft w:val="0"/>
      <w:marRight w:val="0"/>
      <w:marTop w:val="160"/>
      <w:marBottom w:val="160"/>
      <w:divBdr>
        <w:top w:val="none" w:sz="0" w:space="0" w:color="auto"/>
        <w:left w:val="none" w:sz="0" w:space="0" w:color="auto"/>
        <w:bottom w:val="none" w:sz="0" w:space="0" w:color="auto"/>
        <w:right w:val="none" w:sz="0" w:space="0" w:color="auto"/>
      </w:divBdr>
    </w:div>
    <w:div w:id="1594045146">
      <w:marLeft w:val="0"/>
      <w:marRight w:val="0"/>
      <w:marTop w:val="160"/>
      <w:marBottom w:val="160"/>
      <w:divBdr>
        <w:top w:val="none" w:sz="0" w:space="0" w:color="auto"/>
        <w:left w:val="none" w:sz="0" w:space="0" w:color="auto"/>
        <w:bottom w:val="none" w:sz="0" w:space="0" w:color="auto"/>
        <w:right w:val="none" w:sz="0" w:space="0" w:color="auto"/>
      </w:divBdr>
    </w:div>
    <w:div w:id="1602953426">
      <w:marLeft w:val="0"/>
      <w:marRight w:val="0"/>
      <w:marTop w:val="160"/>
      <w:marBottom w:val="160"/>
      <w:divBdr>
        <w:top w:val="none" w:sz="0" w:space="0" w:color="auto"/>
        <w:left w:val="none" w:sz="0" w:space="0" w:color="auto"/>
        <w:bottom w:val="none" w:sz="0" w:space="0" w:color="auto"/>
        <w:right w:val="none" w:sz="0" w:space="0" w:color="auto"/>
      </w:divBdr>
    </w:div>
    <w:div w:id="1605335136">
      <w:marLeft w:val="0"/>
      <w:marRight w:val="0"/>
      <w:marTop w:val="160"/>
      <w:marBottom w:val="160"/>
      <w:divBdr>
        <w:top w:val="none" w:sz="0" w:space="0" w:color="auto"/>
        <w:left w:val="none" w:sz="0" w:space="0" w:color="auto"/>
        <w:bottom w:val="none" w:sz="0" w:space="0" w:color="auto"/>
        <w:right w:val="none" w:sz="0" w:space="0" w:color="auto"/>
      </w:divBdr>
    </w:div>
    <w:div w:id="1608198762">
      <w:marLeft w:val="0"/>
      <w:marRight w:val="0"/>
      <w:marTop w:val="160"/>
      <w:marBottom w:val="160"/>
      <w:divBdr>
        <w:top w:val="none" w:sz="0" w:space="0" w:color="auto"/>
        <w:left w:val="none" w:sz="0" w:space="0" w:color="auto"/>
        <w:bottom w:val="none" w:sz="0" w:space="0" w:color="auto"/>
        <w:right w:val="none" w:sz="0" w:space="0" w:color="auto"/>
      </w:divBdr>
    </w:div>
    <w:div w:id="1610772919">
      <w:marLeft w:val="0"/>
      <w:marRight w:val="0"/>
      <w:marTop w:val="160"/>
      <w:marBottom w:val="160"/>
      <w:divBdr>
        <w:top w:val="none" w:sz="0" w:space="0" w:color="auto"/>
        <w:left w:val="none" w:sz="0" w:space="0" w:color="auto"/>
        <w:bottom w:val="none" w:sz="0" w:space="0" w:color="auto"/>
        <w:right w:val="none" w:sz="0" w:space="0" w:color="auto"/>
      </w:divBdr>
    </w:div>
    <w:div w:id="1613973110">
      <w:marLeft w:val="0"/>
      <w:marRight w:val="0"/>
      <w:marTop w:val="160"/>
      <w:marBottom w:val="160"/>
      <w:divBdr>
        <w:top w:val="none" w:sz="0" w:space="0" w:color="auto"/>
        <w:left w:val="none" w:sz="0" w:space="0" w:color="auto"/>
        <w:bottom w:val="none" w:sz="0" w:space="0" w:color="auto"/>
        <w:right w:val="none" w:sz="0" w:space="0" w:color="auto"/>
      </w:divBdr>
    </w:div>
    <w:div w:id="1619876679">
      <w:marLeft w:val="0"/>
      <w:marRight w:val="0"/>
      <w:marTop w:val="0"/>
      <w:marBottom w:val="0"/>
      <w:divBdr>
        <w:top w:val="none" w:sz="0" w:space="0" w:color="auto"/>
        <w:left w:val="none" w:sz="0" w:space="0" w:color="auto"/>
        <w:bottom w:val="none" w:sz="0" w:space="0" w:color="auto"/>
        <w:right w:val="none" w:sz="0" w:space="0" w:color="auto"/>
      </w:divBdr>
    </w:div>
    <w:div w:id="1620644937">
      <w:marLeft w:val="0"/>
      <w:marRight w:val="0"/>
      <w:marTop w:val="160"/>
      <w:marBottom w:val="160"/>
      <w:divBdr>
        <w:top w:val="none" w:sz="0" w:space="0" w:color="auto"/>
        <w:left w:val="none" w:sz="0" w:space="0" w:color="auto"/>
        <w:bottom w:val="none" w:sz="0" w:space="0" w:color="auto"/>
        <w:right w:val="none" w:sz="0" w:space="0" w:color="auto"/>
      </w:divBdr>
    </w:div>
    <w:div w:id="1620914719">
      <w:marLeft w:val="0"/>
      <w:marRight w:val="0"/>
      <w:marTop w:val="160"/>
      <w:marBottom w:val="160"/>
      <w:divBdr>
        <w:top w:val="none" w:sz="0" w:space="0" w:color="auto"/>
        <w:left w:val="none" w:sz="0" w:space="0" w:color="auto"/>
        <w:bottom w:val="none" w:sz="0" w:space="0" w:color="auto"/>
        <w:right w:val="none" w:sz="0" w:space="0" w:color="auto"/>
      </w:divBdr>
    </w:div>
    <w:div w:id="1621766424">
      <w:marLeft w:val="0"/>
      <w:marRight w:val="0"/>
      <w:marTop w:val="160"/>
      <w:marBottom w:val="160"/>
      <w:divBdr>
        <w:top w:val="none" w:sz="0" w:space="0" w:color="auto"/>
        <w:left w:val="none" w:sz="0" w:space="0" w:color="auto"/>
        <w:bottom w:val="none" w:sz="0" w:space="0" w:color="auto"/>
        <w:right w:val="none" w:sz="0" w:space="0" w:color="auto"/>
      </w:divBdr>
    </w:div>
    <w:div w:id="1628584774">
      <w:marLeft w:val="0"/>
      <w:marRight w:val="0"/>
      <w:marTop w:val="160"/>
      <w:marBottom w:val="160"/>
      <w:divBdr>
        <w:top w:val="none" w:sz="0" w:space="0" w:color="auto"/>
        <w:left w:val="none" w:sz="0" w:space="0" w:color="auto"/>
        <w:bottom w:val="none" w:sz="0" w:space="0" w:color="auto"/>
        <w:right w:val="none" w:sz="0" w:space="0" w:color="auto"/>
      </w:divBdr>
    </w:div>
    <w:div w:id="1631744383">
      <w:marLeft w:val="0"/>
      <w:marRight w:val="0"/>
      <w:marTop w:val="160"/>
      <w:marBottom w:val="160"/>
      <w:divBdr>
        <w:top w:val="none" w:sz="0" w:space="0" w:color="auto"/>
        <w:left w:val="none" w:sz="0" w:space="0" w:color="auto"/>
        <w:bottom w:val="none" w:sz="0" w:space="0" w:color="auto"/>
        <w:right w:val="none" w:sz="0" w:space="0" w:color="auto"/>
      </w:divBdr>
    </w:div>
    <w:div w:id="1633747706">
      <w:marLeft w:val="0"/>
      <w:marRight w:val="0"/>
      <w:marTop w:val="160"/>
      <w:marBottom w:val="160"/>
      <w:divBdr>
        <w:top w:val="none" w:sz="0" w:space="0" w:color="auto"/>
        <w:left w:val="none" w:sz="0" w:space="0" w:color="auto"/>
        <w:bottom w:val="none" w:sz="0" w:space="0" w:color="auto"/>
        <w:right w:val="none" w:sz="0" w:space="0" w:color="auto"/>
      </w:divBdr>
    </w:div>
    <w:div w:id="1636328173">
      <w:marLeft w:val="0"/>
      <w:marRight w:val="0"/>
      <w:marTop w:val="0"/>
      <w:marBottom w:val="0"/>
      <w:divBdr>
        <w:top w:val="none" w:sz="0" w:space="0" w:color="auto"/>
        <w:left w:val="none" w:sz="0" w:space="0" w:color="auto"/>
        <w:bottom w:val="none" w:sz="0" w:space="0" w:color="auto"/>
        <w:right w:val="none" w:sz="0" w:space="0" w:color="auto"/>
      </w:divBdr>
    </w:div>
    <w:div w:id="1638991205">
      <w:marLeft w:val="0"/>
      <w:marRight w:val="0"/>
      <w:marTop w:val="60"/>
      <w:marBottom w:val="0"/>
      <w:divBdr>
        <w:top w:val="none" w:sz="0" w:space="0" w:color="auto"/>
        <w:left w:val="none" w:sz="0" w:space="0" w:color="auto"/>
        <w:bottom w:val="none" w:sz="0" w:space="0" w:color="auto"/>
        <w:right w:val="none" w:sz="0" w:space="0" w:color="auto"/>
      </w:divBdr>
    </w:div>
    <w:div w:id="1642072067">
      <w:marLeft w:val="0"/>
      <w:marRight w:val="0"/>
      <w:marTop w:val="160"/>
      <w:marBottom w:val="160"/>
      <w:divBdr>
        <w:top w:val="none" w:sz="0" w:space="0" w:color="auto"/>
        <w:left w:val="none" w:sz="0" w:space="0" w:color="auto"/>
        <w:bottom w:val="none" w:sz="0" w:space="0" w:color="auto"/>
        <w:right w:val="none" w:sz="0" w:space="0" w:color="auto"/>
      </w:divBdr>
    </w:div>
    <w:div w:id="1646660706">
      <w:marLeft w:val="0"/>
      <w:marRight w:val="0"/>
      <w:marTop w:val="160"/>
      <w:marBottom w:val="160"/>
      <w:divBdr>
        <w:top w:val="none" w:sz="0" w:space="0" w:color="auto"/>
        <w:left w:val="none" w:sz="0" w:space="0" w:color="auto"/>
        <w:bottom w:val="none" w:sz="0" w:space="0" w:color="auto"/>
        <w:right w:val="none" w:sz="0" w:space="0" w:color="auto"/>
      </w:divBdr>
    </w:div>
    <w:div w:id="1646812432">
      <w:marLeft w:val="0"/>
      <w:marRight w:val="0"/>
      <w:marTop w:val="160"/>
      <w:marBottom w:val="160"/>
      <w:divBdr>
        <w:top w:val="none" w:sz="0" w:space="0" w:color="auto"/>
        <w:left w:val="none" w:sz="0" w:space="0" w:color="auto"/>
        <w:bottom w:val="none" w:sz="0" w:space="0" w:color="auto"/>
        <w:right w:val="none" w:sz="0" w:space="0" w:color="auto"/>
      </w:divBdr>
    </w:div>
    <w:div w:id="1647129716">
      <w:marLeft w:val="0"/>
      <w:marRight w:val="0"/>
      <w:marTop w:val="160"/>
      <w:marBottom w:val="160"/>
      <w:divBdr>
        <w:top w:val="none" w:sz="0" w:space="0" w:color="auto"/>
        <w:left w:val="none" w:sz="0" w:space="0" w:color="auto"/>
        <w:bottom w:val="none" w:sz="0" w:space="0" w:color="auto"/>
        <w:right w:val="none" w:sz="0" w:space="0" w:color="auto"/>
      </w:divBdr>
    </w:div>
    <w:div w:id="1656765488">
      <w:marLeft w:val="0"/>
      <w:marRight w:val="0"/>
      <w:marTop w:val="160"/>
      <w:marBottom w:val="160"/>
      <w:divBdr>
        <w:top w:val="none" w:sz="0" w:space="0" w:color="auto"/>
        <w:left w:val="none" w:sz="0" w:space="0" w:color="auto"/>
        <w:bottom w:val="none" w:sz="0" w:space="0" w:color="auto"/>
        <w:right w:val="none" w:sz="0" w:space="0" w:color="auto"/>
      </w:divBdr>
    </w:div>
    <w:div w:id="1657799289">
      <w:marLeft w:val="0"/>
      <w:marRight w:val="0"/>
      <w:marTop w:val="0"/>
      <w:marBottom w:val="0"/>
      <w:divBdr>
        <w:top w:val="none" w:sz="0" w:space="0" w:color="auto"/>
        <w:left w:val="none" w:sz="0" w:space="0" w:color="auto"/>
        <w:bottom w:val="none" w:sz="0" w:space="0" w:color="auto"/>
        <w:right w:val="none" w:sz="0" w:space="0" w:color="auto"/>
      </w:divBdr>
      <w:divsChild>
        <w:div w:id="1392730281">
          <w:marLeft w:val="0"/>
          <w:marRight w:val="0"/>
          <w:marTop w:val="0"/>
          <w:marBottom w:val="0"/>
          <w:divBdr>
            <w:top w:val="none" w:sz="0" w:space="0" w:color="auto"/>
            <w:left w:val="none" w:sz="0" w:space="0" w:color="auto"/>
            <w:bottom w:val="none" w:sz="0" w:space="0" w:color="auto"/>
            <w:right w:val="none" w:sz="0" w:space="0" w:color="auto"/>
          </w:divBdr>
        </w:div>
      </w:divsChild>
    </w:div>
    <w:div w:id="1664816285">
      <w:marLeft w:val="0"/>
      <w:marRight w:val="0"/>
      <w:marTop w:val="0"/>
      <w:marBottom w:val="0"/>
      <w:divBdr>
        <w:top w:val="none" w:sz="0" w:space="0" w:color="auto"/>
        <w:left w:val="none" w:sz="0" w:space="0" w:color="auto"/>
        <w:bottom w:val="none" w:sz="0" w:space="0" w:color="auto"/>
        <w:right w:val="none" w:sz="0" w:space="0" w:color="auto"/>
      </w:divBdr>
      <w:divsChild>
        <w:div w:id="120463718">
          <w:marLeft w:val="0"/>
          <w:marRight w:val="0"/>
          <w:marTop w:val="0"/>
          <w:marBottom w:val="0"/>
          <w:divBdr>
            <w:top w:val="none" w:sz="0" w:space="0" w:color="auto"/>
            <w:left w:val="none" w:sz="0" w:space="0" w:color="auto"/>
            <w:bottom w:val="none" w:sz="0" w:space="0" w:color="auto"/>
            <w:right w:val="none" w:sz="0" w:space="0" w:color="auto"/>
          </w:divBdr>
        </w:div>
      </w:divsChild>
    </w:div>
    <w:div w:id="1665275120">
      <w:marLeft w:val="0"/>
      <w:marRight w:val="0"/>
      <w:marTop w:val="160"/>
      <w:marBottom w:val="160"/>
      <w:divBdr>
        <w:top w:val="none" w:sz="0" w:space="0" w:color="auto"/>
        <w:left w:val="none" w:sz="0" w:space="0" w:color="auto"/>
        <w:bottom w:val="none" w:sz="0" w:space="0" w:color="auto"/>
        <w:right w:val="none" w:sz="0" w:space="0" w:color="auto"/>
      </w:divBdr>
    </w:div>
    <w:div w:id="1674994869">
      <w:marLeft w:val="0"/>
      <w:marRight w:val="0"/>
      <w:marTop w:val="160"/>
      <w:marBottom w:val="160"/>
      <w:divBdr>
        <w:top w:val="none" w:sz="0" w:space="0" w:color="auto"/>
        <w:left w:val="none" w:sz="0" w:space="0" w:color="auto"/>
        <w:bottom w:val="none" w:sz="0" w:space="0" w:color="auto"/>
        <w:right w:val="none" w:sz="0" w:space="0" w:color="auto"/>
      </w:divBdr>
    </w:div>
    <w:div w:id="1680502433">
      <w:marLeft w:val="0"/>
      <w:marRight w:val="0"/>
      <w:marTop w:val="160"/>
      <w:marBottom w:val="160"/>
      <w:divBdr>
        <w:top w:val="none" w:sz="0" w:space="0" w:color="auto"/>
        <w:left w:val="none" w:sz="0" w:space="0" w:color="auto"/>
        <w:bottom w:val="none" w:sz="0" w:space="0" w:color="auto"/>
        <w:right w:val="none" w:sz="0" w:space="0" w:color="auto"/>
      </w:divBdr>
    </w:div>
    <w:div w:id="1681005404">
      <w:marLeft w:val="0"/>
      <w:marRight w:val="0"/>
      <w:marTop w:val="160"/>
      <w:marBottom w:val="160"/>
      <w:divBdr>
        <w:top w:val="none" w:sz="0" w:space="0" w:color="auto"/>
        <w:left w:val="none" w:sz="0" w:space="0" w:color="auto"/>
        <w:bottom w:val="none" w:sz="0" w:space="0" w:color="auto"/>
        <w:right w:val="none" w:sz="0" w:space="0" w:color="auto"/>
      </w:divBdr>
    </w:div>
    <w:div w:id="1684042702">
      <w:marLeft w:val="0"/>
      <w:marRight w:val="0"/>
      <w:marTop w:val="0"/>
      <w:marBottom w:val="0"/>
      <w:divBdr>
        <w:top w:val="none" w:sz="0" w:space="0" w:color="auto"/>
        <w:left w:val="none" w:sz="0" w:space="0" w:color="auto"/>
        <w:bottom w:val="none" w:sz="0" w:space="0" w:color="auto"/>
        <w:right w:val="none" w:sz="0" w:space="0" w:color="auto"/>
      </w:divBdr>
      <w:divsChild>
        <w:div w:id="1430274472">
          <w:marLeft w:val="0"/>
          <w:marRight w:val="0"/>
          <w:marTop w:val="0"/>
          <w:marBottom w:val="0"/>
          <w:divBdr>
            <w:top w:val="none" w:sz="0" w:space="0" w:color="auto"/>
            <w:left w:val="none" w:sz="0" w:space="0" w:color="auto"/>
            <w:bottom w:val="none" w:sz="0" w:space="0" w:color="auto"/>
            <w:right w:val="none" w:sz="0" w:space="0" w:color="auto"/>
          </w:divBdr>
        </w:div>
      </w:divsChild>
    </w:div>
    <w:div w:id="1689721881">
      <w:marLeft w:val="0"/>
      <w:marRight w:val="0"/>
      <w:marTop w:val="160"/>
      <w:marBottom w:val="160"/>
      <w:divBdr>
        <w:top w:val="none" w:sz="0" w:space="0" w:color="auto"/>
        <w:left w:val="none" w:sz="0" w:space="0" w:color="auto"/>
        <w:bottom w:val="none" w:sz="0" w:space="0" w:color="auto"/>
        <w:right w:val="none" w:sz="0" w:space="0" w:color="auto"/>
      </w:divBdr>
    </w:div>
    <w:div w:id="1690184196">
      <w:marLeft w:val="0"/>
      <w:marRight w:val="0"/>
      <w:marTop w:val="160"/>
      <w:marBottom w:val="160"/>
      <w:divBdr>
        <w:top w:val="none" w:sz="0" w:space="0" w:color="auto"/>
        <w:left w:val="none" w:sz="0" w:space="0" w:color="auto"/>
        <w:bottom w:val="none" w:sz="0" w:space="0" w:color="auto"/>
        <w:right w:val="none" w:sz="0" w:space="0" w:color="auto"/>
      </w:divBdr>
    </w:div>
    <w:div w:id="1692145101">
      <w:marLeft w:val="0"/>
      <w:marRight w:val="0"/>
      <w:marTop w:val="160"/>
      <w:marBottom w:val="160"/>
      <w:divBdr>
        <w:top w:val="none" w:sz="0" w:space="0" w:color="auto"/>
        <w:left w:val="none" w:sz="0" w:space="0" w:color="auto"/>
        <w:bottom w:val="none" w:sz="0" w:space="0" w:color="auto"/>
        <w:right w:val="none" w:sz="0" w:space="0" w:color="auto"/>
      </w:divBdr>
    </w:div>
    <w:div w:id="1694723544">
      <w:marLeft w:val="0"/>
      <w:marRight w:val="0"/>
      <w:marTop w:val="160"/>
      <w:marBottom w:val="160"/>
      <w:divBdr>
        <w:top w:val="none" w:sz="0" w:space="0" w:color="auto"/>
        <w:left w:val="none" w:sz="0" w:space="0" w:color="auto"/>
        <w:bottom w:val="none" w:sz="0" w:space="0" w:color="auto"/>
        <w:right w:val="none" w:sz="0" w:space="0" w:color="auto"/>
      </w:divBdr>
    </w:div>
    <w:div w:id="1700206546">
      <w:marLeft w:val="0"/>
      <w:marRight w:val="0"/>
      <w:marTop w:val="160"/>
      <w:marBottom w:val="160"/>
      <w:divBdr>
        <w:top w:val="none" w:sz="0" w:space="0" w:color="auto"/>
        <w:left w:val="none" w:sz="0" w:space="0" w:color="auto"/>
        <w:bottom w:val="none" w:sz="0" w:space="0" w:color="auto"/>
        <w:right w:val="none" w:sz="0" w:space="0" w:color="auto"/>
      </w:divBdr>
    </w:div>
    <w:div w:id="1711807096">
      <w:marLeft w:val="0"/>
      <w:marRight w:val="0"/>
      <w:marTop w:val="60"/>
      <w:marBottom w:val="0"/>
      <w:divBdr>
        <w:top w:val="none" w:sz="0" w:space="0" w:color="auto"/>
        <w:left w:val="none" w:sz="0" w:space="0" w:color="auto"/>
        <w:bottom w:val="none" w:sz="0" w:space="0" w:color="auto"/>
        <w:right w:val="none" w:sz="0" w:space="0" w:color="auto"/>
      </w:divBdr>
    </w:div>
    <w:div w:id="1732538330">
      <w:marLeft w:val="0"/>
      <w:marRight w:val="0"/>
      <w:marTop w:val="160"/>
      <w:marBottom w:val="160"/>
      <w:divBdr>
        <w:top w:val="none" w:sz="0" w:space="0" w:color="auto"/>
        <w:left w:val="none" w:sz="0" w:space="0" w:color="auto"/>
        <w:bottom w:val="none" w:sz="0" w:space="0" w:color="auto"/>
        <w:right w:val="none" w:sz="0" w:space="0" w:color="auto"/>
      </w:divBdr>
    </w:div>
    <w:div w:id="1736465595">
      <w:marLeft w:val="0"/>
      <w:marRight w:val="0"/>
      <w:marTop w:val="160"/>
      <w:marBottom w:val="160"/>
      <w:divBdr>
        <w:top w:val="none" w:sz="0" w:space="0" w:color="auto"/>
        <w:left w:val="none" w:sz="0" w:space="0" w:color="auto"/>
        <w:bottom w:val="none" w:sz="0" w:space="0" w:color="auto"/>
        <w:right w:val="none" w:sz="0" w:space="0" w:color="auto"/>
      </w:divBdr>
    </w:div>
    <w:div w:id="1738089439">
      <w:marLeft w:val="0"/>
      <w:marRight w:val="0"/>
      <w:marTop w:val="160"/>
      <w:marBottom w:val="160"/>
      <w:divBdr>
        <w:top w:val="none" w:sz="0" w:space="0" w:color="auto"/>
        <w:left w:val="none" w:sz="0" w:space="0" w:color="auto"/>
        <w:bottom w:val="none" w:sz="0" w:space="0" w:color="auto"/>
        <w:right w:val="none" w:sz="0" w:space="0" w:color="auto"/>
      </w:divBdr>
    </w:div>
    <w:div w:id="1738631131">
      <w:marLeft w:val="0"/>
      <w:marRight w:val="0"/>
      <w:marTop w:val="160"/>
      <w:marBottom w:val="160"/>
      <w:divBdr>
        <w:top w:val="none" w:sz="0" w:space="0" w:color="auto"/>
        <w:left w:val="none" w:sz="0" w:space="0" w:color="auto"/>
        <w:bottom w:val="none" w:sz="0" w:space="0" w:color="auto"/>
        <w:right w:val="none" w:sz="0" w:space="0" w:color="auto"/>
      </w:divBdr>
    </w:div>
    <w:div w:id="1740982558">
      <w:marLeft w:val="0"/>
      <w:marRight w:val="0"/>
      <w:marTop w:val="160"/>
      <w:marBottom w:val="160"/>
      <w:divBdr>
        <w:top w:val="none" w:sz="0" w:space="0" w:color="auto"/>
        <w:left w:val="none" w:sz="0" w:space="0" w:color="auto"/>
        <w:bottom w:val="none" w:sz="0" w:space="0" w:color="auto"/>
        <w:right w:val="none" w:sz="0" w:space="0" w:color="auto"/>
      </w:divBdr>
    </w:div>
    <w:div w:id="1744642431">
      <w:marLeft w:val="0"/>
      <w:marRight w:val="0"/>
      <w:marTop w:val="160"/>
      <w:marBottom w:val="160"/>
      <w:divBdr>
        <w:top w:val="none" w:sz="0" w:space="0" w:color="auto"/>
        <w:left w:val="none" w:sz="0" w:space="0" w:color="auto"/>
        <w:bottom w:val="none" w:sz="0" w:space="0" w:color="auto"/>
        <w:right w:val="none" w:sz="0" w:space="0" w:color="auto"/>
      </w:divBdr>
    </w:div>
    <w:div w:id="1746993952">
      <w:marLeft w:val="0"/>
      <w:marRight w:val="0"/>
      <w:marTop w:val="160"/>
      <w:marBottom w:val="160"/>
      <w:divBdr>
        <w:top w:val="none" w:sz="0" w:space="0" w:color="auto"/>
        <w:left w:val="none" w:sz="0" w:space="0" w:color="auto"/>
        <w:bottom w:val="none" w:sz="0" w:space="0" w:color="auto"/>
        <w:right w:val="none" w:sz="0" w:space="0" w:color="auto"/>
      </w:divBdr>
    </w:div>
    <w:div w:id="1749228756">
      <w:marLeft w:val="0"/>
      <w:marRight w:val="0"/>
      <w:marTop w:val="160"/>
      <w:marBottom w:val="160"/>
      <w:divBdr>
        <w:top w:val="none" w:sz="0" w:space="0" w:color="auto"/>
        <w:left w:val="none" w:sz="0" w:space="0" w:color="auto"/>
        <w:bottom w:val="none" w:sz="0" w:space="0" w:color="auto"/>
        <w:right w:val="none" w:sz="0" w:space="0" w:color="auto"/>
      </w:divBdr>
    </w:div>
    <w:div w:id="1752853845">
      <w:marLeft w:val="0"/>
      <w:marRight w:val="0"/>
      <w:marTop w:val="160"/>
      <w:marBottom w:val="160"/>
      <w:divBdr>
        <w:top w:val="none" w:sz="0" w:space="0" w:color="auto"/>
        <w:left w:val="none" w:sz="0" w:space="0" w:color="auto"/>
        <w:bottom w:val="none" w:sz="0" w:space="0" w:color="auto"/>
        <w:right w:val="none" w:sz="0" w:space="0" w:color="auto"/>
      </w:divBdr>
    </w:div>
    <w:div w:id="1755711126">
      <w:marLeft w:val="0"/>
      <w:marRight w:val="0"/>
      <w:marTop w:val="0"/>
      <w:marBottom w:val="240"/>
      <w:divBdr>
        <w:top w:val="none" w:sz="0" w:space="0" w:color="auto"/>
        <w:left w:val="none" w:sz="0" w:space="0" w:color="auto"/>
        <w:bottom w:val="none" w:sz="0" w:space="0" w:color="auto"/>
        <w:right w:val="none" w:sz="0" w:space="0" w:color="auto"/>
      </w:divBdr>
    </w:div>
    <w:div w:id="1762679848">
      <w:marLeft w:val="0"/>
      <w:marRight w:val="0"/>
      <w:marTop w:val="60"/>
      <w:marBottom w:val="60"/>
      <w:divBdr>
        <w:top w:val="none" w:sz="0" w:space="0" w:color="auto"/>
        <w:left w:val="none" w:sz="0" w:space="0" w:color="auto"/>
        <w:bottom w:val="none" w:sz="0" w:space="0" w:color="auto"/>
        <w:right w:val="none" w:sz="0" w:space="0" w:color="auto"/>
      </w:divBdr>
    </w:div>
    <w:div w:id="1767657279">
      <w:marLeft w:val="0"/>
      <w:marRight w:val="0"/>
      <w:marTop w:val="160"/>
      <w:marBottom w:val="160"/>
      <w:divBdr>
        <w:top w:val="none" w:sz="0" w:space="0" w:color="auto"/>
        <w:left w:val="none" w:sz="0" w:space="0" w:color="auto"/>
        <w:bottom w:val="none" w:sz="0" w:space="0" w:color="auto"/>
        <w:right w:val="none" w:sz="0" w:space="0" w:color="auto"/>
      </w:divBdr>
    </w:div>
    <w:div w:id="1782801734">
      <w:marLeft w:val="0"/>
      <w:marRight w:val="0"/>
      <w:marTop w:val="160"/>
      <w:marBottom w:val="160"/>
      <w:divBdr>
        <w:top w:val="none" w:sz="0" w:space="0" w:color="auto"/>
        <w:left w:val="none" w:sz="0" w:space="0" w:color="auto"/>
        <w:bottom w:val="none" w:sz="0" w:space="0" w:color="auto"/>
        <w:right w:val="none" w:sz="0" w:space="0" w:color="auto"/>
      </w:divBdr>
    </w:div>
    <w:div w:id="1787313041">
      <w:marLeft w:val="0"/>
      <w:marRight w:val="0"/>
      <w:marTop w:val="0"/>
      <w:marBottom w:val="0"/>
      <w:divBdr>
        <w:top w:val="none" w:sz="0" w:space="0" w:color="auto"/>
        <w:left w:val="none" w:sz="0" w:space="0" w:color="auto"/>
        <w:bottom w:val="none" w:sz="0" w:space="0" w:color="auto"/>
        <w:right w:val="none" w:sz="0" w:space="0" w:color="auto"/>
      </w:divBdr>
      <w:divsChild>
        <w:div w:id="339696329">
          <w:marLeft w:val="0"/>
          <w:marRight w:val="0"/>
          <w:marTop w:val="0"/>
          <w:marBottom w:val="0"/>
          <w:divBdr>
            <w:top w:val="none" w:sz="0" w:space="0" w:color="auto"/>
            <w:left w:val="none" w:sz="0" w:space="0" w:color="auto"/>
            <w:bottom w:val="none" w:sz="0" w:space="0" w:color="auto"/>
            <w:right w:val="none" w:sz="0" w:space="0" w:color="auto"/>
          </w:divBdr>
        </w:div>
      </w:divsChild>
    </w:div>
    <w:div w:id="1788547524">
      <w:marLeft w:val="0"/>
      <w:marRight w:val="0"/>
      <w:marTop w:val="0"/>
      <w:marBottom w:val="0"/>
      <w:divBdr>
        <w:top w:val="none" w:sz="0" w:space="0" w:color="auto"/>
        <w:left w:val="none" w:sz="0" w:space="0" w:color="auto"/>
        <w:bottom w:val="none" w:sz="0" w:space="0" w:color="auto"/>
        <w:right w:val="none" w:sz="0" w:space="0" w:color="auto"/>
      </w:divBdr>
      <w:divsChild>
        <w:div w:id="2003898038">
          <w:marLeft w:val="0"/>
          <w:marRight w:val="0"/>
          <w:marTop w:val="0"/>
          <w:marBottom w:val="0"/>
          <w:divBdr>
            <w:top w:val="none" w:sz="0" w:space="0" w:color="auto"/>
            <w:left w:val="none" w:sz="0" w:space="0" w:color="auto"/>
            <w:bottom w:val="none" w:sz="0" w:space="0" w:color="auto"/>
            <w:right w:val="none" w:sz="0" w:space="0" w:color="auto"/>
          </w:divBdr>
        </w:div>
      </w:divsChild>
    </w:div>
    <w:div w:id="1788888429">
      <w:marLeft w:val="0"/>
      <w:marRight w:val="0"/>
      <w:marTop w:val="160"/>
      <w:marBottom w:val="160"/>
      <w:divBdr>
        <w:top w:val="none" w:sz="0" w:space="0" w:color="auto"/>
        <w:left w:val="none" w:sz="0" w:space="0" w:color="auto"/>
        <w:bottom w:val="none" w:sz="0" w:space="0" w:color="auto"/>
        <w:right w:val="none" w:sz="0" w:space="0" w:color="auto"/>
      </w:divBdr>
    </w:div>
    <w:div w:id="1797140888">
      <w:marLeft w:val="0"/>
      <w:marRight w:val="0"/>
      <w:marTop w:val="160"/>
      <w:marBottom w:val="160"/>
      <w:divBdr>
        <w:top w:val="none" w:sz="0" w:space="0" w:color="auto"/>
        <w:left w:val="none" w:sz="0" w:space="0" w:color="auto"/>
        <w:bottom w:val="none" w:sz="0" w:space="0" w:color="auto"/>
        <w:right w:val="none" w:sz="0" w:space="0" w:color="auto"/>
      </w:divBdr>
    </w:div>
    <w:div w:id="1798139386">
      <w:marLeft w:val="0"/>
      <w:marRight w:val="0"/>
      <w:marTop w:val="160"/>
      <w:marBottom w:val="160"/>
      <w:divBdr>
        <w:top w:val="none" w:sz="0" w:space="0" w:color="auto"/>
        <w:left w:val="none" w:sz="0" w:space="0" w:color="auto"/>
        <w:bottom w:val="none" w:sz="0" w:space="0" w:color="auto"/>
        <w:right w:val="none" w:sz="0" w:space="0" w:color="auto"/>
      </w:divBdr>
    </w:div>
    <w:div w:id="1800683185">
      <w:marLeft w:val="0"/>
      <w:marRight w:val="0"/>
      <w:marTop w:val="160"/>
      <w:marBottom w:val="160"/>
      <w:divBdr>
        <w:top w:val="none" w:sz="0" w:space="0" w:color="auto"/>
        <w:left w:val="none" w:sz="0" w:space="0" w:color="auto"/>
        <w:bottom w:val="none" w:sz="0" w:space="0" w:color="auto"/>
        <w:right w:val="none" w:sz="0" w:space="0" w:color="auto"/>
      </w:divBdr>
    </w:div>
    <w:div w:id="1808621329">
      <w:marLeft w:val="0"/>
      <w:marRight w:val="0"/>
      <w:marTop w:val="0"/>
      <w:marBottom w:val="0"/>
      <w:divBdr>
        <w:top w:val="none" w:sz="0" w:space="0" w:color="auto"/>
        <w:left w:val="none" w:sz="0" w:space="0" w:color="auto"/>
        <w:bottom w:val="none" w:sz="0" w:space="0" w:color="auto"/>
        <w:right w:val="none" w:sz="0" w:space="0" w:color="auto"/>
      </w:divBdr>
      <w:divsChild>
        <w:div w:id="1136872091">
          <w:marLeft w:val="0"/>
          <w:marRight w:val="0"/>
          <w:marTop w:val="160"/>
          <w:marBottom w:val="160"/>
          <w:divBdr>
            <w:top w:val="none" w:sz="0" w:space="0" w:color="auto"/>
            <w:left w:val="none" w:sz="0" w:space="0" w:color="auto"/>
            <w:bottom w:val="none" w:sz="0" w:space="0" w:color="auto"/>
            <w:right w:val="none" w:sz="0" w:space="0" w:color="auto"/>
          </w:divBdr>
        </w:div>
        <w:div w:id="1026053532">
          <w:marLeft w:val="0"/>
          <w:marRight w:val="0"/>
          <w:marTop w:val="160"/>
          <w:marBottom w:val="160"/>
          <w:divBdr>
            <w:top w:val="none" w:sz="0" w:space="0" w:color="auto"/>
            <w:left w:val="none" w:sz="0" w:space="0" w:color="auto"/>
            <w:bottom w:val="none" w:sz="0" w:space="0" w:color="auto"/>
            <w:right w:val="none" w:sz="0" w:space="0" w:color="auto"/>
          </w:divBdr>
        </w:div>
        <w:div w:id="1880361557">
          <w:marLeft w:val="0"/>
          <w:marRight w:val="0"/>
          <w:marTop w:val="160"/>
          <w:marBottom w:val="160"/>
          <w:divBdr>
            <w:top w:val="none" w:sz="0" w:space="0" w:color="auto"/>
            <w:left w:val="none" w:sz="0" w:space="0" w:color="auto"/>
            <w:bottom w:val="none" w:sz="0" w:space="0" w:color="auto"/>
            <w:right w:val="none" w:sz="0" w:space="0" w:color="auto"/>
          </w:divBdr>
        </w:div>
        <w:div w:id="1595745520">
          <w:marLeft w:val="0"/>
          <w:marRight w:val="0"/>
          <w:marTop w:val="160"/>
          <w:marBottom w:val="160"/>
          <w:divBdr>
            <w:top w:val="none" w:sz="0" w:space="0" w:color="auto"/>
            <w:left w:val="none" w:sz="0" w:space="0" w:color="auto"/>
            <w:bottom w:val="none" w:sz="0" w:space="0" w:color="auto"/>
            <w:right w:val="none" w:sz="0" w:space="0" w:color="auto"/>
          </w:divBdr>
        </w:div>
        <w:div w:id="632061143">
          <w:marLeft w:val="0"/>
          <w:marRight w:val="0"/>
          <w:marTop w:val="160"/>
          <w:marBottom w:val="160"/>
          <w:divBdr>
            <w:top w:val="none" w:sz="0" w:space="0" w:color="auto"/>
            <w:left w:val="none" w:sz="0" w:space="0" w:color="auto"/>
            <w:bottom w:val="none" w:sz="0" w:space="0" w:color="auto"/>
            <w:right w:val="none" w:sz="0" w:space="0" w:color="auto"/>
          </w:divBdr>
        </w:div>
        <w:div w:id="1743678591">
          <w:marLeft w:val="0"/>
          <w:marRight w:val="0"/>
          <w:marTop w:val="160"/>
          <w:marBottom w:val="160"/>
          <w:divBdr>
            <w:top w:val="none" w:sz="0" w:space="0" w:color="auto"/>
            <w:left w:val="none" w:sz="0" w:space="0" w:color="auto"/>
            <w:bottom w:val="none" w:sz="0" w:space="0" w:color="auto"/>
            <w:right w:val="none" w:sz="0" w:space="0" w:color="auto"/>
          </w:divBdr>
        </w:div>
      </w:divsChild>
    </w:div>
    <w:div w:id="1809585973">
      <w:marLeft w:val="0"/>
      <w:marRight w:val="0"/>
      <w:marTop w:val="0"/>
      <w:marBottom w:val="0"/>
      <w:divBdr>
        <w:top w:val="none" w:sz="0" w:space="0" w:color="auto"/>
        <w:left w:val="none" w:sz="0" w:space="0" w:color="auto"/>
        <w:bottom w:val="none" w:sz="0" w:space="0" w:color="auto"/>
        <w:right w:val="none" w:sz="0" w:space="0" w:color="auto"/>
      </w:divBdr>
    </w:div>
    <w:div w:id="1814373187">
      <w:marLeft w:val="0"/>
      <w:marRight w:val="0"/>
      <w:marTop w:val="0"/>
      <w:marBottom w:val="0"/>
      <w:divBdr>
        <w:top w:val="none" w:sz="0" w:space="0" w:color="auto"/>
        <w:left w:val="none" w:sz="0" w:space="0" w:color="auto"/>
        <w:bottom w:val="none" w:sz="0" w:space="0" w:color="auto"/>
        <w:right w:val="none" w:sz="0" w:space="0" w:color="auto"/>
      </w:divBdr>
      <w:divsChild>
        <w:div w:id="1341354382">
          <w:marLeft w:val="0"/>
          <w:marRight w:val="0"/>
          <w:marTop w:val="0"/>
          <w:marBottom w:val="0"/>
          <w:divBdr>
            <w:top w:val="none" w:sz="0" w:space="0" w:color="auto"/>
            <w:left w:val="none" w:sz="0" w:space="0" w:color="auto"/>
            <w:bottom w:val="none" w:sz="0" w:space="0" w:color="auto"/>
            <w:right w:val="none" w:sz="0" w:space="0" w:color="auto"/>
          </w:divBdr>
        </w:div>
      </w:divsChild>
    </w:div>
    <w:div w:id="1814449688">
      <w:marLeft w:val="0"/>
      <w:marRight w:val="0"/>
      <w:marTop w:val="160"/>
      <w:marBottom w:val="160"/>
      <w:divBdr>
        <w:top w:val="none" w:sz="0" w:space="0" w:color="auto"/>
        <w:left w:val="none" w:sz="0" w:space="0" w:color="auto"/>
        <w:bottom w:val="none" w:sz="0" w:space="0" w:color="auto"/>
        <w:right w:val="none" w:sz="0" w:space="0" w:color="auto"/>
      </w:divBdr>
    </w:div>
    <w:div w:id="1821651944">
      <w:marLeft w:val="0"/>
      <w:marRight w:val="0"/>
      <w:marTop w:val="160"/>
      <w:marBottom w:val="160"/>
      <w:divBdr>
        <w:top w:val="none" w:sz="0" w:space="0" w:color="auto"/>
        <w:left w:val="none" w:sz="0" w:space="0" w:color="auto"/>
        <w:bottom w:val="none" w:sz="0" w:space="0" w:color="auto"/>
        <w:right w:val="none" w:sz="0" w:space="0" w:color="auto"/>
      </w:divBdr>
    </w:div>
    <w:div w:id="1821652361">
      <w:marLeft w:val="0"/>
      <w:marRight w:val="0"/>
      <w:marTop w:val="160"/>
      <w:marBottom w:val="160"/>
      <w:divBdr>
        <w:top w:val="none" w:sz="0" w:space="0" w:color="auto"/>
        <w:left w:val="none" w:sz="0" w:space="0" w:color="auto"/>
        <w:bottom w:val="none" w:sz="0" w:space="0" w:color="auto"/>
        <w:right w:val="none" w:sz="0" w:space="0" w:color="auto"/>
      </w:divBdr>
    </w:div>
    <w:div w:id="1830125247">
      <w:marLeft w:val="0"/>
      <w:marRight w:val="0"/>
      <w:marTop w:val="160"/>
      <w:marBottom w:val="160"/>
      <w:divBdr>
        <w:top w:val="none" w:sz="0" w:space="0" w:color="auto"/>
        <w:left w:val="none" w:sz="0" w:space="0" w:color="auto"/>
        <w:bottom w:val="none" w:sz="0" w:space="0" w:color="auto"/>
        <w:right w:val="none" w:sz="0" w:space="0" w:color="auto"/>
      </w:divBdr>
    </w:div>
    <w:div w:id="1834223499">
      <w:marLeft w:val="0"/>
      <w:marRight w:val="0"/>
      <w:marTop w:val="160"/>
      <w:marBottom w:val="160"/>
      <w:divBdr>
        <w:top w:val="none" w:sz="0" w:space="0" w:color="auto"/>
        <w:left w:val="none" w:sz="0" w:space="0" w:color="auto"/>
        <w:bottom w:val="none" w:sz="0" w:space="0" w:color="auto"/>
        <w:right w:val="none" w:sz="0" w:space="0" w:color="auto"/>
      </w:divBdr>
    </w:div>
    <w:div w:id="1835293027">
      <w:marLeft w:val="0"/>
      <w:marRight w:val="0"/>
      <w:marTop w:val="160"/>
      <w:marBottom w:val="160"/>
      <w:divBdr>
        <w:top w:val="none" w:sz="0" w:space="0" w:color="auto"/>
        <w:left w:val="none" w:sz="0" w:space="0" w:color="auto"/>
        <w:bottom w:val="none" w:sz="0" w:space="0" w:color="auto"/>
        <w:right w:val="none" w:sz="0" w:space="0" w:color="auto"/>
      </w:divBdr>
    </w:div>
    <w:div w:id="1838957589">
      <w:marLeft w:val="0"/>
      <w:marRight w:val="0"/>
      <w:marTop w:val="0"/>
      <w:marBottom w:val="0"/>
      <w:divBdr>
        <w:top w:val="none" w:sz="0" w:space="0" w:color="auto"/>
        <w:left w:val="none" w:sz="0" w:space="0" w:color="auto"/>
        <w:bottom w:val="none" w:sz="0" w:space="0" w:color="auto"/>
        <w:right w:val="none" w:sz="0" w:space="0" w:color="auto"/>
      </w:divBdr>
      <w:divsChild>
        <w:div w:id="1569534621">
          <w:marLeft w:val="0"/>
          <w:marRight w:val="0"/>
          <w:marTop w:val="160"/>
          <w:marBottom w:val="0"/>
          <w:divBdr>
            <w:top w:val="none" w:sz="0" w:space="0" w:color="auto"/>
            <w:left w:val="none" w:sz="0" w:space="0" w:color="auto"/>
            <w:bottom w:val="none" w:sz="0" w:space="0" w:color="auto"/>
            <w:right w:val="none" w:sz="0" w:space="0" w:color="auto"/>
          </w:divBdr>
        </w:div>
        <w:div w:id="1472091118">
          <w:marLeft w:val="0"/>
          <w:marRight w:val="0"/>
          <w:marTop w:val="160"/>
          <w:marBottom w:val="0"/>
          <w:divBdr>
            <w:top w:val="none" w:sz="0" w:space="0" w:color="auto"/>
            <w:left w:val="none" w:sz="0" w:space="0" w:color="auto"/>
            <w:bottom w:val="none" w:sz="0" w:space="0" w:color="auto"/>
            <w:right w:val="none" w:sz="0" w:space="0" w:color="auto"/>
          </w:divBdr>
        </w:div>
        <w:div w:id="1633636830">
          <w:marLeft w:val="0"/>
          <w:marRight w:val="0"/>
          <w:marTop w:val="160"/>
          <w:marBottom w:val="160"/>
          <w:divBdr>
            <w:top w:val="none" w:sz="0" w:space="0" w:color="auto"/>
            <w:left w:val="none" w:sz="0" w:space="0" w:color="auto"/>
            <w:bottom w:val="none" w:sz="0" w:space="0" w:color="auto"/>
            <w:right w:val="none" w:sz="0" w:space="0" w:color="auto"/>
          </w:divBdr>
        </w:div>
        <w:div w:id="1459451871">
          <w:marLeft w:val="0"/>
          <w:marRight w:val="0"/>
          <w:marTop w:val="160"/>
          <w:marBottom w:val="160"/>
          <w:divBdr>
            <w:top w:val="none" w:sz="0" w:space="0" w:color="auto"/>
            <w:left w:val="none" w:sz="0" w:space="0" w:color="auto"/>
            <w:bottom w:val="none" w:sz="0" w:space="0" w:color="auto"/>
            <w:right w:val="none" w:sz="0" w:space="0" w:color="auto"/>
          </w:divBdr>
        </w:div>
        <w:div w:id="1468468658">
          <w:marLeft w:val="0"/>
          <w:marRight w:val="0"/>
          <w:marTop w:val="160"/>
          <w:marBottom w:val="160"/>
          <w:divBdr>
            <w:top w:val="none" w:sz="0" w:space="0" w:color="auto"/>
            <w:left w:val="none" w:sz="0" w:space="0" w:color="auto"/>
            <w:bottom w:val="none" w:sz="0" w:space="0" w:color="auto"/>
            <w:right w:val="none" w:sz="0" w:space="0" w:color="auto"/>
          </w:divBdr>
        </w:div>
      </w:divsChild>
    </w:div>
    <w:div w:id="1852335118">
      <w:marLeft w:val="0"/>
      <w:marRight w:val="0"/>
      <w:marTop w:val="0"/>
      <w:marBottom w:val="0"/>
      <w:divBdr>
        <w:top w:val="none" w:sz="0" w:space="0" w:color="auto"/>
        <w:left w:val="none" w:sz="0" w:space="0" w:color="auto"/>
        <w:bottom w:val="none" w:sz="0" w:space="0" w:color="auto"/>
        <w:right w:val="none" w:sz="0" w:space="0" w:color="auto"/>
      </w:divBdr>
      <w:divsChild>
        <w:div w:id="1264849070">
          <w:marLeft w:val="0"/>
          <w:marRight w:val="0"/>
          <w:marTop w:val="0"/>
          <w:marBottom w:val="0"/>
          <w:divBdr>
            <w:top w:val="none" w:sz="0" w:space="0" w:color="auto"/>
            <w:left w:val="none" w:sz="0" w:space="0" w:color="auto"/>
            <w:bottom w:val="none" w:sz="0" w:space="0" w:color="auto"/>
            <w:right w:val="none" w:sz="0" w:space="0" w:color="auto"/>
          </w:divBdr>
        </w:div>
      </w:divsChild>
    </w:div>
    <w:div w:id="1855487753">
      <w:marLeft w:val="0"/>
      <w:marRight w:val="0"/>
      <w:marTop w:val="160"/>
      <w:marBottom w:val="160"/>
      <w:divBdr>
        <w:top w:val="none" w:sz="0" w:space="0" w:color="auto"/>
        <w:left w:val="none" w:sz="0" w:space="0" w:color="auto"/>
        <w:bottom w:val="none" w:sz="0" w:space="0" w:color="auto"/>
        <w:right w:val="none" w:sz="0" w:space="0" w:color="auto"/>
      </w:divBdr>
    </w:div>
    <w:div w:id="1858079723">
      <w:marLeft w:val="0"/>
      <w:marRight w:val="0"/>
      <w:marTop w:val="160"/>
      <w:marBottom w:val="160"/>
      <w:divBdr>
        <w:top w:val="none" w:sz="0" w:space="0" w:color="auto"/>
        <w:left w:val="none" w:sz="0" w:space="0" w:color="auto"/>
        <w:bottom w:val="none" w:sz="0" w:space="0" w:color="auto"/>
        <w:right w:val="none" w:sz="0" w:space="0" w:color="auto"/>
      </w:divBdr>
    </w:div>
    <w:div w:id="1860778046">
      <w:marLeft w:val="0"/>
      <w:marRight w:val="0"/>
      <w:marTop w:val="160"/>
      <w:marBottom w:val="160"/>
      <w:divBdr>
        <w:top w:val="none" w:sz="0" w:space="0" w:color="auto"/>
        <w:left w:val="none" w:sz="0" w:space="0" w:color="auto"/>
        <w:bottom w:val="none" w:sz="0" w:space="0" w:color="auto"/>
        <w:right w:val="none" w:sz="0" w:space="0" w:color="auto"/>
      </w:divBdr>
    </w:div>
    <w:div w:id="1861122968">
      <w:marLeft w:val="0"/>
      <w:marRight w:val="0"/>
      <w:marTop w:val="160"/>
      <w:marBottom w:val="160"/>
      <w:divBdr>
        <w:top w:val="none" w:sz="0" w:space="0" w:color="auto"/>
        <w:left w:val="none" w:sz="0" w:space="0" w:color="auto"/>
        <w:bottom w:val="none" w:sz="0" w:space="0" w:color="auto"/>
        <w:right w:val="none" w:sz="0" w:space="0" w:color="auto"/>
      </w:divBdr>
    </w:div>
    <w:div w:id="1877041381">
      <w:marLeft w:val="0"/>
      <w:marRight w:val="0"/>
      <w:marTop w:val="0"/>
      <w:marBottom w:val="0"/>
      <w:divBdr>
        <w:top w:val="none" w:sz="0" w:space="0" w:color="auto"/>
        <w:left w:val="none" w:sz="0" w:space="0" w:color="auto"/>
        <w:bottom w:val="none" w:sz="0" w:space="0" w:color="auto"/>
        <w:right w:val="none" w:sz="0" w:space="0" w:color="auto"/>
      </w:divBdr>
      <w:divsChild>
        <w:div w:id="781071183">
          <w:marLeft w:val="0"/>
          <w:marRight w:val="0"/>
          <w:marTop w:val="0"/>
          <w:marBottom w:val="0"/>
          <w:divBdr>
            <w:top w:val="none" w:sz="0" w:space="0" w:color="auto"/>
            <w:left w:val="none" w:sz="0" w:space="0" w:color="auto"/>
            <w:bottom w:val="none" w:sz="0" w:space="0" w:color="auto"/>
            <w:right w:val="none" w:sz="0" w:space="0" w:color="auto"/>
          </w:divBdr>
        </w:div>
      </w:divsChild>
    </w:div>
    <w:div w:id="1880580757">
      <w:marLeft w:val="0"/>
      <w:marRight w:val="0"/>
      <w:marTop w:val="160"/>
      <w:marBottom w:val="160"/>
      <w:divBdr>
        <w:top w:val="none" w:sz="0" w:space="0" w:color="auto"/>
        <w:left w:val="none" w:sz="0" w:space="0" w:color="auto"/>
        <w:bottom w:val="none" w:sz="0" w:space="0" w:color="auto"/>
        <w:right w:val="none" w:sz="0" w:space="0" w:color="auto"/>
      </w:divBdr>
    </w:div>
    <w:div w:id="1889606783">
      <w:marLeft w:val="0"/>
      <w:marRight w:val="0"/>
      <w:marTop w:val="60"/>
      <w:marBottom w:val="60"/>
      <w:divBdr>
        <w:top w:val="none" w:sz="0" w:space="0" w:color="auto"/>
        <w:left w:val="none" w:sz="0" w:space="0" w:color="auto"/>
        <w:bottom w:val="none" w:sz="0" w:space="0" w:color="auto"/>
        <w:right w:val="none" w:sz="0" w:space="0" w:color="auto"/>
      </w:divBdr>
    </w:div>
    <w:div w:id="1894073971">
      <w:marLeft w:val="0"/>
      <w:marRight w:val="0"/>
      <w:marTop w:val="0"/>
      <w:marBottom w:val="0"/>
      <w:divBdr>
        <w:top w:val="none" w:sz="0" w:space="0" w:color="auto"/>
        <w:left w:val="none" w:sz="0" w:space="0" w:color="auto"/>
        <w:bottom w:val="none" w:sz="0" w:space="0" w:color="auto"/>
        <w:right w:val="none" w:sz="0" w:space="0" w:color="auto"/>
      </w:divBdr>
      <w:divsChild>
        <w:div w:id="1992900762">
          <w:marLeft w:val="0"/>
          <w:marRight w:val="0"/>
          <w:marTop w:val="0"/>
          <w:marBottom w:val="0"/>
          <w:divBdr>
            <w:top w:val="none" w:sz="0" w:space="0" w:color="auto"/>
            <w:left w:val="none" w:sz="0" w:space="0" w:color="auto"/>
            <w:bottom w:val="none" w:sz="0" w:space="0" w:color="auto"/>
            <w:right w:val="none" w:sz="0" w:space="0" w:color="auto"/>
          </w:divBdr>
        </w:div>
      </w:divsChild>
    </w:div>
    <w:div w:id="1895659284">
      <w:marLeft w:val="0"/>
      <w:marRight w:val="0"/>
      <w:marTop w:val="160"/>
      <w:marBottom w:val="160"/>
      <w:divBdr>
        <w:top w:val="none" w:sz="0" w:space="0" w:color="auto"/>
        <w:left w:val="none" w:sz="0" w:space="0" w:color="auto"/>
        <w:bottom w:val="none" w:sz="0" w:space="0" w:color="auto"/>
        <w:right w:val="none" w:sz="0" w:space="0" w:color="auto"/>
      </w:divBdr>
    </w:div>
    <w:div w:id="1897088323">
      <w:marLeft w:val="0"/>
      <w:marRight w:val="0"/>
      <w:marTop w:val="160"/>
      <w:marBottom w:val="160"/>
      <w:divBdr>
        <w:top w:val="none" w:sz="0" w:space="0" w:color="auto"/>
        <w:left w:val="none" w:sz="0" w:space="0" w:color="auto"/>
        <w:bottom w:val="none" w:sz="0" w:space="0" w:color="auto"/>
        <w:right w:val="none" w:sz="0" w:space="0" w:color="auto"/>
      </w:divBdr>
    </w:div>
    <w:div w:id="1900365610">
      <w:marLeft w:val="0"/>
      <w:marRight w:val="0"/>
      <w:marTop w:val="160"/>
      <w:marBottom w:val="160"/>
      <w:divBdr>
        <w:top w:val="none" w:sz="0" w:space="0" w:color="auto"/>
        <w:left w:val="none" w:sz="0" w:space="0" w:color="auto"/>
        <w:bottom w:val="none" w:sz="0" w:space="0" w:color="auto"/>
        <w:right w:val="none" w:sz="0" w:space="0" w:color="auto"/>
      </w:divBdr>
    </w:div>
    <w:div w:id="1901204872">
      <w:marLeft w:val="0"/>
      <w:marRight w:val="0"/>
      <w:marTop w:val="160"/>
      <w:marBottom w:val="160"/>
      <w:divBdr>
        <w:top w:val="none" w:sz="0" w:space="0" w:color="auto"/>
        <w:left w:val="none" w:sz="0" w:space="0" w:color="auto"/>
        <w:bottom w:val="none" w:sz="0" w:space="0" w:color="auto"/>
        <w:right w:val="none" w:sz="0" w:space="0" w:color="auto"/>
      </w:divBdr>
    </w:div>
    <w:div w:id="1904294126">
      <w:marLeft w:val="0"/>
      <w:marRight w:val="0"/>
      <w:marTop w:val="0"/>
      <w:marBottom w:val="0"/>
      <w:divBdr>
        <w:top w:val="none" w:sz="0" w:space="0" w:color="auto"/>
        <w:left w:val="none" w:sz="0" w:space="0" w:color="auto"/>
        <w:bottom w:val="none" w:sz="0" w:space="0" w:color="auto"/>
        <w:right w:val="none" w:sz="0" w:space="0" w:color="auto"/>
      </w:divBdr>
      <w:divsChild>
        <w:div w:id="1130707855">
          <w:marLeft w:val="0"/>
          <w:marRight w:val="0"/>
          <w:marTop w:val="0"/>
          <w:marBottom w:val="0"/>
          <w:divBdr>
            <w:top w:val="none" w:sz="0" w:space="0" w:color="auto"/>
            <w:left w:val="none" w:sz="0" w:space="0" w:color="auto"/>
            <w:bottom w:val="none" w:sz="0" w:space="0" w:color="auto"/>
            <w:right w:val="none" w:sz="0" w:space="0" w:color="auto"/>
          </w:divBdr>
        </w:div>
      </w:divsChild>
    </w:div>
    <w:div w:id="1906866918">
      <w:marLeft w:val="0"/>
      <w:marRight w:val="0"/>
      <w:marTop w:val="160"/>
      <w:marBottom w:val="160"/>
      <w:divBdr>
        <w:top w:val="none" w:sz="0" w:space="0" w:color="auto"/>
        <w:left w:val="none" w:sz="0" w:space="0" w:color="auto"/>
        <w:bottom w:val="none" w:sz="0" w:space="0" w:color="auto"/>
        <w:right w:val="none" w:sz="0" w:space="0" w:color="auto"/>
      </w:divBdr>
    </w:div>
    <w:div w:id="1908416875">
      <w:marLeft w:val="0"/>
      <w:marRight w:val="0"/>
      <w:marTop w:val="160"/>
      <w:marBottom w:val="160"/>
      <w:divBdr>
        <w:top w:val="none" w:sz="0" w:space="0" w:color="auto"/>
        <w:left w:val="none" w:sz="0" w:space="0" w:color="auto"/>
        <w:bottom w:val="none" w:sz="0" w:space="0" w:color="auto"/>
        <w:right w:val="none" w:sz="0" w:space="0" w:color="auto"/>
      </w:divBdr>
    </w:div>
    <w:div w:id="1910844885">
      <w:marLeft w:val="0"/>
      <w:marRight w:val="0"/>
      <w:marTop w:val="0"/>
      <w:marBottom w:val="160"/>
      <w:divBdr>
        <w:top w:val="none" w:sz="0" w:space="0" w:color="auto"/>
        <w:left w:val="none" w:sz="0" w:space="0" w:color="auto"/>
        <w:bottom w:val="none" w:sz="0" w:space="0" w:color="auto"/>
        <w:right w:val="none" w:sz="0" w:space="0" w:color="auto"/>
      </w:divBdr>
    </w:div>
    <w:div w:id="1912961629">
      <w:marLeft w:val="0"/>
      <w:marRight w:val="0"/>
      <w:marTop w:val="160"/>
      <w:marBottom w:val="160"/>
      <w:divBdr>
        <w:top w:val="none" w:sz="0" w:space="0" w:color="auto"/>
        <w:left w:val="none" w:sz="0" w:space="0" w:color="auto"/>
        <w:bottom w:val="none" w:sz="0" w:space="0" w:color="auto"/>
        <w:right w:val="none" w:sz="0" w:space="0" w:color="auto"/>
      </w:divBdr>
    </w:div>
    <w:div w:id="1915235828">
      <w:marLeft w:val="0"/>
      <w:marRight w:val="0"/>
      <w:marTop w:val="160"/>
      <w:marBottom w:val="160"/>
      <w:divBdr>
        <w:top w:val="none" w:sz="0" w:space="0" w:color="auto"/>
        <w:left w:val="none" w:sz="0" w:space="0" w:color="auto"/>
        <w:bottom w:val="none" w:sz="0" w:space="0" w:color="auto"/>
        <w:right w:val="none" w:sz="0" w:space="0" w:color="auto"/>
      </w:divBdr>
    </w:div>
    <w:div w:id="1916668266">
      <w:marLeft w:val="0"/>
      <w:marRight w:val="0"/>
      <w:marTop w:val="160"/>
      <w:marBottom w:val="160"/>
      <w:divBdr>
        <w:top w:val="none" w:sz="0" w:space="0" w:color="auto"/>
        <w:left w:val="none" w:sz="0" w:space="0" w:color="auto"/>
        <w:bottom w:val="none" w:sz="0" w:space="0" w:color="auto"/>
        <w:right w:val="none" w:sz="0" w:space="0" w:color="auto"/>
      </w:divBdr>
    </w:div>
    <w:div w:id="1934316080">
      <w:marLeft w:val="0"/>
      <w:marRight w:val="0"/>
      <w:marTop w:val="0"/>
      <w:marBottom w:val="0"/>
      <w:divBdr>
        <w:top w:val="none" w:sz="0" w:space="0" w:color="auto"/>
        <w:left w:val="none" w:sz="0" w:space="0" w:color="auto"/>
        <w:bottom w:val="none" w:sz="0" w:space="0" w:color="auto"/>
        <w:right w:val="none" w:sz="0" w:space="0" w:color="auto"/>
      </w:divBdr>
    </w:div>
    <w:div w:id="1935355477">
      <w:marLeft w:val="0"/>
      <w:marRight w:val="0"/>
      <w:marTop w:val="160"/>
      <w:marBottom w:val="160"/>
      <w:divBdr>
        <w:top w:val="none" w:sz="0" w:space="0" w:color="auto"/>
        <w:left w:val="none" w:sz="0" w:space="0" w:color="auto"/>
        <w:bottom w:val="none" w:sz="0" w:space="0" w:color="auto"/>
        <w:right w:val="none" w:sz="0" w:space="0" w:color="auto"/>
      </w:divBdr>
    </w:div>
    <w:div w:id="1936478528">
      <w:marLeft w:val="0"/>
      <w:marRight w:val="0"/>
      <w:marTop w:val="160"/>
      <w:marBottom w:val="160"/>
      <w:divBdr>
        <w:top w:val="none" w:sz="0" w:space="0" w:color="auto"/>
        <w:left w:val="none" w:sz="0" w:space="0" w:color="auto"/>
        <w:bottom w:val="none" w:sz="0" w:space="0" w:color="auto"/>
        <w:right w:val="none" w:sz="0" w:space="0" w:color="auto"/>
      </w:divBdr>
    </w:div>
    <w:div w:id="1938978890">
      <w:marLeft w:val="0"/>
      <w:marRight w:val="0"/>
      <w:marTop w:val="160"/>
      <w:marBottom w:val="160"/>
      <w:divBdr>
        <w:top w:val="none" w:sz="0" w:space="0" w:color="auto"/>
        <w:left w:val="none" w:sz="0" w:space="0" w:color="auto"/>
        <w:bottom w:val="none" w:sz="0" w:space="0" w:color="auto"/>
        <w:right w:val="none" w:sz="0" w:space="0" w:color="auto"/>
      </w:divBdr>
    </w:div>
    <w:div w:id="1945336321">
      <w:marLeft w:val="0"/>
      <w:marRight w:val="0"/>
      <w:marTop w:val="160"/>
      <w:marBottom w:val="160"/>
      <w:divBdr>
        <w:top w:val="none" w:sz="0" w:space="0" w:color="auto"/>
        <w:left w:val="none" w:sz="0" w:space="0" w:color="auto"/>
        <w:bottom w:val="none" w:sz="0" w:space="0" w:color="auto"/>
        <w:right w:val="none" w:sz="0" w:space="0" w:color="auto"/>
      </w:divBdr>
    </w:div>
    <w:div w:id="1947423276">
      <w:marLeft w:val="0"/>
      <w:marRight w:val="0"/>
      <w:marTop w:val="160"/>
      <w:marBottom w:val="160"/>
      <w:divBdr>
        <w:top w:val="none" w:sz="0" w:space="0" w:color="auto"/>
        <w:left w:val="none" w:sz="0" w:space="0" w:color="auto"/>
        <w:bottom w:val="none" w:sz="0" w:space="0" w:color="auto"/>
        <w:right w:val="none" w:sz="0" w:space="0" w:color="auto"/>
      </w:divBdr>
    </w:div>
    <w:div w:id="1949584020">
      <w:marLeft w:val="0"/>
      <w:marRight w:val="0"/>
      <w:marTop w:val="0"/>
      <w:marBottom w:val="0"/>
      <w:divBdr>
        <w:top w:val="none" w:sz="0" w:space="0" w:color="auto"/>
        <w:left w:val="none" w:sz="0" w:space="0" w:color="auto"/>
        <w:bottom w:val="none" w:sz="0" w:space="0" w:color="auto"/>
        <w:right w:val="none" w:sz="0" w:space="0" w:color="auto"/>
      </w:divBdr>
    </w:div>
    <w:div w:id="1954481718">
      <w:marLeft w:val="0"/>
      <w:marRight w:val="0"/>
      <w:marTop w:val="0"/>
      <w:marBottom w:val="160"/>
      <w:divBdr>
        <w:top w:val="none" w:sz="0" w:space="0" w:color="auto"/>
        <w:left w:val="none" w:sz="0" w:space="0" w:color="auto"/>
        <w:bottom w:val="none" w:sz="0" w:space="0" w:color="auto"/>
        <w:right w:val="none" w:sz="0" w:space="0" w:color="auto"/>
      </w:divBdr>
    </w:div>
    <w:div w:id="1961571366">
      <w:marLeft w:val="0"/>
      <w:marRight w:val="0"/>
      <w:marTop w:val="160"/>
      <w:marBottom w:val="160"/>
      <w:divBdr>
        <w:top w:val="none" w:sz="0" w:space="0" w:color="auto"/>
        <w:left w:val="none" w:sz="0" w:space="0" w:color="auto"/>
        <w:bottom w:val="none" w:sz="0" w:space="0" w:color="auto"/>
        <w:right w:val="none" w:sz="0" w:space="0" w:color="auto"/>
      </w:divBdr>
    </w:div>
    <w:div w:id="1963263442">
      <w:marLeft w:val="0"/>
      <w:marRight w:val="0"/>
      <w:marTop w:val="160"/>
      <w:marBottom w:val="160"/>
      <w:divBdr>
        <w:top w:val="none" w:sz="0" w:space="0" w:color="auto"/>
        <w:left w:val="none" w:sz="0" w:space="0" w:color="auto"/>
        <w:bottom w:val="none" w:sz="0" w:space="0" w:color="auto"/>
        <w:right w:val="none" w:sz="0" w:space="0" w:color="auto"/>
      </w:divBdr>
    </w:div>
    <w:div w:id="1963611651">
      <w:marLeft w:val="0"/>
      <w:marRight w:val="0"/>
      <w:marTop w:val="160"/>
      <w:marBottom w:val="160"/>
      <w:divBdr>
        <w:top w:val="none" w:sz="0" w:space="0" w:color="auto"/>
        <w:left w:val="none" w:sz="0" w:space="0" w:color="auto"/>
        <w:bottom w:val="none" w:sz="0" w:space="0" w:color="auto"/>
        <w:right w:val="none" w:sz="0" w:space="0" w:color="auto"/>
      </w:divBdr>
    </w:div>
    <w:div w:id="1965581003">
      <w:marLeft w:val="0"/>
      <w:marRight w:val="0"/>
      <w:marTop w:val="160"/>
      <w:marBottom w:val="160"/>
      <w:divBdr>
        <w:top w:val="none" w:sz="0" w:space="0" w:color="auto"/>
        <w:left w:val="none" w:sz="0" w:space="0" w:color="auto"/>
        <w:bottom w:val="none" w:sz="0" w:space="0" w:color="auto"/>
        <w:right w:val="none" w:sz="0" w:space="0" w:color="auto"/>
      </w:divBdr>
    </w:div>
    <w:div w:id="1975717813">
      <w:marLeft w:val="0"/>
      <w:marRight w:val="0"/>
      <w:marTop w:val="160"/>
      <w:marBottom w:val="160"/>
      <w:divBdr>
        <w:top w:val="none" w:sz="0" w:space="0" w:color="auto"/>
        <w:left w:val="none" w:sz="0" w:space="0" w:color="auto"/>
        <w:bottom w:val="none" w:sz="0" w:space="0" w:color="auto"/>
        <w:right w:val="none" w:sz="0" w:space="0" w:color="auto"/>
      </w:divBdr>
    </w:div>
    <w:div w:id="1978532107">
      <w:marLeft w:val="0"/>
      <w:marRight w:val="0"/>
      <w:marTop w:val="160"/>
      <w:marBottom w:val="160"/>
      <w:divBdr>
        <w:top w:val="none" w:sz="0" w:space="0" w:color="auto"/>
        <w:left w:val="none" w:sz="0" w:space="0" w:color="auto"/>
        <w:bottom w:val="none" w:sz="0" w:space="0" w:color="auto"/>
        <w:right w:val="none" w:sz="0" w:space="0" w:color="auto"/>
      </w:divBdr>
    </w:div>
    <w:div w:id="1979604093">
      <w:marLeft w:val="0"/>
      <w:marRight w:val="0"/>
      <w:marTop w:val="160"/>
      <w:marBottom w:val="160"/>
      <w:divBdr>
        <w:top w:val="none" w:sz="0" w:space="0" w:color="auto"/>
        <w:left w:val="none" w:sz="0" w:space="0" w:color="auto"/>
        <w:bottom w:val="none" w:sz="0" w:space="0" w:color="auto"/>
        <w:right w:val="none" w:sz="0" w:space="0" w:color="auto"/>
      </w:divBdr>
    </w:div>
    <w:div w:id="1983727828">
      <w:marLeft w:val="0"/>
      <w:marRight w:val="0"/>
      <w:marTop w:val="100"/>
      <w:marBottom w:val="160"/>
      <w:divBdr>
        <w:top w:val="none" w:sz="0" w:space="0" w:color="auto"/>
        <w:left w:val="none" w:sz="0" w:space="0" w:color="auto"/>
        <w:bottom w:val="none" w:sz="0" w:space="0" w:color="auto"/>
        <w:right w:val="none" w:sz="0" w:space="0" w:color="auto"/>
      </w:divBdr>
    </w:div>
    <w:div w:id="1991055205">
      <w:marLeft w:val="0"/>
      <w:marRight w:val="0"/>
      <w:marTop w:val="160"/>
      <w:marBottom w:val="160"/>
      <w:divBdr>
        <w:top w:val="none" w:sz="0" w:space="0" w:color="auto"/>
        <w:left w:val="none" w:sz="0" w:space="0" w:color="auto"/>
        <w:bottom w:val="none" w:sz="0" w:space="0" w:color="auto"/>
        <w:right w:val="none" w:sz="0" w:space="0" w:color="auto"/>
      </w:divBdr>
    </w:div>
    <w:div w:id="1992556936">
      <w:marLeft w:val="0"/>
      <w:marRight w:val="0"/>
      <w:marTop w:val="160"/>
      <w:marBottom w:val="160"/>
      <w:divBdr>
        <w:top w:val="none" w:sz="0" w:space="0" w:color="auto"/>
        <w:left w:val="none" w:sz="0" w:space="0" w:color="auto"/>
        <w:bottom w:val="none" w:sz="0" w:space="0" w:color="auto"/>
        <w:right w:val="none" w:sz="0" w:space="0" w:color="auto"/>
      </w:divBdr>
    </w:div>
    <w:div w:id="2002807345">
      <w:marLeft w:val="0"/>
      <w:marRight w:val="0"/>
      <w:marTop w:val="160"/>
      <w:marBottom w:val="160"/>
      <w:divBdr>
        <w:top w:val="none" w:sz="0" w:space="0" w:color="auto"/>
        <w:left w:val="none" w:sz="0" w:space="0" w:color="auto"/>
        <w:bottom w:val="none" w:sz="0" w:space="0" w:color="auto"/>
        <w:right w:val="none" w:sz="0" w:space="0" w:color="auto"/>
      </w:divBdr>
    </w:div>
    <w:div w:id="2003466239">
      <w:marLeft w:val="0"/>
      <w:marRight w:val="0"/>
      <w:marTop w:val="160"/>
      <w:marBottom w:val="160"/>
      <w:divBdr>
        <w:top w:val="none" w:sz="0" w:space="0" w:color="auto"/>
        <w:left w:val="none" w:sz="0" w:space="0" w:color="auto"/>
        <w:bottom w:val="none" w:sz="0" w:space="0" w:color="auto"/>
        <w:right w:val="none" w:sz="0" w:space="0" w:color="auto"/>
      </w:divBdr>
    </w:div>
    <w:div w:id="2010130020">
      <w:marLeft w:val="0"/>
      <w:marRight w:val="0"/>
      <w:marTop w:val="160"/>
      <w:marBottom w:val="160"/>
      <w:divBdr>
        <w:top w:val="none" w:sz="0" w:space="0" w:color="auto"/>
        <w:left w:val="none" w:sz="0" w:space="0" w:color="auto"/>
        <w:bottom w:val="none" w:sz="0" w:space="0" w:color="auto"/>
        <w:right w:val="none" w:sz="0" w:space="0" w:color="auto"/>
      </w:divBdr>
    </w:div>
    <w:div w:id="2025159405">
      <w:marLeft w:val="0"/>
      <w:marRight w:val="0"/>
      <w:marTop w:val="160"/>
      <w:marBottom w:val="160"/>
      <w:divBdr>
        <w:top w:val="none" w:sz="0" w:space="0" w:color="auto"/>
        <w:left w:val="none" w:sz="0" w:space="0" w:color="auto"/>
        <w:bottom w:val="none" w:sz="0" w:space="0" w:color="auto"/>
        <w:right w:val="none" w:sz="0" w:space="0" w:color="auto"/>
      </w:divBdr>
    </w:div>
    <w:div w:id="2025285878">
      <w:marLeft w:val="0"/>
      <w:marRight w:val="0"/>
      <w:marTop w:val="160"/>
      <w:marBottom w:val="160"/>
      <w:divBdr>
        <w:top w:val="none" w:sz="0" w:space="0" w:color="auto"/>
        <w:left w:val="none" w:sz="0" w:space="0" w:color="auto"/>
        <w:bottom w:val="none" w:sz="0" w:space="0" w:color="auto"/>
        <w:right w:val="none" w:sz="0" w:space="0" w:color="auto"/>
      </w:divBdr>
    </w:div>
    <w:div w:id="2025326295">
      <w:marLeft w:val="0"/>
      <w:marRight w:val="0"/>
      <w:marTop w:val="160"/>
      <w:marBottom w:val="160"/>
      <w:divBdr>
        <w:top w:val="none" w:sz="0" w:space="0" w:color="auto"/>
        <w:left w:val="none" w:sz="0" w:space="0" w:color="auto"/>
        <w:bottom w:val="none" w:sz="0" w:space="0" w:color="auto"/>
        <w:right w:val="none" w:sz="0" w:space="0" w:color="auto"/>
      </w:divBdr>
    </w:div>
    <w:div w:id="2027361871">
      <w:marLeft w:val="0"/>
      <w:marRight w:val="0"/>
      <w:marTop w:val="160"/>
      <w:marBottom w:val="160"/>
      <w:divBdr>
        <w:top w:val="none" w:sz="0" w:space="0" w:color="auto"/>
        <w:left w:val="none" w:sz="0" w:space="0" w:color="auto"/>
        <w:bottom w:val="none" w:sz="0" w:space="0" w:color="auto"/>
        <w:right w:val="none" w:sz="0" w:space="0" w:color="auto"/>
      </w:divBdr>
    </w:div>
    <w:div w:id="2027825864">
      <w:marLeft w:val="0"/>
      <w:marRight w:val="0"/>
      <w:marTop w:val="160"/>
      <w:marBottom w:val="160"/>
      <w:divBdr>
        <w:top w:val="none" w:sz="0" w:space="0" w:color="auto"/>
        <w:left w:val="none" w:sz="0" w:space="0" w:color="auto"/>
        <w:bottom w:val="none" w:sz="0" w:space="0" w:color="auto"/>
        <w:right w:val="none" w:sz="0" w:space="0" w:color="auto"/>
      </w:divBdr>
    </w:div>
    <w:div w:id="2028098920">
      <w:marLeft w:val="0"/>
      <w:marRight w:val="0"/>
      <w:marTop w:val="160"/>
      <w:marBottom w:val="160"/>
      <w:divBdr>
        <w:top w:val="none" w:sz="0" w:space="0" w:color="auto"/>
        <w:left w:val="none" w:sz="0" w:space="0" w:color="auto"/>
        <w:bottom w:val="none" w:sz="0" w:space="0" w:color="auto"/>
        <w:right w:val="none" w:sz="0" w:space="0" w:color="auto"/>
      </w:divBdr>
    </w:div>
    <w:div w:id="2033070005">
      <w:marLeft w:val="0"/>
      <w:marRight w:val="0"/>
      <w:marTop w:val="160"/>
      <w:marBottom w:val="160"/>
      <w:divBdr>
        <w:top w:val="none" w:sz="0" w:space="0" w:color="auto"/>
        <w:left w:val="none" w:sz="0" w:space="0" w:color="auto"/>
        <w:bottom w:val="none" w:sz="0" w:space="0" w:color="auto"/>
        <w:right w:val="none" w:sz="0" w:space="0" w:color="auto"/>
      </w:divBdr>
    </w:div>
    <w:div w:id="2035305262">
      <w:marLeft w:val="0"/>
      <w:marRight w:val="0"/>
      <w:marTop w:val="160"/>
      <w:marBottom w:val="160"/>
      <w:divBdr>
        <w:top w:val="none" w:sz="0" w:space="0" w:color="auto"/>
        <w:left w:val="none" w:sz="0" w:space="0" w:color="auto"/>
        <w:bottom w:val="none" w:sz="0" w:space="0" w:color="auto"/>
        <w:right w:val="none" w:sz="0" w:space="0" w:color="auto"/>
      </w:divBdr>
    </w:div>
    <w:div w:id="2035376680">
      <w:marLeft w:val="0"/>
      <w:marRight w:val="0"/>
      <w:marTop w:val="0"/>
      <w:marBottom w:val="0"/>
      <w:divBdr>
        <w:top w:val="none" w:sz="0" w:space="0" w:color="auto"/>
        <w:left w:val="none" w:sz="0" w:space="0" w:color="auto"/>
        <w:bottom w:val="none" w:sz="0" w:space="0" w:color="auto"/>
        <w:right w:val="none" w:sz="0" w:space="0" w:color="auto"/>
      </w:divBdr>
    </w:div>
    <w:div w:id="2038850179">
      <w:marLeft w:val="0"/>
      <w:marRight w:val="0"/>
      <w:marTop w:val="160"/>
      <w:marBottom w:val="160"/>
      <w:divBdr>
        <w:top w:val="none" w:sz="0" w:space="0" w:color="auto"/>
        <w:left w:val="none" w:sz="0" w:space="0" w:color="auto"/>
        <w:bottom w:val="none" w:sz="0" w:space="0" w:color="auto"/>
        <w:right w:val="none" w:sz="0" w:space="0" w:color="auto"/>
      </w:divBdr>
    </w:div>
    <w:div w:id="2042628013">
      <w:marLeft w:val="0"/>
      <w:marRight w:val="0"/>
      <w:marTop w:val="160"/>
      <w:marBottom w:val="160"/>
      <w:divBdr>
        <w:top w:val="none" w:sz="0" w:space="0" w:color="auto"/>
        <w:left w:val="none" w:sz="0" w:space="0" w:color="auto"/>
        <w:bottom w:val="none" w:sz="0" w:space="0" w:color="auto"/>
        <w:right w:val="none" w:sz="0" w:space="0" w:color="auto"/>
      </w:divBdr>
    </w:div>
    <w:div w:id="2045445510">
      <w:marLeft w:val="0"/>
      <w:marRight w:val="0"/>
      <w:marTop w:val="160"/>
      <w:marBottom w:val="160"/>
      <w:divBdr>
        <w:top w:val="none" w:sz="0" w:space="0" w:color="auto"/>
        <w:left w:val="none" w:sz="0" w:space="0" w:color="auto"/>
        <w:bottom w:val="none" w:sz="0" w:space="0" w:color="auto"/>
        <w:right w:val="none" w:sz="0" w:space="0" w:color="auto"/>
      </w:divBdr>
      <w:divsChild>
        <w:div w:id="593979219">
          <w:marLeft w:val="0"/>
          <w:marRight w:val="0"/>
          <w:marTop w:val="0"/>
          <w:marBottom w:val="0"/>
          <w:divBdr>
            <w:top w:val="none" w:sz="0" w:space="0" w:color="auto"/>
            <w:left w:val="none" w:sz="0" w:space="0" w:color="auto"/>
            <w:bottom w:val="none" w:sz="0" w:space="0" w:color="auto"/>
            <w:right w:val="none" w:sz="0" w:space="0" w:color="auto"/>
          </w:divBdr>
        </w:div>
      </w:divsChild>
    </w:div>
    <w:div w:id="2054496657">
      <w:marLeft w:val="0"/>
      <w:marRight w:val="0"/>
      <w:marTop w:val="60"/>
      <w:marBottom w:val="0"/>
      <w:divBdr>
        <w:top w:val="none" w:sz="0" w:space="0" w:color="auto"/>
        <w:left w:val="none" w:sz="0" w:space="0" w:color="auto"/>
        <w:bottom w:val="none" w:sz="0" w:space="0" w:color="auto"/>
        <w:right w:val="none" w:sz="0" w:space="0" w:color="auto"/>
      </w:divBdr>
    </w:div>
    <w:div w:id="2061049367">
      <w:marLeft w:val="0"/>
      <w:marRight w:val="0"/>
      <w:marTop w:val="160"/>
      <w:marBottom w:val="160"/>
      <w:divBdr>
        <w:top w:val="none" w:sz="0" w:space="0" w:color="auto"/>
        <w:left w:val="none" w:sz="0" w:space="0" w:color="auto"/>
        <w:bottom w:val="none" w:sz="0" w:space="0" w:color="auto"/>
        <w:right w:val="none" w:sz="0" w:space="0" w:color="auto"/>
      </w:divBdr>
    </w:div>
    <w:div w:id="2069912857">
      <w:marLeft w:val="0"/>
      <w:marRight w:val="0"/>
      <w:marTop w:val="0"/>
      <w:marBottom w:val="0"/>
      <w:divBdr>
        <w:top w:val="none" w:sz="0" w:space="0" w:color="auto"/>
        <w:left w:val="none" w:sz="0" w:space="0" w:color="auto"/>
        <w:bottom w:val="none" w:sz="0" w:space="0" w:color="auto"/>
        <w:right w:val="none" w:sz="0" w:space="0" w:color="auto"/>
      </w:divBdr>
      <w:divsChild>
        <w:div w:id="497385043">
          <w:marLeft w:val="0"/>
          <w:marRight w:val="0"/>
          <w:marTop w:val="160"/>
          <w:marBottom w:val="160"/>
          <w:divBdr>
            <w:top w:val="none" w:sz="0" w:space="0" w:color="auto"/>
            <w:left w:val="none" w:sz="0" w:space="0" w:color="auto"/>
            <w:bottom w:val="none" w:sz="0" w:space="0" w:color="auto"/>
            <w:right w:val="none" w:sz="0" w:space="0" w:color="auto"/>
          </w:divBdr>
        </w:div>
        <w:div w:id="1868789380">
          <w:marLeft w:val="0"/>
          <w:marRight w:val="0"/>
          <w:marTop w:val="160"/>
          <w:marBottom w:val="160"/>
          <w:divBdr>
            <w:top w:val="none" w:sz="0" w:space="0" w:color="auto"/>
            <w:left w:val="none" w:sz="0" w:space="0" w:color="auto"/>
            <w:bottom w:val="none" w:sz="0" w:space="0" w:color="auto"/>
            <w:right w:val="none" w:sz="0" w:space="0" w:color="auto"/>
          </w:divBdr>
        </w:div>
        <w:div w:id="1621645532">
          <w:marLeft w:val="0"/>
          <w:marRight w:val="0"/>
          <w:marTop w:val="160"/>
          <w:marBottom w:val="160"/>
          <w:divBdr>
            <w:top w:val="none" w:sz="0" w:space="0" w:color="auto"/>
            <w:left w:val="none" w:sz="0" w:space="0" w:color="auto"/>
            <w:bottom w:val="none" w:sz="0" w:space="0" w:color="auto"/>
            <w:right w:val="none" w:sz="0" w:space="0" w:color="auto"/>
          </w:divBdr>
        </w:div>
        <w:div w:id="138084398">
          <w:marLeft w:val="0"/>
          <w:marRight w:val="0"/>
          <w:marTop w:val="160"/>
          <w:marBottom w:val="160"/>
          <w:divBdr>
            <w:top w:val="none" w:sz="0" w:space="0" w:color="auto"/>
            <w:left w:val="none" w:sz="0" w:space="0" w:color="auto"/>
            <w:bottom w:val="none" w:sz="0" w:space="0" w:color="auto"/>
            <w:right w:val="none" w:sz="0" w:space="0" w:color="auto"/>
          </w:divBdr>
        </w:div>
        <w:div w:id="2105222894">
          <w:marLeft w:val="0"/>
          <w:marRight w:val="0"/>
          <w:marTop w:val="160"/>
          <w:marBottom w:val="160"/>
          <w:divBdr>
            <w:top w:val="none" w:sz="0" w:space="0" w:color="auto"/>
            <w:left w:val="none" w:sz="0" w:space="0" w:color="auto"/>
            <w:bottom w:val="none" w:sz="0" w:space="0" w:color="auto"/>
            <w:right w:val="none" w:sz="0" w:space="0" w:color="auto"/>
          </w:divBdr>
        </w:div>
      </w:divsChild>
    </w:div>
    <w:div w:id="2076931072">
      <w:marLeft w:val="0"/>
      <w:marRight w:val="0"/>
      <w:marTop w:val="0"/>
      <w:marBottom w:val="0"/>
      <w:divBdr>
        <w:top w:val="none" w:sz="0" w:space="0" w:color="auto"/>
        <w:left w:val="none" w:sz="0" w:space="0" w:color="auto"/>
        <w:bottom w:val="none" w:sz="0" w:space="0" w:color="auto"/>
        <w:right w:val="none" w:sz="0" w:space="0" w:color="auto"/>
      </w:divBdr>
    </w:div>
    <w:div w:id="2081713961">
      <w:marLeft w:val="0"/>
      <w:marRight w:val="0"/>
      <w:marTop w:val="160"/>
      <w:marBottom w:val="160"/>
      <w:divBdr>
        <w:top w:val="none" w:sz="0" w:space="0" w:color="auto"/>
        <w:left w:val="none" w:sz="0" w:space="0" w:color="auto"/>
        <w:bottom w:val="none" w:sz="0" w:space="0" w:color="auto"/>
        <w:right w:val="none" w:sz="0" w:space="0" w:color="auto"/>
      </w:divBdr>
    </w:div>
    <w:div w:id="2083871434">
      <w:marLeft w:val="0"/>
      <w:marRight w:val="0"/>
      <w:marTop w:val="160"/>
      <w:marBottom w:val="160"/>
      <w:divBdr>
        <w:top w:val="none" w:sz="0" w:space="0" w:color="auto"/>
        <w:left w:val="none" w:sz="0" w:space="0" w:color="auto"/>
        <w:bottom w:val="none" w:sz="0" w:space="0" w:color="auto"/>
        <w:right w:val="none" w:sz="0" w:space="0" w:color="auto"/>
      </w:divBdr>
    </w:div>
    <w:div w:id="2086603198">
      <w:marLeft w:val="0"/>
      <w:marRight w:val="0"/>
      <w:marTop w:val="160"/>
      <w:marBottom w:val="160"/>
      <w:divBdr>
        <w:top w:val="none" w:sz="0" w:space="0" w:color="auto"/>
        <w:left w:val="none" w:sz="0" w:space="0" w:color="auto"/>
        <w:bottom w:val="none" w:sz="0" w:space="0" w:color="auto"/>
        <w:right w:val="none" w:sz="0" w:space="0" w:color="auto"/>
      </w:divBdr>
    </w:div>
    <w:div w:id="2087998418">
      <w:marLeft w:val="0"/>
      <w:marRight w:val="0"/>
      <w:marTop w:val="160"/>
      <w:marBottom w:val="160"/>
      <w:divBdr>
        <w:top w:val="none" w:sz="0" w:space="0" w:color="auto"/>
        <w:left w:val="none" w:sz="0" w:space="0" w:color="auto"/>
        <w:bottom w:val="none" w:sz="0" w:space="0" w:color="auto"/>
        <w:right w:val="none" w:sz="0" w:space="0" w:color="auto"/>
      </w:divBdr>
    </w:div>
    <w:div w:id="2091658885">
      <w:marLeft w:val="0"/>
      <w:marRight w:val="0"/>
      <w:marTop w:val="160"/>
      <w:marBottom w:val="160"/>
      <w:divBdr>
        <w:top w:val="none" w:sz="0" w:space="0" w:color="auto"/>
        <w:left w:val="none" w:sz="0" w:space="0" w:color="auto"/>
        <w:bottom w:val="none" w:sz="0" w:space="0" w:color="auto"/>
        <w:right w:val="none" w:sz="0" w:space="0" w:color="auto"/>
      </w:divBdr>
    </w:div>
    <w:div w:id="2095322741">
      <w:marLeft w:val="0"/>
      <w:marRight w:val="0"/>
      <w:marTop w:val="0"/>
      <w:marBottom w:val="0"/>
      <w:divBdr>
        <w:top w:val="none" w:sz="0" w:space="0" w:color="auto"/>
        <w:left w:val="none" w:sz="0" w:space="0" w:color="auto"/>
        <w:bottom w:val="none" w:sz="0" w:space="0" w:color="auto"/>
        <w:right w:val="none" w:sz="0" w:space="0" w:color="auto"/>
      </w:divBdr>
      <w:divsChild>
        <w:div w:id="2141921666">
          <w:marLeft w:val="0"/>
          <w:marRight w:val="0"/>
          <w:marTop w:val="0"/>
          <w:marBottom w:val="0"/>
          <w:divBdr>
            <w:top w:val="none" w:sz="0" w:space="0" w:color="auto"/>
            <w:left w:val="none" w:sz="0" w:space="0" w:color="auto"/>
            <w:bottom w:val="none" w:sz="0" w:space="0" w:color="auto"/>
            <w:right w:val="none" w:sz="0" w:space="0" w:color="auto"/>
          </w:divBdr>
        </w:div>
      </w:divsChild>
    </w:div>
    <w:div w:id="2097365435">
      <w:marLeft w:val="0"/>
      <w:marRight w:val="0"/>
      <w:marTop w:val="160"/>
      <w:marBottom w:val="160"/>
      <w:divBdr>
        <w:top w:val="none" w:sz="0" w:space="0" w:color="auto"/>
        <w:left w:val="none" w:sz="0" w:space="0" w:color="auto"/>
        <w:bottom w:val="none" w:sz="0" w:space="0" w:color="auto"/>
        <w:right w:val="none" w:sz="0" w:space="0" w:color="auto"/>
      </w:divBdr>
    </w:div>
    <w:div w:id="2097818953">
      <w:marLeft w:val="0"/>
      <w:marRight w:val="0"/>
      <w:marTop w:val="160"/>
      <w:marBottom w:val="160"/>
      <w:divBdr>
        <w:top w:val="none" w:sz="0" w:space="0" w:color="auto"/>
        <w:left w:val="none" w:sz="0" w:space="0" w:color="auto"/>
        <w:bottom w:val="none" w:sz="0" w:space="0" w:color="auto"/>
        <w:right w:val="none" w:sz="0" w:space="0" w:color="auto"/>
      </w:divBdr>
    </w:div>
    <w:div w:id="2105298534">
      <w:marLeft w:val="0"/>
      <w:marRight w:val="0"/>
      <w:marTop w:val="0"/>
      <w:marBottom w:val="0"/>
      <w:divBdr>
        <w:top w:val="none" w:sz="0" w:space="0" w:color="auto"/>
        <w:left w:val="none" w:sz="0" w:space="0" w:color="auto"/>
        <w:bottom w:val="none" w:sz="0" w:space="0" w:color="auto"/>
        <w:right w:val="none" w:sz="0" w:space="0" w:color="auto"/>
      </w:divBdr>
      <w:divsChild>
        <w:div w:id="1284578326">
          <w:marLeft w:val="0"/>
          <w:marRight w:val="0"/>
          <w:marTop w:val="0"/>
          <w:marBottom w:val="0"/>
          <w:divBdr>
            <w:top w:val="none" w:sz="0" w:space="0" w:color="auto"/>
            <w:left w:val="none" w:sz="0" w:space="0" w:color="auto"/>
            <w:bottom w:val="none" w:sz="0" w:space="0" w:color="auto"/>
            <w:right w:val="none" w:sz="0" w:space="0" w:color="auto"/>
          </w:divBdr>
        </w:div>
      </w:divsChild>
    </w:div>
    <w:div w:id="2107652101">
      <w:marLeft w:val="0"/>
      <w:marRight w:val="0"/>
      <w:marTop w:val="160"/>
      <w:marBottom w:val="160"/>
      <w:divBdr>
        <w:top w:val="none" w:sz="0" w:space="0" w:color="auto"/>
        <w:left w:val="none" w:sz="0" w:space="0" w:color="auto"/>
        <w:bottom w:val="none" w:sz="0" w:space="0" w:color="auto"/>
        <w:right w:val="none" w:sz="0" w:space="0" w:color="auto"/>
      </w:divBdr>
    </w:div>
    <w:div w:id="2109957939">
      <w:marLeft w:val="0"/>
      <w:marRight w:val="0"/>
      <w:marTop w:val="160"/>
      <w:marBottom w:val="160"/>
      <w:divBdr>
        <w:top w:val="none" w:sz="0" w:space="0" w:color="auto"/>
        <w:left w:val="none" w:sz="0" w:space="0" w:color="auto"/>
        <w:bottom w:val="none" w:sz="0" w:space="0" w:color="auto"/>
        <w:right w:val="none" w:sz="0" w:space="0" w:color="auto"/>
      </w:divBdr>
    </w:div>
    <w:div w:id="2114205280">
      <w:marLeft w:val="0"/>
      <w:marRight w:val="0"/>
      <w:marTop w:val="160"/>
      <w:marBottom w:val="160"/>
      <w:divBdr>
        <w:top w:val="none" w:sz="0" w:space="0" w:color="auto"/>
        <w:left w:val="none" w:sz="0" w:space="0" w:color="auto"/>
        <w:bottom w:val="none" w:sz="0" w:space="0" w:color="auto"/>
        <w:right w:val="none" w:sz="0" w:space="0" w:color="auto"/>
      </w:divBdr>
    </w:div>
    <w:div w:id="2115902459">
      <w:marLeft w:val="0"/>
      <w:marRight w:val="0"/>
      <w:marTop w:val="160"/>
      <w:marBottom w:val="160"/>
      <w:divBdr>
        <w:top w:val="none" w:sz="0" w:space="0" w:color="auto"/>
        <w:left w:val="none" w:sz="0" w:space="0" w:color="auto"/>
        <w:bottom w:val="none" w:sz="0" w:space="0" w:color="auto"/>
        <w:right w:val="none" w:sz="0" w:space="0" w:color="auto"/>
      </w:divBdr>
    </w:div>
    <w:div w:id="2117140600">
      <w:marLeft w:val="0"/>
      <w:marRight w:val="0"/>
      <w:marTop w:val="160"/>
      <w:marBottom w:val="160"/>
      <w:divBdr>
        <w:top w:val="none" w:sz="0" w:space="0" w:color="auto"/>
        <w:left w:val="none" w:sz="0" w:space="0" w:color="auto"/>
        <w:bottom w:val="none" w:sz="0" w:space="0" w:color="auto"/>
        <w:right w:val="none" w:sz="0" w:space="0" w:color="auto"/>
      </w:divBdr>
    </w:div>
    <w:div w:id="2128624352">
      <w:marLeft w:val="0"/>
      <w:marRight w:val="0"/>
      <w:marTop w:val="0"/>
      <w:marBottom w:val="0"/>
      <w:divBdr>
        <w:top w:val="none" w:sz="0" w:space="0" w:color="auto"/>
        <w:left w:val="none" w:sz="0" w:space="0" w:color="auto"/>
        <w:bottom w:val="none" w:sz="0" w:space="0" w:color="auto"/>
        <w:right w:val="none" w:sz="0" w:space="0" w:color="auto"/>
      </w:divBdr>
      <w:divsChild>
        <w:div w:id="1617448499">
          <w:marLeft w:val="0"/>
          <w:marRight w:val="0"/>
          <w:marTop w:val="160"/>
          <w:marBottom w:val="160"/>
          <w:divBdr>
            <w:top w:val="none" w:sz="0" w:space="0" w:color="auto"/>
            <w:left w:val="none" w:sz="0" w:space="0" w:color="auto"/>
            <w:bottom w:val="none" w:sz="0" w:space="0" w:color="auto"/>
            <w:right w:val="none" w:sz="0" w:space="0" w:color="auto"/>
          </w:divBdr>
        </w:div>
        <w:div w:id="383523903">
          <w:marLeft w:val="0"/>
          <w:marRight w:val="0"/>
          <w:marTop w:val="160"/>
          <w:marBottom w:val="160"/>
          <w:divBdr>
            <w:top w:val="none" w:sz="0" w:space="0" w:color="auto"/>
            <w:left w:val="none" w:sz="0" w:space="0" w:color="auto"/>
            <w:bottom w:val="none" w:sz="0" w:space="0" w:color="auto"/>
            <w:right w:val="none" w:sz="0" w:space="0" w:color="auto"/>
          </w:divBdr>
        </w:div>
        <w:div w:id="442458216">
          <w:marLeft w:val="0"/>
          <w:marRight w:val="0"/>
          <w:marTop w:val="160"/>
          <w:marBottom w:val="160"/>
          <w:divBdr>
            <w:top w:val="none" w:sz="0" w:space="0" w:color="auto"/>
            <w:left w:val="none" w:sz="0" w:space="0" w:color="auto"/>
            <w:bottom w:val="none" w:sz="0" w:space="0" w:color="auto"/>
            <w:right w:val="none" w:sz="0" w:space="0" w:color="auto"/>
          </w:divBdr>
        </w:div>
        <w:div w:id="696582605">
          <w:marLeft w:val="0"/>
          <w:marRight w:val="0"/>
          <w:marTop w:val="160"/>
          <w:marBottom w:val="160"/>
          <w:divBdr>
            <w:top w:val="none" w:sz="0" w:space="0" w:color="auto"/>
            <w:left w:val="none" w:sz="0" w:space="0" w:color="auto"/>
            <w:bottom w:val="none" w:sz="0" w:space="0" w:color="auto"/>
            <w:right w:val="none" w:sz="0" w:space="0" w:color="auto"/>
          </w:divBdr>
        </w:div>
        <w:div w:id="298073129">
          <w:marLeft w:val="0"/>
          <w:marRight w:val="0"/>
          <w:marTop w:val="160"/>
          <w:marBottom w:val="160"/>
          <w:divBdr>
            <w:top w:val="none" w:sz="0" w:space="0" w:color="auto"/>
            <w:left w:val="none" w:sz="0" w:space="0" w:color="auto"/>
            <w:bottom w:val="none" w:sz="0" w:space="0" w:color="auto"/>
            <w:right w:val="none" w:sz="0" w:space="0" w:color="auto"/>
          </w:divBdr>
        </w:div>
      </w:divsChild>
    </w:div>
    <w:div w:id="2136630387">
      <w:marLeft w:val="0"/>
      <w:marRight w:val="0"/>
      <w:marTop w:val="0"/>
      <w:marBottom w:val="0"/>
      <w:divBdr>
        <w:top w:val="none" w:sz="0" w:space="0" w:color="auto"/>
        <w:left w:val="none" w:sz="0" w:space="0" w:color="auto"/>
        <w:bottom w:val="none" w:sz="0" w:space="0" w:color="auto"/>
        <w:right w:val="none" w:sz="0" w:space="0" w:color="auto"/>
      </w:divBdr>
      <w:divsChild>
        <w:div w:id="731276969">
          <w:marLeft w:val="0"/>
          <w:marRight w:val="0"/>
          <w:marTop w:val="0"/>
          <w:marBottom w:val="0"/>
          <w:divBdr>
            <w:top w:val="none" w:sz="0" w:space="0" w:color="auto"/>
            <w:left w:val="none" w:sz="0" w:space="0" w:color="auto"/>
            <w:bottom w:val="none" w:sz="0" w:space="0" w:color="auto"/>
            <w:right w:val="none" w:sz="0" w:space="0" w:color="auto"/>
          </w:divBdr>
        </w:div>
      </w:divsChild>
    </w:div>
    <w:div w:id="2137404139">
      <w:marLeft w:val="0"/>
      <w:marRight w:val="0"/>
      <w:marTop w:val="0"/>
      <w:marBottom w:val="0"/>
      <w:divBdr>
        <w:top w:val="none" w:sz="0" w:space="0" w:color="auto"/>
        <w:left w:val="none" w:sz="0" w:space="0" w:color="auto"/>
        <w:bottom w:val="none" w:sz="0" w:space="0" w:color="auto"/>
        <w:right w:val="none" w:sz="0" w:space="0" w:color="auto"/>
      </w:divBdr>
      <w:divsChild>
        <w:div w:id="60829269">
          <w:marLeft w:val="0"/>
          <w:marRight w:val="0"/>
          <w:marTop w:val="0"/>
          <w:marBottom w:val="0"/>
          <w:divBdr>
            <w:top w:val="none" w:sz="0" w:space="0" w:color="auto"/>
            <w:left w:val="none" w:sz="0" w:space="0" w:color="auto"/>
            <w:bottom w:val="none" w:sz="0" w:space="0" w:color="auto"/>
            <w:right w:val="none" w:sz="0" w:space="0" w:color="auto"/>
          </w:divBdr>
        </w:div>
      </w:divsChild>
    </w:div>
    <w:div w:id="2140025109">
      <w:marLeft w:val="0"/>
      <w:marRight w:val="0"/>
      <w:marTop w:val="160"/>
      <w:marBottom w:val="160"/>
      <w:divBdr>
        <w:top w:val="none" w:sz="0" w:space="0" w:color="auto"/>
        <w:left w:val="none" w:sz="0" w:space="0" w:color="auto"/>
        <w:bottom w:val="none" w:sz="0" w:space="0" w:color="auto"/>
        <w:right w:val="none" w:sz="0" w:space="0" w:color="auto"/>
      </w:divBdr>
    </w:div>
    <w:div w:id="2142768275">
      <w:marLeft w:val="0"/>
      <w:marRight w:val="0"/>
      <w:marTop w:val="160"/>
      <w:marBottom w:val="160"/>
      <w:divBdr>
        <w:top w:val="none" w:sz="0" w:space="0" w:color="auto"/>
        <w:left w:val="none" w:sz="0" w:space="0" w:color="auto"/>
        <w:bottom w:val="none" w:sz="0" w:space="0" w:color="auto"/>
        <w:right w:val="none" w:sz="0" w:space="0" w:color="auto"/>
      </w:divBdr>
    </w:div>
    <w:div w:id="2146770923">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20210331x10qexhibit312.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https://www.sec.gov/Archives/edgar/data/912242/000119312521121303/d28419dex102.htm" TargetMode="External"/><Relationship Id="rId42" Type="http://schemas.openxmlformats.org/officeDocument/2006/relationships/fontTable" Target="fontTable.xm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hyperlink" Target="mac-20210331x10qexhibit32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s://www.sec.gov/Archives/edgar/data/912242/000119312521121303/d28419dex101.htm" TargetMode="External"/><Relationship Id="rId37" Type="http://schemas.openxmlformats.org/officeDocument/2006/relationships/hyperlink" Target="mac-20210331x10qexhibit311.htm" TargetMode="External"/><Relationship Id="rId40" Type="http://schemas.openxmlformats.org/officeDocument/2006/relationships/hyperlink" Target="mac-20210331x10qexhibit321.htm" TargetMode="Externa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10331x10qexhibit311.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https://www.sec.gov/Archives/edgar/data/912242/000119312521121303/d28419dex102.htm" TargetMode="External"/><Relationship Id="rId43" Type="http://schemas.openxmlformats.org/officeDocument/2006/relationships/theme" Target="theme/theme1.xm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s://www.sec.gov/Archives/edgar/data/912242/000119312521121303/d28419dex101.htm" TargetMode="External"/><Relationship Id="rId38" Type="http://schemas.openxmlformats.org/officeDocument/2006/relationships/hyperlink" Target="mac-20210331x10q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27209</Words>
  <Characters>155095</Characters>
  <Application>Microsoft Office Word</Application>
  <DocSecurity>0</DocSecurity>
  <Lines>1292</Lines>
  <Paragraphs>363</Paragraphs>
  <ScaleCrop>false</ScaleCrop>
  <Company/>
  <LinksUpToDate>false</LinksUpToDate>
  <CharactersWithSpaces>181941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mac-20210331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