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F0345">
      <w:pPr>
        <w:divId w:val="1472941208"/>
        <w:rPr>
          <w:rFonts w:eastAsia="Times New Roman"/>
          <w:vanish/>
        </w:rPr>
      </w:pPr>
      <w:r>
        <w:rPr>
          <w:rFonts w:eastAsia="Times New Roman"/>
          <w:vanish/>
        </w:rPr>
        <w:t>0000912242FALSE12/312021Q300009122422021-01-012021-09-30xbrli:shares00009122422021-11-05iso4217:USD00009122422021-09-3000009122422020-12-31iso4217:USDxbrli:shares00009122422021-07-012021-09-3000009122422020-07-012020-09-3000009122422020-01-01</w:t>
      </w:r>
      <w:r>
        <w:rPr>
          <w:rFonts w:eastAsia="Times New Roman"/>
          <w:vanish/>
        </w:rPr>
        <w:t>2020-09-300000912242us-gaap:RealEstateOtherMember2021-07-012021-09-300000912242us-gaap:RealEstateOtherMember2020-07-012020-09-300000912242us-gaap:RealEstateOtherMember2021-01-012021-09-300000912242us-gaap:RealEstateOtherMember2020-01-012020-09-300000912242</w:t>
      </w:r>
      <w:r>
        <w:rPr>
          <w:rFonts w:eastAsia="Times New Roman"/>
          <w:vanish/>
        </w:rPr>
        <w:t>us-gaap:ManagementServiceMember2021-07-012021-09-300000912242us-gaap:ManagementServiceMember2020-07-012020-09-300000912242us-gaap:ManagementServiceMember2021-01-012021-09-300000912242us-gaap:ManagementServiceMember2020-01-012020-09-300000912242us-gaap:Real</w:t>
      </w:r>
      <w:r>
        <w:rPr>
          <w:rFonts w:eastAsia="Times New Roman"/>
          <w:vanish/>
        </w:rPr>
        <w:t>EstateMember2021-07-012021-09-300000912242us-gaap:RealEstateMember2020-07-012020-09-300000912242us-gaap:RealEstateMember2021-01-012021-09-300000912242us-gaap:RealEstateMember2020-01-012020-09-300000912242us-gaap:CommonStockMember2021-06-300000912242us-gaap</w:t>
      </w:r>
      <w:r>
        <w:rPr>
          <w:rFonts w:eastAsia="Times New Roman"/>
          <w:vanish/>
        </w:rPr>
        <w:t>:AdditionalPaidInCapitalMember2021-06-300000912242us-gaap:RetainedEarningsMember2021-06-300000912242us-gaap:AccumulatedOtherComprehensiveIncomeMember2021-06-300000912242us-gaap:ParentMember2021-06-300000912242us-gaap:NoncontrollingInterestMember2021-06-300</w:t>
      </w:r>
      <w:r>
        <w:rPr>
          <w:rFonts w:eastAsia="Times New Roman"/>
          <w:vanish/>
        </w:rPr>
        <w:t>0009122422021-06-300000912242us-gaap:RetainedEarningsMember2021-07-012021-09-300000912242us-gaap:ParentMember2021-07-012021-09-300000912242us-gaap:NoncontrollingInterestMember2021-07-012021-09-300000912242us-gaap:AccumulatedOtherComprehensiveIncomeMember20</w:t>
      </w:r>
      <w:r>
        <w:rPr>
          <w:rFonts w:eastAsia="Times New Roman"/>
          <w:vanish/>
        </w:rPr>
        <w:t>21-07-012021-09-300000912242us-gaap:CommonStockMember2021-07-012021-09-300000912242us-gaap:AdditionalPaidInCapitalMember2021-07-012021-09-300000912242us-gaap:CommonStockMember2021-09-300000912242us-gaap:AdditionalPaidInCapitalMember2021-09-300000912242us-g</w:t>
      </w:r>
      <w:r>
        <w:rPr>
          <w:rFonts w:eastAsia="Times New Roman"/>
          <w:vanish/>
        </w:rPr>
        <w:t>aap:RetainedEarningsMember2021-09-300000912242us-gaap:AccumulatedOtherComprehensiveIncomeMember2021-09-300000912242us-gaap:ParentMember2021-09-300000912242us-gaap:NoncontrollingInterestMember2021-09-300000912242us-gaap:CommonStockMember2020-06-300000912242</w:t>
      </w:r>
      <w:r>
        <w:rPr>
          <w:rFonts w:eastAsia="Times New Roman"/>
          <w:vanish/>
        </w:rPr>
        <w:t>us-gaap:AdditionalPaidInCapitalMember2020-06-300000912242us-gaap:RetainedEarningsMember2020-06-300000912242us-gaap:AccumulatedOtherComprehensiveIncomeMember2020-06-300000912242us-gaap:ParentMember2020-06-300000912242us-gaap:NoncontrollingInterestMember2020</w:t>
      </w:r>
      <w:r>
        <w:rPr>
          <w:rFonts w:eastAsia="Times New Roman"/>
          <w:vanish/>
        </w:rPr>
        <w:t>-06-3000009122422020-06-300000912242us-gaap:RetainedEarningsMember2020-07-012020-09-300000912242us-gaap:ParentMember2020-07-012020-09-300000912242us-gaap:NoncontrollingInterestMember2020-07-012020-09-300000912242us-gaap:AccumulatedOtherComprehensiveIncomeM</w:t>
      </w:r>
      <w:r>
        <w:rPr>
          <w:rFonts w:eastAsia="Times New Roman"/>
          <w:vanish/>
        </w:rPr>
        <w:t>ember2020-07-012020-09-300000912242us-gaap:CommonStockMember2020-07-012020-09-300000912242us-gaap:AdditionalPaidInCapitalMember2020-07-012020-09-300000912242us-gaap:CommonStockMember2020-09-300000912242us-gaap:AdditionalPaidInCapitalMember2020-09-300000912</w:t>
      </w:r>
      <w:r>
        <w:rPr>
          <w:rFonts w:eastAsia="Times New Roman"/>
          <w:vanish/>
        </w:rPr>
        <w:t>242us-gaap:RetainedEarningsMember2020-09-300000912242us-gaap:AccumulatedOtherComprehensiveIncomeMember2020-09-300000912242us-gaap:ParentMember2020-09-300000912242us-gaap:NoncontrollingInterestMember2020-09-3000009122422020-09-300000912242us-gaap:CommonStoc</w:t>
      </w:r>
      <w:r>
        <w:rPr>
          <w:rFonts w:eastAsia="Times New Roman"/>
          <w:vanish/>
        </w:rPr>
        <w:t>kMember2020-12-310000912242us-gaap:AdditionalPaidInCapitalMember2020-12-310000912242us-gaap:RetainedEarningsMember2020-12-310000912242us-gaap:AccumulatedOtherComprehensiveIncomeMember2020-12-310000912242us-gaap:ParentMember2020-12-310000912242us-gaap:Nonco</w:t>
      </w:r>
      <w:r>
        <w:rPr>
          <w:rFonts w:eastAsia="Times New Roman"/>
          <w:vanish/>
        </w:rPr>
        <w:t>ntrollingInterestMember2020-12-310000912242us-gaap:RetainedEarningsMember2021-01-012021-09-300000912242us-gaap:ParentMember2021-01-012021-09-300000912242us-gaap:NoncontrollingInterestMember2021-01-012021-09-300000912242us-gaap:AccumulatedOtherComprehensive</w:t>
      </w:r>
      <w:r>
        <w:rPr>
          <w:rFonts w:eastAsia="Times New Roman"/>
          <w:vanish/>
        </w:rPr>
        <w:t>IncomeMember2021-01-012021-09-300000912242us-gaap:CommonStockMember2021-01-012021-09-300000912242us-gaap:AdditionalPaidInCapitalMember2021-01-012021-09-300000912242us-gaap:CommonStockMember2019-12-310000912242us-gaap:AdditionalPaidInCapitalMember2019-12-31</w:t>
      </w:r>
      <w:r>
        <w:rPr>
          <w:rFonts w:eastAsia="Times New Roman"/>
          <w:vanish/>
        </w:rPr>
        <w:t>0000912242us-gaap:RetainedEarningsMember2019-12-310000912242us-gaap:AccumulatedOtherComprehensiveIncomeMember2019-12-310000912242us-gaap:ParentMember2019-12-310000912242us-gaap:NoncontrollingInterestMember2019-12-3100009122422019-12-310000912242us-gaap:Ret</w:t>
      </w:r>
      <w:r>
        <w:rPr>
          <w:rFonts w:eastAsia="Times New Roman"/>
          <w:vanish/>
        </w:rPr>
        <w:t>ainedEarningsMember2020-01-012020-09-300000912242us-gaap:ParentMember2020-01-012020-09-300000912242us-gaap:NoncontrollingInterestMember2020-01-012020-09-300000912242us-gaap:AccumulatedOtherComprehensiveIncomeMember2020-01-012020-09-300000912242us-gaap:Comm</w:t>
      </w:r>
      <w:r>
        <w:rPr>
          <w:rFonts w:eastAsia="Times New Roman"/>
          <w:vanish/>
        </w:rPr>
        <w:t>onStockMember2020-01-012020-09-300000912242us-gaap:AdditionalPaidInCapitalMember2020-01-012020-09-30xbrli:pure0000912242mac:TheMacerichPartnershipLPMember2021-09-30mac:entity0000912242us-gaap:VariableInterestEntityPrimaryBeneficiaryMember2021-09-3000009122</w:t>
      </w:r>
      <w:r>
        <w:rPr>
          <w:rFonts w:eastAsia="Times New Roman"/>
          <w:vanish/>
        </w:rPr>
        <w:t>42us-gaap:VariableInterestEntityPrimaryBeneficiaryMember2020-12-310000912242mac:PreferredNonparticipatingConvertibleUnitsMember2021-07-012021-09-300000912242mac:PreferredNonparticipatingConvertibleUnitsMember2020-07-012020-09-300000912242mac:PreferredNonpa</w:t>
      </w:r>
      <w:r>
        <w:rPr>
          <w:rFonts w:eastAsia="Times New Roman"/>
          <w:vanish/>
        </w:rPr>
        <w:t>rticipatingConvertibleUnitsMember2021-01-012021-09-300000912242mac:PreferredNonparticipatingConvertibleUnitsMember2020-01-012020-09-300000912242mac:PartnershipUnitsMember2021-07-012021-09-300000912242mac:PartnershipUnitsMember2020-07-012020-09-300000912242</w:t>
      </w:r>
      <w:r>
        <w:rPr>
          <w:rFonts w:eastAsia="Times New Roman"/>
          <w:vanish/>
        </w:rPr>
        <w:t>mac:PartnershipUnitsMember2021-01-012021-09-300000912242mac:PartnershipUnitsMember2020-01-012020-09-300000912242mac:TysonsCornerLLCMemberus-gaap:CorporateJointVentureMember2020-11-170000912242mac:TysonsCornerLLCMemberus-gaap:CorporateJointVentureMember2020</w:t>
      </w:r>
      <w:r>
        <w:rPr>
          <w:rFonts w:eastAsia="Times New Roman"/>
          <w:vanish/>
        </w:rPr>
        <w:t>-11-172020-11-170000912242mac:TysonsCornerLLCMemberus-gaap:ScenarioPlanMemberus-gaap:CorporateJointVentureMember2020-11-172020-11-170000912242mac:TysonsCornerLLCMember2020-11-172020-11-170000912242mac:FashionDistrictPhiladelphiaMemberus-gaap:CorporateJoint</w:t>
      </w:r>
      <w:r>
        <w:rPr>
          <w:rFonts w:eastAsia="Times New Roman"/>
          <w:vanish/>
        </w:rPr>
        <w:t>VentureMember2020-12-102020-12-100000912242mac:FashionDistrictPhiladelphiaMemberus-gaap:CorporateJointVentureMember2020-12-090000912242mac:FashionDistrictPhiladelphiaMemberus-gaap:CorporateJointVentureMember2020-12-100000912242mac:FashionDistrictPhiladelph</w:t>
      </w:r>
      <w:r>
        <w:rPr>
          <w:rFonts w:eastAsia="Times New Roman"/>
          <w:vanish/>
        </w:rPr>
        <w:t>iaMemberus-gaap:CorporateJointVentureMember2020-12-102020-12-100000912242us-gaap:LondonInterbankOfferedRateLIBORMembermac:FashionDistrictPhiladelphiaMemberus-gaap:CorporateJointVentureMember2020-12-102020-12-100000912242us-gaap:BaseRateMembermac:FashionDis</w:t>
      </w:r>
      <w:r>
        <w:rPr>
          <w:rFonts w:eastAsia="Times New Roman"/>
          <w:vanish/>
        </w:rPr>
        <w:t>trictPhiladelphiaMemberus-gaap:CorporateJointVentureMember2020-12-102020-12-100000912242mac:FashionDistrictPhiladelphiaMemberus-gaap:CorporateJointVentureMember2020-12-100000912242mac:FashionDistrictPhiladelphiaMemberus-gaap:CoVenturerMember2020-12-1000009</w:t>
      </w:r>
      <w:r>
        <w:rPr>
          <w:rFonts w:eastAsia="Times New Roman"/>
          <w:vanish/>
        </w:rPr>
        <w:t>12242mac:FlatIronCrossingMemberus-gaap:CorporateJointVentureMember2020-12-292020-12-290000912242mac:FlatIronCrossingMemberus-gaap:CorporateJointVentureMember2020-12-280000912242mac:FlatIronCrossingMemberus-gaap:CorporateJointVentureMember2020-12-2900009122</w:t>
      </w:r>
      <w:r>
        <w:rPr>
          <w:rFonts w:eastAsia="Times New Roman"/>
          <w:vanish/>
        </w:rPr>
        <w:t>42mac:FlatIronCrossingMember2020-12-292020-12-29mac:property0000912242us-gaap:CorporateJointVentureMember2020-12-310000912242mac:SearsSouthPlainsMember2020-12-310000912242mac:ParadiseValleyMallMemberus-gaap:CorporateJointVentureMember2021-03-290000912242ma</w:t>
      </w:r>
      <w:r>
        <w:rPr>
          <w:rFonts w:eastAsia="Times New Roman"/>
          <w:vanish/>
        </w:rPr>
        <w:t>c:ParadiseValleyMallMemberus-gaap:CorporateJointVentureMember2021-03-292021-03-290000912242us-gaap:SubsequentEventMembermac:TheShopsAtAtlasParkMemberus-gaap:CorporateJointVentureMember2021-10-260000912242us-gaap:LondonInterbankOfferedRateLIBORMemberus-gaap</w:t>
      </w:r>
      <w:r>
        <w:rPr>
          <w:rFonts w:eastAsia="Times New Roman"/>
          <w:vanish/>
        </w:rPr>
        <w:t>:SubsequentEventMembermac:TheShopsAtAtlasParkMemberus-gaap:CorporateJointVentureMember2021-10-262021-10-260000912242us-gaap:EquityMethodInvestmentNonconsolidatedInvesteeOrGroupOfInvesteesMemberus-gaap:CorporateJointVentureMember2021-09-300000912242us-gaap:</w:t>
      </w:r>
      <w:r>
        <w:rPr>
          <w:rFonts w:eastAsia="Times New Roman"/>
          <w:vanish/>
        </w:rPr>
        <w:t>EquityMethodInvestmentNonconsolidatedInvesteeOrGroupOfInvesteesMemberus-gaap:CorporateJointVentureMember2020-12-310000912242mac:PacificPremierRetailLPMembermac:PacificPremierRetailLLCMemberus-gaap:CorporateJointVentureMember2021-09-300000912242mac:PacificP</w:t>
      </w:r>
      <w:r>
        <w:rPr>
          <w:rFonts w:eastAsia="Times New Roman"/>
          <w:vanish/>
        </w:rPr>
        <w:t>remierRetailLPMembermac:PacificPremierRetailLLCMemberus-gaap:CorporateJointVentureMember2020-12-310000912242us-gaap:CorporateJointVentureMember2021-07-012021-09-300000912242us-gaap:CorporateJointVentureMember2020-07-012020-09-300000912242us-gaap:CorporateJ</w:t>
      </w:r>
      <w:r>
        <w:rPr>
          <w:rFonts w:eastAsia="Times New Roman"/>
          <w:vanish/>
        </w:rPr>
        <w:t>ointVentureMember2021-01-012021-09-300000912242us-gaap:CorporateJointVentureMember2020-01-012020-09-300000912242mac:PacificPremierRetailLPMemberus-gaap:EquityMethodInvestmentNonconsolidatedInvesteeOrGroupOfInvesteesMemberus-gaap:CorporateJointVentureMember</w:t>
      </w:r>
      <w:r>
        <w:rPr>
          <w:rFonts w:eastAsia="Times New Roman"/>
          <w:vanish/>
        </w:rPr>
        <w:t>2021-07-012021-09-300000912242us-gaap:EquityMethodInvestmentNonconsolidatedInvesteeOrGroupOfInvesteesMembermac:OtherJointVenturesMemberus-gaap:CorporateJointVentureMember2021-07-012021-09-300000912242us-gaap:EquityMethodInvestmentNonconsolidatedInvesteeOrG</w:t>
      </w:r>
      <w:r>
        <w:rPr>
          <w:rFonts w:eastAsia="Times New Roman"/>
          <w:vanish/>
        </w:rPr>
        <w:t>roupOfInvesteesMemberus-gaap:CorporateJointVentureMember2021-07-012021-09-300000912242us-gaap:RealEstateOtherMembermac:PacificPremierRetailLPMemberus-gaap:EquityMethodInvestmentNonconsolidatedInvesteeOrGroupOfInvesteesMemberus-gaap:CorporateJointVentureMem</w:t>
      </w:r>
      <w:r>
        <w:rPr>
          <w:rFonts w:eastAsia="Times New Roman"/>
          <w:vanish/>
        </w:rPr>
        <w:t>ber2021-07-012021-09-300000912242us-gaap:RealEstateOtherMemberus-gaap:EquityMethodInvestmentNonconsolidatedInvesteeOrGroupOfInvesteesMembermac:OtherJointVenturesMemberus-gaap:CorporateJointVentureMember2021-07-012021-09-300000912242us-gaap:RealEstateOtherM</w:t>
      </w:r>
      <w:r>
        <w:rPr>
          <w:rFonts w:eastAsia="Times New Roman"/>
          <w:vanish/>
        </w:rPr>
        <w:t>emberus-gaap:EquityMethodInvestmentNonconsolidatedInvesteeOrGroupOfInvesteesMemberus-gaap:CorporateJointVentureMember2021-07-012021-09-300000912242mac:PacificPremierRetailLPMemberus-gaap:EquityMethodInvestmentNonconsolidatedInvesteeOrGroupOfInvesteesMember</w:t>
      </w:r>
      <w:r>
        <w:rPr>
          <w:rFonts w:eastAsia="Times New Roman"/>
          <w:vanish/>
        </w:rPr>
        <w:t>us-gaap:CorporateJointVentureMemberus-gaap:RealEstateMember2021-07-012021-09-300000912242us-gaap:EquityMethodInvestmentNonconsolidatedInvesteeOrGroupOfInvesteesMembermac:OtherJointVenturesMemberus-gaap:CorporateJointVentureMemberus-gaap:RealEstateMember202</w:t>
      </w:r>
      <w:r>
        <w:rPr>
          <w:rFonts w:eastAsia="Times New Roman"/>
          <w:vanish/>
        </w:rPr>
        <w:t>1-07-012021-09-300000912242us-gaap:EquityMethodInvestmentNonconsolidatedInvesteeOrGroupOfInvesteesMemberus-gaap:CorporateJointVentureMemberus-gaap:RealEstateMember2021-07-012021-09-300000912242mac:PacificPremierRetailLPMemberus-gaap:EquityMethodInvestmentN</w:t>
      </w:r>
      <w:r>
        <w:rPr>
          <w:rFonts w:eastAsia="Times New Roman"/>
          <w:vanish/>
        </w:rPr>
        <w:t>onconsolidatedInvesteeOrGroupOfInvesteesMemberus-gaap:CorporateJointVentureMember2020-07-012020-09-300000912242us-gaap:EquityMethodInvestmentNonconsolidatedInvesteeOrGroupOfInvesteesMembermac:OtherJointVenturesMemberus-gaap:CorporateJointVentureMember2020-</w:t>
      </w:r>
      <w:r>
        <w:rPr>
          <w:rFonts w:eastAsia="Times New Roman"/>
          <w:vanish/>
        </w:rPr>
        <w:t>07-012020-09-300000912242us-gaap:EquityMethodInvestmentNonconsolidatedInvesteeOrGroupOfInvesteesMemberus-gaap:CorporateJointVentureMember2020-07-012020-09-300000912242us-gaap:RealEstateOtherMembermac:PacificPremierRetailLPMemberus-gaap:EquityMethodInvestme</w:t>
      </w:r>
      <w:r>
        <w:rPr>
          <w:rFonts w:eastAsia="Times New Roman"/>
          <w:vanish/>
        </w:rPr>
        <w:t>ntNonconsolidatedInvesteeOrGroupOfInvesteesMemberus-gaap:CorporateJointVentureMember2020-07-012020-09-300000912242us-gaap:RealEstateOtherMemberus-gaap:EquityMethodInvestmentNonconsolidatedInvesteeOrGroupOfInvesteesMembermac:OtherJointVenturesMemberus-gaap:</w:t>
      </w:r>
      <w:r>
        <w:rPr>
          <w:rFonts w:eastAsia="Times New Roman"/>
          <w:vanish/>
        </w:rPr>
        <w:t>CorporateJointVentureMember2020-07-012020-09-300000912242us-gaap:RealEstateOtherMemberus-gaap:EquityMethodInvestmentNonconsolidatedInvesteeOrGroupOfInvesteesMemberus-gaap:CorporateJointVentureMember2020-07-012020-09-300000912242mac:PacificPremierRetailLPMe</w:t>
      </w:r>
      <w:r>
        <w:rPr>
          <w:rFonts w:eastAsia="Times New Roman"/>
          <w:vanish/>
        </w:rPr>
        <w:t>mberus-gaap:EquityMethodInvestmentNonconsolidatedInvesteeOrGroupOfInvesteesMemberus-gaap:CorporateJointVentureMemberus-gaap:RealEstateMember2020-07-012020-09-300000912242us-gaap:EquityMethodInvestmentNonconsolidatedInvesteeOrGroupOfInvesteesMembermac:Other</w:t>
      </w:r>
      <w:r>
        <w:rPr>
          <w:rFonts w:eastAsia="Times New Roman"/>
          <w:vanish/>
        </w:rPr>
        <w:t>JointVenturesMemberus-gaap:CorporateJointVentureMemberus-gaap:RealEstateMember2020-07-012020-09-300000912242us-gaap:EquityMethodInvestmentNonconsolidatedInvesteeOrGroupOfInvesteesMemberus-gaap:CorporateJointVentureMemberus-gaap:RealEstateMember2020-07-0120</w:t>
      </w:r>
      <w:r>
        <w:rPr>
          <w:rFonts w:eastAsia="Times New Roman"/>
          <w:vanish/>
        </w:rPr>
        <w:t>20-09-300000912242mac:PacificPremierRetailLPMemberus-gaap:EquityMethodInvestmentNonconsolidatedInvesteeOrGroupOfInvesteesMemberus-gaap:CorporateJointVentureMember2021-01-012021-09-300000912242us-gaap:EquityMethodInvestmentNonconsolidatedInvesteeOrGroupOfIn</w:t>
      </w:r>
      <w:r>
        <w:rPr>
          <w:rFonts w:eastAsia="Times New Roman"/>
          <w:vanish/>
        </w:rPr>
        <w:t>vesteesMembermac:OtherJointVenturesMemberus-gaap:CorporateJointVentureMember2021-01-012021-09-300000912242us-gaap:EquityMethodInvestmentNonconsolidatedInvesteeOrGroupOfInvesteesMemberus-gaap:CorporateJointVentureMember2021-01-012021-09-300000912242us-gaap:</w:t>
      </w:r>
      <w:r>
        <w:rPr>
          <w:rFonts w:eastAsia="Times New Roman"/>
          <w:vanish/>
        </w:rPr>
        <w:t>RealEstateOtherMembermac:PacificPremierRetailLPMemberus-gaap:EquityMethodInvestmentNonconsolidatedInvesteeOrGroupOfInvesteesMemberus-gaap:CorporateJointVentureMember2021-01-012021-09-300000912242us-gaap:RealEstateOtherMemberus-gaap:EquityMethodInvestmentNo</w:t>
      </w:r>
      <w:r>
        <w:rPr>
          <w:rFonts w:eastAsia="Times New Roman"/>
          <w:vanish/>
        </w:rPr>
        <w:t>nconsolidatedInvesteeOrGroupOfInvesteesMembermac:OtherJointVenturesMemberus-gaap:CorporateJointVentureMember2021-01-012021-09-300000912242us-gaap:RealEstateOtherMemberus-gaap:EquityMethodInvestmentNonconsolidatedInvesteeOrGroupOfInvesteesMemberus-gaap:Corp</w:t>
      </w:r>
      <w:r>
        <w:rPr>
          <w:rFonts w:eastAsia="Times New Roman"/>
          <w:vanish/>
        </w:rPr>
        <w:t>orateJointVentureMember2021-01-012021-09-300000912242mac:PacificPremierRetailLPMemberus-gaap:EquityMethodInvestmentNonconsolidatedInvesteeOrGroupOfInvesteesMemberus-gaap:CorporateJointVentureMemberus-gaap:RealEstateMember2021-01-012021-09-300000912242us-ga</w:t>
      </w:r>
      <w:r>
        <w:rPr>
          <w:rFonts w:eastAsia="Times New Roman"/>
          <w:vanish/>
        </w:rPr>
        <w:t>ap:EquityMethodInvestmentNonconsolidatedInvesteeOrGroupOfInvesteesMembermac:OtherJointVenturesMemberus-gaap:CorporateJointVentureMemberus-gaap:RealEstateMember2021-01-012021-09-300000912242us-gaap:EquityMethodInvestmentNonconsolidatedInvesteeOrGroupOfInves</w:t>
      </w:r>
      <w:r>
        <w:rPr>
          <w:rFonts w:eastAsia="Times New Roman"/>
          <w:vanish/>
        </w:rPr>
        <w:t>teesMemberus-gaap:CorporateJointVentureMemberus-gaap:RealEstateMember2021-01-012021-09-300000912242mac:PacificPremierRetailLPMemberus-gaap:EquityMethodInvestmentNonconsolidatedInvesteeOrGroupOfInvesteesMemberus-gaap:CorporateJointVentureMember2020-01-01202</w:t>
      </w:r>
      <w:r>
        <w:rPr>
          <w:rFonts w:eastAsia="Times New Roman"/>
          <w:vanish/>
        </w:rPr>
        <w:t>0-09-300000912242us-gaap:EquityMethodInvestmentNonconsolidatedInvesteeOrGroupOfInvesteesMembermac:OtherJointVenturesMemberus-gaap:CorporateJointVentureMember2020-01-012020-09-300000912242us-gaap:EquityMethodInvestmentNonconsolidatedInvesteeOrGroupOfInveste</w:t>
      </w:r>
      <w:r>
        <w:rPr>
          <w:rFonts w:eastAsia="Times New Roman"/>
          <w:vanish/>
        </w:rPr>
        <w:t>esMemberus-gaap:CorporateJointVentureMember2020-01-012020-09-300000912242us-gaap:RealEstateOtherMembermac:PacificPremierRetailLPMemberus-gaap:EquityMethodInvestmentNonconsolidatedInvesteeOrGroupOfInvesteesMemberus-gaap:CorporateJointVentureMember2020-01-01</w:t>
      </w:r>
      <w:r>
        <w:rPr>
          <w:rFonts w:eastAsia="Times New Roman"/>
          <w:vanish/>
        </w:rPr>
        <w:t>2020-09-300000912242us-gaap:RealEstateOtherMemberus-gaap:EquityMethodInvestmentNonconsolidatedInvesteeOrGroupOfInvesteesMembermac:OtherJointVenturesMemberus-gaap:CorporateJointVentureMember2020-01-012020-09-300000912242us-gaap:RealEstateOtherMemberus-gaap:</w:t>
      </w:r>
      <w:r>
        <w:rPr>
          <w:rFonts w:eastAsia="Times New Roman"/>
          <w:vanish/>
        </w:rPr>
        <w:t>EquityMethodInvestmentNonconsolidatedInvesteeOrGroupOfInvesteesMemberus-gaap:CorporateJointVentureMember2020-01-012020-09-300000912242mac:PacificPremierRetailLPMemberus-gaap:EquityMethodInvestmentNonconsolidatedInvesteeOrGroupOfInvesteesMemberus-gaap:Corpo</w:t>
      </w:r>
      <w:r>
        <w:rPr>
          <w:rFonts w:eastAsia="Times New Roman"/>
          <w:vanish/>
        </w:rPr>
        <w:t>rateJointVentureMemberus-gaap:RealEstateMember2020-01-012020-09-300000912242us-gaap:EquityMethodInvestmentNonconsolidatedInvesteeOrGroupOfInvesteesMembermac:OtherJointVenturesMemberus-gaap:CorporateJointVentureMemberus-gaap:RealEstateMember2020-01-012020-0</w:t>
      </w:r>
      <w:r>
        <w:rPr>
          <w:rFonts w:eastAsia="Times New Roman"/>
          <w:vanish/>
        </w:rPr>
        <w:t>9-300000912242us-gaap:EquityMethodInvestmentNonconsolidatedInvesteeOrGroupOfInvesteesMemberus-gaap:CorporateJointVentureMemberus-gaap:RealEstateMember2020-01-012020-09-30mac:derivative0000912242us-gaap:FairValueInputsLevel2Memberus-gaap:InterestRateCapMemb</w:t>
      </w:r>
      <w:r>
        <w:rPr>
          <w:rFonts w:eastAsia="Times New Roman"/>
          <w:vanish/>
        </w:rPr>
        <w:t>er2021-09-300000912242us-gaap:FairValueInputsLevel2Memberus-gaap:LondonInterbankOfferedRateLIBORMemberus-gaap:InterestRateCapMember2021-09-300000912242us-gaap:FairValueInputsLevel2Memberus-gaap:InterestRateCapMember2020-12-310000912242us-gaap:FairValueInpu</w:t>
      </w:r>
      <w:r>
        <w:rPr>
          <w:rFonts w:eastAsia="Times New Roman"/>
          <w:vanish/>
        </w:rPr>
        <w:t>tsLevel2Memberus-gaap:InterestRateSwapMember2021-09-300000912242us-gaap:FairValueInputsLevel2Memberus-gaap:LondonInterbankOfferedRateLIBORMemberus-gaap:InterestRateSwapMember2021-09-300000912242us-gaap:FairValueInputsLevel2Memberus-gaap:InterestRateSwapMem</w:t>
      </w:r>
      <w:r>
        <w:rPr>
          <w:rFonts w:eastAsia="Times New Roman"/>
          <w:vanish/>
        </w:rPr>
        <w:t>ber2020-12-310000912242mac:SantaMonicaPlaceSwappedMemberus-gaap:InterestRateSwapMember2021-04-140000912242us-gaap:LandBuildingsAndImprovementsMember2021-07-012021-09-300000912242us-gaap:LandBuildingsAndImprovementsMember2020-07-012020-09-300000912242us-gaa</w:t>
      </w:r>
      <w:r>
        <w:rPr>
          <w:rFonts w:eastAsia="Times New Roman"/>
          <w:vanish/>
        </w:rPr>
        <w:t>p:LandBuildingsAndImprovementsMember2021-01-012021-09-300000912242us-gaap:LandBuildingsAndImprovementsMember2020-01-012020-09-300000912242us-gaap:LandMember2021-07-012021-09-300000912242us-gaap:LandMember2020-07-012020-09-300000912242us-gaap:LandMember2021</w:t>
      </w:r>
      <w:r>
        <w:rPr>
          <w:rFonts w:eastAsia="Times New Roman"/>
          <w:vanish/>
        </w:rPr>
        <w:t>-01-012021-09-300000912242us-gaap:LandMember2020-01-012020-09-300000912242mac:ParadiseValleyMallMember2021-01-012021-09-300000912242mac:ParadiseValleyMallMember2021-07-012021-09-300000912242mac:EstrellaFallsMember2021-01-012021-09-300000912242mac:WiltonMal</w:t>
      </w:r>
      <w:r>
        <w:rPr>
          <w:rFonts w:eastAsia="Times New Roman"/>
          <w:vanish/>
        </w:rPr>
        <w:t>lMember2020-01-012020-09-300000912242mac:ParadiseValleyMallMember2020-01-012020-09-300000912242mac:ParadiseValleyMallMemberus-gaap:LandMember2021-01-012021-09-300000912242mac:ParadiseValleyMallMemberus-gaap:LandMember2021-07-012021-09-300000912242us-gaap:F</w:t>
      </w:r>
      <w:r>
        <w:rPr>
          <w:rFonts w:eastAsia="Times New Roman"/>
          <w:vanish/>
        </w:rPr>
        <w:t>airValueInputsLevel1Memberus-gaap:FairValueMeasurementsNonrecurringMember2020-09-300000912242us-gaap:FairValueInputsLevel2Memberus-gaap:FairValueMeasurementsNonrecurringMember2020-09-300000912242us-gaap:FairValueInputsLevel3Memberus-gaap:FairValueMeasureme</w:t>
      </w:r>
      <w:r>
        <w:rPr>
          <w:rFonts w:eastAsia="Times New Roman"/>
          <w:vanish/>
        </w:rPr>
        <w:t>ntsNonrecurringMember2020-09-300000912242us-gaap:FairValueInputsLevel1Memberus-gaap:FairValueMeasurementsNonrecurringMember2021-09-300000912242us-gaap:FairValueInputsLevel2Memberus-gaap:FairValueMeasurementsNonrecurringMember2021-09-300000912242us-gaap:Fai</w:t>
      </w:r>
      <w:r>
        <w:rPr>
          <w:rFonts w:eastAsia="Times New Roman"/>
          <w:vanish/>
        </w:rPr>
        <w:t>rValueInputsLevel3Memberus-gaap:FairValueMeasurementsNonrecurringMember2021-09-300000912242us-gaap:AccruedIncomeReceivableMember2021-09-300000912242us-gaap:AccruedIncomeReceivableMember2020-12-31mac:lease0000912242us-gaap:LeasesAcquiredInPlaceMember2021-09</w:t>
      </w:r>
      <w:r>
        <w:rPr>
          <w:rFonts w:eastAsia="Times New Roman"/>
          <w:vanish/>
        </w:rPr>
        <w:t>-300000912242us-gaap:LeasesAcquiredInPlaceMember2020-12-310000912242us-gaap:LeasesAcquiredInPlaceMember2021-07-012021-09-300000912242us-gaap:LeasesAcquiredInPlaceMember2020-07-012020-09-300000912242us-gaap:LeasesAcquiredInPlaceMember2021-01-012021-09-30000</w:t>
      </w:r>
      <w:r>
        <w:rPr>
          <w:rFonts w:eastAsia="Times New Roman"/>
          <w:vanish/>
        </w:rPr>
        <w:t>0912242us-gaap:LeasesAcquiredInPlaceMember2020-01-012020-09-300000912242us-gaap:AboveMarketLeasesMember2021-09-300000912242us-gaap:AboveMarketLeasesMember2020-12-310000912242mac:BelowMarketLeaseMember2021-09-300000912242mac:BelowMarketLeaseMember2020-12-31</w:t>
      </w:r>
      <w:r>
        <w:rPr>
          <w:rFonts w:eastAsia="Times New Roman"/>
          <w:vanish/>
        </w:rPr>
        <w:t>0000912242mac:ChandlerFashionCenterMortgageMember2021-09-300000912242mac:ChandlerFashionCenterMortgageMember2020-12-310000912242mac:ChandlerFashionCenterMortgageMember2021-01-012021-09-300000912242mac:DanburyFairMallMortgageMember2021-09-300000912242mac:Da</w:t>
      </w:r>
      <w:r>
        <w:rPr>
          <w:rFonts w:eastAsia="Times New Roman"/>
          <w:vanish/>
        </w:rPr>
        <w:t>nburyFairMallMortgageMember2020-12-310000912242mac:DanburyFairMallMortgageMember2021-01-012021-09-300000912242mac:FashionDistrictPhiladelphiaMember2021-09-300000912242mac:FashionDistrictPhiladelphiaMember2020-12-310000912242mac:FashionDistrictPhiladelphiaM</w:t>
      </w:r>
      <w:r>
        <w:rPr>
          <w:rFonts w:eastAsia="Times New Roman"/>
          <w:vanish/>
        </w:rPr>
        <w:t>ember2021-01-012021-09-300000912242mac:FashionOutletsOfChicagoMortgageMember2021-09-300000912242mac:FashionOutletsOfChicagoMortgageMember2020-12-310000912242mac:FashionOutletsOfChicagoMortgageMember2021-01-012021-09-300000912242mac:FashionOutletsAtNiagaraM</w:t>
      </w:r>
      <w:r>
        <w:rPr>
          <w:rFonts w:eastAsia="Times New Roman"/>
          <w:vanish/>
        </w:rPr>
        <w:t>ortgageMember2021-09-300000912242mac:FashionOutletsAtNiagaraMortgageMember2020-12-310000912242mac:FashionOutletsAtNiagaraMortgageMember2021-01-012021-09-300000912242mac:FreeholdRacewayMallMortgageMember2021-09-300000912242mac:FreeholdRacewayMallMortgageMem</w:t>
      </w:r>
      <w:r>
        <w:rPr>
          <w:rFonts w:eastAsia="Times New Roman"/>
          <w:vanish/>
        </w:rPr>
        <w:t>ber2020-12-310000912242mac:FreeholdRacewayMallMortgageMember2021-01-012021-09-300000912242mac:FresnoFashionFairMember2021-09-300000912242mac:FresnoFashionFairMember2020-12-310000912242mac:FresnoFashionFairMember2021-01-012021-09-300000912242mac:GreenAcresC</w:t>
      </w:r>
      <w:r>
        <w:rPr>
          <w:rFonts w:eastAsia="Times New Roman"/>
          <w:vanish/>
        </w:rPr>
        <w:t>ommonsMember2021-09-300000912242mac:GreenAcresCommonsMember2020-12-310000912242mac:GreenAcresCommonsMember2021-01-012021-09-300000912242mac:GreenAcreCommonSwappedMember2021-09-300000912242mac:GreenAcreCommonSwappedMember2020-12-310000912242mac:GreenAcreCom</w:t>
      </w:r>
      <w:r>
        <w:rPr>
          <w:rFonts w:eastAsia="Times New Roman"/>
          <w:vanish/>
        </w:rPr>
        <w:t>monSwappedMember2021-01-012021-09-300000912242mac:GreenAcresMallMember2021-09-300000912242mac:GreenAcresMallMember2020-12-310000912242mac:GreenAcresMallMember2021-01-012021-09-300000912242mac:KingsPlazaMortgageMember2021-09-300000912242mac:KingsPlazaMortga</w:t>
      </w:r>
      <w:r>
        <w:rPr>
          <w:rFonts w:eastAsia="Times New Roman"/>
          <w:vanish/>
        </w:rPr>
        <w:t>geMember2020-12-310000912242mac:KingsPlazaMortgageMember2021-01-012021-09-300000912242mac:TheOaksOneMortgageMember2021-09-300000912242mac:TheOaksOneMortgageMember2020-12-310000912242mac:TheOaksOneMortgageMember2021-01-012021-09-300000912242mac:PacificViewM</w:t>
      </w:r>
      <w:r>
        <w:rPr>
          <w:rFonts w:eastAsia="Times New Roman"/>
          <w:vanish/>
        </w:rPr>
        <w:t>ortgageMember2021-09-300000912242mac:PacificViewMortgageMember2020-12-310000912242mac:PacificViewMortgageMember2021-01-012021-09-300000912242mac:QueensCenterMember2021-09-300000912242mac:QueensCenterMember2020-12-310000912242mac:QueensCenterMember2021-01-0</w:t>
      </w:r>
      <w:r>
        <w:rPr>
          <w:rFonts w:eastAsia="Times New Roman"/>
          <w:vanish/>
        </w:rPr>
        <w:t>12021-09-300000912242mac:SantaMonicaPlaceSwappedMember2021-09-300000912242mac:SantaMonicaPlaceSwappedMember2020-12-310000912242mac:SantaMonicaPlaceSwappedMember2021-01-012021-09-300000912242mac:SanTanVillageRegionalCenterMortgageMember2021-09-300000912242m</w:t>
      </w:r>
      <w:r>
        <w:rPr>
          <w:rFonts w:eastAsia="Times New Roman"/>
          <w:vanish/>
        </w:rPr>
        <w:t>ac:SanTanVillageRegionalCenterMortgageMember2020-12-310000912242mac:SanTanVillageRegionalCenterMortgageMember2021-01-012021-09-300000912242mac:TowneMallMortgageMember2021-09-300000912242mac:TowneMallMortgageMember2020-12-310000912242mac:TowneMallMortgageMe</w:t>
      </w:r>
      <w:r>
        <w:rPr>
          <w:rFonts w:eastAsia="Times New Roman"/>
          <w:vanish/>
        </w:rPr>
        <w:t>mber2021-01-012021-09-300000912242mac:TucsonLaEncantadaMortgageMember2021-09-300000912242mac:TucsonLaEncantadaMortgageMember2020-12-310000912242mac:TucsonLaEncantadaMortgageMember2021-01-012021-09-300000912242mac:MallOfVictorValleyMortgageMember2021-09-300</w:t>
      </w:r>
      <w:r>
        <w:rPr>
          <w:rFonts w:eastAsia="Times New Roman"/>
          <w:vanish/>
        </w:rPr>
        <w:t>000912242mac:MallOfVictorValleyMortgageMember2020-12-310000912242mac:MallOfVictorValleyMortgageMember2021-01-012021-09-300000912242mac:VintageFaireMallMortgageMember2021-09-300000912242mac:VintageFaireMallMortgageMember2020-12-310000912242mac:VintageFaireM</w:t>
      </w:r>
      <w:r>
        <w:rPr>
          <w:rFonts w:eastAsia="Times New Roman"/>
          <w:vanish/>
        </w:rPr>
        <w:t>allMortgageMember2021-01-012021-09-300000912242mac:DanburyFairMallMember2021-09-152021-09-150000912242mac:GreenAcresCommonsMember2021-03-252021-03-250000912242mac:GreenAcresCommonsMemberus-gaap:LondonInterbankOfferedRateLIBORMember2021-03-250000912242mac:G</w:t>
      </w:r>
      <w:r>
        <w:rPr>
          <w:rFonts w:eastAsia="Times New Roman"/>
          <w:vanish/>
        </w:rPr>
        <w:t>reenAcreCommonSwappedMemberus-gaap:InterestRateSwapMember2021-09-300000912242us-gaap:SubsequentEventMembermac:GreenAcreCommonSwappedMember2021-10-010000912242mac:GreenAcresMallMember2021-01-222021-01-220000912242mac:SantaMonicaPlaceSwappedMemberus-gaap:Int</w:t>
      </w:r>
      <w:r>
        <w:rPr>
          <w:rFonts w:eastAsia="Times New Roman"/>
          <w:vanish/>
        </w:rPr>
        <w:t>erestRateSwapMember2021-09-300000912242mac:SantaMonicaPlaceSwappedMemberus-gaap:SubsequentEventMember2021-10-010000912242us-gaap:LineOfCreditMembermac:NewCreditAgreementMember2021-04-140000912242us-gaap:RevolvingCreditFacilityMemberus-gaap:LineOfCreditMemb</w:t>
      </w:r>
      <w:r>
        <w:rPr>
          <w:rFonts w:eastAsia="Times New Roman"/>
          <w:vanish/>
        </w:rPr>
        <w:t>ermac:RevolvingLoanFacilityMaturesOnApril142023Member2021-04-140000912242us-gaap:RevolvingCreditFacilityMemberus-gaap:LineOfCreditMembermac:RevolvingLoanFacilityMaturesOnApril142023Member2021-04-142021-04-140000912242mac:TermLoanMembermac:TermLoanFacilityM</w:t>
      </w:r>
      <w:r>
        <w:rPr>
          <w:rFonts w:eastAsia="Times New Roman"/>
          <w:vanish/>
        </w:rPr>
        <w:t>aturesOnApril142024Member2021-04-140000912242mac:TermLoanMembermac:TermLoanFacilityMaturesOnApril142024Member2021-04-142021-04-140000912242mac:PriorRevolvingLineOfCreditFacilityMemberus-gaap:LineOfCreditMember2021-04-142021-04-140000912242srt:MinimumMember</w:t>
      </w:r>
      <w:r>
        <w:rPr>
          <w:rFonts w:eastAsia="Times New Roman"/>
          <w:vanish/>
        </w:rPr>
        <w:t>us-gaap:LondonInterbankOfferedRateLIBORMemberus-gaap:LineOfCreditMembermac:NewCreditAgreementMember2021-04-142021-04-140000912242srt:MaximumMemberus-gaap:LondonInterbankOfferedRateLIBORMemberus-gaap:LineOfCreditMembermac:NewCreditAgreementMember2021-04-142</w:t>
      </w:r>
      <w:r>
        <w:rPr>
          <w:rFonts w:eastAsia="Times New Roman"/>
          <w:vanish/>
        </w:rPr>
        <w:t>021-04-140000912242us-gaap:LondonInterbankOfferedRateLIBORMemberus-gaap:LineOfCreditMembermac:NewCreditAgreementMember2021-06-300000912242us-gaap:LineOfCreditMembermac:NewCreditAgreementMember2021-09-300000912242us-gaap:RevolvingCreditFacilityMemberus-gaap</w:t>
      </w:r>
      <w:r>
        <w:rPr>
          <w:rFonts w:eastAsia="Times New Roman"/>
          <w:vanish/>
        </w:rPr>
        <w:t>:LineOfCreditMembermac:RevolvingLoanFacilityMaturesOnApril142023Member2021-01-012021-09-300000912242us-gaap:FairValueInputsLevel2Memberus-gaap:RevolvingCreditFacilityMemberus-gaap:LineOfCreditMembermac:RevolvingLoanFacilityMaturesOnApril142023Member2021-09</w:t>
      </w:r>
      <w:r>
        <w:rPr>
          <w:rFonts w:eastAsia="Times New Roman"/>
          <w:vanish/>
        </w:rPr>
        <w:t>-300000912242mac:PriorRevolvingLineOfCreditFacilityMemberus-gaap:RevolvingCreditFacilityMemberus-gaap:LineOfCreditMember2021-09-300000912242mac:PriorRevolvingLineOfCreditFacilityMembersrt:MinimumMemberus-gaap:LondonInterbankOfferedRateLIBORMemberus-gaap:Re</w:t>
      </w:r>
      <w:r>
        <w:rPr>
          <w:rFonts w:eastAsia="Times New Roman"/>
          <w:vanish/>
        </w:rPr>
        <w:t>volvingCreditFacilityMemberus-gaap:LineOfCreditMember2021-01-012021-09-300000912242mac:PriorRevolvingLineOfCreditFacilityMembersrt:MaximumMemberus-gaap:LondonInterbankOfferedRateLIBORMemberus-gaap:RevolvingCreditFacilityMemberus-gaap:LineOfCreditMember2021</w:t>
      </w:r>
      <w:r>
        <w:rPr>
          <w:rFonts w:eastAsia="Times New Roman"/>
          <w:vanish/>
        </w:rPr>
        <w:t>-01-012021-09-300000912242mac:PriorRevolvingLineOfCreditFacilityMemberus-gaap:LineOfCreditMember2020-12-310000912242us-gaap:InterestRateSwapMember2021-09-300000912242mac:PriorRevolvingLineOfCreditFacilityMemberus-gaap:RevolvingCreditFacilityMemberus-gaap:L</w:t>
      </w:r>
      <w:r>
        <w:rPr>
          <w:rFonts w:eastAsia="Times New Roman"/>
          <w:vanish/>
        </w:rPr>
        <w:t>ineOfCreditMember2020-12-310000912242mac:PriorRevolvingLineOfCreditFacilityMemberus-gaap:RevolvingCreditFacilityMember2020-01-012020-12-310000912242us-gaap:LineOfCreditMemberus-gaap:FairValueInputsLevel2Membermac:PriorRevolvingLineOfCreditFacilityMember202</w:t>
      </w:r>
      <w:r>
        <w:rPr>
          <w:rFonts w:eastAsia="Times New Roman"/>
          <w:vanish/>
        </w:rPr>
        <w:t>0-12-310000912242mac:FreeholdRacewayMallAndChandlerFashionCenterMembermac:FinancingArrangementMember2009-09-302009-09-30utr:sqft0000912242mac:FinancingArrangementMembermac:ChandlerFashionCenterMember2009-09-300000912242mac:FreeholdRacewayMallMembermac:Fina</w:t>
      </w:r>
      <w:r>
        <w:rPr>
          <w:rFonts w:eastAsia="Times New Roman"/>
          <w:vanish/>
        </w:rPr>
        <w:t>ncingArrangementMember2009-09-30iso4217:USDutr:sqft0000912242mac:FinancingArrangementMembersrt:MinimumMember2020-12-310000912242mac:FinancingArrangementMembersrt:MinimumMember2021-09-300000912242srt:MaximumMembermac:FinancingArrangementMember2021-09-300000</w:t>
      </w:r>
      <w:r>
        <w:rPr>
          <w:rFonts w:eastAsia="Times New Roman"/>
          <w:vanish/>
        </w:rPr>
        <w:t>912242srt:MaximumMembermac:FinancingArrangementMember2020-12-310000912242mac:FinancingArrangementMemberus-gaap:CorporateJointVentureMember2021-07-012021-09-300000912242mac:FinancingArrangementMemberus-gaap:CorporateJointVentureMember2020-07-012020-09-30000</w:t>
      </w:r>
      <w:r>
        <w:rPr>
          <w:rFonts w:eastAsia="Times New Roman"/>
          <w:vanish/>
        </w:rPr>
        <w:t>0912242mac:FinancingArrangementMemberus-gaap:CorporateJointVentureMember2021-01-012021-09-300000912242mac:FinancingArrangementMemberus-gaap:CorporateJointVentureMember2020-01-012020-09-300000912242mac:TheMacerichPartnershipLPMember2020-12-3100009122422020-</w:t>
      </w:r>
      <w:r>
        <w:rPr>
          <w:rFonts w:eastAsia="Times New Roman"/>
          <w:vanish/>
        </w:rPr>
        <w:t>06-032020-06-0300009122422021-03-162021-03-1600009122422020-05-202020-05-220000912242mac:February2021ATMProgramMember2021-02-010000912242mac:March2021ATMProgramMember2021-03-260000912242mac:ATMProgramsMember2021-09-300000912242mac:ATMProgramsMember2021-01-</w:t>
      </w:r>
      <w:r>
        <w:rPr>
          <w:rFonts w:eastAsia="Times New Roman"/>
          <w:vanish/>
        </w:rPr>
        <w:t>012021-09-3000009122422017-02-120000912242mac:ParadiseValleyMallMemberus-gaap:DisposalGroupDisposedOfBySaleNotDiscontinuedOperationsMember2021-03-292021-03-290000912242mac:ParadiseValleyMallMemberus-gaap:DisposalGroupDisposedOfBySaleNotDiscontinuedOperatio</w:t>
      </w:r>
      <w:r>
        <w:rPr>
          <w:rFonts w:eastAsia="Times New Roman"/>
          <w:vanish/>
        </w:rPr>
        <w:t>nsMember2021-03-290000912242mac:TucsonLaEncantadaInTucsonArizonaMemberus-gaap:DisposalGroupDisposedOfBySaleNotDiscontinuedOperationsMember2021-09-172021-09-1700009122422021-09-172021-09-170000912242us-gaap:SecuredDebtMemberus-gaap:LetterOfCreditMember2021-</w:t>
      </w:r>
      <w:r>
        <w:rPr>
          <w:rFonts w:eastAsia="Times New Roman"/>
          <w:vanish/>
        </w:rPr>
        <w:t>09-300000912242us-gaap:ManagementServiceMembermac:UnconsolidatedJointVenturesAndThirdPartyManagedPropertiesMember2021-07-012021-09-300000912242us-gaap:ManagementServiceMembermac:UnconsolidatedJointVenturesAndThirdPartyManagedPropertiesMember2020-07-012020-</w:t>
      </w:r>
      <w:r>
        <w:rPr>
          <w:rFonts w:eastAsia="Times New Roman"/>
          <w:vanish/>
        </w:rPr>
        <w:t>09-300000912242us-gaap:ManagementServiceMembermac:UnconsolidatedJointVenturesAndThirdPartyManagedPropertiesMember2021-01-012021-09-300000912242us-gaap:ManagementServiceMembermac:UnconsolidatedJointVenturesAndThirdPartyManagedPropertiesMember2020-01-012020-</w:t>
      </w:r>
      <w:r>
        <w:rPr>
          <w:rFonts w:eastAsia="Times New Roman"/>
          <w:vanish/>
        </w:rPr>
        <w:t>09-300000912242mac:UnconsolidatedJointVenturesAndThirdPartyManagedPropertiesMembermac:DevelopmentandLeasingFeesMember2021-07-012021-09-300000912242mac:UnconsolidatedJointVenturesAndThirdPartyManagedPropertiesMembermac:DevelopmentandLeasingFeesMember2020-07</w:t>
      </w:r>
      <w:r>
        <w:rPr>
          <w:rFonts w:eastAsia="Times New Roman"/>
          <w:vanish/>
        </w:rPr>
        <w:t>-012020-09-300000912242mac:UnconsolidatedJointVenturesAndThirdPartyManagedPropertiesMembermac:DevelopmentandLeasingFeesMember2021-01-012021-09-300000912242mac:UnconsolidatedJointVenturesAndThirdPartyManagedPropertiesMembermac:DevelopmentandLeasingFeesMembe</w:t>
      </w:r>
      <w:r>
        <w:rPr>
          <w:rFonts w:eastAsia="Times New Roman"/>
          <w:vanish/>
        </w:rPr>
        <w:t>r2020-01-012020-09-300000912242mac:UnconsolidatedJointVenturesAndThirdPartyManagedPropertiesMember2021-07-012021-09-300000912242mac:UnconsolidatedJointVenturesAndThirdPartyManagedPropertiesMember2020-07-012020-09-300000912242mac:UnconsolidatedJointVentures</w:t>
      </w:r>
      <w:r>
        <w:rPr>
          <w:rFonts w:eastAsia="Times New Roman"/>
          <w:vanish/>
        </w:rPr>
        <w:t>AndThirdPartyManagedPropertiesMember2021-01-012021-09-300000912242mac:UnconsolidatedJointVenturesAndThirdPartyManagedPropertiesMember2020-01-012020-09-300000912242mac:UnconsolidatedJointVenturesMember2021-09-300000912242mac:UnconsolidatedJointVenturesMembe</w:t>
      </w:r>
      <w:r>
        <w:rPr>
          <w:rFonts w:eastAsia="Times New Roman"/>
          <w:vanish/>
        </w:rPr>
        <w:t>r2020-12-310000912242mac:StockUnitsMember2021-01-012021-09-300000912242mac:LongTermIncentivePlanMember2021-01-012021-09-300000912242mac:LongTermIncentivePlanServicebasedMember2021-01-012021-09-300000912242mac:LongTermIncentivePlanMarketbasedMember2021-01-0</w:t>
      </w:r>
      <w:r>
        <w:rPr>
          <w:rFonts w:eastAsia="Times New Roman"/>
          <w:vanish/>
        </w:rPr>
        <w:t>12021-09-300000912242mac:LongTermIncentivePlanMembermac:January12021Member2020-01-012020-01-010000912242mac:LongTermIncentivePlanMember2020-12-310000912242us-gaap:PhantomShareUnitsPSUsMember2020-12-310000912242mac:StockUnitsMember2020-12-310000912242us-gaa</w:t>
      </w:r>
      <w:r>
        <w:rPr>
          <w:rFonts w:eastAsia="Times New Roman"/>
          <w:vanish/>
        </w:rPr>
        <w:t>p:PhantomShareUnitsPSUsMember2021-01-012021-09-300000912242mac:LongTermIncentivePlanMember2021-09-300000912242us-gaap:PhantomShareUnitsPSUsMember2021-09-300000912242mac:StockUnitsMember2021-09-300000912242us-gaap:EmployeeStockOptionMember2020-12-3100009122</w:t>
      </w:r>
      <w:r>
        <w:rPr>
          <w:rFonts w:eastAsia="Times New Roman"/>
          <w:vanish/>
        </w:rPr>
        <w:t>42us-gaap:EmployeeStockOptionMember2021-01-012021-09-300000912242us-gaap:EmployeeStockOptionMember2021-09-300000912242mac:LongTermIncentivePlanMember2021-07-012021-09-300000912242mac:LongTermIncentivePlanMember2020-07-012020-09-300000912242mac:LongTermInce</w:t>
      </w:r>
      <w:r>
        <w:rPr>
          <w:rFonts w:eastAsia="Times New Roman"/>
          <w:vanish/>
        </w:rPr>
        <w:t>ntivePlanMember2020-01-012020-09-300000912242mac:StockUnitsMember2021-07-012021-09-300000912242mac:StockUnitsMember2020-07-012020-09-300000912242mac:StockUnitsMember2020-01-012020-09-300000912242us-gaap:PhantomShareUnitsPSUsMember2021-07-012021-09-30000091</w:t>
      </w:r>
      <w:r>
        <w:rPr>
          <w:rFonts w:eastAsia="Times New Roman"/>
          <w:vanish/>
        </w:rPr>
        <w:t>2242us-gaap:PhantomShareUnitsPSUsMember2020-07-012020-09-300000912242us-gaap:PhantomShareUnitsPSUsMember2020-01-012020-09-300000912242us-gaap:SubsequentEventMember2021-10-282021-10-28</w:t>
      </w:r>
    </w:p>
    <w:p w:rsidR="00000000" w:rsidRDefault="00FF0345">
      <w:pPr>
        <w:jc w:val="center"/>
        <w:divId w:val="1978994868"/>
        <w:rPr>
          <w:rFonts w:eastAsia="Times New Roman"/>
        </w:rPr>
      </w:pPr>
    </w:p>
    <w:p w:rsidR="00000000" w:rsidRDefault="00FF0345">
      <w:pPr>
        <w:jc w:val="center"/>
        <w:divId w:val="1368023924"/>
        <w:rPr>
          <w:rFonts w:eastAsia="Times New Roman"/>
        </w:rPr>
      </w:pPr>
    </w:p>
    <w:p w:rsidR="00000000" w:rsidRDefault="00FF0345">
      <w:pPr>
        <w:jc w:val="center"/>
        <w:divId w:val="2057049650"/>
        <w:rPr>
          <w:rFonts w:eastAsia="Times New Roman"/>
        </w:rPr>
      </w:pPr>
    </w:p>
    <w:p w:rsidR="00000000" w:rsidRDefault="00FF0345">
      <w:pPr>
        <w:jc w:val="center"/>
        <w:divId w:val="255597909"/>
        <w:rPr>
          <w:rFonts w:eastAsia="Times New Roman"/>
        </w:rPr>
      </w:pPr>
    </w:p>
    <w:p w:rsidR="00000000" w:rsidRDefault="00FF0345">
      <w:pPr>
        <w:jc w:val="center"/>
        <w:divId w:val="164843953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jc w:val="center"/>
        </w:trPr>
        <w:tc>
          <w:tcPr>
            <w:tcW w:w="50" w:type="pct"/>
            <w:vAlign w:val="center"/>
            <w:hideMark/>
          </w:tcPr>
          <w:p w:rsidR="00000000" w:rsidRDefault="00FF0345">
            <w:pPr>
              <w:jc w:val="center"/>
              <w:rPr>
                <w:rFonts w:eastAsia="Times New Roman"/>
              </w:rPr>
            </w:pPr>
          </w:p>
        </w:tc>
        <w:tc>
          <w:tcPr>
            <w:tcW w:w="494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trHeight w:val="60"/>
          <w:jc w:val="center"/>
        </w:trPr>
        <w:tc>
          <w:tcPr>
            <w:tcW w:w="0" w:type="auto"/>
            <w:gridSpan w:val="3"/>
            <w:tcBorders>
              <w:top w:val="single" w:sz="1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jc w:val="center"/>
        <w:rPr>
          <w:rFonts w:eastAsia="Times New Roman"/>
        </w:rPr>
      </w:pPr>
      <w:r>
        <w:rPr>
          <w:rFonts w:eastAsia="Times New Roman"/>
          <w:b/>
          <w:bCs/>
          <w:color w:val="000000"/>
          <w:sz w:val="32"/>
          <w:szCs w:val="32"/>
        </w:rPr>
        <w:t>UNITED STATES</w:t>
      </w:r>
    </w:p>
    <w:p w:rsidR="00000000" w:rsidRDefault="00FF0345">
      <w:pPr>
        <w:jc w:val="center"/>
        <w:divId w:val="1206134915"/>
        <w:rPr>
          <w:rFonts w:eastAsia="Times New Roman"/>
        </w:rPr>
      </w:pPr>
      <w:r>
        <w:rPr>
          <w:rFonts w:eastAsia="Times New Roman"/>
          <w:b/>
          <w:bCs/>
          <w:color w:val="000000"/>
          <w:sz w:val="32"/>
          <w:szCs w:val="32"/>
        </w:rPr>
        <w:t>SECURITIES AND EXCHANGE COMMISSION</w:t>
      </w:r>
    </w:p>
    <w:p w:rsidR="00000000" w:rsidRDefault="00FF0345">
      <w:pPr>
        <w:jc w:val="center"/>
        <w:divId w:val="1272397305"/>
        <w:rPr>
          <w:rFonts w:eastAsia="Times New Roman"/>
        </w:rPr>
      </w:pPr>
      <w:r>
        <w:rPr>
          <w:rFonts w:eastAsia="Times New Roman"/>
          <w:b/>
          <w:bCs/>
          <w:color w:val="000000"/>
          <w:sz w:val="20"/>
          <w:szCs w:val="20"/>
        </w:rPr>
        <w:t>Washington, D.C. 20549</w:t>
      </w:r>
    </w:p>
    <w:p w:rsidR="00000000" w:rsidRDefault="00FF0345">
      <w:pPr>
        <w:jc w:val="center"/>
        <w:divId w:val="268271539"/>
        <w:rPr>
          <w:rFonts w:eastAsia="Times New Roman"/>
        </w:rPr>
      </w:pPr>
      <w:r>
        <w:rPr>
          <w:rFonts w:eastAsia="Times New Roman"/>
          <w:b/>
          <w:bCs/>
          <w:color w:val="000000"/>
          <w:sz w:val="32"/>
          <w:szCs w:val="32"/>
        </w:rPr>
        <w:t xml:space="preserve">FORM 10-Q </w:t>
      </w:r>
    </w:p>
    <w:p w:rsidR="00000000" w:rsidRDefault="00FF0345">
      <w:pPr>
        <w:ind w:hanging="630"/>
        <w:divId w:val="441803237"/>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 xml:space="preserve">QUARTERLY REPORT PURSUANT TO SECTION 13 OR 15(d) OF THE SECURITIES EXCHANGE ACT OF 1934 </w:t>
      </w:r>
    </w:p>
    <w:p w:rsidR="00000000" w:rsidRDefault="00FF0345">
      <w:pPr>
        <w:ind w:firstLine="90"/>
        <w:divId w:val="950629379"/>
        <w:rPr>
          <w:rFonts w:eastAsia="Times New Roman"/>
        </w:rPr>
      </w:pPr>
      <w:r>
        <w:rPr>
          <w:rFonts w:eastAsia="Times New Roman"/>
          <w:b/>
          <w:bCs/>
          <w:color w:val="000000"/>
          <w:sz w:val="20"/>
          <w:szCs w:val="20"/>
        </w:rPr>
        <w:t xml:space="preserve">For the quarterly period ended September 30, 2021 </w:t>
      </w:r>
    </w:p>
    <w:p w:rsidR="00000000" w:rsidRDefault="00FF0345">
      <w:pPr>
        <w:ind w:hanging="630"/>
        <w:divId w:val="798884215"/>
        <w:rPr>
          <w:rFonts w:eastAsia="Times New Roman"/>
        </w:rPr>
      </w:pPr>
      <w:r>
        <w:rPr>
          <w:rFonts w:ascii="Segoe UI Symbol" w:eastAsia="Times New Roman" w:hAnsi="Segoe UI Symbol" w:cs="Segoe UI Symbol"/>
          <w:color w:val="000000"/>
        </w:rPr>
        <w:t>☐</w:t>
      </w:r>
      <w:r>
        <w:rPr>
          <w:rFonts w:ascii="Wingdings" w:eastAsia="Times New Roman" w:hAnsi="Wingdings"/>
          <w:color w:val="000000"/>
          <w:sz w:val="20"/>
          <w:szCs w:val="20"/>
        </w:rPr>
        <w:t xml:space="preserve"> </w:t>
      </w:r>
      <w:r>
        <w:rPr>
          <w:rFonts w:eastAsia="Times New Roman"/>
          <w:color w:val="000000"/>
          <w:sz w:val="20"/>
          <w:szCs w:val="20"/>
        </w:rPr>
        <w:t>TRANSITION REPORT PURSUANT TO SECTION 13 OR</w:t>
      </w:r>
      <w:r>
        <w:rPr>
          <w:rFonts w:eastAsia="Times New Roman"/>
          <w:color w:val="000000"/>
          <w:sz w:val="20"/>
          <w:szCs w:val="20"/>
        </w:rPr>
        <w:t xml:space="preserve"> 15(d) OF THE SECURITIES EXCHANGE ACT OF 1934 </w:t>
      </w:r>
    </w:p>
    <w:p w:rsidR="00000000" w:rsidRDefault="00FF0345">
      <w:pPr>
        <w:ind w:firstLine="90"/>
        <w:divId w:val="988359912"/>
        <w:rPr>
          <w:rFonts w:eastAsia="Times New Roman"/>
        </w:rPr>
      </w:pPr>
      <w:r>
        <w:rPr>
          <w:rFonts w:eastAsia="Times New Roman"/>
          <w:color w:val="000000"/>
          <w:sz w:val="20"/>
          <w:szCs w:val="20"/>
        </w:rPr>
        <w:t xml:space="preserve">For the transition period from ___________ to </w:t>
      </w:r>
      <w:r>
        <w:rPr>
          <w:rFonts w:eastAsia="Times New Roman"/>
          <w:b/>
          <w:bCs/>
          <w:color w:val="000000"/>
          <w:sz w:val="20"/>
          <w:szCs w:val="20"/>
        </w:rPr>
        <w:t>___________</w:t>
      </w:r>
    </w:p>
    <w:p w:rsidR="00000000" w:rsidRDefault="00FF0345">
      <w:pPr>
        <w:ind w:hanging="630"/>
        <w:jc w:val="center"/>
        <w:divId w:val="1622034503"/>
        <w:rPr>
          <w:rFonts w:eastAsia="Times New Roman"/>
        </w:rPr>
      </w:pPr>
      <w:r>
        <w:rPr>
          <w:rFonts w:eastAsia="Times New Roman"/>
          <w:color w:val="000000"/>
          <w:sz w:val="20"/>
          <w:szCs w:val="20"/>
        </w:rPr>
        <w:t xml:space="preserve">Commission File No. 1-12504 </w:t>
      </w:r>
    </w:p>
    <w:p w:rsidR="00000000" w:rsidRDefault="00FF0345">
      <w:pPr>
        <w:jc w:val="center"/>
        <w:divId w:val="1638536318"/>
        <w:rPr>
          <w:rFonts w:eastAsia="Times New Roman"/>
        </w:rPr>
      </w:pPr>
      <w:r>
        <w:rPr>
          <w:rFonts w:eastAsia="Times New Roman"/>
          <w:color w:val="000000"/>
          <w:sz w:val="20"/>
          <w:szCs w:val="20"/>
        </w:rPr>
        <w:t>THE MACERICH COMPANY</w:t>
      </w:r>
    </w:p>
    <w:p w:rsidR="00000000" w:rsidRDefault="00FF0345">
      <w:pPr>
        <w:jc w:val="center"/>
        <w:divId w:val="213279512"/>
        <w:rPr>
          <w:rFonts w:eastAsia="Times New Roman"/>
        </w:rPr>
      </w:pPr>
      <w:r>
        <w:rPr>
          <w:rFonts w:eastAsia="Times New Roman"/>
          <w:color w:val="000000"/>
          <w:sz w:val="20"/>
          <w:szCs w:val="20"/>
        </w:rPr>
        <w:t>(Exact name of registrant as specified in its charter)</w:t>
      </w:r>
    </w:p>
    <w:tbl>
      <w:tblPr>
        <w:tblW w:w="4904" w:type="pct"/>
        <w:jc w:val="center"/>
        <w:tblCellMar>
          <w:top w:w="15" w:type="dxa"/>
          <w:left w:w="15" w:type="dxa"/>
          <w:bottom w:w="15" w:type="dxa"/>
          <w:right w:w="15" w:type="dxa"/>
        </w:tblCellMar>
        <w:tblLook w:val="04A0" w:firstRow="1" w:lastRow="0" w:firstColumn="1" w:lastColumn="0" w:noHBand="0" w:noVBand="1"/>
      </w:tblPr>
      <w:tblGrid>
        <w:gridCol w:w="43"/>
        <w:gridCol w:w="1479"/>
        <w:gridCol w:w="38"/>
        <w:gridCol w:w="93"/>
        <w:gridCol w:w="669"/>
        <w:gridCol w:w="37"/>
        <w:gridCol w:w="52"/>
        <w:gridCol w:w="862"/>
        <w:gridCol w:w="36"/>
        <w:gridCol w:w="83"/>
        <w:gridCol w:w="679"/>
        <w:gridCol w:w="36"/>
        <w:gridCol w:w="36"/>
        <w:gridCol w:w="36"/>
        <w:gridCol w:w="36"/>
        <w:gridCol w:w="38"/>
        <w:gridCol w:w="3858"/>
        <w:gridCol w:w="36"/>
      </w:tblGrid>
      <w:tr w:rsidR="00000000">
        <w:trPr>
          <w:divId w:val="213279512"/>
          <w:jc w:val="center"/>
        </w:trPr>
        <w:tc>
          <w:tcPr>
            <w:tcW w:w="50" w:type="pct"/>
            <w:vAlign w:val="center"/>
            <w:hideMark/>
          </w:tcPr>
          <w:p w:rsidR="00000000" w:rsidRDefault="00FF0345">
            <w:pPr>
              <w:jc w:val="center"/>
              <w:rPr>
                <w:rFonts w:eastAsia="Times New Roman"/>
              </w:rPr>
            </w:pPr>
          </w:p>
        </w:tc>
        <w:tc>
          <w:tcPr>
            <w:tcW w:w="93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6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6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1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41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213279512"/>
          <w:jc w:val="center"/>
        </w:trPr>
        <w:tc>
          <w:tcPr>
            <w:tcW w:w="0" w:type="auto"/>
            <w:gridSpan w:val="12"/>
            <w:tcMar>
              <w:top w:w="30" w:type="dxa"/>
              <w:left w:w="20" w:type="dxa"/>
              <w:bottom w:w="30" w:type="dxa"/>
              <w:right w:w="20" w:type="dxa"/>
            </w:tcMar>
            <w:hideMark/>
          </w:tcPr>
          <w:p w:rsidR="00000000" w:rsidRDefault="00FF0345">
            <w:pPr>
              <w:spacing w:after="100"/>
              <w:jc w:val="center"/>
              <w:rPr>
                <w:rFonts w:eastAsia="Times New Roman"/>
              </w:rPr>
            </w:pPr>
            <w:r>
              <w:rPr>
                <w:rFonts w:eastAsia="Times New Roman"/>
                <w:color w:val="000000"/>
                <w:sz w:val="18"/>
                <w:szCs w:val="18"/>
              </w:rPr>
              <w:t>Maryland</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F0345">
            <w:pPr>
              <w:spacing w:after="100"/>
              <w:jc w:val="center"/>
              <w:rPr>
                <w:rFonts w:eastAsia="Times New Roman"/>
              </w:rPr>
            </w:pPr>
            <w:r>
              <w:rPr>
                <w:rFonts w:eastAsia="Times New Roman"/>
                <w:color w:val="000000"/>
                <w:sz w:val="18"/>
                <w:szCs w:val="18"/>
              </w:rPr>
              <w:t>95-4448705</w:t>
            </w:r>
          </w:p>
        </w:tc>
      </w:tr>
      <w:tr w:rsidR="00000000">
        <w:trPr>
          <w:divId w:val="213279512"/>
          <w:jc w:val="center"/>
        </w:trPr>
        <w:tc>
          <w:tcPr>
            <w:tcW w:w="0" w:type="auto"/>
            <w:gridSpan w:val="12"/>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F0345">
            <w:pPr>
              <w:spacing w:after="100"/>
              <w:jc w:val="center"/>
              <w:rPr>
                <w:rFonts w:eastAsia="Times New Roman"/>
              </w:rPr>
            </w:pPr>
            <w:r>
              <w:rPr>
                <w:rFonts w:eastAsia="Times New Roman"/>
                <w:color w:val="000000"/>
                <w:sz w:val="18"/>
                <w:szCs w:val="18"/>
              </w:rPr>
              <w:t>(I.R.S. Employer Identification Number)</w:t>
            </w:r>
          </w:p>
        </w:tc>
      </w:tr>
      <w:tr w:rsidR="00000000">
        <w:trPr>
          <w:divId w:val="213279512"/>
          <w:jc w:val="center"/>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401 Wilshire Boulevard,</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Suite 700,</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Santa Monica,</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California</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90401</w:t>
            </w:r>
          </w:p>
        </w:tc>
      </w:tr>
      <w:tr w:rsidR="00000000">
        <w:trPr>
          <w:divId w:val="213279512"/>
          <w:jc w:val="center"/>
        </w:trPr>
        <w:tc>
          <w:tcPr>
            <w:tcW w:w="0" w:type="auto"/>
            <w:gridSpan w:val="12"/>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(Address of principal executive office)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(Zip Code)</w:t>
            </w:r>
          </w:p>
        </w:tc>
      </w:tr>
      <w:tr w:rsidR="00000000">
        <w:trPr>
          <w:divId w:val="213279512"/>
          <w:jc w:val="center"/>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8"/>
                <w:szCs w:val="18"/>
              </w:rPr>
              <w:t>(310)</w:t>
            </w:r>
          </w:p>
        </w:tc>
        <w:tc>
          <w:tcPr>
            <w:tcW w:w="0" w:type="auto"/>
            <w:gridSpan w:val="6"/>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394-6000</w:t>
            </w:r>
          </w:p>
        </w:tc>
      </w:tr>
      <w:tr w:rsidR="00000000">
        <w:trPr>
          <w:divId w:val="213279512"/>
          <w:jc w:val="center"/>
        </w:trPr>
        <w:tc>
          <w:tcPr>
            <w:tcW w:w="0" w:type="auto"/>
            <w:gridSpan w:val="18"/>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 (Registrant's telephone number, including area code)</w:t>
            </w:r>
          </w:p>
        </w:tc>
      </w:tr>
      <w:tr w:rsidR="00000000">
        <w:trPr>
          <w:divId w:val="213279512"/>
          <w:jc w:val="center"/>
        </w:trPr>
        <w:tc>
          <w:tcPr>
            <w:tcW w:w="0" w:type="auto"/>
            <w:gridSpan w:val="18"/>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18"/>
                <w:szCs w:val="18"/>
              </w:rPr>
              <w:t>N/A</w:t>
            </w:r>
          </w:p>
          <w:p w:rsidR="00000000" w:rsidRDefault="00FF0345">
            <w:pPr>
              <w:spacing w:after="100"/>
              <w:jc w:val="center"/>
              <w:rPr>
                <w:rFonts w:eastAsia="Times New Roman"/>
              </w:rPr>
            </w:pPr>
            <w:r>
              <w:rPr>
                <w:rFonts w:eastAsia="Times New Roman"/>
                <w:color w:val="000000"/>
                <w:sz w:val="18"/>
                <w:szCs w:val="18"/>
              </w:rPr>
              <w:t> </w:t>
            </w:r>
            <w:r>
              <w:rPr>
                <w:rFonts w:eastAsia="Times New Roman"/>
                <w:color w:val="000000"/>
                <w:sz w:val="18"/>
                <w:szCs w:val="18"/>
              </w:rPr>
              <w:t>(Former name, former address and former fiscal year, if changed since last report)</w:t>
            </w:r>
          </w:p>
        </w:tc>
      </w:tr>
    </w:tbl>
    <w:p w:rsidR="00000000" w:rsidRDefault="00FF0345">
      <w:pPr>
        <w:ind w:firstLine="495"/>
        <w:divId w:val="537158550"/>
        <w:rPr>
          <w:rFonts w:eastAsia="Times New Roman"/>
        </w:rPr>
      </w:pPr>
      <w:r>
        <w:rPr>
          <w:rFonts w:eastAsia="Times New Roman"/>
          <w:color w:val="000000"/>
          <w:sz w:val="20"/>
          <w:szCs w:val="20"/>
        </w:rPr>
        <w:t>Securities registered pursuant to Section 12(b) of the Securities Act:</w:t>
      </w:r>
    </w:p>
    <w:tbl>
      <w:tblPr>
        <w:tblW w:w="4992" w:type="pct"/>
        <w:tblCellMar>
          <w:top w:w="15" w:type="dxa"/>
          <w:left w:w="15" w:type="dxa"/>
          <w:bottom w:w="15" w:type="dxa"/>
          <w:right w:w="15" w:type="dxa"/>
        </w:tblCellMar>
        <w:tblLook w:val="04A0" w:firstRow="1" w:lastRow="0" w:firstColumn="1" w:lastColumn="0" w:noHBand="0" w:noVBand="1"/>
      </w:tblPr>
      <w:tblGrid>
        <w:gridCol w:w="68"/>
        <w:gridCol w:w="2650"/>
        <w:gridCol w:w="37"/>
        <w:gridCol w:w="69"/>
        <w:gridCol w:w="2275"/>
        <w:gridCol w:w="36"/>
        <w:gridCol w:w="69"/>
        <w:gridCol w:w="3053"/>
        <w:gridCol w:w="36"/>
      </w:tblGrid>
      <w:tr w:rsidR="00000000">
        <w:trPr>
          <w:divId w:val="537158550"/>
        </w:trPr>
        <w:tc>
          <w:tcPr>
            <w:tcW w:w="50" w:type="pct"/>
            <w:vAlign w:val="center"/>
            <w:hideMark/>
          </w:tcPr>
          <w:p w:rsidR="00000000" w:rsidRDefault="00FF0345">
            <w:pPr>
              <w:ind w:firstLine="495"/>
              <w:rPr>
                <w:rFonts w:eastAsia="Times New Roman"/>
              </w:rPr>
            </w:pPr>
          </w:p>
        </w:tc>
        <w:tc>
          <w:tcPr>
            <w:tcW w:w="160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37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84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537158550"/>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Title of each class</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Trading symbol</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Name of each exchange on which registered</w:t>
            </w:r>
          </w:p>
        </w:tc>
      </w:tr>
      <w:tr w:rsidR="00000000">
        <w:trPr>
          <w:divId w:val="537158550"/>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Common Stock, $0.01 Par Value</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MAC</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New York Stock Exchange</w:t>
            </w:r>
          </w:p>
        </w:tc>
      </w:tr>
    </w:tbl>
    <w:p w:rsidR="00000000" w:rsidRDefault="00FF0345">
      <w:pPr>
        <w:ind w:firstLine="495"/>
        <w:divId w:val="661158889"/>
        <w:rPr>
          <w:rFonts w:eastAsia="Times New Roman"/>
        </w:rPr>
      </w:pPr>
      <w:r>
        <w:rPr>
          <w:rFonts w:eastAsia="Times New Roman"/>
          <w:color w:val="000000"/>
          <w:sz w:val="18"/>
          <w:szCs w:val="18"/>
        </w:rPr>
        <w:t>Indicate by check mark whether the registrant (1) </w:t>
      </w:r>
      <w:r>
        <w:rPr>
          <w:rFonts w:eastAsia="Times New Roman"/>
          <w:color w:val="000000"/>
          <w:sz w:val="18"/>
          <w:szCs w:val="18"/>
        </w:rPr>
        <w:t xml:space="preserve">has filed all reports required to be filed by Section 13 or 15(d) of the Securities Exchange Act of 1934 during the preceding twelve (12) months (or for such shorter period that the Registrant was required to file such reports) and (2) has been subject to </w:t>
      </w:r>
      <w:r>
        <w:rPr>
          <w:rFonts w:eastAsia="Times New Roman"/>
          <w:color w:val="000000"/>
          <w:sz w:val="18"/>
          <w:szCs w:val="18"/>
        </w:rPr>
        <w:t xml:space="preserve">such filing requirements for the past ninety (90) days.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 </w:t>
      </w:r>
      <w:r>
        <w:rPr>
          <w:rFonts w:ascii="Segoe UI Symbol" w:eastAsia="Times New Roman" w:hAnsi="Segoe UI Symbol" w:cs="Segoe UI Symbol"/>
          <w:color w:val="000000"/>
          <w:sz w:val="18"/>
          <w:szCs w:val="18"/>
        </w:rPr>
        <w:t>☐</w:t>
      </w:r>
    </w:p>
    <w:p w:rsidR="00000000" w:rsidRDefault="00FF0345">
      <w:pPr>
        <w:ind w:firstLine="495"/>
        <w:divId w:val="1286155621"/>
        <w:rPr>
          <w:rFonts w:eastAsia="Times New Roman"/>
        </w:rPr>
      </w:pPr>
      <w:r>
        <w:rPr>
          <w:rFonts w:eastAsia="Times New Roman"/>
          <w:color w:val="000000"/>
          <w:sz w:val="18"/>
          <w:szCs w:val="18"/>
        </w:rPr>
        <w:lastRenderedPageBreak/>
        <w:t xml:space="preserve">Indicate by check mark whether the registrant has submitted electronically every Interactive Data File required to be submitted pursuant to Rule 405 of Regulation S-T (Section 232.405 of </w:t>
      </w:r>
      <w:r>
        <w:rPr>
          <w:rFonts w:eastAsia="Times New Roman"/>
          <w:color w:val="000000"/>
          <w:sz w:val="18"/>
          <w:szCs w:val="18"/>
        </w:rPr>
        <w:t xml:space="preserve">this chapter) during the preceding twelve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FF0345">
      <w:pPr>
        <w:ind w:firstLine="495"/>
        <w:divId w:val="2074426782"/>
        <w:rPr>
          <w:rFonts w:eastAsia="Times New Roman"/>
        </w:rPr>
      </w:pPr>
      <w:r>
        <w:rPr>
          <w:rFonts w:eastAsia="Times New Roman"/>
          <w:color w:val="000000"/>
          <w:sz w:val="18"/>
          <w:szCs w:val="18"/>
        </w:rPr>
        <w:t xml:space="preserve">Indicate by check mark whether the registrant is a large accelerated filer, an accelerated filer, a </w:t>
      </w:r>
      <w:r>
        <w:rPr>
          <w:rFonts w:eastAsia="Times New Roman"/>
          <w:color w:val="000000"/>
          <w:sz w:val="18"/>
          <w:szCs w:val="18"/>
        </w:rPr>
        <w:t>non-accelerated filer, a smaller reporting company or an emerging growth company. See definitions of "large accelerated filer", "accelerated filer", "smaller reporting company" and "emerging growth company" in Rule 12b-2 of the Exchange Act.</w:t>
      </w:r>
    </w:p>
    <w:tbl>
      <w:tblPr>
        <w:tblW w:w="4751" w:type="pct"/>
        <w:tblCellMar>
          <w:top w:w="15" w:type="dxa"/>
          <w:left w:w="15" w:type="dxa"/>
          <w:bottom w:w="15" w:type="dxa"/>
          <w:right w:w="15" w:type="dxa"/>
        </w:tblCellMar>
        <w:tblLook w:val="04A0" w:firstRow="1" w:lastRow="0" w:firstColumn="1" w:lastColumn="0" w:noHBand="0" w:noVBand="1"/>
      </w:tblPr>
      <w:tblGrid>
        <w:gridCol w:w="41"/>
        <w:gridCol w:w="1541"/>
        <w:gridCol w:w="36"/>
        <w:gridCol w:w="37"/>
        <w:gridCol w:w="212"/>
        <w:gridCol w:w="36"/>
        <w:gridCol w:w="36"/>
        <w:gridCol w:w="36"/>
        <w:gridCol w:w="36"/>
        <w:gridCol w:w="78"/>
        <w:gridCol w:w="1200"/>
        <w:gridCol w:w="36"/>
        <w:gridCol w:w="37"/>
        <w:gridCol w:w="181"/>
        <w:gridCol w:w="36"/>
        <w:gridCol w:w="36"/>
        <w:gridCol w:w="36"/>
        <w:gridCol w:w="36"/>
        <w:gridCol w:w="59"/>
        <w:gridCol w:w="1355"/>
        <w:gridCol w:w="36"/>
        <w:gridCol w:w="37"/>
        <w:gridCol w:w="181"/>
        <w:gridCol w:w="36"/>
        <w:gridCol w:w="36"/>
        <w:gridCol w:w="36"/>
        <w:gridCol w:w="36"/>
        <w:gridCol w:w="78"/>
        <w:gridCol w:w="2025"/>
        <w:gridCol w:w="36"/>
        <w:gridCol w:w="37"/>
        <w:gridCol w:w="181"/>
        <w:gridCol w:w="36"/>
      </w:tblGrid>
      <w:tr w:rsidR="00000000">
        <w:trPr>
          <w:divId w:val="2074426782"/>
        </w:trPr>
        <w:tc>
          <w:tcPr>
            <w:tcW w:w="50" w:type="pct"/>
            <w:vAlign w:val="center"/>
            <w:hideMark/>
          </w:tcPr>
          <w:p w:rsidR="00000000" w:rsidRDefault="00FF0345">
            <w:pPr>
              <w:ind w:firstLine="495"/>
              <w:rPr>
                <w:rFonts w:eastAsia="Times New Roman"/>
              </w:rPr>
            </w:pPr>
          </w:p>
        </w:tc>
        <w:tc>
          <w:tcPr>
            <w:tcW w:w="105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11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7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11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04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11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29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11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2074426782"/>
        </w:trPr>
        <w:tc>
          <w:tcPr>
            <w:tcW w:w="0" w:type="auto"/>
            <w:gridSpan w:val="3"/>
            <w:tcMar>
              <w:top w:w="30" w:type="dxa"/>
              <w:left w:w="20" w:type="dxa"/>
              <w:bottom w:w="30" w:type="dxa"/>
              <w:right w:w="20" w:type="dxa"/>
            </w:tcMar>
            <w:hideMark/>
          </w:tcPr>
          <w:p w:rsidR="00000000" w:rsidRDefault="00FF0345">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rsidR="00000000" w:rsidRDefault="00FF0345">
            <w:pPr>
              <w:spacing w:after="100"/>
              <w:jc w:val="center"/>
              <w:rPr>
                <w:rFonts w:eastAsia="Times New Roman"/>
              </w:rPr>
            </w:pPr>
            <w:r>
              <w:rPr>
                <w:rFonts w:ascii="Wingdings" w:eastAsia="Times New Roman" w:hAnsi="Wingdings"/>
                <w:color w:val="000000"/>
                <w:sz w:val="18"/>
                <w:szCs w:val="18"/>
              </w:rPr>
              <w:t>x</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F0345">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r>
              <w:rPr>
                <w:rFonts w:ascii="Segoe UI Symbol" w:eastAsia="Times New Roman" w:hAnsi="Segoe UI Symbol" w:cs="Segoe UI Symbol"/>
                <w:color w:val="000000"/>
                <w:sz w:val="18"/>
                <w:szCs w:val="18"/>
              </w:rPr>
              <w:t>☐</w:t>
            </w:r>
          </w:p>
        </w:tc>
      </w:tr>
      <w:tr w:rsidR="00000000">
        <w:trPr>
          <w:divId w:val="2074426782"/>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18"/>
                <w:szCs w:val="18"/>
              </w:rPr>
              <w:t xml:space="preserve">Emerging Growth Company </w:t>
            </w: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r>
              <w:rPr>
                <w:rFonts w:ascii="Segoe UI Symbol" w:eastAsia="Times New Roman" w:hAnsi="Segoe UI Symbol" w:cs="Segoe UI Symbol"/>
                <w:color w:val="000000"/>
                <w:sz w:val="18"/>
                <w:szCs w:val="18"/>
              </w:rPr>
              <w:t>☐</w:t>
            </w:r>
          </w:p>
        </w:tc>
      </w:tr>
    </w:tbl>
    <w:p w:rsidR="00000000" w:rsidRDefault="00FF0345">
      <w:pPr>
        <w:ind w:firstLine="495"/>
        <w:divId w:val="9651690"/>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FF0345">
      <w:pPr>
        <w:ind w:firstLine="495"/>
        <w:divId w:val="1000962274"/>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18"/>
          <w:szCs w:val="18"/>
        </w:rPr>
        <w:t xml:space="preserve">       No </w:t>
      </w:r>
      <w:r>
        <w:rPr>
          <w:rFonts w:ascii="Segoe UI Symbol" w:eastAsia="Times New Roman" w:hAnsi="Segoe UI Symbol" w:cs="Segoe UI Symbol"/>
          <w:color w:val="000000"/>
          <w:sz w:val="20"/>
          <w:szCs w:val="20"/>
        </w:rPr>
        <w:t>☒</w:t>
      </w:r>
    </w:p>
    <w:p w:rsidR="00000000" w:rsidRDefault="00FF0345">
      <w:pPr>
        <w:ind w:firstLine="495"/>
        <w:divId w:val="36664855"/>
        <w:rPr>
          <w:rFonts w:eastAsia="Times New Roman"/>
        </w:rPr>
      </w:pPr>
      <w:r>
        <w:rPr>
          <w:rFonts w:eastAsia="Times New Roman"/>
          <w:color w:val="000000"/>
          <w:sz w:val="18"/>
          <w:szCs w:val="18"/>
        </w:rPr>
        <w:t>Number of shares outstanding as of November 5, 2021 of the registrant's common stock, par value $0.01 per share: 213,037,660 shar</w:t>
      </w:r>
      <w:r>
        <w:rPr>
          <w:rFonts w:eastAsia="Times New Roman"/>
          <w:color w:val="000000"/>
          <w:sz w:val="18"/>
          <w:szCs w:val="18"/>
        </w:rPr>
        <w:t>es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6664855"/>
        </w:trPr>
        <w:tc>
          <w:tcPr>
            <w:tcW w:w="50" w:type="pct"/>
            <w:vAlign w:val="center"/>
            <w:hideMark/>
          </w:tcPr>
          <w:p w:rsidR="00000000" w:rsidRDefault="00FF0345">
            <w:pPr>
              <w:ind w:firstLine="495"/>
              <w:rPr>
                <w:rFonts w:eastAsia="Times New Roman"/>
              </w:rPr>
            </w:pPr>
          </w:p>
        </w:tc>
        <w:tc>
          <w:tcPr>
            <w:tcW w:w="494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36664855"/>
          <w:trHeight w:val="60"/>
        </w:trPr>
        <w:tc>
          <w:tcPr>
            <w:tcW w:w="0" w:type="auto"/>
            <w:gridSpan w:val="3"/>
            <w:tcBorders>
              <w:top w:val="single" w:sz="1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jc w:val="center"/>
        <w:rPr>
          <w:rFonts w:eastAsia="Times New Roman"/>
        </w:rPr>
      </w:pPr>
    </w:p>
    <w:p w:rsidR="00000000" w:rsidRDefault="00FF0345">
      <w:pPr>
        <w:divId w:val="1982729472"/>
        <w:rPr>
          <w:rFonts w:eastAsia="Times New Roman"/>
        </w:rPr>
      </w:pPr>
    </w:p>
    <w:p w:rsidR="00000000" w:rsidRDefault="00FF0345">
      <w:pPr>
        <w:rPr>
          <w:rFonts w:eastAsia="Times New Roman"/>
        </w:rPr>
      </w:pPr>
      <w:r>
        <w:rPr>
          <w:rFonts w:eastAsia="Times New Roman"/>
        </w:rPr>
        <w:pict>
          <v:rect id="_x0000_i1025" style="width:0;height:1.5pt" o:hralign="center" o:hrstd="t" o:hr="t" fillcolor="#a0a0a0" stroked="f"/>
        </w:pict>
      </w:r>
    </w:p>
    <w:p w:rsidR="00000000" w:rsidRDefault="00FF0345">
      <w:pPr>
        <w:jc w:val="center"/>
        <w:divId w:val="896167594"/>
        <w:rPr>
          <w:rFonts w:eastAsia="Times New Roman"/>
        </w:rPr>
      </w:pPr>
    </w:p>
    <w:p w:rsidR="00000000" w:rsidRDefault="00FF0345">
      <w:pPr>
        <w:jc w:val="center"/>
        <w:divId w:val="253393338"/>
        <w:rPr>
          <w:rFonts w:eastAsia="Times New Roman"/>
        </w:rPr>
      </w:pPr>
    </w:p>
    <w:p w:rsidR="00000000" w:rsidRDefault="00FF0345">
      <w:pPr>
        <w:jc w:val="center"/>
        <w:divId w:val="1849446539"/>
        <w:rPr>
          <w:rFonts w:eastAsia="Times New Roman"/>
        </w:rPr>
      </w:pPr>
    </w:p>
    <w:p w:rsidR="00000000" w:rsidRDefault="00FF0345">
      <w:pPr>
        <w:jc w:val="center"/>
        <w:divId w:val="2146966067"/>
        <w:rPr>
          <w:rFonts w:eastAsia="Times New Roman"/>
        </w:rPr>
      </w:pPr>
    </w:p>
    <w:p w:rsidR="00000000" w:rsidRDefault="00FF0345">
      <w:pPr>
        <w:jc w:val="center"/>
        <w:divId w:val="801768282"/>
        <w:rPr>
          <w:rFonts w:eastAsia="Times New Roman"/>
        </w:rPr>
      </w:pPr>
    </w:p>
    <w:p w:rsidR="00000000" w:rsidRDefault="00FF0345">
      <w:pPr>
        <w:jc w:val="center"/>
        <w:divId w:val="1334144609"/>
        <w:rPr>
          <w:rFonts w:eastAsia="Times New Roman"/>
        </w:rPr>
      </w:pPr>
      <w:r>
        <w:rPr>
          <w:rFonts w:eastAsia="Times New Roman"/>
          <w:b/>
          <w:bCs/>
          <w:color w:val="000000"/>
          <w:sz w:val="20"/>
          <w:szCs w:val="20"/>
        </w:rPr>
        <w:t>THE MACERICH COMPANY</w:t>
      </w:r>
    </w:p>
    <w:p w:rsidR="00000000" w:rsidRDefault="00FF0345">
      <w:pPr>
        <w:jc w:val="center"/>
        <w:divId w:val="920141626"/>
        <w:rPr>
          <w:rFonts w:eastAsia="Times New Roman"/>
        </w:rPr>
      </w:pPr>
      <w:r>
        <w:rPr>
          <w:rFonts w:eastAsia="Times New Roman"/>
          <w:b/>
          <w:bCs/>
          <w:color w:val="000000"/>
          <w:sz w:val="20"/>
          <w:szCs w:val="20"/>
        </w:rPr>
        <w:t>FORM 10-Q</w:t>
      </w:r>
    </w:p>
    <w:p w:rsidR="00000000" w:rsidRDefault="00FF0345">
      <w:pPr>
        <w:jc w:val="center"/>
        <w:divId w:val="968585043"/>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92"/>
        <w:gridCol w:w="650"/>
        <w:gridCol w:w="36"/>
        <w:gridCol w:w="36"/>
        <w:gridCol w:w="36"/>
        <w:gridCol w:w="36"/>
        <w:gridCol w:w="39"/>
        <w:gridCol w:w="6907"/>
        <w:gridCol w:w="38"/>
        <w:gridCol w:w="36"/>
        <w:gridCol w:w="36"/>
        <w:gridCol w:w="36"/>
        <w:gridCol w:w="50"/>
        <w:gridCol w:w="242"/>
        <w:gridCol w:w="36"/>
      </w:tblGrid>
      <w:tr w:rsidR="00000000">
        <w:trPr>
          <w:divId w:val="968585043"/>
          <w:jc w:val="center"/>
        </w:trPr>
        <w:tc>
          <w:tcPr>
            <w:tcW w:w="50" w:type="pct"/>
            <w:vAlign w:val="center"/>
            <w:hideMark/>
          </w:tcPr>
          <w:p w:rsidR="00000000" w:rsidRDefault="00FF0345">
            <w:pPr>
              <w:jc w:val="center"/>
              <w:rPr>
                <w:rFonts w:eastAsia="Times New Roman"/>
              </w:rPr>
            </w:pPr>
          </w:p>
        </w:tc>
        <w:tc>
          <w:tcPr>
            <w:tcW w:w="35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0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8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b/>
                <w:bCs/>
                <w:color w:val="000000"/>
                <w:sz w:val="20"/>
                <w:szCs w:val="20"/>
              </w:rPr>
              <w:t>Part I</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Financial Information</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501553048"/>
              <w:rPr>
                <w:rFonts w:eastAsia="Times New Roman"/>
              </w:rPr>
            </w:pPr>
            <w:hyperlink w:anchor="ib8d126c41a1f444e81d08813b3ab1f3c_10"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758719106"/>
              <w:rPr>
                <w:rFonts w:eastAsia="Times New Roman"/>
              </w:rPr>
            </w:pPr>
            <w:hyperlink w:anchor="ib8d126c41a1f444e81d08813b3ab1f3c_10" w:history="1">
              <w:r>
                <w:rPr>
                  <w:rStyle w:val="a3"/>
                  <w:rFonts w:eastAsia="Times New Roman"/>
                  <w:sz w:val="20"/>
                  <w:szCs w:val="20"/>
                </w:rPr>
                <w:t>Financial Statements (Unaudited)</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0" w:history="1">
              <w:r>
                <w:rPr>
                  <w:rStyle w:val="a3"/>
                  <w:rFonts w:eastAsia="Times New Roman"/>
                  <w:sz w:val="20"/>
                  <w:szCs w:val="20"/>
                </w:rPr>
                <w:t>3</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F0345">
            <w:pPr>
              <w:spacing w:after="100"/>
              <w:divId w:val="1895383738"/>
              <w:rPr>
                <w:rFonts w:eastAsia="Times New Roman"/>
              </w:rPr>
            </w:pPr>
            <w:hyperlink w:anchor="ib8d126c41a1f444e81d08813b3ab1f3c_13" w:history="1">
              <w:r>
                <w:rPr>
                  <w:rStyle w:val="a3"/>
                  <w:rFonts w:eastAsia="Times New Roman"/>
                  <w:sz w:val="20"/>
                  <w:szCs w:val="20"/>
                </w:rPr>
                <w:t>Consolidated Balance Sheets as of September 30, 2021 and December 31,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3" w:history="1">
              <w:r>
                <w:rPr>
                  <w:rStyle w:val="a3"/>
                  <w:rFonts w:eastAsia="Times New Roman"/>
                  <w:sz w:val="20"/>
                  <w:szCs w:val="20"/>
                </w:rPr>
                <w:t>3</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F0345">
            <w:pPr>
              <w:spacing w:after="100"/>
              <w:divId w:val="1954090044"/>
              <w:rPr>
                <w:rFonts w:eastAsia="Times New Roman"/>
              </w:rPr>
            </w:pPr>
            <w:hyperlink w:anchor="ib8d126c41a1f444e81d08813b3ab1f3c_16" w:history="1">
              <w:r>
                <w:rPr>
                  <w:rStyle w:val="a3"/>
                  <w:rFonts w:eastAsia="Times New Roman"/>
                  <w:sz w:val="20"/>
                  <w:szCs w:val="20"/>
                </w:rPr>
                <w:t>Consolidated Statements of Operations for the three and nine months ended September 30, 2021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6" w:history="1">
              <w:r>
                <w:rPr>
                  <w:rStyle w:val="a3"/>
                  <w:rFonts w:eastAsia="Times New Roman"/>
                  <w:sz w:val="20"/>
                  <w:szCs w:val="20"/>
                </w:rPr>
                <w:t>4</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F0345">
            <w:pPr>
              <w:spacing w:after="100"/>
              <w:divId w:val="1481464997"/>
              <w:rPr>
                <w:rFonts w:eastAsia="Times New Roman"/>
              </w:rPr>
            </w:pPr>
            <w:hyperlink w:anchor="ib8d126c41a1f444e81d08813b3ab1f3c_19" w:history="1">
              <w:r>
                <w:rPr>
                  <w:rStyle w:val="a3"/>
                  <w:rFonts w:eastAsia="Times New Roman"/>
                  <w:sz w:val="20"/>
                  <w:szCs w:val="20"/>
                </w:rPr>
                <w:t>Consolidated Statements of Comprehensive Income (Loss) for the three and nine months ended September 30, 2021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9" w:history="1">
              <w:r>
                <w:rPr>
                  <w:rStyle w:val="a3"/>
                  <w:rFonts w:eastAsia="Times New Roman"/>
                  <w:sz w:val="20"/>
                  <w:szCs w:val="20"/>
                </w:rPr>
                <w:t>5</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F0345">
            <w:pPr>
              <w:spacing w:after="100"/>
              <w:divId w:val="977297735"/>
              <w:rPr>
                <w:rFonts w:eastAsia="Times New Roman"/>
              </w:rPr>
            </w:pPr>
            <w:hyperlink w:anchor="ib8d126c41a1f444e81d08813b3ab1f3c_25" w:history="1">
              <w:r>
                <w:rPr>
                  <w:rStyle w:val="a3"/>
                  <w:rFonts w:eastAsia="Times New Roman"/>
                  <w:sz w:val="20"/>
                  <w:szCs w:val="20"/>
                </w:rPr>
                <w:t>Consolidated Statements of Equity for the three and nine months ended September 30, 2021 and 20</w:t>
              </w:r>
            </w:hyperlink>
            <w:r>
              <w:rPr>
                <w:rFonts w:eastAsia="Times New Roman"/>
                <w:color w:val="0000FF"/>
                <w:sz w:val="20"/>
                <w:szCs w:val="20"/>
                <w:u w:val="single"/>
              </w:rPr>
              <w:t>20</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22" w:history="1">
              <w:r>
                <w:rPr>
                  <w:rStyle w:val="a3"/>
                  <w:rFonts w:eastAsia="Times New Roman"/>
                  <w:sz w:val="20"/>
                  <w:szCs w:val="20"/>
                </w:rPr>
                <w:t>6</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F0345">
            <w:pPr>
              <w:spacing w:after="100"/>
              <w:divId w:val="333805708"/>
              <w:rPr>
                <w:rFonts w:eastAsia="Times New Roman"/>
              </w:rPr>
            </w:pPr>
            <w:hyperlink w:anchor="ib8d126c41a1f444e81d08813b3ab1f3c_28" w:history="1">
              <w:r>
                <w:rPr>
                  <w:rStyle w:val="a3"/>
                  <w:rFonts w:eastAsia="Times New Roman"/>
                  <w:sz w:val="20"/>
                  <w:szCs w:val="20"/>
                </w:rPr>
                <w:t xml:space="preserve">Consolidated Statements of Cash Flows for the </w:t>
              </w:r>
            </w:hyperlink>
            <w:hyperlink w:anchor="ib8d126c41a1f444e81d08813b3ab1f3c_28" w:history="1">
              <w:r>
                <w:rPr>
                  <w:rStyle w:val="a3"/>
                  <w:rFonts w:eastAsia="Times New Roman"/>
                  <w:sz w:val="20"/>
                  <w:szCs w:val="20"/>
                </w:rPr>
                <w:t>nine</w:t>
              </w:r>
            </w:hyperlink>
            <w:hyperlink w:anchor="ib8d126c41a1f444e81d08813b3ab1f3c_28" w:history="1">
              <w:r>
                <w:rPr>
                  <w:rStyle w:val="a3"/>
                  <w:rFonts w:eastAsia="Times New Roman"/>
                  <w:sz w:val="20"/>
                  <w:szCs w:val="20"/>
                </w:rPr>
                <w:t xml:space="preserve"> months ended </w:t>
              </w:r>
            </w:hyperlink>
            <w:hyperlink w:anchor="ib8d126c41a1f444e81d08813b3ab1f3c_28" w:history="1">
              <w:r>
                <w:rPr>
                  <w:rStyle w:val="a3"/>
                  <w:rFonts w:eastAsia="Times New Roman"/>
                  <w:sz w:val="20"/>
                  <w:szCs w:val="20"/>
                </w:rPr>
                <w:t>September</w:t>
              </w:r>
            </w:hyperlink>
            <w:hyperlink w:anchor="ib8d126c41a1f444e81d08813b3ab1f3c_28" w:history="1">
              <w:r>
                <w:rPr>
                  <w:rStyle w:val="a3"/>
                  <w:rFonts w:eastAsia="Times New Roman"/>
                  <w:sz w:val="20"/>
                  <w:szCs w:val="20"/>
                </w:rPr>
                <w:t xml:space="preserve"> 30, 2021 and 2020</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28" w:history="1">
              <w:r>
                <w:rPr>
                  <w:rStyle w:val="a3"/>
                  <w:rFonts w:eastAsia="Times New Roman"/>
                  <w:sz w:val="20"/>
                  <w:szCs w:val="20"/>
                </w:rPr>
                <w:t>8</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F0345">
            <w:pPr>
              <w:spacing w:after="100"/>
              <w:divId w:val="758215368"/>
              <w:rPr>
                <w:rFonts w:eastAsia="Times New Roman"/>
              </w:rPr>
            </w:pPr>
            <w:hyperlink w:anchor="ib8d126c41a1f444e81d08813b3ab1f3c_31"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31" w:history="1">
              <w:r>
                <w:rPr>
                  <w:rStyle w:val="a3"/>
                  <w:rFonts w:eastAsia="Times New Roman"/>
                  <w:sz w:val="20"/>
                  <w:szCs w:val="20"/>
                </w:rPr>
                <w:t>10</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86923938"/>
              <w:rPr>
                <w:rFonts w:eastAsia="Times New Roman"/>
              </w:rPr>
            </w:pPr>
            <w:hyperlink w:anchor="ib8d126c41a1f444e81d08813b3ab1f3c_100"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472063689"/>
              <w:rPr>
                <w:rFonts w:eastAsia="Times New Roman"/>
              </w:rPr>
            </w:pPr>
            <w:hyperlink w:anchor="ib8d126c41a1f444e81d08813b3ab1f3c_100" w:history="1">
              <w:r>
                <w:rPr>
                  <w:rStyle w:val="a3"/>
                  <w:rFonts w:eastAsia="Times New Roman"/>
                  <w:sz w:val="20"/>
                  <w:szCs w:val="20"/>
                </w:rPr>
                <w:t>Management's Discussion and Analysis of Financial Condition and Results of Operations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00" w:history="1">
              <w:r>
                <w:rPr>
                  <w:rStyle w:val="a3"/>
                  <w:rFonts w:eastAsia="Times New Roman"/>
                  <w:sz w:val="20"/>
                  <w:szCs w:val="20"/>
                </w:rPr>
                <w:t>28</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354042456"/>
              <w:rPr>
                <w:rFonts w:eastAsia="Times New Roman"/>
              </w:rPr>
            </w:pPr>
            <w:hyperlink w:anchor="ib8d126c41a1f444e81d08813b3ab1f3c_124"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225410426"/>
              <w:rPr>
                <w:rFonts w:eastAsia="Times New Roman"/>
              </w:rPr>
            </w:pPr>
            <w:hyperlink w:anchor="ib8d126c41a1f444e81d08813b3ab1f3c_124" w:history="1">
              <w:r>
                <w:rPr>
                  <w:rStyle w:val="a3"/>
                  <w:rFonts w:eastAsia="Times New Roman"/>
                  <w:sz w:val="20"/>
                  <w:szCs w:val="20"/>
                </w:rPr>
                <w:t>Quantitative and Qualitative Disclosures About Market Risk</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24" w:history="1">
              <w:r>
                <w:rPr>
                  <w:rStyle w:val="a3"/>
                  <w:rFonts w:eastAsia="Times New Roman"/>
                  <w:sz w:val="20"/>
                  <w:szCs w:val="20"/>
                </w:rPr>
                <w:t>43</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712510320"/>
              <w:rPr>
                <w:rFonts w:eastAsia="Times New Roman"/>
              </w:rPr>
            </w:pPr>
            <w:hyperlink w:anchor="ib8d126c41a1f444e81d08813b3ab1f3c_127"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316689334"/>
              <w:rPr>
                <w:rFonts w:eastAsia="Times New Roman"/>
              </w:rPr>
            </w:pPr>
            <w:hyperlink w:anchor="ib8d126c41a1f444e81d08813b3ab1f3c_127" w:history="1">
              <w:r>
                <w:rPr>
                  <w:rStyle w:val="a3"/>
                  <w:rFonts w:eastAsia="Times New Roman"/>
                  <w:sz w:val="20"/>
                  <w:szCs w:val="20"/>
                </w:rPr>
                <w:t>Controls and Procedures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27" w:history="1">
              <w:r>
                <w:rPr>
                  <w:rStyle w:val="a3"/>
                  <w:rFonts w:eastAsia="Times New Roman"/>
                  <w:sz w:val="20"/>
                  <w:szCs w:val="20"/>
                </w:rPr>
                <w:t>44</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b/>
                <w:bCs/>
                <w:color w:val="000000"/>
                <w:sz w:val="20"/>
                <w:szCs w:val="20"/>
              </w:rPr>
              <w:t>Other Information</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2068650930"/>
              <w:rPr>
                <w:rFonts w:eastAsia="Times New Roman"/>
              </w:rPr>
            </w:pPr>
            <w:hyperlink w:anchor="ib8d126c41a1f444e81d08813b3ab1f3c_133" w:history="1">
              <w:r>
                <w:rPr>
                  <w:rStyle w:val="a3"/>
                  <w:rFonts w:eastAsia="Times New Roman"/>
                  <w:sz w:val="20"/>
                  <w:szCs w:val="20"/>
                </w:rPr>
                <w:t>Item 1.</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421681502"/>
              <w:rPr>
                <w:rFonts w:eastAsia="Times New Roman"/>
              </w:rPr>
            </w:pPr>
            <w:hyperlink w:anchor="ib8d126c41a1f444e81d08813b3ab1f3c_133" w:history="1">
              <w:r>
                <w:rPr>
                  <w:rStyle w:val="a3"/>
                  <w:rFonts w:eastAsia="Times New Roman"/>
                  <w:sz w:val="20"/>
                  <w:szCs w:val="20"/>
                </w:rPr>
                <w:t>Legal Proceedings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33" w:history="1">
              <w:r>
                <w:rPr>
                  <w:rStyle w:val="a3"/>
                  <w:rFonts w:eastAsia="Times New Roman"/>
                  <w:sz w:val="20"/>
                  <w:szCs w:val="20"/>
                </w:rPr>
                <w:t>44</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399058507"/>
              <w:rPr>
                <w:rFonts w:eastAsia="Times New Roman"/>
              </w:rPr>
            </w:pPr>
            <w:hyperlink w:anchor="ib8d126c41a1f444e81d08813b3ab1f3c_136" w:history="1">
              <w:r>
                <w:rPr>
                  <w:rStyle w:val="a3"/>
                  <w:rFonts w:eastAsia="Times New Roman"/>
                  <w:sz w:val="20"/>
                  <w:szCs w:val="20"/>
                </w:rPr>
                <w:t>Item 1A.</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743604137"/>
              <w:rPr>
                <w:rFonts w:eastAsia="Times New Roman"/>
              </w:rPr>
            </w:pPr>
            <w:hyperlink w:anchor="ib8d126c41a1f444e81d08813b3ab1f3c_136" w:history="1">
              <w:r>
                <w:rPr>
                  <w:rStyle w:val="a3"/>
                  <w:rFonts w:eastAsia="Times New Roman"/>
                  <w:sz w:val="20"/>
                  <w:szCs w:val="20"/>
                </w:rPr>
                <w:t>Risk Factors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36" w:history="1">
              <w:r>
                <w:rPr>
                  <w:rStyle w:val="a3"/>
                  <w:rFonts w:eastAsia="Times New Roman"/>
                  <w:sz w:val="20"/>
                  <w:szCs w:val="20"/>
                </w:rPr>
                <w:t>44</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448083244"/>
              <w:rPr>
                <w:rFonts w:eastAsia="Times New Roman"/>
              </w:rPr>
            </w:pPr>
            <w:hyperlink w:anchor="ib8d126c41a1f444e81d08813b3ab1f3c_139" w:history="1">
              <w:r>
                <w:rPr>
                  <w:rStyle w:val="a3"/>
                  <w:rFonts w:eastAsia="Times New Roman"/>
                  <w:sz w:val="20"/>
                  <w:szCs w:val="20"/>
                </w:rPr>
                <w:t>Item 2.</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2044397747"/>
              <w:rPr>
                <w:rFonts w:eastAsia="Times New Roman"/>
              </w:rPr>
            </w:pPr>
            <w:hyperlink w:anchor="ib8d126c41a1f444e81d08813b3ab1f3c_139" w:history="1">
              <w:r>
                <w:rPr>
                  <w:rStyle w:val="a3"/>
                  <w:rFonts w:eastAsia="Times New Roman"/>
                  <w:sz w:val="20"/>
                  <w:szCs w:val="20"/>
                </w:rPr>
                <w:t>Unregistered Sales of Equity Securities and Use of Proceeds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39" w:history="1">
              <w:r>
                <w:rPr>
                  <w:rStyle w:val="a3"/>
                  <w:rFonts w:eastAsia="Times New Roman"/>
                  <w:sz w:val="20"/>
                  <w:szCs w:val="20"/>
                </w:rPr>
                <w:t>45</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1119911718"/>
              <w:rPr>
                <w:rFonts w:eastAsia="Times New Roman"/>
              </w:rPr>
            </w:pPr>
            <w:hyperlink w:anchor="ib8d126c41a1f444e81d08813b3ab1f3c_142" w:history="1">
              <w:r>
                <w:rPr>
                  <w:rStyle w:val="a3"/>
                  <w:rFonts w:eastAsia="Times New Roman"/>
                  <w:sz w:val="20"/>
                  <w:szCs w:val="20"/>
                </w:rPr>
                <w:t>Item 3.</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2006783671"/>
              <w:rPr>
                <w:rFonts w:eastAsia="Times New Roman"/>
              </w:rPr>
            </w:pPr>
            <w:hyperlink w:anchor="ib8d126c41a1f444e81d08813b3ab1f3c_142" w:history="1">
              <w:r>
                <w:rPr>
                  <w:rStyle w:val="a3"/>
                  <w:rFonts w:eastAsia="Times New Roman"/>
                  <w:sz w:val="20"/>
                  <w:szCs w:val="20"/>
                </w:rPr>
                <w:t>Defaults Upon Senior Securities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42" w:history="1">
              <w:r>
                <w:rPr>
                  <w:rStyle w:val="a3"/>
                  <w:rFonts w:eastAsia="Times New Roman"/>
                  <w:sz w:val="20"/>
                  <w:szCs w:val="20"/>
                </w:rPr>
                <w:t>45</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56589323"/>
              <w:rPr>
                <w:rFonts w:eastAsia="Times New Roman"/>
              </w:rPr>
            </w:pPr>
            <w:hyperlink w:anchor="ib8d126c41a1f444e81d08813b3ab1f3c_145" w:history="1">
              <w:r>
                <w:rPr>
                  <w:rStyle w:val="a3"/>
                  <w:rFonts w:eastAsia="Times New Roman"/>
                  <w:sz w:val="20"/>
                  <w:szCs w:val="20"/>
                </w:rPr>
                <w:t>Item 4.</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441757713"/>
              <w:rPr>
                <w:rFonts w:eastAsia="Times New Roman"/>
              </w:rPr>
            </w:pPr>
            <w:hyperlink w:anchor="ib8d126c41a1f444e81d08813b3ab1f3c_145" w:history="1">
              <w:r>
                <w:rPr>
                  <w:rStyle w:val="a3"/>
                  <w:rFonts w:eastAsia="Times New Roman"/>
                  <w:sz w:val="20"/>
                  <w:szCs w:val="20"/>
                </w:rPr>
                <w:t>Mine Safety Disclosures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45" w:history="1">
              <w:r>
                <w:rPr>
                  <w:rStyle w:val="a3"/>
                  <w:rFonts w:eastAsia="Times New Roman"/>
                  <w:sz w:val="20"/>
                  <w:szCs w:val="20"/>
                </w:rPr>
                <w:t>45</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169879514"/>
              <w:rPr>
                <w:rFonts w:eastAsia="Times New Roman"/>
              </w:rPr>
            </w:pPr>
            <w:hyperlink w:anchor="ib8d126c41a1f444e81d08813b3ab1f3c_148" w:history="1">
              <w:r>
                <w:rPr>
                  <w:rStyle w:val="a3"/>
                  <w:rFonts w:eastAsia="Times New Roman"/>
                  <w:sz w:val="20"/>
                  <w:szCs w:val="20"/>
                </w:rPr>
                <w:t>Item 5.</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2015765381"/>
              <w:rPr>
                <w:rFonts w:eastAsia="Times New Roman"/>
              </w:rPr>
            </w:pPr>
            <w:hyperlink w:anchor="ib8d126c41a1f444e81d08813b3ab1f3c_148" w:history="1">
              <w:r>
                <w:rPr>
                  <w:rStyle w:val="a3"/>
                  <w:rFonts w:eastAsia="Times New Roman"/>
                  <w:sz w:val="20"/>
                  <w:szCs w:val="20"/>
                </w:rPr>
                <w:t>Other Information</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48" w:history="1">
              <w:r>
                <w:rPr>
                  <w:rStyle w:val="a3"/>
                  <w:rFonts w:eastAsia="Times New Roman"/>
                  <w:sz w:val="20"/>
                  <w:szCs w:val="20"/>
                </w:rPr>
                <w:t>45</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3"/>
            <w:tcMar>
              <w:top w:w="30" w:type="dxa"/>
              <w:left w:w="20" w:type="dxa"/>
              <w:bottom w:w="30" w:type="dxa"/>
              <w:right w:w="20" w:type="dxa"/>
            </w:tcMar>
            <w:hideMark/>
          </w:tcPr>
          <w:p w:rsidR="00000000" w:rsidRDefault="00FF0345">
            <w:pPr>
              <w:spacing w:after="100"/>
              <w:divId w:val="1134448977"/>
              <w:rPr>
                <w:rFonts w:eastAsia="Times New Roman"/>
              </w:rPr>
            </w:pPr>
            <w:hyperlink w:anchor="ib8d126c41a1f444e81d08813b3ab1f3c_151" w:history="1">
              <w:r>
                <w:rPr>
                  <w:rStyle w:val="a3"/>
                  <w:rFonts w:eastAsia="Times New Roman"/>
                  <w:sz w:val="20"/>
                  <w:szCs w:val="20"/>
                </w:rPr>
                <w:t>Item 6.</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788086582"/>
              <w:rPr>
                <w:rFonts w:eastAsia="Times New Roman"/>
              </w:rPr>
            </w:pPr>
            <w:hyperlink w:anchor="ib8d126c41a1f444e81d08813b3ab1f3c_151" w:history="1">
              <w:r>
                <w:rPr>
                  <w:rStyle w:val="a3"/>
                  <w:rFonts w:eastAsia="Times New Roman"/>
                  <w:sz w:val="20"/>
                  <w:szCs w:val="20"/>
                </w:rPr>
                <w:t>Exhibits</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51" w:history="1">
              <w:r>
                <w:rPr>
                  <w:rStyle w:val="a3"/>
                  <w:rFonts w:eastAsia="Times New Roman"/>
                  <w:sz w:val="20"/>
                  <w:szCs w:val="20"/>
                </w:rPr>
                <w:t>46</w:t>
              </w:r>
            </w:hyperlink>
          </w:p>
        </w:tc>
      </w:tr>
      <w:tr w:rsidR="00000000">
        <w:trPr>
          <w:divId w:val="968585043"/>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968585043"/>
          <w:jc w:val="center"/>
        </w:trPr>
        <w:tc>
          <w:tcPr>
            <w:tcW w:w="0" w:type="auto"/>
            <w:gridSpan w:val="9"/>
            <w:tcMar>
              <w:top w:w="30" w:type="dxa"/>
              <w:left w:w="20" w:type="dxa"/>
              <w:bottom w:w="30" w:type="dxa"/>
              <w:right w:w="20" w:type="dxa"/>
            </w:tcMar>
            <w:hideMark/>
          </w:tcPr>
          <w:p w:rsidR="00000000" w:rsidRDefault="00FF0345">
            <w:pPr>
              <w:spacing w:after="100"/>
              <w:divId w:val="370418162"/>
              <w:rPr>
                <w:rFonts w:eastAsia="Times New Roman"/>
              </w:rPr>
            </w:pPr>
            <w:hyperlink w:anchor="ib8d126c41a1f444e81d08813b3ab1f3c_154" w:history="1">
              <w:r>
                <w:rPr>
                  <w:rStyle w:val="a3"/>
                  <w:rFonts w:eastAsia="Times New Roman"/>
                  <w:b/>
                  <w:bCs/>
                  <w:sz w:val="20"/>
                  <w:szCs w:val="20"/>
                </w:rPr>
                <w:t>Signature</w:t>
              </w:r>
            </w:hyperlink>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hyperlink w:anchor="ib8d126c41a1f444e81d08813b3ab1f3c_154" w:history="1">
              <w:r>
                <w:rPr>
                  <w:rStyle w:val="a3"/>
                  <w:rFonts w:eastAsia="Times New Roman"/>
                  <w:sz w:val="20"/>
                  <w:szCs w:val="20"/>
                </w:rPr>
                <w:t>48</w:t>
              </w:r>
            </w:hyperlink>
          </w:p>
        </w:tc>
      </w:tr>
    </w:tbl>
    <w:p w:rsidR="00000000" w:rsidRDefault="00FF0345">
      <w:pPr>
        <w:jc w:val="center"/>
        <w:rPr>
          <w:rFonts w:eastAsia="Times New Roman"/>
        </w:rPr>
      </w:pPr>
    </w:p>
    <w:p w:rsidR="00000000" w:rsidRDefault="00FF0345">
      <w:pPr>
        <w:jc w:val="center"/>
        <w:divId w:val="1904638362"/>
        <w:rPr>
          <w:rFonts w:eastAsia="Times New Roman"/>
        </w:rPr>
      </w:pPr>
      <w:r>
        <w:rPr>
          <w:rFonts w:eastAsia="Times New Roman"/>
          <w:color w:val="000000"/>
          <w:sz w:val="20"/>
          <w:szCs w:val="20"/>
        </w:rPr>
        <w:t>2</w:t>
      </w:r>
    </w:p>
    <w:p w:rsidR="00000000" w:rsidRDefault="00FF0345">
      <w:pPr>
        <w:rPr>
          <w:rFonts w:eastAsia="Times New Roman"/>
        </w:rPr>
      </w:pPr>
      <w:r>
        <w:rPr>
          <w:rFonts w:eastAsia="Times New Roman"/>
        </w:rPr>
        <w:pict>
          <v:rect id="_x0000_i1026" style="width:0;height:1.5pt" o:hralign="center" o:hrstd="t" o:hr="t" fillcolor="#a0a0a0" stroked="f"/>
        </w:pict>
      </w:r>
    </w:p>
    <w:p w:rsidR="00000000" w:rsidRDefault="00FF0345">
      <w:pPr>
        <w:divId w:val="1984844242"/>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916522425"/>
        <w:rPr>
          <w:rFonts w:eastAsia="Times New Roman"/>
        </w:rPr>
      </w:pPr>
    </w:p>
    <w:p w:rsidR="00000000" w:rsidRDefault="00FF0345">
      <w:pPr>
        <w:jc w:val="center"/>
        <w:divId w:val="378670804"/>
        <w:rPr>
          <w:rFonts w:eastAsia="Times New Roman"/>
        </w:rPr>
      </w:pPr>
      <w:r>
        <w:rPr>
          <w:rFonts w:eastAsia="Times New Roman"/>
          <w:b/>
          <w:bCs/>
          <w:color w:val="000000"/>
          <w:sz w:val="20"/>
          <w:szCs w:val="20"/>
        </w:rPr>
        <w:t>THE MACERICH COMPANY</w:t>
      </w:r>
    </w:p>
    <w:p w:rsidR="00000000" w:rsidRDefault="00FF0345">
      <w:pPr>
        <w:jc w:val="center"/>
        <w:divId w:val="2011172026"/>
        <w:rPr>
          <w:rFonts w:eastAsia="Times New Roman"/>
        </w:rPr>
      </w:pPr>
      <w:r>
        <w:rPr>
          <w:rFonts w:eastAsia="Times New Roman"/>
          <w:b/>
          <w:bCs/>
          <w:color w:val="000000"/>
          <w:sz w:val="20"/>
          <w:szCs w:val="20"/>
        </w:rPr>
        <w:t>CONSOLIDATED BALANCE SHEETS</w:t>
      </w:r>
    </w:p>
    <w:p w:rsidR="00000000" w:rsidRDefault="00FF0345">
      <w:pPr>
        <w:jc w:val="center"/>
        <w:divId w:val="921569854"/>
        <w:rPr>
          <w:rFonts w:eastAsia="Times New Roman"/>
        </w:rPr>
      </w:pPr>
      <w:r>
        <w:rPr>
          <w:rFonts w:eastAsia="Times New Roman"/>
          <w:b/>
          <w:bCs/>
          <w:color w:val="000000"/>
          <w:sz w:val="20"/>
          <w:szCs w:val="20"/>
        </w:rPr>
        <w:t>(Dollars in thousands, except par value)</w:t>
      </w:r>
    </w:p>
    <w:p w:rsidR="00000000" w:rsidRDefault="00FF0345">
      <w:pPr>
        <w:jc w:val="center"/>
        <w:divId w:val="380442777"/>
        <w:rPr>
          <w:rFonts w:eastAsia="Times New Roman"/>
        </w:rPr>
      </w:pPr>
      <w:r>
        <w:rPr>
          <w:rFonts w:eastAsia="Times New Roman"/>
          <w:b/>
          <w:bCs/>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3"/>
        <w:gridCol w:w="5983"/>
        <w:gridCol w:w="42"/>
        <w:gridCol w:w="120"/>
        <w:gridCol w:w="920"/>
        <w:gridCol w:w="36"/>
        <w:gridCol w:w="36"/>
        <w:gridCol w:w="36"/>
        <w:gridCol w:w="36"/>
        <w:gridCol w:w="120"/>
        <w:gridCol w:w="885"/>
        <w:gridCol w:w="36"/>
      </w:tblGrid>
      <w:tr w:rsidR="00000000">
        <w:trPr>
          <w:divId w:val="380442777"/>
          <w:jc w:val="center"/>
        </w:trPr>
        <w:tc>
          <w:tcPr>
            <w:tcW w:w="50" w:type="pct"/>
            <w:vAlign w:val="center"/>
            <w:hideMark/>
          </w:tcPr>
          <w:p w:rsidR="00000000" w:rsidRDefault="00FF0345">
            <w:pPr>
              <w:jc w:val="center"/>
              <w:rPr>
                <w:rFonts w:eastAsia="Times New Roman"/>
              </w:rPr>
            </w:pPr>
          </w:p>
        </w:tc>
        <w:tc>
          <w:tcPr>
            <w:tcW w:w="363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380442777"/>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6,330,391 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6,694,579 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117,596 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465,297 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55,514 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17,362 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Tenant and other receivables, net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175,290 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239,194 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Right-of-use assets, net</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113,068 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118,355 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 charges and other assets, net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252,021 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306,959 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2,977 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1,612 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1,365,369 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1,340,647 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60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8,412,226 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lastRenderedPageBreak/>
              <w:t>LIABILITIES AND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4,432,587 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4,560,810 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114,252 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1,477,540 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58,461 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68,825 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83,456 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90,216 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237,392 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298,594 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129,517 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108,381 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Financing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121,770 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134,379 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60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5,177,435 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6,738,745 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Equity:</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380442777"/>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38044277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divId w:val="43675996"/>
              <w:rPr>
                <w:rFonts w:eastAsia="Times New Roman"/>
              </w:rPr>
            </w:pPr>
            <w:r>
              <w:rPr>
                <w:rFonts w:eastAsia="Times New Roman"/>
                <w:color w:val="000000"/>
                <w:sz w:val="20"/>
                <w:szCs w:val="20"/>
              </w:rPr>
              <w:t>Common stock, $0.01 par value, 500,000,000 and 250,000,000 shares authorized at September 30, 2021 and December </w:t>
            </w:r>
            <w:r>
              <w:rPr>
                <w:rFonts w:eastAsia="Times New Roman"/>
                <w:color w:val="000000"/>
                <w:sz w:val="20"/>
                <w:szCs w:val="20"/>
              </w:rPr>
              <w:t>31, 2020, respectively, and 213,307,990 and 149,770,575 shares issued and outstanding at September 30, 2021 and December 31, 2020, respectively</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2,133 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1,498 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5,467,235 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4,603,378 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(2,394,634)</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(2,339,619)</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(8,208)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60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3,074,734 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160,057 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188,211 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CCEEFF"/>
            <w:tcMar>
              <w:top w:w="30" w:type="dxa"/>
              <w:left w:w="60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3,234,791 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80442777"/>
          <w:jc w:val="center"/>
        </w:trPr>
        <w:tc>
          <w:tcPr>
            <w:tcW w:w="0" w:type="auto"/>
            <w:gridSpan w:val="3"/>
            <w:shd w:val="clear" w:color="auto" w:fill="FFFFFF"/>
            <w:tcMar>
              <w:top w:w="30" w:type="dxa"/>
              <w:left w:w="60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liabilities and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8,412,226 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9,184,005 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360"/>
        <w:jc w:val="center"/>
        <w:divId w:val="1027756662"/>
        <w:rPr>
          <w:rFonts w:eastAsia="Times New Roman"/>
        </w:rPr>
      </w:pPr>
      <w:r>
        <w:rPr>
          <w:rFonts w:eastAsia="Times New Roman"/>
          <w:color w:val="000000"/>
          <w:sz w:val="20"/>
          <w:szCs w:val="20"/>
        </w:rPr>
        <w:t>   </w:t>
      </w:r>
      <w:r>
        <w:rPr>
          <w:rFonts w:eastAsia="Times New Roman"/>
          <w:color w:val="000000"/>
          <w:sz w:val="20"/>
          <w:szCs w:val="20"/>
        </w:rPr>
        <w:t>The accompanying notes are an integral part of these consolidated financial statements.</w:t>
      </w:r>
    </w:p>
    <w:p w:rsidR="00000000" w:rsidRDefault="00FF0345">
      <w:pPr>
        <w:jc w:val="center"/>
        <w:divId w:val="330912972"/>
        <w:rPr>
          <w:rFonts w:eastAsia="Times New Roman"/>
        </w:rPr>
      </w:pPr>
      <w:r>
        <w:rPr>
          <w:rFonts w:eastAsia="Times New Roman"/>
          <w:color w:val="000000"/>
          <w:sz w:val="20"/>
          <w:szCs w:val="20"/>
        </w:rPr>
        <w:t>3</w:t>
      </w:r>
    </w:p>
    <w:p w:rsidR="00000000" w:rsidRDefault="00FF0345">
      <w:pPr>
        <w:rPr>
          <w:rFonts w:eastAsia="Times New Roman"/>
        </w:rPr>
      </w:pPr>
      <w:r>
        <w:rPr>
          <w:rFonts w:eastAsia="Times New Roman"/>
        </w:rPr>
        <w:pict>
          <v:rect id="_x0000_i1027" style="width:0;height:1.5pt" o:hralign="center" o:hrstd="t" o:hr="t" fillcolor="#a0a0a0" stroked="f"/>
        </w:pict>
      </w:r>
    </w:p>
    <w:p w:rsidR="00000000" w:rsidRDefault="00FF0345">
      <w:pPr>
        <w:divId w:val="773211520"/>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552109877"/>
        <w:rPr>
          <w:rFonts w:eastAsia="Times New Roman"/>
        </w:rPr>
      </w:pPr>
      <w:r>
        <w:rPr>
          <w:rFonts w:eastAsia="Times New Roman"/>
          <w:b/>
          <w:bCs/>
          <w:color w:val="000000"/>
          <w:sz w:val="20"/>
          <w:szCs w:val="20"/>
        </w:rPr>
        <w:t>THE MACERICH COMPANY</w:t>
      </w:r>
    </w:p>
    <w:p w:rsidR="00000000" w:rsidRDefault="00FF0345">
      <w:pPr>
        <w:jc w:val="center"/>
        <w:divId w:val="289478372"/>
        <w:rPr>
          <w:rFonts w:eastAsia="Times New Roman"/>
        </w:rPr>
      </w:pPr>
      <w:r>
        <w:rPr>
          <w:rFonts w:eastAsia="Times New Roman"/>
          <w:b/>
          <w:bCs/>
          <w:color w:val="000000"/>
          <w:sz w:val="20"/>
          <w:szCs w:val="20"/>
        </w:rPr>
        <w:t>CONSOLIDATED STATEMENTS OF OPERATIONS</w:t>
      </w:r>
    </w:p>
    <w:p w:rsidR="00000000" w:rsidRDefault="00FF0345">
      <w:pPr>
        <w:jc w:val="center"/>
        <w:divId w:val="662969440"/>
        <w:rPr>
          <w:rFonts w:eastAsia="Times New Roman"/>
        </w:rPr>
      </w:pPr>
      <w:r>
        <w:rPr>
          <w:rFonts w:eastAsia="Times New Roman"/>
          <w:b/>
          <w:bCs/>
          <w:color w:val="000000"/>
          <w:sz w:val="20"/>
          <w:szCs w:val="20"/>
        </w:rPr>
        <w:t>(Dollars in thousands, except per share amounts)</w:t>
      </w:r>
    </w:p>
    <w:tbl>
      <w:tblPr>
        <w:tblW w:w="4561" w:type="pct"/>
        <w:jc w:val="center"/>
        <w:tblCellMar>
          <w:top w:w="15" w:type="dxa"/>
          <w:left w:w="15" w:type="dxa"/>
          <w:bottom w:w="15" w:type="dxa"/>
          <w:right w:w="15" w:type="dxa"/>
        </w:tblCellMar>
        <w:tblLook w:val="04A0" w:firstRow="1" w:lastRow="0" w:firstColumn="1" w:lastColumn="0" w:noHBand="0" w:noVBand="1"/>
      </w:tblPr>
      <w:tblGrid>
        <w:gridCol w:w="40"/>
        <w:gridCol w:w="3526"/>
        <w:gridCol w:w="39"/>
        <w:gridCol w:w="101"/>
        <w:gridCol w:w="780"/>
        <w:gridCol w:w="36"/>
        <w:gridCol w:w="36"/>
        <w:gridCol w:w="36"/>
        <w:gridCol w:w="36"/>
        <w:gridCol w:w="101"/>
        <w:gridCol w:w="780"/>
        <w:gridCol w:w="36"/>
        <w:gridCol w:w="36"/>
        <w:gridCol w:w="36"/>
        <w:gridCol w:w="36"/>
        <w:gridCol w:w="101"/>
        <w:gridCol w:w="770"/>
        <w:gridCol w:w="36"/>
        <w:gridCol w:w="36"/>
        <w:gridCol w:w="36"/>
        <w:gridCol w:w="36"/>
        <w:gridCol w:w="101"/>
        <w:gridCol w:w="770"/>
        <w:gridCol w:w="36"/>
      </w:tblGrid>
      <w:tr w:rsidR="00000000">
        <w:trPr>
          <w:divId w:val="29962410"/>
          <w:jc w:val="center"/>
        </w:trPr>
        <w:tc>
          <w:tcPr>
            <w:tcW w:w="50" w:type="pct"/>
            <w:vAlign w:val="center"/>
            <w:hideMark/>
          </w:tcPr>
          <w:p w:rsidR="00000000" w:rsidRDefault="00FF0345">
            <w:pPr>
              <w:jc w:val="center"/>
              <w:rPr>
                <w:rFonts w:eastAsia="Times New Roman"/>
              </w:rPr>
            </w:pPr>
          </w:p>
        </w:tc>
        <w:tc>
          <w:tcPr>
            <w:tcW w:w="278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29962410"/>
          <w:jc w:val="center"/>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29962410"/>
          <w:jc w:val="center"/>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29962410"/>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000000">
        <w:trPr>
          <w:divId w:val="29962410"/>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Leasing revenue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197,135 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175,506 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573,657 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554,981 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8,215 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4,334 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25,391 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16,595 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Management Companies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6,787 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6,004 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18,986 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19,807 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lastRenderedPageBreak/>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212,137 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185,844 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618,034 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591,383 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Shopping center and operating expenses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70,696 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64,680 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214,506 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192,538 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Leasing expenses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6,200 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5,544 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18,003 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19,622 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Management Companies' operating expenses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14,601 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13,031 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44,465 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45,697 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REIT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7,599 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7,589 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22,365 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22,652 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962410"/>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75,465 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78,605 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231,491 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241,112 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174,561 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169,449 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530,830 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521,621 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Interest expense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000000">
        <w:trPr>
          <w:divId w:val="29962410"/>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Related parties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(7,708)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(15,502)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(3,435)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(92,552)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48,044 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52,686 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152,581 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157,844 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40,336 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37,184 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149,146 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65,292 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Loss on extinguishment of debt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1,007 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1,007 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215,904 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206,633 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680,983 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586,913 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Equity in (loss) income of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(1,733)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(12,513)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20,212 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(16,988)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(107)</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(1,106)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(9,452)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684 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Gain (loss) on sale or write down of assets, net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118,566 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11,786 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93,356 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(28,784)</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962410"/>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112,959 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(22,622)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41,167 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(40,618)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6,257 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(431)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9,834 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(833)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Net income (loss) attributable to the Company</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106,702 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(22,191)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31,333 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(39,785)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Income (loss) per common share—attributable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r>
      <w:tr w:rsidR="00000000">
        <w:trPr>
          <w:divId w:val="29962410"/>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Basic</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0.50 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(0.15)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0.16 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(0.28)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0.50 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(0.15)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0.16 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(0.28)</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Weighted average number of common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000000">
        <w:trPr>
          <w:divId w:val="29962410"/>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Basic</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213,214,000 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149,626,000 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192,717,000 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145,071,000 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962410"/>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Diluted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213,214,000 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149,626,000 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192,717,000 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145,071,000 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360"/>
        <w:jc w:val="center"/>
        <w:divId w:val="285083776"/>
        <w:rPr>
          <w:rFonts w:eastAsia="Times New Roman"/>
        </w:rPr>
      </w:pPr>
      <w:r>
        <w:rPr>
          <w:rFonts w:eastAsia="Times New Roman"/>
          <w:color w:val="000000"/>
          <w:sz w:val="20"/>
          <w:szCs w:val="20"/>
        </w:rPr>
        <w:t>   The accompanying notes are an integral part of these consolidated financial statements.</w:t>
      </w:r>
    </w:p>
    <w:p w:rsidR="00000000" w:rsidRDefault="00FF0345">
      <w:pPr>
        <w:jc w:val="center"/>
        <w:divId w:val="416631455"/>
        <w:rPr>
          <w:rFonts w:eastAsia="Times New Roman"/>
        </w:rPr>
      </w:pPr>
      <w:r>
        <w:rPr>
          <w:rFonts w:eastAsia="Times New Roman"/>
          <w:color w:val="000000"/>
          <w:sz w:val="20"/>
          <w:szCs w:val="20"/>
        </w:rPr>
        <w:t>4</w:t>
      </w:r>
    </w:p>
    <w:p w:rsidR="00000000" w:rsidRDefault="00FF0345">
      <w:pPr>
        <w:rPr>
          <w:rFonts w:eastAsia="Times New Roman"/>
        </w:rPr>
      </w:pPr>
      <w:r>
        <w:rPr>
          <w:rFonts w:eastAsia="Times New Roman"/>
        </w:rPr>
        <w:pict>
          <v:rect id="_x0000_i1028" style="width:0;height:1.5pt" o:hralign="center" o:hrstd="t" o:hr="t" fillcolor="#a0a0a0" stroked="f"/>
        </w:pict>
      </w:r>
    </w:p>
    <w:p w:rsidR="00000000" w:rsidRDefault="00FF0345">
      <w:pPr>
        <w:divId w:val="2015103868"/>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631130600"/>
        <w:rPr>
          <w:rFonts w:eastAsia="Times New Roman"/>
        </w:rPr>
      </w:pPr>
      <w:r>
        <w:rPr>
          <w:rFonts w:eastAsia="Times New Roman"/>
          <w:b/>
          <w:bCs/>
          <w:color w:val="000000"/>
          <w:sz w:val="20"/>
          <w:szCs w:val="20"/>
        </w:rPr>
        <w:t>THE MACERICH COMPANY</w:t>
      </w:r>
    </w:p>
    <w:p w:rsidR="00000000" w:rsidRDefault="00FF0345">
      <w:pPr>
        <w:jc w:val="center"/>
        <w:divId w:val="711618638"/>
        <w:rPr>
          <w:rFonts w:eastAsia="Times New Roman"/>
        </w:rPr>
      </w:pPr>
      <w:r>
        <w:rPr>
          <w:rFonts w:eastAsia="Times New Roman"/>
          <w:b/>
          <w:bCs/>
          <w:color w:val="000000"/>
          <w:sz w:val="20"/>
          <w:szCs w:val="20"/>
        </w:rPr>
        <w:t>CONSOLIDATED STATEMENTS OF COMPREHENSIVE INCOME (LOSS)</w:t>
      </w:r>
    </w:p>
    <w:p w:rsidR="00000000" w:rsidRDefault="00FF0345">
      <w:pPr>
        <w:jc w:val="center"/>
        <w:divId w:val="2139716050"/>
        <w:rPr>
          <w:rFonts w:eastAsia="Times New Roman"/>
        </w:rPr>
      </w:pPr>
      <w:r>
        <w:rPr>
          <w:rFonts w:eastAsia="Times New Roman"/>
          <w:b/>
          <w:bCs/>
          <w:color w:val="000000"/>
          <w:sz w:val="20"/>
          <w:szCs w:val="20"/>
        </w:rPr>
        <w:t>(Dollars in thousands, except per share amounts)</w:t>
      </w:r>
    </w:p>
    <w:tbl>
      <w:tblPr>
        <w:tblW w:w="4568" w:type="pct"/>
        <w:jc w:val="center"/>
        <w:tblCellMar>
          <w:top w:w="15" w:type="dxa"/>
          <w:left w:w="15" w:type="dxa"/>
          <w:bottom w:w="15" w:type="dxa"/>
          <w:right w:w="15" w:type="dxa"/>
        </w:tblCellMar>
        <w:tblLook w:val="04A0" w:firstRow="1" w:lastRow="0" w:firstColumn="1" w:lastColumn="0" w:noHBand="0" w:noVBand="1"/>
      </w:tblPr>
      <w:tblGrid>
        <w:gridCol w:w="38"/>
        <w:gridCol w:w="4173"/>
        <w:gridCol w:w="37"/>
        <w:gridCol w:w="100"/>
        <w:gridCol w:w="684"/>
        <w:gridCol w:w="36"/>
        <w:gridCol w:w="36"/>
        <w:gridCol w:w="36"/>
        <w:gridCol w:w="36"/>
        <w:gridCol w:w="100"/>
        <w:gridCol w:w="648"/>
        <w:gridCol w:w="36"/>
        <w:gridCol w:w="36"/>
        <w:gridCol w:w="36"/>
        <w:gridCol w:w="36"/>
        <w:gridCol w:w="100"/>
        <w:gridCol w:w="575"/>
        <w:gridCol w:w="36"/>
        <w:gridCol w:w="36"/>
        <w:gridCol w:w="36"/>
        <w:gridCol w:w="36"/>
        <w:gridCol w:w="100"/>
        <w:gridCol w:w="565"/>
        <w:gridCol w:w="36"/>
      </w:tblGrid>
      <w:tr w:rsidR="00000000">
        <w:trPr>
          <w:divId w:val="492835967"/>
          <w:jc w:val="center"/>
        </w:trPr>
        <w:tc>
          <w:tcPr>
            <w:tcW w:w="50" w:type="pct"/>
            <w:vAlign w:val="center"/>
            <w:hideMark/>
          </w:tcPr>
          <w:p w:rsidR="00000000" w:rsidRDefault="00FF0345">
            <w:pPr>
              <w:jc w:val="center"/>
              <w:rPr>
                <w:rFonts w:eastAsia="Times New Roman"/>
              </w:rPr>
            </w:pPr>
          </w:p>
        </w:tc>
        <w:tc>
          <w:tcPr>
            <w:tcW w:w="278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492835967"/>
          <w:jc w:val="center"/>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492835967"/>
          <w:jc w:val="center"/>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49283596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lastRenderedPageBreak/>
              <w:t>Net income (loss)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112,959 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(22,622)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41,167 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(40,618)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9283596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49283596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Interest rate cap/swap agreements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2,775 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2,812 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8,208 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(1,838)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9283596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Comprehensive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115,734 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(19,810)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49,375 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(42,456)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92835967"/>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6,257 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(431)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9,834 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(833)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92835967"/>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Comprehensive income (loss) attributable to the Company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109,477 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(19,379)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39,541 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(41,623)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360"/>
        <w:jc w:val="center"/>
        <w:divId w:val="1617366618"/>
        <w:rPr>
          <w:rFonts w:eastAsia="Times New Roman"/>
        </w:rPr>
      </w:pPr>
      <w:r>
        <w:rPr>
          <w:rFonts w:eastAsia="Times New Roman"/>
          <w:color w:val="000000"/>
          <w:sz w:val="20"/>
          <w:szCs w:val="20"/>
        </w:rPr>
        <w:t>   The accompanying notes are an integral part of these consolidated financial statements.</w:t>
      </w:r>
    </w:p>
    <w:p w:rsidR="00000000" w:rsidRDefault="00FF0345">
      <w:pPr>
        <w:divId w:val="318505833"/>
        <w:rPr>
          <w:rFonts w:eastAsia="Times New Roman"/>
        </w:rPr>
      </w:pPr>
    </w:p>
    <w:p w:rsidR="00000000" w:rsidRDefault="00FF0345">
      <w:pPr>
        <w:divId w:val="1334188005"/>
        <w:rPr>
          <w:rFonts w:eastAsia="Times New Roman"/>
        </w:rPr>
      </w:pPr>
    </w:p>
    <w:p w:rsidR="00000000" w:rsidRDefault="00FF0345">
      <w:pPr>
        <w:divId w:val="864562387"/>
        <w:rPr>
          <w:rFonts w:eastAsia="Times New Roman"/>
        </w:rPr>
      </w:pPr>
    </w:p>
    <w:p w:rsidR="00000000" w:rsidRDefault="00FF0345">
      <w:pPr>
        <w:divId w:val="659044930"/>
        <w:rPr>
          <w:rFonts w:eastAsia="Times New Roman"/>
        </w:rPr>
      </w:pPr>
    </w:p>
    <w:p w:rsidR="00000000" w:rsidRDefault="00FF0345">
      <w:pPr>
        <w:jc w:val="center"/>
        <w:divId w:val="508102333"/>
        <w:rPr>
          <w:rFonts w:eastAsia="Times New Roman"/>
        </w:rPr>
      </w:pPr>
      <w:r>
        <w:rPr>
          <w:rFonts w:eastAsia="Times New Roman"/>
          <w:color w:val="000000"/>
          <w:sz w:val="20"/>
          <w:szCs w:val="20"/>
        </w:rPr>
        <w:t>5</w:t>
      </w:r>
    </w:p>
    <w:p w:rsidR="00000000" w:rsidRDefault="00FF0345">
      <w:pPr>
        <w:rPr>
          <w:rFonts w:eastAsia="Times New Roman"/>
        </w:rPr>
      </w:pPr>
      <w:r>
        <w:rPr>
          <w:rFonts w:eastAsia="Times New Roman"/>
        </w:rPr>
        <w:pict>
          <v:rect id="_x0000_i1029" style="width:0;height:1.5pt" o:hralign="center" o:hrstd="t" o:hr="t" fillcolor="#a0a0a0" stroked="f"/>
        </w:pict>
      </w:r>
    </w:p>
    <w:p w:rsidR="00000000" w:rsidRDefault="00FF0345">
      <w:pPr>
        <w:divId w:val="976497839"/>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rPr>
          <w:rFonts w:eastAsia="Times New Roman"/>
        </w:rPr>
      </w:pPr>
      <w:r>
        <w:rPr>
          <w:rFonts w:eastAsia="Times New Roman"/>
          <w:b/>
          <w:bCs/>
          <w:color w:val="000000"/>
          <w:sz w:val="20"/>
          <w:szCs w:val="20"/>
        </w:rPr>
        <w:t>THE MACERICH COMPANY</w:t>
      </w:r>
    </w:p>
    <w:p w:rsidR="00000000" w:rsidRDefault="00FF0345">
      <w:pPr>
        <w:jc w:val="center"/>
        <w:divId w:val="1689871782"/>
        <w:rPr>
          <w:rFonts w:eastAsia="Times New Roman"/>
        </w:rPr>
      </w:pPr>
      <w:r>
        <w:rPr>
          <w:rFonts w:eastAsia="Times New Roman"/>
          <w:b/>
          <w:bCs/>
          <w:color w:val="000000"/>
          <w:sz w:val="20"/>
          <w:szCs w:val="20"/>
        </w:rPr>
        <w:t>CONSOLIDATED STATEMENTS OF EQUITY</w:t>
      </w:r>
    </w:p>
    <w:p w:rsidR="00000000" w:rsidRDefault="00FF0345">
      <w:pPr>
        <w:jc w:val="center"/>
        <w:divId w:val="937521988"/>
        <w:rPr>
          <w:rFonts w:eastAsia="Times New Roman"/>
        </w:rPr>
      </w:pPr>
      <w:r>
        <w:rPr>
          <w:rFonts w:eastAsia="Times New Roman"/>
          <w:b/>
          <w:bCs/>
          <w:color w:val="000000"/>
          <w:sz w:val="20"/>
          <w:szCs w:val="20"/>
        </w:rPr>
        <w:t>(Dollars in thousands, except per share data)</w:t>
      </w:r>
    </w:p>
    <w:p w:rsidR="00000000" w:rsidRDefault="00FF0345">
      <w:pPr>
        <w:jc w:val="center"/>
        <w:divId w:val="308559939"/>
        <w:rPr>
          <w:rFonts w:eastAsia="Times New Roman"/>
        </w:rPr>
      </w:pPr>
      <w:r>
        <w:rPr>
          <w:rFonts w:eastAsia="Times New Roman"/>
          <w:b/>
          <w:bCs/>
          <w:color w:val="000000"/>
          <w:sz w:val="20"/>
          <w:szCs w:val="20"/>
        </w:rPr>
        <w:t>(Unaudited)</w:t>
      </w:r>
    </w:p>
    <w:p w:rsidR="00000000" w:rsidRDefault="00FF0345">
      <w:pPr>
        <w:jc w:val="center"/>
        <w:divId w:val="6369084"/>
        <w:rPr>
          <w:rFonts w:eastAsia="Times New Roman"/>
        </w:rPr>
      </w:pPr>
      <w:r>
        <w:rPr>
          <w:rFonts w:eastAsia="Times New Roman"/>
          <w:b/>
          <w:bCs/>
          <w:color w:val="000000"/>
          <w:sz w:val="20"/>
          <w:szCs w:val="20"/>
        </w:rPr>
        <w:t>Three Months Ended September 30</w:t>
      </w:r>
      <w:r>
        <w:rPr>
          <w:rFonts w:eastAsia="Times New Roman"/>
          <w:b/>
          <w:bCs/>
          <w:color w:val="000000"/>
          <w:sz w:val="20"/>
          <w:szCs w:val="20"/>
        </w:rPr>
        <w:t>, 2021 and 2020</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trPr>
          <w:gridAfter w:val="19"/>
          <w:divId w:val="6369084"/>
          <w:jc w:val="center"/>
        </w:trPr>
        <w:tc>
          <w:tcPr>
            <w:tcW w:w="50" w:type="pct"/>
            <w:vAlign w:val="center"/>
            <w:hideMark/>
          </w:tcPr>
          <w:p w:rsidR="00000000" w:rsidRDefault="00FF0345">
            <w:pPr>
              <w:jc w:val="center"/>
              <w:rPr>
                <w:rFonts w:eastAsia="Times New Roman"/>
              </w:rPr>
            </w:pPr>
          </w:p>
        </w:tc>
        <w:tc>
          <w:tcPr>
            <w:tcW w:w="846"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9" w:type="pct"/>
            <w:gridSpan w:val="3"/>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gridSpan w:val="2"/>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6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84" w:type="pct"/>
            <w:gridSpan w:val="6"/>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gridSpan w:val="2"/>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1" w:type="pct"/>
            <w:gridSpan w:val="4"/>
            <w:vAlign w:val="center"/>
            <w:hideMark/>
          </w:tcPr>
          <w:p w:rsidR="00000000" w:rsidRDefault="00FF0345">
            <w:pPr>
              <w:spacing w:after="100"/>
              <w:rPr>
                <w:rFonts w:eastAsia="Times New Roman"/>
                <w:sz w:val="20"/>
                <w:szCs w:val="20"/>
              </w:rPr>
            </w:pPr>
          </w:p>
        </w:tc>
        <w:tc>
          <w:tcPr>
            <w:tcW w:w="5"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gridSpan w:val="2"/>
            <w:vAlign w:val="center"/>
            <w:hideMark/>
          </w:tcPr>
          <w:p w:rsidR="00000000" w:rsidRDefault="00FF0345">
            <w:pPr>
              <w:spacing w:after="100"/>
              <w:rPr>
                <w:rFonts w:eastAsia="Times New Roman"/>
                <w:sz w:val="20"/>
                <w:szCs w:val="20"/>
              </w:rPr>
            </w:pPr>
          </w:p>
        </w:tc>
        <w:tc>
          <w:tcPr>
            <w:tcW w:w="541"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gridSpan w:val="7"/>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62"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gridAfter w:val="19"/>
          <w:divId w:val="6369084"/>
          <w:trHeight w:val="240"/>
          <w:jc w:val="center"/>
        </w:trPr>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r>
            <w:r>
              <w:rPr>
                <w:rFonts w:eastAsia="Times New Roman"/>
                <w:b/>
                <w:bCs/>
                <w:color w:val="000000"/>
                <w:sz w:val="14"/>
                <w:szCs w:val="14"/>
              </w:rPr>
              <w:t xml:space="preserve">Comprehensive </w:t>
            </w:r>
            <w:r>
              <w:rPr>
                <w:rFonts w:eastAsia="Times New Roman"/>
                <w:b/>
                <w:bCs/>
                <w:color w:val="000000"/>
                <w:sz w:val="14"/>
                <w:szCs w:val="14"/>
              </w:rPr>
              <w:br/>
              <w:t>(Loss) Income</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gridAfter w:val="19"/>
          <w:divId w:val="6369084"/>
          <w:trHeight w:val="420"/>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8"/>
            <w:vMerge/>
            <w:tcBorders>
              <w:top w:val="single" w:sz="8" w:space="0" w:color="000000"/>
            </w:tcBorders>
            <w:vAlign w:val="center"/>
            <w:hideMark/>
          </w:tcPr>
          <w:p w:rsidR="00000000" w:rsidRDefault="00FF0345">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FF0345">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6"/>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FF0345">
        <w:trPr>
          <w:gridAfter w:val="19"/>
          <w:divId w:val="6369084"/>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July 1, 2021</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211,169,654 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5,438,493 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(2,469,336)</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(2,775)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2,968,494 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158,452 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3,126,946 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Net income</w:t>
            </w:r>
          </w:p>
        </w:tc>
        <w:tc>
          <w:tcPr>
            <w:tcW w:w="0" w:type="auto"/>
            <w:gridSpan w:val="5"/>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8"/>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106,702 </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106,702 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6,257 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112,959 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Interest rate cap/swap agreements</w:t>
            </w:r>
          </w:p>
        </w:tc>
        <w:tc>
          <w:tcPr>
            <w:tcW w:w="0" w:type="auto"/>
            <w:gridSpan w:val="5"/>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2,775 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2,775 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2,775 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16,320 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4,318 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4,318 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4,318 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vAlign w:val="center"/>
            <w:hideMark/>
          </w:tcPr>
          <w:p w:rsidR="00000000" w:rsidRDefault="00FF0345">
            <w:pPr>
              <w:spacing w:after="100"/>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vAlign w:val="center"/>
            <w:hideMark/>
          </w:tcPr>
          <w:p w:rsidR="00000000" w:rsidRDefault="00FF0345">
            <w:pPr>
              <w:spacing w:after="100"/>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Stock offerings, net</w:t>
            </w:r>
          </w:p>
        </w:tc>
        <w:tc>
          <w:tcPr>
            <w:tcW w:w="0" w:type="auto"/>
            <w:gridSpan w:val="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2,122,016 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23,799 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23,820 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23,820 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divId w:val="1856265551"/>
              <w:rPr>
                <w:rFonts w:eastAsia="Times New Roman"/>
              </w:rPr>
            </w:pPr>
            <w:r>
              <w:rPr>
                <w:rFonts w:eastAsia="Times New Roman"/>
                <w:color w:val="000000"/>
                <w:sz w:val="14"/>
                <w:szCs w:val="14"/>
              </w:rPr>
              <w:t>Distributions paid ($0.15 per share)</w:t>
            </w:r>
          </w:p>
        </w:tc>
        <w:tc>
          <w:tcPr>
            <w:tcW w:w="0" w:type="auto"/>
            <w:gridSpan w:val="5"/>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(32,000)</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(32,000)</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(32,000)</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Distributions to noncontrolling interests</w:t>
            </w:r>
          </w:p>
        </w:tc>
        <w:tc>
          <w:tcPr>
            <w:tcW w:w="0" w:type="auto"/>
            <w:gridSpan w:val="5"/>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8"/>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(3,972)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(3,972)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Contributions from noncontrolling interests</w:t>
            </w:r>
          </w:p>
        </w:tc>
        <w:tc>
          <w:tcPr>
            <w:tcW w:w="0" w:type="auto"/>
            <w:gridSpan w:val="5"/>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8"/>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vAlign w:val="center"/>
            <w:hideMark/>
          </w:tcPr>
          <w:p w:rsidR="00000000" w:rsidRDefault="00FF0345">
            <w:pPr>
              <w:spacing w:after="100"/>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6369084"/>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Redemption of noncontrolling interests</w:t>
            </w:r>
          </w:p>
        </w:tc>
        <w:tc>
          <w:tcPr>
            <w:tcW w:w="0" w:type="auto"/>
            <w:gridSpan w:val="5"/>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(59)</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6369084"/>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5"/>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642 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4"/>
                <w:szCs w:val="14"/>
              </w:rPr>
              <w:t>—</w:t>
            </w: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642 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(642)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FF0345">
        <w:trPr>
          <w:gridAfter w:val="19"/>
          <w:divId w:val="6369084"/>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September 30, 2021</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213,307,990 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5,467,235 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(2,394,634)</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3,074,734 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160,057 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3,234,791 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50" w:type="pct"/>
            <w:gridSpan w:val="2"/>
            <w:vAlign w:val="center"/>
            <w:hideMark/>
          </w:tcPr>
          <w:p w:rsidR="00000000" w:rsidRDefault="00FF0345">
            <w:pPr>
              <w:jc w:val="center"/>
              <w:rPr>
                <w:rFonts w:eastAsia="Times New Roman"/>
              </w:rPr>
            </w:pPr>
          </w:p>
        </w:tc>
        <w:tc>
          <w:tcPr>
            <w:tcW w:w="846"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gridSpan w:val="5"/>
            <w:vAlign w:val="center"/>
            <w:hideMark/>
          </w:tcPr>
          <w:p w:rsidR="00000000" w:rsidRDefault="00FF0345">
            <w:pPr>
              <w:spacing w:after="100"/>
              <w:rPr>
                <w:rFonts w:eastAsia="Times New Roman"/>
                <w:sz w:val="20"/>
                <w:szCs w:val="20"/>
              </w:rPr>
            </w:pPr>
          </w:p>
        </w:tc>
        <w:tc>
          <w:tcPr>
            <w:tcW w:w="429" w:type="pct"/>
            <w:gridSpan w:val="9"/>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gridSpan w:val="5"/>
            <w:vAlign w:val="center"/>
            <w:hideMark/>
          </w:tcPr>
          <w:p w:rsidR="00000000" w:rsidRDefault="00FF0345">
            <w:pPr>
              <w:spacing w:after="100"/>
              <w:rPr>
                <w:rFonts w:eastAsia="Times New Roman"/>
                <w:sz w:val="20"/>
                <w:szCs w:val="20"/>
              </w:rPr>
            </w:pPr>
          </w:p>
        </w:tc>
        <w:tc>
          <w:tcPr>
            <w:tcW w:w="265" w:type="pct"/>
            <w:gridSpan w:val="3"/>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gridSpan w:val="2"/>
            <w:vAlign w:val="center"/>
            <w:hideMark/>
          </w:tcPr>
          <w:p w:rsidR="00000000" w:rsidRDefault="00FF0345">
            <w:pPr>
              <w:spacing w:after="100"/>
              <w:rPr>
                <w:rFonts w:eastAsia="Times New Roman"/>
                <w:sz w:val="20"/>
                <w:szCs w:val="20"/>
              </w:rPr>
            </w:pPr>
          </w:p>
        </w:tc>
        <w:tc>
          <w:tcPr>
            <w:tcW w:w="5" w:type="pct"/>
            <w:gridSpan w:val="5"/>
            <w:vAlign w:val="center"/>
            <w:hideMark/>
          </w:tcPr>
          <w:p w:rsidR="00000000" w:rsidRDefault="00FF0345">
            <w:pPr>
              <w:spacing w:after="100"/>
              <w:rPr>
                <w:rFonts w:eastAsia="Times New Roman"/>
                <w:sz w:val="20"/>
                <w:szCs w:val="20"/>
              </w:rPr>
            </w:pPr>
          </w:p>
        </w:tc>
        <w:tc>
          <w:tcPr>
            <w:tcW w:w="50" w:type="pct"/>
            <w:gridSpan w:val="2"/>
            <w:vAlign w:val="center"/>
            <w:hideMark/>
          </w:tcPr>
          <w:p w:rsidR="00000000" w:rsidRDefault="00FF0345">
            <w:pPr>
              <w:spacing w:after="100"/>
              <w:rPr>
                <w:rFonts w:eastAsia="Times New Roman"/>
                <w:sz w:val="20"/>
                <w:szCs w:val="20"/>
              </w:rPr>
            </w:pPr>
          </w:p>
        </w:tc>
        <w:tc>
          <w:tcPr>
            <w:tcW w:w="38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gridSpan w:val="4"/>
            <w:vAlign w:val="center"/>
            <w:hideMark/>
          </w:tcPr>
          <w:p w:rsidR="00000000" w:rsidRDefault="00FF0345">
            <w:pPr>
              <w:spacing w:after="100"/>
              <w:rPr>
                <w:rFonts w:eastAsia="Times New Roman"/>
                <w:sz w:val="20"/>
                <w:szCs w:val="20"/>
              </w:rPr>
            </w:pPr>
          </w:p>
        </w:tc>
        <w:tc>
          <w:tcPr>
            <w:tcW w:w="27"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1" w:type="pct"/>
            <w:gridSpan w:val="7"/>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41" w:type="pct"/>
            <w:gridSpan w:val="7"/>
            <w:vAlign w:val="center"/>
            <w:hideMark/>
          </w:tcPr>
          <w:p w:rsidR="00000000" w:rsidRDefault="00FF0345">
            <w:pPr>
              <w:spacing w:after="100"/>
              <w:rPr>
                <w:rFonts w:eastAsia="Times New Roman"/>
                <w:sz w:val="20"/>
                <w:szCs w:val="20"/>
              </w:rPr>
            </w:pPr>
          </w:p>
        </w:tc>
        <w:tc>
          <w:tcPr>
            <w:tcW w:w="5" w:type="pct"/>
            <w:gridSpan w:val="3"/>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6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jc w:val="center"/>
        </w:trPr>
        <w:tc>
          <w:tcPr>
            <w:tcW w:w="0" w:type="auto"/>
            <w:gridSpan w:val="7"/>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trHeight w:val="240"/>
          <w:jc w:val="center"/>
        </w:trPr>
        <w:tc>
          <w:tcPr>
            <w:tcW w:w="0" w:type="auto"/>
            <w:gridSpan w:val="7"/>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r>
            <w:r>
              <w:rPr>
                <w:rFonts w:eastAsia="Times New Roman"/>
                <w:b/>
                <w:bCs/>
                <w:color w:val="000000"/>
                <w:sz w:val="14"/>
                <w:szCs w:val="14"/>
              </w:rP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trHeight w:val="360"/>
          <w:jc w:val="center"/>
        </w:trPr>
        <w:tc>
          <w:tcPr>
            <w:tcW w:w="0" w:type="auto"/>
            <w:gridSpan w:val="7"/>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4"/>
            <w:vMerge/>
            <w:tcBorders>
              <w:top w:val="single" w:sz="8" w:space="0" w:color="000000"/>
            </w:tcBorders>
            <w:vAlign w:val="center"/>
            <w:hideMark/>
          </w:tcPr>
          <w:p w:rsidR="00000000" w:rsidRDefault="00FF0345">
            <w:pPr>
              <w:spacing w:after="100"/>
              <w:rPr>
                <w:rFonts w:eastAsia="Times New Roman"/>
              </w:rPr>
            </w:pPr>
          </w:p>
        </w:tc>
        <w:tc>
          <w:tcPr>
            <w:tcW w:w="0" w:type="auto"/>
            <w:gridSpan w:val="9"/>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11"/>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July 1, 2020</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149,601,164 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4,596,684 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(2,082,082)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(13,701)</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2,502,397 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186,162 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2,688,559 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Net loss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(22,191)</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(22,191)</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(431)</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(22,622)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vAlign w:val="center"/>
            <w:hideMark/>
          </w:tcPr>
          <w:p w:rsidR="00000000" w:rsidRDefault="00FF0345">
            <w:pPr>
              <w:spacing w:after="100"/>
              <w:jc w:val="right"/>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2,812 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2,812 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2,812 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16,903 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4,123 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4,123 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4,123 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vAlign w:val="center"/>
            <w:hideMark/>
          </w:tcPr>
          <w:p w:rsidR="00000000" w:rsidRDefault="00FF0345">
            <w:pPr>
              <w:spacing w:after="100"/>
              <w:jc w:val="right"/>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vAlign w:val="center"/>
            <w:hideMark/>
          </w:tcPr>
          <w:p w:rsidR="00000000" w:rsidRDefault="00FF0345">
            <w:pPr>
              <w:spacing w:after="100"/>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vAlign w:val="center"/>
            <w:hideMark/>
          </w:tcPr>
          <w:p w:rsidR="00000000" w:rsidRDefault="00FF0345">
            <w:pPr>
              <w:spacing w:after="100"/>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vAlign w:val="center"/>
            <w:hideMark/>
          </w:tcPr>
          <w:p w:rsidR="00000000" w:rsidRDefault="00FF0345">
            <w:pPr>
              <w:spacing w:after="100"/>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vAlign w:val="center"/>
            <w:hideMark/>
          </w:tcPr>
          <w:p w:rsidR="00000000" w:rsidRDefault="00FF0345">
            <w:pPr>
              <w:spacing w:after="100"/>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divId w:val="341593133"/>
              <w:rPr>
                <w:rFonts w:eastAsia="Times New Roman"/>
              </w:rPr>
            </w:pPr>
            <w:r>
              <w:rPr>
                <w:rFonts w:eastAsia="Times New Roman"/>
                <w:color w:val="000000"/>
                <w:sz w:val="14"/>
                <w:szCs w:val="14"/>
              </w:rPr>
              <w:t>Distributions paid ($0.15 per share)</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(22,476)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(22,476)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(22,476)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vAlign w:val="center"/>
            <w:hideMark/>
          </w:tcPr>
          <w:p w:rsidR="00000000" w:rsidRDefault="00FF0345">
            <w:pPr>
              <w:spacing w:after="100"/>
              <w:jc w:val="right"/>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(2,174)</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(2,174)</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325 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325 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Other</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20,213 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409 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409 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(409)</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(758)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(758)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758 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September 30, 2020</w:t>
            </w:r>
          </w:p>
        </w:tc>
        <w:tc>
          <w:tcPr>
            <w:tcW w:w="0" w:type="auto"/>
            <w:gridSpan w:val="14"/>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149,638,280 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4,600,470 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(2,126,749)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(10,889)</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2,464,328 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184,209 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2,648,537 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360"/>
        <w:jc w:val="center"/>
        <w:divId w:val="806431046"/>
        <w:rPr>
          <w:rFonts w:eastAsia="Times New Roman"/>
        </w:rPr>
      </w:pPr>
    </w:p>
    <w:p w:rsidR="00000000" w:rsidRDefault="00FF0345">
      <w:pPr>
        <w:ind w:firstLine="360"/>
        <w:jc w:val="center"/>
        <w:divId w:val="114032738"/>
        <w:rPr>
          <w:rFonts w:eastAsia="Times New Roman"/>
        </w:rPr>
      </w:pPr>
      <w:r>
        <w:rPr>
          <w:rFonts w:eastAsia="Times New Roman"/>
          <w:color w:val="000000"/>
          <w:sz w:val="20"/>
          <w:szCs w:val="20"/>
        </w:rPr>
        <w:t>The accompanying notes are an integral part of these consolidated financial statements.</w:t>
      </w:r>
    </w:p>
    <w:p w:rsidR="00000000" w:rsidRDefault="00FF0345">
      <w:pPr>
        <w:jc w:val="center"/>
        <w:divId w:val="891622752"/>
        <w:rPr>
          <w:rFonts w:eastAsia="Times New Roman"/>
        </w:rPr>
      </w:pPr>
      <w:r>
        <w:rPr>
          <w:rFonts w:eastAsia="Times New Roman"/>
          <w:color w:val="000000"/>
          <w:sz w:val="20"/>
          <w:szCs w:val="20"/>
        </w:rPr>
        <w:t>6</w:t>
      </w:r>
    </w:p>
    <w:p w:rsidR="00000000" w:rsidRDefault="00FF0345">
      <w:pPr>
        <w:rPr>
          <w:rFonts w:eastAsia="Times New Roman"/>
        </w:rPr>
      </w:pPr>
      <w:r>
        <w:rPr>
          <w:rFonts w:eastAsia="Times New Roman"/>
        </w:rPr>
        <w:pict>
          <v:rect id="_x0000_i1030" style="width:0;height:1.5pt" o:hralign="center" o:hrstd="t" o:hr="t" fillcolor="#a0a0a0" stroked="f"/>
        </w:pict>
      </w:r>
    </w:p>
    <w:p w:rsidR="00000000" w:rsidRDefault="00FF0345">
      <w:pPr>
        <w:divId w:val="1578203530"/>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529417491"/>
        <w:rPr>
          <w:rFonts w:eastAsia="Times New Roman"/>
        </w:rPr>
      </w:pPr>
      <w:r>
        <w:rPr>
          <w:rFonts w:eastAsia="Times New Roman"/>
          <w:b/>
          <w:bCs/>
          <w:color w:val="000000"/>
          <w:sz w:val="20"/>
          <w:szCs w:val="20"/>
        </w:rPr>
        <w:t>THE MACERICH COMPANY</w:t>
      </w:r>
    </w:p>
    <w:p w:rsidR="00000000" w:rsidRDefault="00FF0345">
      <w:pPr>
        <w:jc w:val="center"/>
        <w:divId w:val="1624849359"/>
        <w:rPr>
          <w:rFonts w:eastAsia="Times New Roman"/>
        </w:rPr>
      </w:pPr>
      <w:r>
        <w:rPr>
          <w:rFonts w:eastAsia="Times New Roman"/>
          <w:b/>
          <w:bCs/>
          <w:color w:val="000000"/>
          <w:sz w:val="20"/>
          <w:szCs w:val="20"/>
        </w:rPr>
        <w:t>CONSOLIDATED STATEMENTS OF EQUITY</w:t>
      </w:r>
    </w:p>
    <w:p w:rsidR="00000000" w:rsidRDefault="00FF0345">
      <w:pPr>
        <w:jc w:val="center"/>
        <w:divId w:val="350692076"/>
        <w:rPr>
          <w:rFonts w:eastAsia="Times New Roman"/>
        </w:rPr>
      </w:pPr>
      <w:r>
        <w:rPr>
          <w:rFonts w:eastAsia="Times New Roman"/>
          <w:b/>
          <w:bCs/>
          <w:color w:val="000000"/>
          <w:sz w:val="20"/>
          <w:szCs w:val="20"/>
        </w:rPr>
        <w:t>(Dollars in thousands, except per share data)</w:t>
      </w:r>
    </w:p>
    <w:p w:rsidR="00000000" w:rsidRDefault="00FF0345">
      <w:pPr>
        <w:jc w:val="center"/>
        <w:divId w:val="1157265719"/>
        <w:rPr>
          <w:rFonts w:eastAsia="Times New Roman"/>
        </w:rPr>
      </w:pPr>
      <w:r>
        <w:rPr>
          <w:rFonts w:eastAsia="Times New Roman"/>
          <w:b/>
          <w:bCs/>
          <w:color w:val="000000"/>
          <w:sz w:val="20"/>
          <w:szCs w:val="20"/>
        </w:rPr>
        <w:t>(Unaudited)</w:t>
      </w:r>
    </w:p>
    <w:p w:rsidR="00000000" w:rsidRDefault="00FF0345">
      <w:pPr>
        <w:jc w:val="center"/>
        <w:divId w:val="2049062868"/>
        <w:rPr>
          <w:rFonts w:eastAsia="Times New Roman"/>
        </w:rPr>
      </w:pPr>
      <w:r>
        <w:rPr>
          <w:rFonts w:eastAsia="Times New Roman"/>
          <w:b/>
          <w:bCs/>
          <w:color w:val="000000"/>
          <w:sz w:val="20"/>
          <w:szCs w:val="20"/>
        </w:rPr>
        <w:t xml:space="preserve">Nine Months Ended September 30, 2021 and 2020 </w:t>
      </w:r>
    </w:p>
    <w:tbl>
      <w:tblPr>
        <w:tblW w:w="4904" w:type="pct"/>
        <w:jc w:val="center"/>
        <w:tblCellMar>
          <w:top w:w="15" w:type="dxa"/>
          <w:left w:w="15" w:type="dxa"/>
          <w:bottom w:w="15" w:type="dxa"/>
          <w:right w:w="15" w:type="dxa"/>
        </w:tblCellMar>
        <w:tblLook w:val="04A0" w:firstRow="1" w:lastRow="0" w:firstColumn="1" w:lastColumn="0" w:noHBand="0" w:noVBand="1"/>
      </w:tblPr>
      <w:tblGrid>
        <w:gridCol w:w="49"/>
        <w:gridCol w:w="95"/>
        <w:gridCol w:w="747"/>
        <w:gridCol w:w="39"/>
        <w:gridCol w:w="79"/>
        <w:gridCol w:w="513"/>
        <w:gridCol w:w="144"/>
        <w:gridCol w:w="19"/>
        <w:gridCol w:w="36"/>
        <w:gridCol w:w="36"/>
        <w:gridCol w:w="36"/>
        <w:gridCol w:w="17"/>
        <w:gridCol w:w="19"/>
        <w:gridCol w:w="90"/>
        <w:gridCol w:w="350"/>
        <w:gridCol w:w="36"/>
        <w:gridCol w:w="36"/>
        <w:gridCol w:w="36"/>
        <w:gridCol w:w="36"/>
        <w:gridCol w:w="90"/>
        <w:gridCol w:w="5"/>
        <w:gridCol w:w="144"/>
        <w:gridCol w:w="144"/>
        <w:gridCol w:w="144"/>
        <w:gridCol w:w="144"/>
        <w:gridCol w:w="14"/>
        <w:gridCol w:w="36"/>
        <w:gridCol w:w="36"/>
        <w:gridCol w:w="36"/>
        <w:gridCol w:w="22"/>
        <w:gridCol w:w="14"/>
        <w:gridCol w:w="91"/>
        <w:gridCol w:w="326"/>
        <w:gridCol w:w="144"/>
        <w:gridCol w:w="144"/>
        <w:gridCol w:w="129"/>
        <w:gridCol w:w="15"/>
        <w:gridCol w:w="21"/>
        <w:gridCol w:w="36"/>
        <w:gridCol w:w="36"/>
        <w:gridCol w:w="36"/>
        <w:gridCol w:w="15"/>
        <w:gridCol w:w="76"/>
        <w:gridCol w:w="68"/>
        <w:gridCol w:w="625"/>
        <w:gridCol w:w="144"/>
        <w:gridCol w:w="47"/>
        <w:gridCol w:w="36"/>
        <w:gridCol w:w="36"/>
        <w:gridCol w:w="25"/>
        <w:gridCol w:w="11"/>
        <w:gridCol w:w="36"/>
        <w:gridCol w:w="91"/>
        <w:gridCol w:w="6"/>
        <w:gridCol w:w="144"/>
        <w:gridCol w:w="144"/>
        <w:gridCol w:w="476"/>
        <w:gridCol w:w="36"/>
        <w:gridCol w:w="36"/>
        <w:gridCol w:w="36"/>
        <w:gridCol w:w="36"/>
        <w:gridCol w:w="91"/>
        <w:gridCol w:w="23"/>
        <w:gridCol w:w="144"/>
        <w:gridCol w:w="144"/>
        <w:gridCol w:w="144"/>
        <w:gridCol w:w="144"/>
        <w:gridCol w:w="144"/>
        <w:gridCol w:w="104"/>
        <w:gridCol w:w="36"/>
        <w:gridCol w:w="36"/>
        <w:gridCol w:w="36"/>
        <w:gridCol w:w="36"/>
        <w:gridCol w:w="90"/>
        <w:gridCol w:w="543"/>
        <w:gridCol w:w="52"/>
        <w:gridCol w:w="36"/>
        <w:gridCol w:w="56"/>
        <w:gridCol w:w="144"/>
        <w:gridCol w:w="144"/>
        <w:gridCol w:w="144"/>
        <w:gridCol w:w="144"/>
        <w:gridCol w:w="783"/>
        <w:gridCol w:w="144"/>
        <w:gridCol w:w="144"/>
        <w:gridCol w:w="144"/>
        <w:gridCol w:w="144"/>
        <w:gridCol w:w="144"/>
        <w:gridCol w:w="783"/>
        <w:gridCol w:w="144"/>
        <w:gridCol w:w="144"/>
        <w:gridCol w:w="144"/>
        <w:gridCol w:w="144"/>
        <w:gridCol w:w="144"/>
        <w:gridCol w:w="589"/>
        <w:gridCol w:w="144"/>
      </w:tblGrid>
      <w:tr w:rsidR="00000000">
        <w:trPr>
          <w:gridAfter w:val="19"/>
          <w:divId w:val="2049062868"/>
          <w:jc w:val="center"/>
        </w:trPr>
        <w:tc>
          <w:tcPr>
            <w:tcW w:w="50" w:type="pct"/>
            <w:vAlign w:val="center"/>
            <w:hideMark/>
          </w:tcPr>
          <w:p w:rsidR="00000000" w:rsidRDefault="00FF0345">
            <w:pPr>
              <w:jc w:val="center"/>
              <w:rPr>
                <w:rFonts w:eastAsia="Times New Roman"/>
              </w:rPr>
            </w:pPr>
          </w:p>
        </w:tc>
        <w:tc>
          <w:tcPr>
            <w:tcW w:w="846"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9" w:type="pct"/>
            <w:gridSpan w:val="3"/>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gridSpan w:val="2"/>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6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84" w:type="pct"/>
            <w:gridSpan w:val="6"/>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gridSpan w:val="2"/>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1" w:type="pct"/>
            <w:gridSpan w:val="4"/>
            <w:vAlign w:val="center"/>
            <w:hideMark/>
          </w:tcPr>
          <w:p w:rsidR="00000000" w:rsidRDefault="00FF0345">
            <w:pPr>
              <w:spacing w:after="100"/>
              <w:rPr>
                <w:rFonts w:eastAsia="Times New Roman"/>
                <w:sz w:val="20"/>
                <w:szCs w:val="20"/>
              </w:rPr>
            </w:pPr>
          </w:p>
        </w:tc>
        <w:tc>
          <w:tcPr>
            <w:tcW w:w="5"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gridSpan w:val="2"/>
            <w:vAlign w:val="center"/>
            <w:hideMark/>
          </w:tcPr>
          <w:p w:rsidR="00000000" w:rsidRDefault="00FF0345">
            <w:pPr>
              <w:spacing w:after="100"/>
              <w:rPr>
                <w:rFonts w:eastAsia="Times New Roman"/>
                <w:sz w:val="20"/>
                <w:szCs w:val="20"/>
              </w:rPr>
            </w:pPr>
          </w:p>
        </w:tc>
        <w:tc>
          <w:tcPr>
            <w:tcW w:w="541"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gridSpan w:val="7"/>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62" w:type="pct"/>
            <w:gridSpan w:val="2"/>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gridAfter w:val="19"/>
          <w:divId w:val="2049062868"/>
          <w:jc w:val="center"/>
        </w:trPr>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54"/>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gridAfter w:val="19"/>
          <w:divId w:val="2049062868"/>
          <w:trHeight w:val="240"/>
          <w:jc w:val="center"/>
        </w:trPr>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12"/>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8"/>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 xml:space="preserve">Paid-in </w:t>
            </w:r>
            <w:r>
              <w:rPr>
                <w:rFonts w:eastAsia="Times New Roman"/>
                <w:b/>
                <w:bCs/>
                <w:color w:val="000000"/>
                <w:sz w:val="14"/>
                <w:szCs w:val="14"/>
              </w:rPr>
              <w:br/>
              <w:t>Capital</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7"/>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6"/>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gridAfter w:val="19"/>
          <w:divId w:val="2049062868"/>
          <w:trHeight w:val="420"/>
          <w:jc w:val="center"/>
        </w:trPr>
        <w:tc>
          <w:tcPr>
            <w:tcW w:w="0" w:type="auto"/>
            <w:gridSpan w:val="4"/>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Shares</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8"/>
            <w:vMerge/>
            <w:tcBorders>
              <w:top w:val="single" w:sz="8" w:space="0" w:color="000000"/>
            </w:tcBorders>
            <w:vAlign w:val="center"/>
            <w:hideMark/>
          </w:tcPr>
          <w:p w:rsidR="00000000" w:rsidRDefault="00FF0345">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7"/>
            <w:vMerge/>
            <w:tcBorders>
              <w:top w:val="single" w:sz="8" w:space="0" w:color="000000"/>
            </w:tcBorders>
            <w:vAlign w:val="center"/>
            <w:hideMark/>
          </w:tcPr>
          <w:p w:rsidR="00000000" w:rsidRDefault="00FF0345">
            <w:pPr>
              <w:spacing w:after="100"/>
              <w:rPr>
                <w:rFonts w:eastAsia="Times New Roman"/>
              </w:rPr>
            </w:pPr>
          </w:p>
        </w:tc>
        <w:tc>
          <w:tcPr>
            <w:tcW w:w="0" w:type="auto"/>
            <w:gridSpan w:val="4"/>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6"/>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FF0345">
        <w:trPr>
          <w:gridAfter w:val="19"/>
          <w:divId w:val="2049062868"/>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January 1, 2021</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149,770,575 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6"/>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4,603,378 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(2,339,619)</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(8,208)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2,257,049 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188,211 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2,445,260 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Net income</w:t>
            </w:r>
          </w:p>
        </w:tc>
        <w:tc>
          <w:tcPr>
            <w:tcW w:w="0" w:type="auto"/>
            <w:gridSpan w:val="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31,333 </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31,333 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9,834 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41,167 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2049062868"/>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Interest rate cap/swap agreements</w:t>
            </w:r>
          </w:p>
        </w:tc>
        <w:tc>
          <w:tcPr>
            <w:tcW w:w="0" w:type="auto"/>
            <w:gridSpan w:val="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8,208 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8,208 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8,208 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Amortization of share and unit-based plans</w:t>
            </w:r>
          </w:p>
        </w:tc>
        <w:tc>
          <w:tcPr>
            <w:tcW w:w="0" w:type="auto"/>
            <w:gridSpan w:val="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241,001 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13,679 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13,681 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13,681 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2049062868"/>
          <w:jc w:val="center"/>
        </w:trPr>
        <w:tc>
          <w:tcPr>
            <w:tcW w:w="0" w:type="auto"/>
            <w:gridSpan w:val="4"/>
            <w:vAlign w:val="center"/>
            <w:hideMark/>
          </w:tcPr>
          <w:p w:rsidR="00000000" w:rsidRDefault="00FF0345">
            <w:pPr>
              <w:spacing w:after="100"/>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2049062868"/>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Employee stock purchases</w:t>
            </w:r>
          </w:p>
        </w:tc>
        <w:tc>
          <w:tcPr>
            <w:tcW w:w="0" w:type="auto"/>
            <w:gridSpan w:val="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88,107 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594 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595 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Stock offerings, net</w:t>
            </w:r>
          </w:p>
        </w:tc>
        <w:tc>
          <w:tcPr>
            <w:tcW w:w="0" w:type="auto"/>
            <w:gridSpan w:val="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62,029,777 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620 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829,254 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829,874 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829,874 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2049062868"/>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divId w:val="1757170421"/>
              <w:rPr>
                <w:rFonts w:eastAsia="Times New Roman"/>
              </w:rPr>
            </w:pPr>
            <w:r>
              <w:rPr>
                <w:rFonts w:eastAsia="Times New Roman"/>
                <w:color w:val="000000"/>
                <w:sz w:val="14"/>
                <w:szCs w:val="14"/>
              </w:rPr>
              <w:t>Distributions paid ($0.45 per share)</w:t>
            </w:r>
          </w:p>
        </w:tc>
        <w:tc>
          <w:tcPr>
            <w:tcW w:w="0" w:type="auto"/>
            <w:gridSpan w:val="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(86,348)</w:t>
            </w:r>
          </w:p>
        </w:tc>
        <w:tc>
          <w:tcPr>
            <w:tcW w:w="0" w:type="auto"/>
            <w:gridSpan w:val="2"/>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(86,348)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(86,348)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2049062868"/>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Distributions to noncontrolling interests</w:t>
            </w:r>
          </w:p>
        </w:tc>
        <w:tc>
          <w:tcPr>
            <w:tcW w:w="0" w:type="auto"/>
            <w:gridSpan w:val="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(18,166)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(18,166)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Contributions from noncontrolling interests</w:t>
            </w:r>
          </w:p>
        </w:tc>
        <w:tc>
          <w:tcPr>
            <w:tcW w:w="0" w:type="auto"/>
            <w:gridSpan w:val="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580 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vAlign w:val="center"/>
            <w:hideMark/>
          </w:tcPr>
          <w:p w:rsidR="00000000" w:rsidRDefault="00FF0345">
            <w:pPr>
              <w:spacing w:after="100"/>
              <w:jc w:val="right"/>
              <w:rPr>
                <w:rFonts w:eastAsia="Times New Roman"/>
                <w:sz w:val="20"/>
                <w:szCs w:val="20"/>
              </w:rPr>
            </w:pPr>
          </w:p>
        </w:tc>
        <w:tc>
          <w:tcPr>
            <w:tcW w:w="0" w:type="auto"/>
            <w:gridSpan w:val="5"/>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7"/>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6"/>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r>
      <w:tr w:rsidR="00000000">
        <w:trPr>
          <w:gridAfter w:val="19"/>
          <w:divId w:val="2049062868"/>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Conversion of noncontrolling interests to common shares</w:t>
            </w:r>
          </w:p>
        </w:tc>
        <w:tc>
          <w:tcPr>
            <w:tcW w:w="0" w:type="auto"/>
            <w:gridSpan w:val="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1,178,530 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22,206 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22,218 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(22,218)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Redemption of noncontrolling interests</w:t>
            </w:r>
          </w:p>
        </w:tc>
        <w:tc>
          <w:tcPr>
            <w:tcW w:w="0" w:type="auto"/>
            <w:gridSpan w:val="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(60)</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gridAfter w:val="19"/>
          <w:divId w:val="2049062868"/>
          <w:jc w:val="center"/>
        </w:trPr>
        <w:tc>
          <w:tcPr>
            <w:tcW w:w="0" w:type="auto"/>
            <w:gridSpan w:val="4"/>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1,859 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FF0345">
        <w:trPr>
          <w:gridAfter w:val="19"/>
          <w:divId w:val="2049062868"/>
          <w:jc w:val="center"/>
        </w:trPr>
        <w:tc>
          <w:tcPr>
            <w:tcW w:w="0" w:type="auto"/>
            <w:gridSpan w:val="4"/>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September 30, 2021</w:t>
            </w:r>
          </w:p>
        </w:tc>
        <w:tc>
          <w:tcPr>
            <w:tcW w:w="0" w:type="auto"/>
            <w:gridSpan w:val="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213,307,990 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5,467,235 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(2,394,634)</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3,074,734 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160,057 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3,234,791 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50" w:type="pct"/>
            <w:gridSpan w:val="2"/>
            <w:vAlign w:val="center"/>
            <w:hideMark/>
          </w:tcPr>
          <w:p w:rsidR="00000000" w:rsidRDefault="00FF0345">
            <w:pPr>
              <w:jc w:val="center"/>
              <w:rPr>
                <w:rFonts w:eastAsia="Times New Roman"/>
              </w:rPr>
            </w:pPr>
          </w:p>
        </w:tc>
        <w:tc>
          <w:tcPr>
            <w:tcW w:w="846"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gridSpan w:val="5"/>
            <w:vAlign w:val="center"/>
            <w:hideMark/>
          </w:tcPr>
          <w:p w:rsidR="00000000" w:rsidRDefault="00FF0345">
            <w:pPr>
              <w:spacing w:after="100"/>
              <w:rPr>
                <w:rFonts w:eastAsia="Times New Roman"/>
                <w:sz w:val="20"/>
                <w:szCs w:val="20"/>
              </w:rPr>
            </w:pPr>
          </w:p>
        </w:tc>
        <w:tc>
          <w:tcPr>
            <w:tcW w:w="429" w:type="pct"/>
            <w:gridSpan w:val="9"/>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gridSpan w:val="5"/>
            <w:vAlign w:val="center"/>
            <w:hideMark/>
          </w:tcPr>
          <w:p w:rsidR="00000000" w:rsidRDefault="00FF0345">
            <w:pPr>
              <w:spacing w:after="100"/>
              <w:rPr>
                <w:rFonts w:eastAsia="Times New Roman"/>
                <w:sz w:val="20"/>
                <w:szCs w:val="20"/>
              </w:rPr>
            </w:pPr>
          </w:p>
        </w:tc>
        <w:tc>
          <w:tcPr>
            <w:tcW w:w="265" w:type="pct"/>
            <w:gridSpan w:val="3"/>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gridSpan w:val="2"/>
            <w:vAlign w:val="center"/>
            <w:hideMark/>
          </w:tcPr>
          <w:p w:rsidR="00000000" w:rsidRDefault="00FF0345">
            <w:pPr>
              <w:spacing w:after="100"/>
              <w:rPr>
                <w:rFonts w:eastAsia="Times New Roman"/>
                <w:sz w:val="20"/>
                <w:szCs w:val="20"/>
              </w:rPr>
            </w:pPr>
          </w:p>
        </w:tc>
        <w:tc>
          <w:tcPr>
            <w:tcW w:w="5" w:type="pct"/>
            <w:gridSpan w:val="5"/>
            <w:vAlign w:val="center"/>
            <w:hideMark/>
          </w:tcPr>
          <w:p w:rsidR="00000000" w:rsidRDefault="00FF0345">
            <w:pPr>
              <w:spacing w:after="100"/>
              <w:rPr>
                <w:rFonts w:eastAsia="Times New Roman"/>
                <w:sz w:val="20"/>
                <w:szCs w:val="20"/>
              </w:rPr>
            </w:pPr>
          </w:p>
        </w:tc>
        <w:tc>
          <w:tcPr>
            <w:tcW w:w="50" w:type="pct"/>
            <w:gridSpan w:val="2"/>
            <w:vAlign w:val="center"/>
            <w:hideMark/>
          </w:tcPr>
          <w:p w:rsidR="00000000" w:rsidRDefault="00FF0345">
            <w:pPr>
              <w:spacing w:after="100"/>
              <w:rPr>
                <w:rFonts w:eastAsia="Times New Roman"/>
                <w:sz w:val="20"/>
                <w:szCs w:val="20"/>
              </w:rPr>
            </w:pPr>
          </w:p>
        </w:tc>
        <w:tc>
          <w:tcPr>
            <w:tcW w:w="38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gridSpan w:val="4"/>
            <w:vAlign w:val="center"/>
            <w:hideMark/>
          </w:tcPr>
          <w:p w:rsidR="00000000" w:rsidRDefault="00FF0345">
            <w:pPr>
              <w:spacing w:after="100"/>
              <w:rPr>
                <w:rFonts w:eastAsia="Times New Roman"/>
                <w:sz w:val="20"/>
                <w:szCs w:val="20"/>
              </w:rPr>
            </w:pPr>
          </w:p>
        </w:tc>
        <w:tc>
          <w:tcPr>
            <w:tcW w:w="27" w:type="pct"/>
            <w:gridSpan w:val="4"/>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1" w:type="pct"/>
            <w:gridSpan w:val="7"/>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41" w:type="pct"/>
            <w:gridSpan w:val="7"/>
            <w:vAlign w:val="center"/>
            <w:hideMark/>
          </w:tcPr>
          <w:p w:rsidR="00000000" w:rsidRDefault="00FF0345">
            <w:pPr>
              <w:spacing w:after="100"/>
              <w:rPr>
                <w:rFonts w:eastAsia="Times New Roman"/>
                <w:sz w:val="20"/>
                <w:szCs w:val="20"/>
              </w:rPr>
            </w:pPr>
          </w:p>
        </w:tc>
        <w:tc>
          <w:tcPr>
            <w:tcW w:w="5" w:type="pct"/>
            <w:gridSpan w:val="3"/>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6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jc w:val="center"/>
        </w:trPr>
        <w:tc>
          <w:tcPr>
            <w:tcW w:w="0" w:type="auto"/>
            <w:gridSpan w:val="7"/>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77"/>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Stockholders' 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trHeight w:val="240"/>
          <w:jc w:val="center"/>
        </w:trPr>
        <w:tc>
          <w:tcPr>
            <w:tcW w:w="0" w:type="auto"/>
            <w:gridSpan w:val="7"/>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Common Stock</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4"/>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r>
            <w:r>
              <w:rPr>
                <w:rFonts w:eastAsia="Times New Roman"/>
                <w:b/>
                <w:bCs/>
                <w:color w:val="000000"/>
                <w:sz w:val="14"/>
                <w:szCs w:val="14"/>
              </w:rPr>
              <w:t xml:space="preserve">Paid-in </w:t>
            </w:r>
            <w:r>
              <w:rPr>
                <w:rFonts w:eastAsia="Times New Roman"/>
                <w:b/>
                <w:bCs/>
                <w:color w:val="000000"/>
                <w:sz w:val="14"/>
                <w:szCs w:val="14"/>
              </w:rPr>
              <w:br/>
              <w:t>Capital</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Deficit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11"/>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Accumulated </w:t>
            </w:r>
            <w:r>
              <w:rPr>
                <w:rFonts w:eastAsia="Times New Roman"/>
                <w:b/>
                <w:bCs/>
                <w:color w:val="000000"/>
                <w:sz w:val="14"/>
                <w:szCs w:val="14"/>
              </w:rPr>
              <w:br/>
              <w:t xml:space="preserve">Other </w:t>
            </w:r>
            <w:r>
              <w:rPr>
                <w:rFonts w:eastAsia="Times New Roman"/>
                <w:b/>
                <w:bCs/>
                <w:color w:val="000000"/>
                <w:sz w:val="14"/>
                <w:szCs w:val="14"/>
              </w:rPr>
              <w:br/>
              <w:t xml:space="preserve">Comprehensive </w:t>
            </w:r>
            <w:r>
              <w:rPr>
                <w:rFonts w:eastAsia="Times New Roman"/>
                <w:b/>
                <w:bCs/>
                <w:color w:val="000000"/>
                <w:sz w:val="14"/>
                <w:szCs w:val="14"/>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 xml:space="preserve">Stockholders' </w:t>
            </w:r>
            <w:r>
              <w:rPr>
                <w:rFonts w:eastAsia="Times New Roman"/>
                <w:b/>
                <w:bCs/>
                <w:color w:val="000000"/>
                <w:sz w:val="14"/>
                <w:szCs w:val="14"/>
              </w:rPr>
              <w:br/>
              <w:t>Equity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r>
      <w:tr w:rsidR="00000000">
        <w:trPr>
          <w:trHeight w:val="360"/>
          <w:jc w:val="center"/>
        </w:trPr>
        <w:tc>
          <w:tcPr>
            <w:tcW w:w="0" w:type="auto"/>
            <w:gridSpan w:val="7"/>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4"/>
                <w:szCs w:val="14"/>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Par</w:t>
            </w:r>
            <w:r>
              <w:rPr>
                <w:rFonts w:eastAsia="Times New Roman"/>
                <w:b/>
                <w:bCs/>
                <w:color w:val="000000"/>
                <w:sz w:val="14"/>
                <w:szCs w:val="14"/>
              </w:rPr>
              <w:br/>
              <w:t>Value</w:t>
            </w:r>
          </w:p>
        </w:tc>
        <w:tc>
          <w:tcPr>
            <w:tcW w:w="0" w:type="auto"/>
            <w:gridSpan w:val="8"/>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4"/>
            <w:vMerge/>
            <w:tcBorders>
              <w:top w:val="single" w:sz="8" w:space="0" w:color="000000"/>
            </w:tcBorders>
            <w:vAlign w:val="center"/>
            <w:hideMark/>
          </w:tcPr>
          <w:p w:rsidR="00000000" w:rsidRDefault="00FF0345">
            <w:pPr>
              <w:spacing w:after="100"/>
              <w:rPr>
                <w:rFonts w:eastAsia="Times New Roman"/>
              </w:rPr>
            </w:pPr>
          </w:p>
        </w:tc>
        <w:tc>
          <w:tcPr>
            <w:tcW w:w="0" w:type="auto"/>
            <w:gridSpan w:val="9"/>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11"/>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vMerge/>
            <w:tcBorders>
              <w:top w:val="single" w:sz="8" w:space="0" w:color="000000"/>
            </w:tcBorders>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4"/>
                <w:szCs w:val="14"/>
              </w:rPr>
              <w:t xml:space="preserve">Total </w:t>
            </w:r>
            <w:r>
              <w:rPr>
                <w:rFonts w:eastAsia="Times New Roman"/>
                <w:b/>
                <w:bCs/>
                <w:color w:val="000000"/>
                <w:sz w:val="14"/>
                <w:szCs w:val="14"/>
              </w:rPr>
              <w:br/>
              <w:t>Equity</w:t>
            </w: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January 1, 2020</w:t>
            </w:r>
          </w:p>
        </w:tc>
        <w:tc>
          <w:tcPr>
            <w:tcW w:w="0" w:type="auto"/>
            <w:gridSpan w:val="14"/>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141,407,650 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4,583,911 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(1,944,012)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(9,051)</w:t>
            </w:r>
          </w:p>
        </w:tc>
        <w:tc>
          <w:tcPr>
            <w:tcW w:w="0" w:type="auto"/>
            <w:gridSpan w:val="3"/>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2,632,262 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198,708 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2,830,970 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Net loss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(39,785)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(39,785)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(833)</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(40,618)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vAlign w:val="center"/>
            <w:hideMark/>
          </w:tcPr>
          <w:p w:rsidR="00000000" w:rsidRDefault="00FF0345">
            <w:pPr>
              <w:spacing w:after="100"/>
              <w:jc w:val="right"/>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Interest rate cap/swap agreements</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(1,838)</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(1,838)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(1,838)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Amortization of share and unit-based plans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142,991 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13,935 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13,936 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13,936 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vAlign w:val="center"/>
            <w:hideMark/>
          </w:tcPr>
          <w:p w:rsidR="00000000" w:rsidRDefault="00FF0345">
            <w:pPr>
              <w:spacing w:after="100"/>
              <w:jc w:val="right"/>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vAlign w:val="center"/>
            <w:hideMark/>
          </w:tcPr>
          <w:p w:rsidR="00000000" w:rsidRDefault="00FF0345">
            <w:pPr>
              <w:spacing w:after="100"/>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Employee stock purchases</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141,568 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851 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852 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vAlign w:val="center"/>
            <w:hideMark/>
          </w:tcPr>
          <w:p w:rsidR="00000000" w:rsidRDefault="00FF0345">
            <w:pPr>
              <w:spacing w:after="100"/>
              <w:jc w:val="right"/>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vAlign w:val="center"/>
            <w:hideMark/>
          </w:tcPr>
          <w:p w:rsidR="00000000" w:rsidRDefault="00FF0345">
            <w:pPr>
              <w:spacing w:after="100"/>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divId w:val="1225726707"/>
              <w:rPr>
                <w:rFonts w:eastAsia="Times New Roman"/>
              </w:rPr>
            </w:pPr>
            <w:r>
              <w:rPr>
                <w:rFonts w:eastAsia="Times New Roman"/>
                <w:color w:val="000000"/>
                <w:sz w:val="14"/>
                <w:szCs w:val="14"/>
              </w:rPr>
              <w:t>Distributions paid ($1.00 per share)</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(142,952)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(142,952)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(142,952)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Stock dividend</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7,759,280 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78 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(78)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Distributions to noncontrolling interests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(12,235)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(12,235)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Contributions from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450 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450 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vAlign w:val="center"/>
            <w:hideMark/>
          </w:tcPr>
          <w:p w:rsidR="00000000" w:rsidRDefault="00FF0345">
            <w:pPr>
              <w:spacing w:after="100"/>
              <w:jc w:val="right"/>
              <w:rPr>
                <w:rFonts w:eastAsia="Times New Roman"/>
                <w:sz w:val="20"/>
                <w:szCs w:val="20"/>
              </w:rPr>
            </w:pPr>
          </w:p>
        </w:tc>
        <w:tc>
          <w:tcPr>
            <w:tcW w:w="0" w:type="auto"/>
            <w:gridSpan w:val="15"/>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8"/>
            <w:vAlign w:val="center"/>
            <w:hideMark/>
          </w:tcPr>
          <w:p w:rsidR="00000000" w:rsidRDefault="00FF0345">
            <w:pPr>
              <w:spacing w:after="100"/>
              <w:rPr>
                <w:rFonts w:eastAsia="Times New Roman"/>
                <w:sz w:val="20"/>
                <w:szCs w:val="20"/>
              </w:rPr>
            </w:pPr>
          </w:p>
        </w:tc>
        <w:tc>
          <w:tcPr>
            <w:tcW w:w="0" w:type="auto"/>
            <w:gridSpan w:val="4"/>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9"/>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11"/>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Conversion of noncontrolling interests to common shares</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186,791 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12,084 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12,086 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(12,086)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Redemption of noncontrolling interests</w:t>
            </w:r>
          </w:p>
        </w:tc>
        <w:tc>
          <w:tcPr>
            <w:tcW w:w="0" w:type="auto"/>
            <w:gridSpan w:val="14"/>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Adjustment of noncontrolling interests in Operating Partnership</w:t>
            </w:r>
          </w:p>
        </w:tc>
        <w:tc>
          <w:tcPr>
            <w:tcW w:w="0" w:type="auto"/>
            <w:gridSpan w:val="14"/>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(10,258)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gridSpan w:val="3"/>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(10,258)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10,258 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4"/>
                <w:szCs w:val="14"/>
              </w:rPr>
              <w:t>Balance at September 30, 2020</w:t>
            </w:r>
          </w:p>
        </w:tc>
        <w:tc>
          <w:tcPr>
            <w:tcW w:w="0" w:type="auto"/>
            <w:gridSpan w:val="14"/>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149,638,280 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1,496 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4,600,470 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(2,126,749)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(10,889)</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2,464,328 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184,209 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4"/>
                <w:szCs w:val="14"/>
              </w:rPr>
              <w:t>2,648,537 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jc w:val="center"/>
        <w:rPr>
          <w:rFonts w:eastAsia="Times New Roman"/>
        </w:rPr>
      </w:pPr>
      <w:r>
        <w:rPr>
          <w:rFonts w:eastAsia="Times New Roman"/>
          <w:color w:val="000000"/>
          <w:sz w:val="20"/>
          <w:szCs w:val="20"/>
        </w:rPr>
        <w:t>  </w:t>
      </w:r>
    </w:p>
    <w:p w:rsidR="00000000" w:rsidRDefault="00FF0345">
      <w:pPr>
        <w:jc w:val="center"/>
        <w:rPr>
          <w:rFonts w:eastAsia="Times New Roman"/>
        </w:rPr>
      </w:pPr>
      <w:r>
        <w:rPr>
          <w:rFonts w:eastAsia="Times New Roman"/>
          <w:color w:val="000000"/>
          <w:sz w:val="20"/>
          <w:szCs w:val="20"/>
        </w:rPr>
        <w:t> The accompanying notes are an integral part of these consolidated financial statements.</w:t>
      </w:r>
    </w:p>
    <w:p w:rsidR="00000000" w:rsidRDefault="00FF0345">
      <w:pPr>
        <w:jc w:val="center"/>
        <w:divId w:val="432673054"/>
        <w:rPr>
          <w:rFonts w:eastAsia="Times New Roman"/>
        </w:rPr>
      </w:pPr>
      <w:r>
        <w:rPr>
          <w:rFonts w:eastAsia="Times New Roman"/>
          <w:color w:val="000000"/>
          <w:sz w:val="20"/>
          <w:szCs w:val="20"/>
        </w:rPr>
        <w:t>7</w:t>
      </w:r>
    </w:p>
    <w:p w:rsidR="00000000" w:rsidRDefault="00FF0345">
      <w:pPr>
        <w:rPr>
          <w:rFonts w:eastAsia="Times New Roman"/>
        </w:rPr>
      </w:pPr>
      <w:r>
        <w:rPr>
          <w:rFonts w:eastAsia="Times New Roman"/>
        </w:rPr>
        <w:pict>
          <v:rect id="_x0000_i1031" style="width:0;height:1.5pt" o:hralign="center" o:hrstd="t" o:hr="t" fillcolor="#a0a0a0" stroked="f"/>
        </w:pict>
      </w:r>
    </w:p>
    <w:p w:rsidR="00000000" w:rsidRDefault="00FF0345">
      <w:pPr>
        <w:divId w:val="1234967676"/>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33433594"/>
        <w:rPr>
          <w:rFonts w:eastAsia="Times New Roman"/>
        </w:rPr>
      </w:pPr>
      <w:r>
        <w:rPr>
          <w:rFonts w:eastAsia="Times New Roman"/>
          <w:b/>
          <w:bCs/>
          <w:color w:val="000000"/>
          <w:sz w:val="20"/>
          <w:szCs w:val="20"/>
        </w:rPr>
        <w:t>THE MACERICH COMPANY</w:t>
      </w:r>
    </w:p>
    <w:p w:rsidR="00000000" w:rsidRDefault="00FF0345">
      <w:pPr>
        <w:jc w:val="center"/>
        <w:divId w:val="1203205242"/>
        <w:rPr>
          <w:rFonts w:eastAsia="Times New Roman"/>
        </w:rPr>
      </w:pPr>
      <w:r>
        <w:rPr>
          <w:rFonts w:eastAsia="Times New Roman"/>
          <w:b/>
          <w:bCs/>
          <w:color w:val="000000"/>
          <w:sz w:val="20"/>
          <w:szCs w:val="20"/>
        </w:rPr>
        <w:t>CONSOLIDATED STATEMENTS OF CASH FLOWS</w:t>
      </w:r>
    </w:p>
    <w:p w:rsidR="00000000" w:rsidRDefault="00FF0345">
      <w:pPr>
        <w:jc w:val="center"/>
        <w:divId w:val="83458617"/>
        <w:rPr>
          <w:rFonts w:eastAsia="Times New Roman"/>
        </w:rPr>
      </w:pPr>
      <w:r>
        <w:rPr>
          <w:rFonts w:eastAsia="Times New Roman"/>
          <w:b/>
          <w:bCs/>
          <w:color w:val="000000"/>
          <w:sz w:val="20"/>
          <w:szCs w:val="20"/>
        </w:rPr>
        <w:t>(Dollars in thousands)</w:t>
      </w:r>
    </w:p>
    <w:p w:rsidR="00000000" w:rsidRDefault="00FF0345">
      <w:pPr>
        <w:jc w:val="center"/>
        <w:divId w:val="778379814"/>
        <w:rPr>
          <w:rFonts w:eastAsia="Times New Roman"/>
        </w:rPr>
      </w:pPr>
      <w:r>
        <w:rPr>
          <w:rFonts w:eastAsia="Times New Roman"/>
          <w:b/>
          <w:bCs/>
          <w:color w:val="000000"/>
          <w:sz w:val="20"/>
          <w:szCs w:val="20"/>
        </w:rPr>
        <w:t>(Unaudited)</w:t>
      </w:r>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984"/>
        <w:gridCol w:w="38"/>
        <w:gridCol w:w="120"/>
        <w:gridCol w:w="741"/>
        <w:gridCol w:w="36"/>
        <w:gridCol w:w="36"/>
        <w:gridCol w:w="36"/>
        <w:gridCol w:w="36"/>
        <w:gridCol w:w="120"/>
        <w:gridCol w:w="719"/>
        <w:gridCol w:w="36"/>
      </w:tblGrid>
      <w:tr w:rsidR="00000000">
        <w:trPr>
          <w:divId w:val="778379814"/>
          <w:jc w:val="center"/>
        </w:trPr>
        <w:tc>
          <w:tcPr>
            <w:tcW w:w="50" w:type="pct"/>
            <w:vAlign w:val="center"/>
            <w:hideMark/>
          </w:tcPr>
          <w:p w:rsidR="00000000" w:rsidRDefault="00FF0345">
            <w:pPr>
              <w:jc w:val="center"/>
              <w:rPr>
                <w:rFonts w:eastAsia="Times New Roman"/>
              </w:rPr>
            </w:pPr>
          </w:p>
        </w:tc>
        <w:tc>
          <w:tcPr>
            <w:tcW w:w="379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9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778379814"/>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20"/>
                <w:szCs w:val="20"/>
              </w:rPr>
              <w:t>For the Nine Months Ended September 30,</w:t>
            </w:r>
          </w:p>
        </w:tc>
      </w:tr>
      <w:tr w:rsidR="00000000">
        <w:trPr>
          <w:divId w:val="778379814"/>
          <w:jc w:val="center"/>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20"/>
                <w:szCs w:val="20"/>
              </w:rPr>
              <w:t>2020</w:t>
            </w:r>
          </w:p>
        </w:tc>
      </w:tr>
      <w:tr w:rsidR="00000000">
        <w:trPr>
          <w:divId w:val="778379814"/>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778379814"/>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41,167 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(40,618)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778379814"/>
          <w:jc w:val="center"/>
        </w:trPr>
        <w:tc>
          <w:tcPr>
            <w:tcW w:w="0" w:type="auto"/>
            <w:gridSpan w:val="3"/>
            <w:shd w:val="clear" w:color="auto" w:fill="FFFF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1,007 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(Gain) loss on sale or write down of assets, net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(93,356)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28,784 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241,450 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246,500 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Amortization of premium on mortgage notes payable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(695)</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Amortization of share and unit-based plans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10,868 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10,990 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Straight-line rent and amortization of above and below market leases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(9,429)</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(3,917)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(Recovery of) provision for doubtful accounts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(4,269)</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39,248 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9,452 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(684)</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Equity in (income) loss of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(20,212)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16,988 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Distributions of income from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Change in fair value of financing arrangement obligation</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(12,608)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(96,793)</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24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Changes in assets and liabilities, net of dispositions:</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778379814"/>
          <w:jc w:val="center"/>
        </w:trPr>
        <w:tc>
          <w:tcPr>
            <w:tcW w:w="0" w:type="auto"/>
            <w:gridSpan w:val="3"/>
            <w:shd w:val="clear" w:color="auto" w:fill="FFFFFF"/>
            <w:tcMar>
              <w:top w:w="30" w:type="dxa"/>
              <w:left w:w="51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Tenant and other receivables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77,748 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(124,004)</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51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22,133 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5,470 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51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Due from affiliates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(1,365)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(11,628)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51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(6,992)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27,173 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51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(44,009)</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(31,687)</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211,633 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65,127 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flows from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778379814"/>
          <w:jc w:val="center"/>
        </w:trPr>
        <w:tc>
          <w:tcPr>
            <w:tcW w:w="0" w:type="auto"/>
            <w:gridSpan w:val="3"/>
            <w:vAlign w:val="center"/>
            <w:hideMark/>
          </w:tcPr>
          <w:p w:rsidR="00000000" w:rsidRDefault="00FF0345">
            <w:pPr>
              <w:spacing w:after="100"/>
              <w:rPr>
                <w:rFonts w:eastAsia="Times New Roman"/>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778379814"/>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Development, redevelopment, expansion and renovation of properties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(52,788)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(46,421)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Property improvements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(27,906)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(18,005)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778379814"/>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Proceeds from repayment of notes receivable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 leasing costs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(1,878)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(2,247)</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Distributions from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70,955 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28,178 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Contributions to unconsolidated joint ventures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(56,577)</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(100,618)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778379814"/>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Proceeds from sale of assets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323,018 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16,315 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256,124 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(122,798)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778379814"/>
          <w:trHeight w:val="60"/>
          <w:jc w:val="center"/>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jc w:val="center"/>
        <w:divId w:val="181557456"/>
        <w:rPr>
          <w:rFonts w:eastAsia="Times New Roman"/>
        </w:rPr>
      </w:pPr>
      <w:r>
        <w:rPr>
          <w:rFonts w:eastAsia="Times New Roman"/>
          <w:color w:val="000000"/>
          <w:sz w:val="20"/>
          <w:szCs w:val="20"/>
        </w:rPr>
        <w:t>8</w:t>
      </w:r>
    </w:p>
    <w:p w:rsidR="00000000" w:rsidRDefault="00FF0345">
      <w:pPr>
        <w:rPr>
          <w:rFonts w:eastAsia="Times New Roman"/>
        </w:rPr>
      </w:pPr>
      <w:r>
        <w:rPr>
          <w:rFonts w:eastAsia="Times New Roman"/>
        </w:rPr>
        <w:pict>
          <v:rect id="_x0000_i1032" style="width:0;height:1.5pt" o:hralign="center" o:hrstd="t" o:hr="t" fillcolor="#a0a0a0" stroked="f"/>
        </w:pict>
      </w:r>
    </w:p>
    <w:p w:rsidR="00000000" w:rsidRDefault="00FF0345">
      <w:pPr>
        <w:divId w:val="1269044878"/>
        <w:rPr>
          <w:rFonts w:eastAsia="Times New Roman"/>
        </w:rPr>
      </w:pPr>
      <w:hyperlink w:anchor="ib8d126c41a1f444e81d08813b3ab1f3c_7" w:history="1">
        <w:r>
          <w:rPr>
            <w:rStyle w:val="a3"/>
            <w:rFonts w:eastAsia="Times New Roman"/>
            <w:sz w:val="16"/>
            <w:szCs w:val="16"/>
          </w:rPr>
          <w:t>Table of Contents</w:t>
        </w:r>
      </w:hyperlink>
    </w:p>
    <w:tbl>
      <w:tblPr>
        <w:tblW w:w="4780" w:type="pct"/>
        <w:jc w:val="center"/>
        <w:tblCellMar>
          <w:top w:w="15" w:type="dxa"/>
          <w:left w:w="15" w:type="dxa"/>
          <w:bottom w:w="15" w:type="dxa"/>
          <w:right w:w="15" w:type="dxa"/>
        </w:tblCellMar>
        <w:tblLook w:val="04A0" w:firstRow="1" w:lastRow="0" w:firstColumn="1" w:lastColumn="0" w:noHBand="0" w:noVBand="1"/>
      </w:tblPr>
      <w:tblGrid>
        <w:gridCol w:w="39"/>
        <w:gridCol w:w="5876"/>
        <w:gridCol w:w="38"/>
        <w:gridCol w:w="121"/>
        <w:gridCol w:w="867"/>
        <w:gridCol w:w="36"/>
        <w:gridCol w:w="36"/>
        <w:gridCol w:w="36"/>
        <w:gridCol w:w="36"/>
        <w:gridCol w:w="120"/>
        <w:gridCol w:w="700"/>
        <w:gridCol w:w="36"/>
      </w:tblGrid>
      <w:tr w:rsidR="00000000">
        <w:trPr>
          <w:divId w:val="291911616"/>
          <w:jc w:val="center"/>
        </w:trPr>
        <w:tc>
          <w:tcPr>
            <w:tcW w:w="50" w:type="pct"/>
            <w:vAlign w:val="center"/>
            <w:hideMark/>
          </w:tcPr>
          <w:p w:rsidR="00000000" w:rsidRDefault="00FF0345">
            <w:pPr>
              <w:rPr>
                <w:rFonts w:eastAsia="Times New Roman"/>
              </w:rPr>
            </w:pPr>
          </w:p>
        </w:tc>
        <w:tc>
          <w:tcPr>
            <w:tcW w:w="379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9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12"/>
            <w:tcMar>
              <w:top w:w="30" w:type="dxa"/>
              <w:left w:w="20" w:type="dxa"/>
              <w:bottom w:w="30" w:type="dxa"/>
              <w:right w:w="20" w:type="dxa"/>
            </w:tcMar>
            <w:vAlign w:val="bottom"/>
            <w:hideMark/>
          </w:tcPr>
          <w:p w:rsidR="00000000" w:rsidRDefault="00FF0345">
            <w:pPr>
              <w:spacing w:after="100"/>
              <w:jc w:val="center"/>
              <w:divId w:val="727145916"/>
              <w:rPr>
                <w:rFonts w:eastAsia="Times New Roman"/>
              </w:rPr>
            </w:pPr>
            <w:r>
              <w:rPr>
                <w:rFonts w:eastAsia="Times New Roman"/>
                <w:b/>
                <w:bCs/>
                <w:color w:val="000000"/>
                <w:sz w:val="20"/>
                <w:szCs w:val="20"/>
              </w:rPr>
              <w:t>THE MACERICH COMPANY</w:t>
            </w:r>
          </w:p>
          <w:p w:rsidR="00000000" w:rsidRDefault="00FF0345">
            <w:pPr>
              <w:spacing w:after="100"/>
              <w:jc w:val="center"/>
              <w:divId w:val="201481775"/>
              <w:rPr>
                <w:rFonts w:eastAsia="Times New Roman"/>
              </w:rPr>
            </w:pPr>
            <w:r>
              <w:rPr>
                <w:rFonts w:eastAsia="Times New Roman"/>
                <w:b/>
                <w:bCs/>
                <w:color w:val="000000"/>
                <w:sz w:val="20"/>
                <w:szCs w:val="20"/>
              </w:rPr>
              <w:t>CONSOLIDATED STATEMENTS OF CASH FLOWS (Continued)</w:t>
            </w:r>
          </w:p>
          <w:p w:rsidR="00000000" w:rsidRDefault="00FF0345">
            <w:pPr>
              <w:spacing w:after="100"/>
              <w:jc w:val="center"/>
              <w:divId w:val="1119909103"/>
              <w:rPr>
                <w:rFonts w:eastAsia="Times New Roman"/>
              </w:rPr>
            </w:pPr>
            <w:r>
              <w:rPr>
                <w:rFonts w:eastAsia="Times New Roman"/>
                <w:b/>
                <w:bCs/>
                <w:color w:val="000000"/>
                <w:sz w:val="20"/>
                <w:szCs w:val="20"/>
              </w:rPr>
              <w:t>(Dollars in thousands)</w:t>
            </w:r>
          </w:p>
          <w:p w:rsidR="00000000" w:rsidRDefault="00FF0345">
            <w:pPr>
              <w:spacing w:after="100"/>
              <w:jc w:val="center"/>
              <w:divId w:val="476066857"/>
              <w:rPr>
                <w:rFonts w:eastAsia="Times New Roman"/>
              </w:rPr>
            </w:pPr>
            <w:r>
              <w:rPr>
                <w:rFonts w:eastAsia="Times New Roman"/>
                <w:b/>
                <w:bCs/>
                <w:color w:val="000000"/>
                <w:sz w:val="20"/>
                <w:szCs w:val="20"/>
              </w:rPr>
              <w:t>(Unaudited)</w:t>
            </w:r>
          </w:p>
        </w:tc>
      </w:tr>
      <w:tr w:rsidR="00000000">
        <w:trPr>
          <w:divId w:val="291911616"/>
          <w:jc w:val="center"/>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20"/>
                <w:szCs w:val="20"/>
              </w:rPr>
              <w:t>For the Nine Months Ended September 30,</w:t>
            </w:r>
          </w:p>
        </w:tc>
      </w:tr>
      <w:tr w:rsidR="00000000">
        <w:trPr>
          <w:divId w:val="291911616"/>
          <w:jc w:val="center"/>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20"/>
                <w:szCs w:val="20"/>
              </w:rPr>
              <w:t>2020</w:t>
            </w: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flows from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r>
      <w:tr w:rsidR="00000000">
        <w:trPr>
          <w:divId w:val="291911616"/>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Proceeds from mortgages, bank and other notes payable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495,000 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660,000 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Payments on mortgages, bank and other notes payable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(1,973,668)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(20,830)</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(22,813)</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(2,582)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Proceeds from finance lease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Payments on finance leases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(1,848)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(1,534)</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proceeds from stock offerings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829,874 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Proceeds from share and unit-based plans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595 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852 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Redemption of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Contribution from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Dividends and distributions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(104,514)</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(155,187)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(777,306)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485,256 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(decrease) 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(309,549)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427,585 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cash equivalents and restricted cash, beginning of period</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482,659 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114,216 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cash equivalents and restricted cash,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541,801 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Supplemental cash flow information:</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payments for interest, net of amounts capitalized</w:t>
            </w: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161,474 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137,992 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Non-cash investing and financing transactions: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291911616"/>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Accrued development costs included in accounts payable and accrued expenses and other accrued liabilities</w:t>
            </w: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18,281 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18,549 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Conversion of Operating Partnership Units to common stock</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22,218 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12,086 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91911616"/>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91911616"/>
          <w:jc w:val="center"/>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bl>
    <w:p w:rsidR="00000000" w:rsidRDefault="00FF0345">
      <w:pPr>
        <w:jc w:val="center"/>
        <w:divId w:val="1576163253"/>
        <w:rPr>
          <w:rFonts w:eastAsia="Times New Roman"/>
        </w:rPr>
      </w:pPr>
      <w:r>
        <w:rPr>
          <w:rFonts w:eastAsia="Times New Roman"/>
          <w:color w:val="000000"/>
          <w:sz w:val="20"/>
          <w:szCs w:val="20"/>
        </w:rPr>
        <w:t>The accompanying notes are an integral part of these consolidated financial statements.</w:t>
      </w:r>
    </w:p>
    <w:p w:rsidR="00000000" w:rsidRDefault="00FF0345">
      <w:pPr>
        <w:jc w:val="center"/>
        <w:divId w:val="1773163496"/>
        <w:rPr>
          <w:rFonts w:eastAsia="Times New Roman"/>
        </w:rPr>
      </w:pPr>
      <w:r>
        <w:rPr>
          <w:rFonts w:eastAsia="Times New Roman"/>
          <w:color w:val="000000"/>
          <w:sz w:val="20"/>
          <w:szCs w:val="20"/>
        </w:rPr>
        <w:t>9</w:t>
      </w:r>
    </w:p>
    <w:p w:rsidR="00000000" w:rsidRDefault="00FF0345">
      <w:pPr>
        <w:rPr>
          <w:rFonts w:eastAsia="Times New Roman"/>
        </w:rPr>
      </w:pPr>
      <w:r>
        <w:rPr>
          <w:rFonts w:eastAsia="Times New Roman"/>
        </w:rPr>
        <w:pict>
          <v:rect id="_x0000_i1033" style="width:0;height:1.5pt" o:hralign="center" o:hrstd="t" o:hr="t" fillcolor="#a0a0a0" stroked="f"/>
        </w:pict>
      </w:r>
    </w:p>
    <w:p w:rsidR="00000000" w:rsidRDefault="00FF0345">
      <w:pPr>
        <w:jc w:val="center"/>
        <w:divId w:val="2000889437"/>
        <w:rPr>
          <w:rFonts w:eastAsia="Times New Roman"/>
        </w:rPr>
      </w:pPr>
    </w:p>
    <w:p w:rsidR="00000000" w:rsidRDefault="00FF0345">
      <w:pPr>
        <w:jc w:val="center"/>
        <w:divId w:val="1675840193"/>
        <w:rPr>
          <w:rFonts w:eastAsia="Times New Roman"/>
        </w:rPr>
      </w:pPr>
      <w:r>
        <w:rPr>
          <w:rFonts w:eastAsia="Times New Roman"/>
          <w:b/>
          <w:bCs/>
          <w:color w:val="000000"/>
          <w:sz w:val="20"/>
          <w:szCs w:val="20"/>
        </w:rPr>
        <w:t>THE MACERICH COMPANY</w:t>
      </w:r>
    </w:p>
    <w:p w:rsidR="00000000" w:rsidRDefault="00FF0345">
      <w:pPr>
        <w:jc w:val="center"/>
        <w:divId w:val="1714036721"/>
        <w:rPr>
          <w:rFonts w:eastAsia="Times New Roman"/>
        </w:rPr>
      </w:pPr>
      <w:r>
        <w:rPr>
          <w:rFonts w:eastAsia="Times New Roman"/>
          <w:b/>
          <w:bCs/>
          <w:color w:val="000000"/>
          <w:sz w:val="20"/>
          <w:szCs w:val="20"/>
        </w:rPr>
        <w:t>NOTES TO CONSOLIDATED FINANCIAL STATEMENTS</w:t>
      </w:r>
    </w:p>
    <w:p w:rsidR="00000000" w:rsidRDefault="00FF0345">
      <w:pPr>
        <w:jc w:val="center"/>
        <w:divId w:val="1728871038"/>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320421718"/>
        <w:rPr>
          <w:rFonts w:eastAsia="Times New Roman"/>
        </w:rPr>
      </w:pPr>
      <w:r>
        <w:rPr>
          <w:rFonts w:eastAsia="Times New Roman"/>
          <w:b/>
          <w:bCs/>
          <w:color w:val="000000"/>
          <w:sz w:val="20"/>
          <w:szCs w:val="20"/>
        </w:rPr>
        <w:t>(Unaudited)</w:t>
      </w:r>
    </w:p>
    <w:p w:rsidR="00000000" w:rsidRDefault="00FF0345">
      <w:pPr>
        <w:jc w:val="center"/>
        <w:divId w:val="1034960459"/>
        <w:rPr>
          <w:rFonts w:eastAsia="Times New Roman"/>
        </w:rPr>
      </w:pPr>
    </w:p>
    <w:p w:rsidR="00000000" w:rsidRDefault="00FF0345">
      <w:pPr>
        <w:divId w:val="1840005195"/>
        <w:rPr>
          <w:rFonts w:eastAsia="Times New Roman"/>
        </w:rPr>
      </w:pPr>
      <w:r>
        <w:rPr>
          <w:rFonts w:eastAsia="Times New Roman"/>
          <w:b/>
          <w:bCs/>
          <w:color w:val="000000"/>
          <w:sz w:val="20"/>
          <w:szCs w:val="20"/>
        </w:rPr>
        <w:t>1. Organization:</w:t>
      </w:r>
    </w:p>
    <w:p w:rsidR="00000000" w:rsidRDefault="00FF0345">
      <w:pPr>
        <w:ind w:firstLine="495"/>
        <w:divId w:val="621153716"/>
        <w:rPr>
          <w:rFonts w:eastAsia="Times New Roman"/>
        </w:rPr>
      </w:pPr>
      <w:r>
        <w:rPr>
          <w:rFonts w:eastAsia="Times New Roman"/>
          <w:color w:val="000000"/>
          <w:sz w:val="20"/>
          <w:szCs w:val="20"/>
        </w:rPr>
        <w:t>The Macerich Company (the "Company") is involved in the acquisition, ownership, development, redevelopment, management and leasing of regional town centers and community/power shopping centers (the "Centers") located through</w:t>
      </w:r>
      <w:r>
        <w:rPr>
          <w:rFonts w:eastAsia="Times New Roman"/>
          <w:color w:val="000000"/>
          <w:sz w:val="20"/>
          <w:szCs w:val="20"/>
        </w:rPr>
        <w:t>out the United States.</w:t>
      </w:r>
    </w:p>
    <w:p w:rsidR="00000000" w:rsidRDefault="00FF0345">
      <w:pPr>
        <w:ind w:firstLine="495"/>
        <w:divId w:val="1353339290"/>
        <w:rPr>
          <w:rFonts w:eastAsia="Times New Roman"/>
        </w:rPr>
      </w:pPr>
      <w:r>
        <w:rPr>
          <w:rFonts w:eastAsia="Times New Roman"/>
          <w:color w:val="000000"/>
          <w:sz w:val="20"/>
          <w:szCs w:val="20"/>
        </w:rPr>
        <w:t xml:space="preserve">The Company commenced operations effective with the completion of its initial public offering on March 16, 1994. As of September 30, 2021, the Company was the sole general partner of and held a 96% ownership interest in The Macerich </w:t>
      </w:r>
      <w:r>
        <w:rPr>
          <w:rFonts w:eastAsia="Times New Roman"/>
          <w:color w:val="000000"/>
          <w:sz w:val="20"/>
          <w:szCs w:val="20"/>
        </w:rPr>
        <w:t>Partnership, L.P. (the "Operating Partnership"). The Company was organized to qualify as a real estate investment trust ("REIT") under the Internal Revenue Code of 1986, as amended (the "Code").</w:t>
      </w:r>
    </w:p>
    <w:p w:rsidR="00000000" w:rsidRDefault="00FF0345">
      <w:pPr>
        <w:ind w:firstLine="495"/>
        <w:divId w:val="728000642"/>
        <w:rPr>
          <w:rFonts w:eastAsia="Times New Roman"/>
        </w:rPr>
      </w:pPr>
      <w:r>
        <w:rPr>
          <w:rFonts w:eastAsia="Times New Roman"/>
          <w:color w:val="000000"/>
          <w:sz w:val="20"/>
          <w:szCs w:val="20"/>
        </w:rPr>
        <w:t>The property management, leasing and redevelopment of the Com</w:t>
      </w:r>
      <w:r>
        <w:rPr>
          <w:rFonts w:eastAsia="Times New Roman"/>
          <w:color w:val="000000"/>
          <w:sz w:val="20"/>
          <w:szCs w:val="20"/>
        </w:rPr>
        <w:t>pany's portfolio is provided by the Company's management companies, Macerich Property Management Company, LLC, a single member Delaware limited liability company, Macerich Management Company, a California corporation, Macerich Arizona Partners LLC, a singl</w:t>
      </w:r>
      <w:r>
        <w:rPr>
          <w:rFonts w:eastAsia="Times New Roman"/>
          <w:color w:val="000000"/>
          <w:sz w:val="20"/>
          <w:szCs w:val="20"/>
        </w:rPr>
        <w:t>e member Arizona limited liability company, Macerich Arizona Management LLC, a single member Delaware limited liability company, Macerich Partners of Colorado LLC, a single member Colorado limited liability company, MACW Mall Management, Inc., a New York c</w:t>
      </w:r>
      <w:r>
        <w:rPr>
          <w:rFonts w:eastAsia="Times New Roman"/>
          <w:color w:val="000000"/>
          <w:sz w:val="20"/>
          <w:szCs w:val="20"/>
        </w:rPr>
        <w:t>orporation, and MACW Property Management, LLC, a single member New York limited liability company. All seven of the management companies are collectively referred to herein as the "Management Companies."</w:t>
      </w:r>
    </w:p>
    <w:p w:rsidR="00000000" w:rsidRDefault="00FF0345">
      <w:pPr>
        <w:ind w:firstLine="495"/>
        <w:divId w:val="2038508169"/>
        <w:rPr>
          <w:rFonts w:eastAsia="Times New Roman"/>
        </w:rPr>
      </w:pPr>
      <w:r>
        <w:rPr>
          <w:rFonts w:eastAsia="Times New Roman"/>
          <w:color w:val="000000"/>
          <w:sz w:val="20"/>
          <w:szCs w:val="20"/>
        </w:rPr>
        <w:t>All references to the Company in this Quarterly Repo</w:t>
      </w:r>
      <w:r>
        <w:rPr>
          <w:rFonts w:eastAsia="Times New Roman"/>
          <w:color w:val="000000"/>
          <w:sz w:val="20"/>
          <w:szCs w:val="20"/>
        </w:rPr>
        <w:t>rt on Form 10-Q include the Company, those entities owned or controlled by the Company and predecessors of the Company, unless the context indicates otherwise.</w:t>
      </w:r>
    </w:p>
    <w:p w:rsidR="00000000" w:rsidRDefault="00FF0345">
      <w:pPr>
        <w:divId w:val="1397507767"/>
        <w:rPr>
          <w:rFonts w:eastAsia="Times New Roman"/>
        </w:rPr>
      </w:pPr>
      <w:r>
        <w:rPr>
          <w:rFonts w:eastAsia="Times New Roman"/>
          <w:b/>
          <w:bCs/>
          <w:color w:val="000000"/>
          <w:sz w:val="20"/>
          <w:szCs w:val="20"/>
        </w:rPr>
        <w:t>2. Summary of Significant Accounting Policies:</w:t>
      </w:r>
    </w:p>
    <w:p w:rsidR="00000000" w:rsidRDefault="00FF0345">
      <w:pPr>
        <w:ind w:firstLine="450"/>
        <w:divId w:val="1933657291"/>
        <w:rPr>
          <w:rFonts w:eastAsia="Times New Roman"/>
        </w:rPr>
      </w:pPr>
      <w:r>
        <w:rPr>
          <w:rFonts w:eastAsia="Times New Roman"/>
          <w:i/>
          <w:iCs/>
          <w:color w:val="000000"/>
          <w:sz w:val="20"/>
          <w:szCs w:val="20"/>
        </w:rPr>
        <w:t>Basis of Presentation:</w:t>
      </w:r>
    </w:p>
    <w:p w:rsidR="00000000" w:rsidRDefault="00FF0345">
      <w:pPr>
        <w:ind w:firstLine="495"/>
        <w:divId w:val="952781653"/>
        <w:rPr>
          <w:rFonts w:eastAsia="Times New Roman"/>
        </w:rPr>
      </w:pPr>
      <w:r>
        <w:rPr>
          <w:rFonts w:eastAsia="Times New Roman"/>
          <w:color w:val="000000"/>
          <w:sz w:val="20"/>
          <w:szCs w:val="20"/>
        </w:rPr>
        <w:t>The accompanying consolidated financial statements of the Company have been prepared in accordance with generally accepted accounting principles in the United States ("GAAP") for interim financial information and with the instructions to Form 10-Q and Arti</w:t>
      </w:r>
      <w:r>
        <w:rPr>
          <w:rFonts w:eastAsia="Times New Roman"/>
          <w:color w:val="000000"/>
          <w:sz w:val="20"/>
          <w:szCs w:val="20"/>
        </w:rPr>
        <w:t>cle 10 of Regulation S-X. They do not include all of the information and footnotes required by GAAP for complete financial statements and have not been audited by an independent registered public accounting firm.</w:t>
      </w:r>
    </w:p>
    <w:p w:rsidR="00000000" w:rsidRDefault="00FF0345">
      <w:pPr>
        <w:ind w:firstLine="495"/>
        <w:divId w:val="657654566"/>
        <w:rPr>
          <w:rFonts w:eastAsia="Times New Roman"/>
        </w:rPr>
      </w:pPr>
      <w:r>
        <w:rPr>
          <w:rFonts w:eastAsia="Times New Roman"/>
          <w:color w:val="000000"/>
          <w:sz w:val="20"/>
          <w:szCs w:val="20"/>
        </w:rPr>
        <w:t>The Company's sole significant asset is its</w:t>
      </w:r>
      <w:r>
        <w:rPr>
          <w:rFonts w:eastAsia="Times New Roman"/>
          <w:color w:val="000000"/>
          <w:sz w:val="20"/>
          <w:szCs w:val="20"/>
        </w:rPr>
        <w:t xml:space="preserve"> investment in the Operating Partnership and as a result, substantially all of the Company's assets and liabilities represent the assets and liabilities of the Operating Partnership. In addition, the Operating Partnership has investments in a number of con</w:t>
      </w:r>
      <w:r>
        <w:rPr>
          <w:rFonts w:eastAsia="Times New Roman"/>
          <w:color w:val="000000"/>
          <w:sz w:val="20"/>
          <w:szCs w:val="20"/>
        </w:rPr>
        <w:t xml:space="preserve">solidated variable interest entities ("VIEs"), including Fashion District Philadelphia and SanTan Village Regional Center. </w:t>
      </w:r>
    </w:p>
    <w:p w:rsidR="00000000" w:rsidRDefault="00FF0345">
      <w:pPr>
        <w:ind w:firstLine="495"/>
        <w:divId w:val="1734280503"/>
        <w:rPr>
          <w:rFonts w:eastAsia="Times New Roman"/>
        </w:rPr>
      </w:pPr>
      <w:r>
        <w:rPr>
          <w:rFonts w:eastAsia="Times New Roman"/>
          <w:color w:val="000000"/>
          <w:sz w:val="20"/>
          <w:szCs w:val="20"/>
        </w:rPr>
        <w:t>The Operating Partnership's consolidated VIEs included the following assets and liabilities:</w:t>
      </w:r>
    </w:p>
    <w:tbl>
      <w:tblPr>
        <w:tblW w:w="4934" w:type="pct"/>
        <w:tblCellMar>
          <w:top w:w="15" w:type="dxa"/>
          <w:left w:w="15" w:type="dxa"/>
          <w:bottom w:w="15" w:type="dxa"/>
          <w:right w:w="15" w:type="dxa"/>
        </w:tblCellMar>
        <w:tblLook w:val="04A0" w:firstRow="1" w:lastRow="0" w:firstColumn="1" w:lastColumn="0" w:noHBand="0" w:noVBand="1"/>
      </w:tblPr>
      <w:tblGrid>
        <w:gridCol w:w="39"/>
        <w:gridCol w:w="5975"/>
        <w:gridCol w:w="36"/>
        <w:gridCol w:w="120"/>
        <w:gridCol w:w="873"/>
        <w:gridCol w:w="36"/>
        <w:gridCol w:w="36"/>
        <w:gridCol w:w="36"/>
        <w:gridCol w:w="36"/>
        <w:gridCol w:w="120"/>
        <w:gridCol w:w="853"/>
        <w:gridCol w:w="36"/>
      </w:tblGrid>
      <w:tr w:rsidR="00000000">
        <w:trPr>
          <w:divId w:val="1734280503"/>
        </w:trPr>
        <w:tc>
          <w:tcPr>
            <w:tcW w:w="50" w:type="pct"/>
            <w:vAlign w:val="center"/>
            <w:hideMark/>
          </w:tcPr>
          <w:p w:rsidR="00000000" w:rsidRDefault="00FF0345">
            <w:pPr>
              <w:ind w:firstLine="495"/>
              <w:rPr>
                <w:rFonts w:eastAsia="Times New Roman"/>
              </w:rPr>
            </w:pPr>
          </w:p>
        </w:tc>
        <w:tc>
          <w:tcPr>
            <w:tcW w:w="367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5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6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734280503"/>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73428050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734280503"/>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463,949 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551,062 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34280503"/>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84,510 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97,713 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34280503"/>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548,459 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648,775 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3428050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Liabilities: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734280503"/>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Mortgage notes payable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413,902 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420,233 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34280503"/>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59,240 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81,266 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34280503"/>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473,142 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501,499 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576860190"/>
        <w:rPr>
          <w:rFonts w:eastAsia="Times New Roman"/>
        </w:rPr>
      </w:pPr>
      <w:r>
        <w:rPr>
          <w:rFonts w:eastAsia="Times New Roman"/>
          <w:color w:val="000000"/>
          <w:sz w:val="20"/>
          <w:szCs w:val="20"/>
        </w:rPr>
        <w:t>All intercompany accounts and transactions have been eliminated in the consolidated financial statements.</w:t>
      </w:r>
    </w:p>
    <w:p w:rsidR="00000000" w:rsidRDefault="00FF0345">
      <w:pPr>
        <w:ind w:firstLine="495"/>
        <w:divId w:val="309091174"/>
        <w:rPr>
          <w:rFonts w:eastAsia="Times New Roman"/>
        </w:rPr>
      </w:pPr>
    </w:p>
    <w:p w:rsidR="00000000" w:rsidRDefault="00FF0345">
      <w:pPr>
        <w:jc w:val="center"/>
        <w:divId w:val="1920821958"/>
        <w:rPr>
          <w:rFonts w:eastAsia="Times New Roman"/>
        </w:rPr>
      </w:pPr>
      <w:r>
        <w:rPr>
          <w:rFonts w:eastAsia="Times New Roman"/>
          <w:color w:val="000000"/>
          <w:sz w:val="20"/>
          <w:szCs w:val="20"/>
        </w:rPr>
        <w:t>10</w:t>
      </w:r>
    </w:p>
    <w:p w:rsidR="00000000" w:rsidRDefault="00FF0345">
      <w:pPr>
        <w:rPr>
          <w:rFonts w:eastAsia="Times New Roman"/>
        </w:rPr>
      </w:pPr>
      <w:r>
        <w:rPr>
          <w:rFonts w:eastAsia="Times New Roman"/>
        </w:rPr>
        <w:pict>
          <v:rect id="_x0000_i1034" style="width:0;height:1.5pt" o:hralign="center" o:hrstd="t" o:hr="t" fillcolor="#a0a0a0" stroked="f"/>
        </w:pict>
      </w:r>
    </w:p>
    <w:p w:rsidR="00000000" w:rsidRDefault="00FF0345">
      <w:pPr>
        <w:divId w:val="1912344050"/>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274674234"/>
        <w:rPr>
          <w:rFonts w:eastAsia="Times New Roman"/>
        </w:rPr>
      </w:pPr>
      <w:r>
        <w:rPr>
          <w:rFonts w:eastAsia="Times New Roman"/>
          <w:b/>
          <w:bCs/>
          <w:color w:val="000000"/>
          <w:sz w:val="20"/>
          <w:szCs w:val="20"/>
        </w:rPr>
        <w:t>THE MACERICH COMPANY</w:t>
      </w:r>
    </w:p>
    <w:p w:rsidR="00000000" w:rsidRDefault="00FF0345">
      <w:pPr>
        <w:jc w:val="center"/>
        <w:divId w:val="1961036177"/>
        <w:rPr>
          <w:rFonts w:eastAsia="Times New Roman"/>
        </w:rPr>
      </w:pPr>
      <w:r>
        <w:rPr>
          <w:rFonts w:eastAsia="Times New Roman"/>
          <w:b/>
          <w:bCs/>
          <w:color w:val="000000"/>
          <w:sz w:val="20"/>
          <w:szCs w:val="20"/>
        </w:rPr>
        <w:t>NOTES TO CONSOLIDATED FINANCIAL STATEMENTS (Continued)</w:t>
      </w:r>
    </w:p>
    <w:p w:rsidR="00000000" w:rsidRDefault="00FF0345">
      <w:pPr>
        <w:jc w:val="center"/>
        <w:divId w:val="2033189779"/>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343168236"/>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FF0345">
      <w:pPr>
        <w:divId w:val="1998797498"/>
        <w:rPr>
          <w:rFonts w:eastAsia="Times New Roman"/>
        </w:rPr>
      </w:pPr>
    </w:p>
    <w:p w:rsidR="00000000" w:rsidRDefault="00FF0345">
      <w:pPr>
        <w:divId w:val="710614624"/>
        <w:rPr>
          <w:rFonts w:eastAsia="Times New Roman"/>
        </w:rPr>
      </w:pPr>
      <w:r>
        <w:rPr>
          <w:rFonts w:eastAsia="Times New Roman"/>
          <w:b/>
          <w:bCs/>
          <w:color w:val="000000"/>
          <w:sz w:val="20"/>
          <w:szCs w:val="20"/>
        </w:rPr>
        <w:t>2. Summary of Significant Accounting Policies: (Continued)</w:t>
      </w:r>
    </w:p>
    <w:p w:rsidR="00000000" w:rsidRDefault="00FF0345">
      <w:pPr>
        <w:ind w:firstLine="495"/>
        <w:divId w:val="1273320396"/>
        <w:rPr>
          <w:rFonts w:eastAsia="Times New Roman"/>
        </w:rPr>
      </w:pPr>
    </w:p>
    <w:p w:rsidR="00000000" w:rsidRDefault="00FF0345">
      <w:pPr>
        <w:ind w:firstLine="495"/>
        <w:divId w:val="1805389928"/>
        <w:rPr>
          <w:rFonts w:eastAsia="Times New Roman"/>
        </w:rPr>
      </w:pPr>
      <w:r>
        <w:rPr>
          <w:rFonts w:eastAsia="Times New Roman"/>
          <w:color w:val="000000"/>
          <w:sz w:val="20"/>
          <w:szCs w:val="20"/>
        </w:rPr>
        <w:t>The unaudited interim consolidated financial statements should be read in conjunction with the Company's audited consolidated financial statements and notes thereto included in the Com</w:t>
      </w:r>
      <w:r>
        <w:rPr>
          <w:rFonts w:eastAsia="Times New Roman"/>
          <w:color w:val="000000"/>
          <w:sz w:val="20"/>
          <w:szCs w:val="20"/>
        </w:rPr>
        <w:t>pany's Annual Report on Form 10-K for the year ended December 31, 2020. In the opinion of management, all adjustments (consisting of normal recurring adjustments) necessary for a fair presentation of the consolidated financial statements for the interim pe</w:t>
      </w:r>
      <w:r>
        <w:rPr>
          <w:rFonts w:eastAsia="Times New Roman"/>
          <w:color w:val="000000"/>
          <w:sz w:val="20"/>
          <w:szCs w:val="20"/>
        </w:rPr>
        <w:t>riods have been made. The preparation of consolidated financial statements in conformity with GAAP requires management to make estimates and assumptions that affect the reported amounts of assets and liabilities and disclosure of contingent assets and liab</w:t>
      </w:r>
      <w:r>
        <w:rPr>
          <w:rFonts w:eastAsia="Times New Roman"/>
          <w:color w:val="000000"/>
          <w:sz w:val="20"/>
          <w:szCs w:val="20"/>
        </w:rPr>
        <w:t>ilities at the date of the consolidated financial statements and the reported amounts of revenues and expenses during the reporting period. Actual results could differ from those estimates. The accompanying consolidated balance sheet as of December 31, 202</w:t>
      </w:r>
      <w:r>
        <w:rPr>
          <w:rFonts w:eastAsia="Times New Roman"/>
          <w:color w:val="000000"/>
          <w:sz w:val="20"/>
          <w:szCs w:val="20"/>
        </w:rPr>
        <w:t>0 has been derived from the audited financial statements but does not include all disclosures required by GAAP. The following table presents a reconciliation of the beginning of period and end of period cash, cash equivalents and restricted cash reported o</w:t>
      </w:r>
      <w:r>
        <w:rPr>
          <w:rFonts w:eastAsia="Times New Roman"/>
          <w:color w:val="000000"/>
          <w:sz w:val="20"/>
          <w:szCs w:val="20"/>
        </w:rPr>
        <w:t>n the Company's consolidated balance sheets to the totals shown on its consolidated statements of cash flows:</w:t>
      </w:r>
    </w:p>
    <w:p w:rsidR="00000000" w:rsidRDefault="00FF0345">
      <w:pPr>
        <w:ind w:firstLine="495"/>
        <w:divId w:val="1709451910"/>
        <w:rPr>
          <w:rFonts w:eastAsia="Times New Roman"/>
        </w:rPr>
      </w:pPr>
    </w:p>
    <w:tbl>
      <w:tblPr>
        <w:tblW w:w="4904" w:type="pct"/>
        <w:tblCellMar>
          <w:top w:w="15" w:type="dxa"/>
          <w:left w:w="15" w:type="dxa"/>
          <w:bottom w:w="15" w:type="dxa"/>
          <w:right w:w="15" w:type="dxa"/>
        </w:tblCellMar>
        <w:tblLook w:val="04A0" w:firstRow="1" w:lastRow="0" w:firstColumn="1" w:lastColumn="0" w:noHBand="0" w:noVBand="1"/>
      </w:tblPr>
      <w:tblGrid>
        <w:gridCol w:w="38"/>
        <w:gridCol w:w="6192"/>
        <w:gridCol w:w="37"/>
        <w:gridCol w:w="120"/>
        <w:gridCol w:w="741"/>
        <w:gridCol w:w="36"/>
        <w:gridCol w:w="36"/>
        <w:gridCol w:w="36"/>
        <w:gridCol w:w="36"/>
        <w:gridCol w:w="120"/>
        <w:gridCol w:w="719"/>
        <w:gridCol w:w="36"/>
      </w:tblGrid>
      <w:tr w:rsidR="00000000">
        <w:trPr>
          <w:divId w:val="1581673709"/>
        </w:trPr>
        <w:tc>
          <w:tcPr>
            <w:tcW w:w="50" w:type="pct"/>
            <w:vAlign w:val="center"/>
            <w:hideMark/>
          </w:tcPr>
          <w:p w:rsidR="00000000" w:rsidRDefault="00FF0345">
            <w:pPr>
              <w:ind w:firstLine="495"/>
              <w:rPr>
                <w:rFonts w:eastAsia="Times New Roman"/>
              </w:rPr>
            </w:pPr>
          </w:p>
        </w:tc>
        <w:tc>
          <w:tcPr>
            <w:tcW w:w="38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581673709"/>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1581673709"/>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1581673709"/>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Beginning of period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1581673709"/>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465,297 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100,005 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81673709"/>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17,362 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14,211 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81673709"/>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482,659 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81673709"/>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End of period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1581673709"/>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117,596 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528,431 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81673709"/>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55,514 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13,370 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81673709"/>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541,801 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50"/>
        <w:divId w:val="1808014737"/>
        <w:rPr>
          <w:rFonts w:eastAsia="Times New Roman"/>
        </w:rPr>
      </w:pPr>
    </w:p>
    <w:p w:rsidR="00000000" w:rsidRDefault="00FF0345">
      <w:pPr>
        <w:ind w:firstLine="450"/>
        <w:divId w:val="1448236068"/>
        <w:rPr>
          <w:rFonts w:eastAsia="Times New Roman"/>
        </w:rPr>
      </w:pPr>
      <w:r>
        <w:rPr>
          <w:rFonts w:eastAsia="Times New Roman"/>
          <w:i/>
          <w:iCs/>
          <w:color w:val="000000"/>
          <w:sz w:val="20"/>
          <w:szCs w:val="20"/>
        </w:rPr>
        <w:t>COVID-19 Pandemic:</w:t>
      </w:r>
    </w:p>
    <w:p w:rsidR="00000000" w:rsidRDefault="00FF0345">
      <w:pPr>
        <w:ind w:firstLine="495"/>
        <w:divId w:val="2047220820"/>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in p</w:t>
      </w:r>
      <w:r>
        <w:rPr>
          <w:rFonts w:eastAsia="Times New Roman"/>
          <w:color w:val="000000"/>
          <w:sz w:val="20"/>
          <w:szCs w:val="20"/>
        </w:rPr>
        <w:t>art or completely. Following staggered re-openings during 2020, all Centers have been open and operating since October 7, 2020 and government-imposed capacity restrictions resulting from COVID-19 have been essentially eliminated across the Company’s market</w:t>
      </w:r>
      <w:r>
        <w:rPr>
          <w:rFonts w:eastAsia="Times New Roman"/>
          <w:color w:val="000000"/>
          <w:sz w:val="20"/>
          <w:szCs w:val="20"/>
        </w:rPr>
        <w:t>s.</w:t>
      </w:r>
    </w:p>
    <w:p w:rsidR="00000000" w:rsidRDefault="00FF0345">
      <w:pPr>
        <w:ind w:firstLine="450"/>
        <w:divId w:val="1070421073"/>
        <w:rPr>
          <w:rFonts w:eastAsia="Times New Roman"/>
        </w:rPr>
      </w:pPr>
      <w:r>
        <w:rPr>
          <w:rFonts w:eastAsia="Times New Roman"/>
          <w:i/>
          <w:iCs/>
          <w:color w:val="000000"/>
          <w:sz w:val="20"/>
          <w:szCs w:val="20"/>
        </w:rPr>
        <w:t>COVID-19 Lease Accounting:</w:t>
      </w:r>
    </w:p>
    <w:p w:rsidR="00000000" w:rsidRDefault="00FF0345">
      <w:pPr>
        <w:ind w:firstLine="495"/>
        <w:divId w:val="1023091621"/>
        <w:rPr>
          <w:rFonts w:eastAsia="Times New Roman"/>
        </w:rPr>
      </w:pPr>
      <w:r>
        <w:rPr>
          <w:rFonts w:eastAsia="Times New Roman"/>
          <w:color w:val="000000"/>
          <w:sz w:val="20"/>
          <w:szCs w:val="20"/>
        </w:rPr>
        <w:t>In April 2020, the Financial Accounting Standards Board issued a Staff Question-and-Answer (“Q&amp;A”</w:t>
      </w:r>
      <w:r>
        <w:rPr>
          <w:rFonts w:eastAsia="Times New Roman"/>
          <w:color w:val="000000"/>
          <w:sz w:val="20"/>
          <w:szCs w:val="20"/>
        </w:rPr>
        <w:t>) to clarify whether lease concessions related to the effects of COVID-19 require the application of the lease modification guidance under Accounting Standards Codification ("ASC") 842, "Leases" ("the lease modification accounting framework"). Under ASC 84</w:t>
      </w:r>
      <w:r>
        <w:rPr>
          <w:rFonts w:eastAsia="Times New Roman"/>
          <w:color w:val="000000"/>
          <w:sz w:val="20"/>
          <w:szCs w:val="20"/>
        </w:rPr>
        <w:t>2, the Company would have to determine, on a lease-by-lease basis, if a lease concession was the result of a new arrangement reached with the tenant or an enforceable right and obligation within the existing lease. The Q&amp;A allows for the bypass of a lease-</w:t>
      </w:r>
      <w:r>
        <w:rPr>
          <w:rFonts w:eastAsia="Times New Roman"/>
          <w:color w:val="000000"/>
          <w:sz w:val="20"/>
          <w:szCs w:val="20"/>
        </w:rPr>
        <w:t>by-lease analysis, and allows the Company to elect to either apply the lease modification accounting framework or not to all of its lease concessions with similar characteristics and circumstances. The Company has elected to apply the lease modification ac</w:t>
      </w:r>
      <w:r>
        <w:rPr>
          <w:rFonts w:eastAsia="Times New Roman"/>
          <w:color w:val="000000"/>
          <w:sz w:val="20"/>
          <w:szCs w:val="20"/>
        </w:rPr>
        <w:t>counting framework to lease concessions that include the abatement of rent in its consolidated financial statements for the three and nine months ended September 30, 2021 and 2020.</w:t>
      </w:r>
    </w:p>
    <w:p w:rsidR="00000000" w:rsidRDefault="00FF0345">
      <w:pPr>
        <w:ind w:firstLine="495"/>
        <w:divId w:val="152961292"/>
        <w:rPr>
          <w:rFonts w:eastAsia="Times New Roman"/>
        </w:rPr>
      </w:pPr>
    </w:p>
    <w:p w:rsidR="00000000" w:rsidRDefault="00FF0345">
      <w:pPr>
        <w:ind w:firstLine="450"/>
        <w:divId w:val="768893180"/>
        <w:rPr>
          <w:rFonts w:eastAsia="Times New Roman"/>
        </w:rPr>
      </w:pPr>
    </w:p>
    <w:p w:rsidR="00000000" w:rsidRDefault="00FF0345">
      <w:pPr>
        <w:jc w:val="center"/>
        <w:divId w:val="1401442143"/>
        <w:rPr>
          <w:rFonts w:eastAsia="Times New Roman"/>
        </w:rPr>
      </w:pPr>
      <w:r>
        <w:rPr>
          <w:rFonts w:eastAsia="Times New Roman"/>
          <w:color w:val="000000"/>
          <w:sz w:val="20"/>
          <w:szCs w:val="20"/>
        </w:rPr>
        <w:t>11</w:t>
      </w:r>
    </w:p>
    <w:p w:rsidR="00000000" w:rsidRDefault="00FF0345">
      <w:pPr>
        <w:rPr>
          <w:rFonts w:eastAsia="Times New Roman"/>
        </w:rPr>
      </w:pPr>
      <w:r>
        <w:rPr>
          <w:rFonts w:eastAsia="Times New Roman"/>
        </w:rPr>
        <w:pict>
          <v:rect id="_x0000_i1035" style="width:0;height:1.5pt" o:hralign="center" o:hrstd="t" o:hr="t" fillcolor="#a0a0a0" stroked="f"/>
        </w:pict>
      </w:r>
    </w:p>
    <w:p w:rsidR="00000000" w:rsidRDefault="00FF0345">
      <w:pPr>
        <w:divId w:val="854155582"/>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677004368"/>
        <w:rPr>
          <w:rFonts w:eastAsia="Times New Roman"/>
        </w:rPr>
      </w:pPr>
      <w:r>
        <w:rPr>
          <w:rFonts w:eastAsia="Times New Roman"/>
          <w:b/>
          <w:bCs/>
          <w:color w:val="000000"/>
          <w:sz w:val="20"/>
          <w:szCs w:val="20"/>
        </w:rPr>
        <w:t>THE MACERICH COMPANY</w:t>
      </w:r>
    </w:p>
    <w:p w:rsidR="00000000" w:rsidRDefault="00FF0345">
      <w:pPr>
        <w:jc w:val="center"/>
        <w:divId w:val="1579754653"/>
        <w:rPr>
          <w:rFonts w:eastAsia="Times New Roman"/>
        </w:rPr>
      </w:pPr>
      <w:r>
        <w:rPr>
          <w:rFonts w:eastAsia="Times New Roman"/>
          <w:b/>
          <w:bCs/>
          <w:color w:val="000000"/>
          <w:sz w:val="20"/>
          <w:szCs w:val="20"/>
        </w:rPr>
        <w:t>NOTES TO CONSOLIDATED FINANCIAL STATEMENTS (Continued)</w:t>
      </w:r>
    </w:p>
    <w:p w:rsidR="00000000" w:rsidRDefault="00FF0345">
      <w:pPr>
        <w:jc w:val="center"/>
        <w:divId w:val="711150298"/>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447700139"/>
        <w:rPr>
          <w:rFonts w:eastAsia="Times New Roman"/>
        </w:rPr>
      </w:pPr>
      <w:r>
        <w:rPr>
          <w:rFonts w:eastAsia="Times New Roman"/>
          <w:b/>
          <w:bCs/>
          <w:color w:val="000000"/>
          <w:sz w:val="20"/>
          <w:szCs w:val="20"/>
        </w:rPr>
        <w:t>(Unaudited)</w:t>
      </w:r>
    </w:p>
    <w:p w:rsidR="00000000" w:rsidRDefault="00FF0345">
      <w:pPr>
        <w:divId w:val="513610956"/>
        <w:rPr>
          <w:rFonts w:eastAsia="Times New Roman"/>
        </w:rPr>
      </w:pPr>
    </w:p>
    <w:p w:rsidR="00000000" w:rsidRDefault="00FF0345">
      <w:pPr>
        <w:divId w:val="1644580200"/>
        <w:rPr>
          <w:rFonts w:eastAsia="Times New Roman"/>
        </w:rPr>
      </w:pPr>
      <w:r>
        <w:rPr>
          <w:rFonts w:eastAsia="Times New Roman"/>
          <w:b/>
          <w:bCs/>
          <w:color w:val="000000"/>
          <w:sz w:val="20"/>
          <w:szCs w:val="20"/>
        </w:rPr>
        <w:t>3. Earnings Per Share ("EPS"):</w:t>
      </w:r>
    </w:p>
    <w:p w:rsidR="00000000" w:rsidRDefault="00FF0345">
      <w:pPr>
        <w:ind w:firstLine="495"/>
        <w:divId w:val="1083138285"/>
        <w:rPr>
          <w:rFonts w:eastAsia="Times New Roman"/>
        </w:rPr>
      </w:pPr>
      <w:r>
        <w:rPr>
          <w:rFonts w:eastAsia="Times New Roman"/>
          <w:color w:val="000000"/>
          <w:sz w:val="20"/>
          <w:szCs w:val="20"/>
        </w:rPr>
        <w:t>The following table reconc</w:t>
      </w:r>
      <w:r>
        <w:rPr>
          <w:rFonts w:eastAsia="Times New Roman"/>
          <w:color w:val="000000"/>
          <w:sz w:val="20"/>
          <w:szCs w:val="20"/>
        </w:rPr>
        <w:t>iles the numerator and denominator used in the computation of EPS for the three and nine months ended September 30, 2021 and 2020 (shares in thousands):</w:t>
      </w:r>
    </w:p>
    <w:tbl>
      <w:tblPr>
        <w:tblW w:w="4926" w:type="pct"/>
        <w:tblCellMar>
          <w:top w:w="15" w:type="dxa"/>
          <w:left w:w="15" w:type="dxa"/>
          <w:bottom w:w="15" w:type="dxa"/>
          <w:right w:w="15" w:type="dxa"/>
        </w:tblCellMar>
        <w:tblLook w:val="04A0" w:firstRow="1" w:lastRow="0" w:firstColumn="1" w:lastColumn="0" w:noHBand="0" w:noVBand="1"/>
      </w:tblPr>
      <w:tblGrid>
        <w:gridCol w:w="38"/>
        <w:gridCol w:w="4492"/>
        <w:gridCol w:w="37"/>
        <w:gridCol w:w="120"/>
        <w:gridCol w:w="700"/>
        <w:gridCol w:w="36"/>
        <w:gridCol w:w="36"/>
        <w:gridCol w:w="36"/>
        <w:gridCol w:w="36"/>
        <w:gridCol w:w="120"/>
        <w:gridCol w:w="684"/>
        <w:gridCol w:w="36"/>
        <w:gridCol w:w="36"/>
        <w:gridCol w:w="36"/>
        <w:gridCol w:w="36"/>
        <w:gridCol w:w="120"/>
        <w:gridCol w:w="600"/>
        <w:gridCol w:w="36"/>
        <w:gridCol w:w="36"/>
        <w:gridCol w:w="36"/>
        <w:gridCol w:w="36"/>
        <w:gridCol w:w="120"/>
        <w:gridCol w:w="684"/>
        <w:gridCol w:w="36"/>
      </w:tblGrid>
      <w:tr w:rsidR="00000000">
        <w:trPr>
          <w:divId w:val="1083138285"/>
        </w:trPr>
        <w:tc>
          <w:tcPr>
            <w:tcW w:w="50" w:type="pct"/>
            <w:vAlign w:val="center"/>
            <w:hideMark/>
          </w:tcPr>
          <w:p w:rsidR="00000000" w:rsidRDefault="00FF0345">
            <w:pPr>
              <w:ind w:firstLine="495"/>
              <w:rPr>
                <w:rFonts w:eastAsia="Times New Roman"/>
              </w:rPr>
            </w:pPr>
          </w:p>
        </w:tc>
        <w:tc>
          <w:tcPr>
            <w:tcW w:w="281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8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7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083138285"/>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1083138285"/>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1083138285"/>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Numerator</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083138285"/>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112,959 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(22,622)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41,167 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w:t>
            </w:r>
            <w:r>
              <w:rPr>
                <w:rFonts w:eastAsia="Times New Roman"/>
                <w:color w:val="000000"/>
                <w:sz w:val="20"/>
                <w:szCs w:val="20"/>
              </w:rPr>
              <w:t>40,618)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83138285"/>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Less net income (loss) attributable to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6,257 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(431)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9,834 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(833)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83138285"/>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income (loss) attributable to the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106,702 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(22,191)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31,333 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(39,785)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83138285"/>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Allocation of earnings to participating securities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(290)</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(215)</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(641)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(834)</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83138285"/>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Numerator for basic and diluted EPS—net income (loss)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106,412 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(22,406)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30,692 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(40,619)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83138285"/>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Denominator</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083138285"/>
        </w:trPr>
        <w:tc>
          <w:tcPr>
            <w:tcW w:w="0" w:type="auto"/>
            <w:gridSpan w:val="3"/>
            <w:vAlign w:val="center"/>
            <w:hideMark/>
          </w:tcPr>
          <w:p w:rsidR="00000000" w:rsidRDefault="00FF0345">
            <w:pPr>
              <w:spacing w:after="100"/>
              <w:rPr>
                <w:rFonts w:eastAsia="Times New Roman"/>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083138285"/>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083138285"/>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083138285"/>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Denominator for basic and diluted EPS—</w:t>
            </w:r>
            <w:r>
              <w:rPr>
                <w:rFonts w:eastAsia="Times New Roman"/>
                <w:color w:val="000000"/>
                <w:sz w:val="20"/>
                <w:szCs w:val="20"/>
              </w:rPr>
              <w:t>weighted average number of common shares outstanding(1)</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213,214 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149,626 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192,717 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145,071 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83138285"/>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EPS—net income (loss) attributable to common stockholders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083138285"/>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Basic and diluted</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0.50 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(0.15)</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0.16 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(0.28)</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83138285"/>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bl>
    <w:p w:rsidR="00000000" w:rsidRDefault="00FF0345">
      <w:pPr>
        <w:ind w:hanging="360"/>
        <w:divId w:val="1986468291"/>
        <w:rPr>
          <w:rFonts w:eastAsia="Times New Roman"/>
        </w:rPr>
      </w:pPr>
      <w:r>
        <w:rPr>
          <w:rFonts w:eastAsia="Times New Roman"/>
          <w:color w:val="000000"/>
          <w:sz w:val="16"/>
          <w:szCs w:val="16"/>
        </w:rPr>
        <w:t xml:space="preserve">(1)     Diluted EPS excludes 101,799 and 103,235 </w:t>
      </w:r>
      <w:r>
        <w:rPr>
          <w:rFonts w:eastAsia="Times New Roman"/>
          <w:color w:val="000000"/>
          <w:sz w:val="16"/>
          <w:szCs w:val="16"/>
        </w:rPr>
        <w:t>for the three months ended September 30, 2021 and 2020, respectively, and 102,751 and 96,144 convertible preferred partnership units for the nine months ended September 30, 2021 and 2020, respectively, as their impact was antidilutive. Diluted EPS also exc</w:t>
      </w:r>
      <w:r>
        <w:rPr>
          <w:rFonts w:eastAsia="Times New Roman"/>
          <w:color w:val="000000"/>
          <w:sz w:val="16"/>
          <w:szCs w:val="16"/>
        </w:rPr>
        <w:t>ludes 9,818,917 and 10,883,761 Operating Partnership units ("OP Units") for the three months ended September 30, 2021 and 2020, respectively, and 10,160,575 and 10,622,971 OP Units for the nine months ended September 30, 2021 and 2020, respectively, as the</w:t>
      </w:r>
      <w:r>
        <w:rPr>
          <w:rFonts w:eastAsia="Times New Roman"/>
          <w:color w:val="000000"/>
          <w:sz w:val="16"/>
          <w:szCs w:val="16"/>
        </w:rPr>
        <w:t>ir impact was antidilutive.</w:t>
      </w:r>
    </w:p>
    <w:p w:rsidR="00000000" w:rsidRDefault="00FF0345">
      <w:pPr>
        <w:ind w:hanging="360"/>
        <w:divId w:val="1453205266"/>
        <w:rPr>
          <w:rFonts w:eastAsia="Times New Roman"/>
        </w:rPr>
      </w:pPr>
    </w:p>
    <w:p w:rsidR="00000000" w:rsidRDefault="00FF0345">
      <w:pPr>
        <w:divId w:val="1766535829"/>
        <w:rPr>
          <w:rFonts w:eastAsia="Times New Roman"/>
        </w:rPr>
      </w:pPr>
      <w:r>
        <w:rPr>
          <w:rFonts w:eastAsia="Times New Roman"/>
          <w:b/>
          <w:bCs/>
          <w:color w:val="000000"/>
          <w:sz w:val="20"/>
          <w:szCs w:val="20"/>
        </w:rPr>
        <w:t>4. Investments in Unconsolidated Joint Ventures:</w:t>
      </w:r>
    </w:p>
    <w:p w:rsidR="00000000" w:rsidRDefault="00FF0345">
      <w:pPr>
        <w:ind w:firstLine="495"/>
        <w:divId w:val="559632613"/>
        <w:rPr>
          <w:rFonts w:eastAsia="Times New Roman"/>
        </w:rPr>
      </w:pPr>
      <w:r>
        <w:rPr>
          <w:rFonts w:eastAsia="Times New Roman"/>
          <w:color w:val="000000"/>
          <w:sz w:val="20"/>
          <w:szCs w:val="20"/>
        </w:rPr>
        <w:t>The Company has made the following recent financings of its unconsolidated joint ventures:</w:t>
      </w:r>
    </w:p>
    <w:p w:rsidR="00000000" w:rsidRDefault="00FF0345">
      <w:pPr>
        <w:ind w:firstLine="495"/>
        <w:divId w:val="2003656349"/>
        <w:rPr>
          <w:rFonts w:eastAsia="Times New Roman"/>
        </w:rPr>
      </w:pPr>
      <w:r>
        <w:rPr>
          <w:rFonts w:eastAsia="Times New Roman"/>
          <w:color w:val="000000"/>
          <w:sz w:val="20"/>
          <w:szCs w:val="20"/>
        </w:rPr>
        <w:t>On November 17, 2020, the Company’s joint venture in Tysons VITA, the residential towe</w:t>
      </w:r>
      <w:r>
        <w:rPr>
          <w:rFonts w:eastAsia="Times New Roman"/>
          <w:color w:val="000000"/>
          <w:sz w:val="20"/>
          <w:szCs w:val="20"/>
        </w:rPr>
        <w:t xml:space="preserve">r at Tysons Corner Center, placed a new $95,000 loan on the property that bears interest at an effective rate of 3.43% and matures on December 1, 2030. Initial loan funding for the Company’s joint venture was $90,000 with future advance potential of up to </w:t>
      </w:r>
      <w:r>
        <w:rPr>
          <w:rFonts w:eastAsia="Times New Roman"/>
          <w:color w:val="000000"/>
          <w:sz w:val="20"/>
          <w:szCs w:val="20"/>
        </w:rPr>
        <w:t>$5,000. The Company used its share of the initial proceeds of $45,000 for general corporate purposes.</w:t>
      </w:r>
    </w:p>
    <w:p w:rsidR="00000000" w:rsidRDefault="00FF0345">
      <w:pPr>
        <w:ind w:firstLine="495"/>
        <w:divId w:val="1191451480"/>
        <w:rPr>
          <w:rFonts w:eastAsia="Times New Roman"/>
        </w:rPr>
      </w:pPr>
      <w:r>
        <w:rPr>
          <w:rFonts w:eastAsia="Times New Roman"/>
          <w:color w:val="000000"/>
          <w:sz w:val="20"/>
          <w:szCs w:val="20"/>
        </w:rPr>
        <w:t>On December 10, 2020, the Company made a loan (the “Partnership Loan”) to the Company’</w:t>
      </w:r>
      <w:r>
        <w:rPr>
          <w:rFonts w:eastAsia="Times New Roman"/>
          <w:color w:val="000000"/>
          <w:sz w:val="20"/>
          <w:szCs w:val="20"/>
        </w:rPr>
        <w:t>s joint venture in Fashion District Philadelphia to fund the entirety of a $100,000 repayment to reduce the mortgage loan on Fashion District Philadelphia from $301,000 to $201,000. This mortgage loan now matures on January 22, 2024, including a one-year e</w:t>
      </w:r>
      <w:r>
        <w:rPr>
          <w:rFonts w:eastAsia="Times New Roman"/>
          <w:color w:val="000000"/>
          <w:sz w:val="20"/>
          <w:szCs w:val="20"/>
        </w:rPr>
        <w:t>xtension option, and bears interest at LIBOR plus 3.5%, with a LIBOR floor of 0.50%. The partnership agreement for the joint venture was amended in connection with the Partnership Loan, and pursuant to the amended agreement, the Partnership Loan plus 15% a</w:t>
      </w:r>
      <w:r>
        <w:rPr>
          <w:rFonts w:eastAsia="Times New Roman"/>
          <w:color w:val="000000"/>
          <w:sz w:val="20"/>
          <w:szCs w:val="20"/>
        </w:rPr>
        <w:t>ccrued interest must be repaid prior to the resumption of 50/50 cash distributions to the Company and its joint venture partner. As a result of the substantive participation rights of the Company’s joint venture partner being terminated in the amended agre</w:t>
      </w:r>
      <w:r>
        <w:rPr>
          <w:rFonts w:eastAsia="Times New Roman"/>
          <w:color w:val="000000"/>
          <w:sz w:val="20"/>
          <w:szCs w:val="20"/>
        </w:rPr>
        <w:t>ement, the Company determined that the joint venture is a VIE and the Company is the primary beneficiary. Effective December 10, 2020, the Company has consolidated the results of the joint venture into the consolidated financial statements of the Company.</w:t>
      </w:r>
    </w:p>
    <w:p w:rsidR="00000000" w:rsidRDefault="00FF0345">
      <w:pPr>
        <w:ind w:firstLine="495"/>
        <w:divId w:val="2122603296"/>
        <w:rPr>
          <w:rFonts w:eastAsia="Times New Roman"/>
        </w:rPr>
      </w:pPr>
      <w:r>
        <w:rPr>
          <w:rFonts w:eastAsia="Times New Roman"/>
          <w:color w:val="000000"/>
          <w:sz w:val="20"/>
          <w:szCs w:val="20"/>
        </w:rPr>
        <w:t>On December 29, 2020, the Company’s joint venture in FlatIron Crossing closed on a one-year maturity date extension for the existing loan to January 5, 2022. The interest rate increased from 3.85% to 4.10%, and the Company’s joint venture repaid $15,000, $</w:t>
      </w:r>
      <w:r>
        <w:rPr>
          <w:rFonts w:eastAsia="Times New Roman"/>
          <w:color w:val="000000"/>
          <w:sz w:val="20"/>
          <w:szCs w:val="20"/>
        </w:rPr>
        <w:t xml:space="preserve">7,650 at the Company's pro rata share, of the outstanding loan balance at closing. The Company's joint venture is planning to refinance this loan prior to maturity. </w:t>
      </w:r>
    </w:p>
    <w:p w:rsidR="00000000" w:rsidRDefault="00FF0345">
      <w:pPr>
        <w:ind w:firstLine="495"/>
        <w:divId w:val="1871869462"/>
        <w:rPr>
          <w:rFonts w:eastAsia="Times New Roman"/>
        </w:rPr>
      </w:pPr>
      <w:r>
        <w:rPr>
          <w:rFonts w:eastAsia="Times New Roman"/>
          <w:color w:val="000000"/>
          <w:sz w:val="20"/>
          <w:szCs w:val="20"/>
        </w:rPr>
        <w:t>On December 31, 2020, the Company and its joint venture partner in MS Portfolio LLC entere</w:t>
      </w:r>
      <w:r>
        <w:rPr>
          <w:rFonts w:eastAsia="Times New Roman"/>
          <w:color w:val="000000"/>
          <w:sz w:val="20"/>
          <w:szCs w:val="20"/>
        </w:rPr>
        <w:t xml:space="preserve">d into a distribution agreement. The joint venture owned nine properties, including the former Sears parcels at the South Plains Mall and the </w:t>
      </w:r>
    </w:p>
    <w:p w:rsidR="00000000" w:rsidRDefault="00FF0345">
      <w:pPr>
        <w:jc w:val="center"/>
        <w:divId w:val="1215656166"/>
        <w:rPr>
          <w:rFonts w:eastAsia="Times New Roman"/>
        </w:rPr>
      </w:pPr>
      <w:r>
        <w:rPr>
          <w:rFonts w:eastAsia="Times New Roman"/>
          <w:color w:val="000000"/>
          <w:sz w:val="20"/>
          <w:szCs w:val="20"/>
        </w:rPr>
        <w:t>12</w:t>
      </w:r>
    </w:p>
    <w:p w:rsidR="00000000" w:rsidRDefault="00FF0345">
      <w:pPr>
        <w:rPr>
          <w:rFonts w:eastAsia="Times New Roman"/>
        </w:rPr>
      </w:pPr>
      <w:r>
        <w:rPr>
          <w:rFonts w:eastAsia="Times New Roman"/>
        </w:rPr>
        <w:pict>
          <v:rect id="_x0000_i1036" style="width:0;height:1.5pt" o:hralign="center" o:hrstd="t" o:hr="t" fillcolor="#a0a0a0" stroked="f"/>
        </w:pict>
      </w:r>
    </w:p>
    <w:p w:rsidR="00000000" w:rsidRDefault="00FF0345">
      <w:pPr>
        <w:divId w:val="172687609"/>
        <w:rPr>
          <w:rFonts w:eastAsia="Times New Roman"/>
        </w:rPr>
      </w:pPr>
      <w:hyperlink w:anchor="ib8d126c41a1f444e81d08813b3ab1f3c_7" w:history="1">
        <w:r>
          <w:rPr>
            <w:rStyle w:val="a3"/>
            <w:rFonts w:eastAsia="Times New Roman"/>
            <w:sz w:val="16"/>
            <w:szCs w:val="16"/>
          </w:rPr>
          <w:t>Table of Content</w:t>
        </w:r>
        <w:r>
          <w:rPr>
            <w:rStyle w:val="a3"/>
            <w:rFonts w:eastAsia="Times New Roman"/>
            <w:sz w:val="16"/>
            <w:szCs w:val="16"/>
          </w:rPr>
          <w:t>s</w:t>
        </w:r>
      </w:hyperlink>
    </w:p>
    <w:p w:rsidR="00000000" w:rsidRDefault="00FF0345">
      <w:pPr>
        <w:jc w:val="center"/>
        <w:divId w:val="1721241902"/>
        <w:rPr>
          <w:rFonts w:eastAsia="Times New Roman"/>
        </w:rPr>
      </w:pPr>
      <w:r>
        <w:rPr>
          <w:rFonts w:eastAsia="Times New Roman"/>
          <w:b/>
          <w:bCs/>
          <w:color w:val="000000"/>
          <w:sz w:val="20"/>
          <w:szCs w:val="20"/>
        </w:rPr>
        <w:t>THE MACERICH COMPANY</w:t>
      </w:r>
    </w:p>
    <w:p w:rsidR="00000000" w:rsidRDefault="00FF0345">
      <w:pPr>
        <w:jc w:val="center"/>
        <w:divId w:val="628246250"/>
        <w:rPr>
          <w:rFonts w:eastAsia="Times New Roman"/>
        </w:rPr>
      </w:pPr>
      <w:r>
        <w:rPr>
          <w:rFonts w:eastAsia="Times New Roman"/>
          <w:b/>
          <w:bCs/>
          <w:color w:val="000000"/>
          <w:sz w:val="20"/>
          <w:szCs w:val="20"/>
        </w:rPr>
        <w:t>NOTES TO CONSOLIDATED FINANCIAL STATEMENTS (Continued)</w:t>
      </w:r>
    </w:p>
    <w:p w:rsidR="00000000" w:rsidRDefault="00FF0345">
      <w:pPr>
        <w:jc w:val="center"/>
        <w:divId w:val="255212805"/>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323121500"/>
        <w:rPr>
          <w:rFonts w:eastAsia="Times New Roman"/>
        </w:rPr>
      </w:pPr>
      <w:r>
        <w:rPr>
          <w:rFonts w:eastAsia="Times New Roman"/>
          <w:b/>
          <w:bCs/>
          <w:color w:val="000000"/>
          <w:sz w:val="20"/>
          <w:szCs w:val="20"/>
        </w:rPr>
        <w:t>(Unaudited)</w:t>
      </w:r>
    </w:p>
    <w:p w:rsidR="00000000" w:rsidRDefault="00FF0345">
      <w:pPr>
        <w:divId w:val="2020499802"/>
        <w:rPr>
          <w:rFonts w:eastAsia="Times New Roman"/>
        </w:rPr>
      </w:pPr>
      <w:r>
        <w:rPr>
          <w:rFonts w:eastAsia="Times New Roman"/>
          <w:b/>
          <w:bCs/>
          <w:color w:val="000000"/>
          <w:sz w:val="20"/>
          <w:szCs w:val="20"/>
        </w:rPr>
        <w:t>4. Investments in Unconsolidated Joint Ventures: (Continued)</w:t>
      </w:r>
    </w:p>
    <w:p w:rsidR="00000000" w:rsidRDefault="00FF0345">
      <w:pPr>
        <w:divId w:val="1150629945"/>
        <w:rPr>
          <w:rFonts w:eastAsia="Times New Roman"/>
        </w:rPr>
      </w:pPr>
      <w:r>
        <w:rPr>
          <w:rFonts w:eastAsia="Times New Roman"/>
          <w:color w:val="000000"/>
          <w:sz w:val="20"/>
          <w:szCs w:val="20"/>
        </w:rPr>
        <w:t>Arrowhead Towne Center. The joint ventur</w:t>
      </w:r>
      <w:r>
        <w:rPr>
          <w:rFonts w:eastAsia="Times New Roman"/>
          <w:color w:val="000000"/>
          <w:sz w:val="20"/>
          <w:szCs w:val="20"/>
        </w:rPr>
        <w:t>e distributed the former Sears parcel at South Plains Mall to the Company and the former Sears parcel at Arrowhead Towne Center to the joint venture partner. The joint venture partners agreed that the distributed properties were of equal value. The Company</w:t>
      </w:r>
      <w:r>
        <w:rPr>
          <w:rFonts w:eastAsia="Times New Roman"/>
          <w:color w:val="000000"/>
          <w:sz w:val="20"/>
          <w:szCs w:val="20"/>
        </w:rPr>
        <w:t xml:space="preserve"> now owns 100% of the former Sears parcel at South Plains Mall. Effective December 31, 2020, the Company consolidated its 100% interest in the Sears parcel at South Plains Mall in its consolidated financial statements.</w:t>
      </w:r>
    </w:p>
    <w:p w:rsidR="00000000" w:rsidRDefault="00FF0345">
      <w:pPr>
        <w:ind w:firstLine="495"/>
        <w:divId w:val="89594491"/>
        <w:rPr>
          <w:rFonts w:eastAsia="Times New Roman"/>
        </w:rPr>
      </w:pPr>
      <w:r>
        <w:rPr>
          <w:rFonts w:eastAsia="Times New Roman"/>
          <w:color w:val="000000"/>
          <w:sz w:val="20"/>
          <w:szCs w:val="20"/>
        </w:rPr>
        <w:t>On March 29, 2021, concurrent with th</w:t>
      </w:r>
      <w:r>
        <w:rPr>
          <w:rFonts w:eastAsia="Times New Roman"/>
          <w:color w:val="000000"/>
          <w:sz w:val="20"/>
          <w:szCs w:val="20"/>
        </w:rPr>
        <w:t>e sale of Paradise Valley Mall (see Note 15 – Dispositions), the Company elected to reinvest into the newly formed joint venture at a 5% ownership interest for $3,819 in cash that is accounted for under the equity method of accounting.</w:t>
      </w:r>
    </w:p>
    <w:p w:rsidR="00000000" w:rsidRDefault="00FF0345">
      <w:pPr>
        <w:ind w:firstLine="495"/>
        <w:divId w:val="1785735961"/>
        <w:rPr>
          <w:rFonts w:eastAsia="Times New Roman"/>
        </w:rPr>
      </w:pPr>
      <w:r>
        <w:rPr>
          <w:rFonts w:eastAsia="Times New Roman"/>
          <w:color w:val="000000"/>
          <w:sz w:val="20"/>
          <w:szCs w:val="20"/>
        </w:rPr>
        <w:t>On October 26, 2021,</w:t>
      </w:r>
      <w:r>
        <w:rPr>
          <w:rFonts w:eastAsia="Times New Roman"/>
          <w:color w:val="000000"/>
          <w:sz w:val="20"/>
          <w:szCs w:val="20"/>
        </w:rPr>
        <w:t xml:space="preserve"> the Company's joint venture in The Shops at Atlas Park replaced the existing loan on the property with a new $65,000 loan that bears interest at a floating rate of LIBOR plus 4.15% and matures on November 9, 2026, including extension options.</w:t>
      </w:r>
    </w:p>
    <w:p w:rsidR="00000000" w:rsidRDefault="00FF0345">
      <w:pPr>
        <w:ind w:firstLine="495"/>
        <w:divId w:val="1838884677"/>
        <w:rPr>
          <w:rFonts w:eastAsia="Times New Roman"/>
        </w:rPr>
      </w:pPr>
      <w:r>
        <w:rPr>
          <w:rFonts w:eastAsia="Times New Roman"/>
          <w:color w:val="000000"/>
          <w:sz w:val="20"/>
          <w:szCs w:val="20"/>
        </w:rPr>
        <w:t>Combined and condensed balance sheets and statements of operations are presented below for all unconsolidated joint ventures.</w:t>
      </w:r>
    </w:p>
    <w:p w:rsidR="00000000" w:rsidRDefault="00FF0345">
      <w:pPr>
        <w:ind w:firstLine="495"/>
        <w:divId w:val="838931294"/>
        <w:rPr>
          <w:rFonts w:eastAsia="Times New Roman"/>
        </w:rPr>
      </w:pPr>
      <w:r>
        <w:rPr>
          <w:rFonts w:eastAsia="Times New Roman"/>
          <w:b/>
          <w:bCs/>
          <w:color w:val="000000"/>
          <w:sz w:val="20"/>
          <w:szCs w:val="20"/>
        </w:rPr>
        <w:t>Combined and Condensed Balance Sheets of Unconsolidated Joint Ventures: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8"/>
        <w:gridCol w:w="39"/>
        <w:gridCol w:w="120"/>
        <w:gridCol w:w="921"/>
        <w:gridCol w:w="36"/>
        <w:gridCol w:w="36"/>
        <w:gridCol w:w="36"/>
        <w:gridCol w:w="36"/>
        <w:gridCol w:w="120"/>
        <w:gridCol w:w="885"/>
        <w:gridCol w:w="36"/>
      </w:tblGrid>
      <w:tr w:rsidR="00000000">
        <w:trPr>
          <w:divId w:val="838931294"/>
        </w:trPr>
        <w:tc>
          <w:tcPr>
            <w:tcW w:w="50" w:type="pct"/>
            <w:vAlign w:val="center"/>
            <w:hideMark/>
          </w:tcPr>
          <w:p w:rsidR="00000000" w:rsidRDefault="00FF0345">
            <w:pPr>
              <w:ind w:firstLine="495"/>
              <w:rPr>
                <w:rFonts w:eastAsia="Times New Roman"/>
              </w:rPr>
            </w:pPr>
          </w:p>
        </w:tc>
        <w:tc>
          <w:tcPr>
            <w:tcW w:w="363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838931294"/>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83893129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Assets(1):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83893129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Property, net</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8,782,003 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8,721,551 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806,699 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774,583 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9,588,702 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Liabilities and partners' capital(1):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83893129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Mortgage and other notes payable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6,056,358 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5,942,478 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399,011 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397,483 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Company's capital</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1,693,844 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1,711,944 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Outside partners' capital</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1,439,489 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1,444,229 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liabilities and partners' capital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9,588,702 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9,496,134 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Investments in unconsolidated joint ventures: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83893129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Company's capital</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1,693,844 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1,711,944 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Basis adjustment(2)</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(457,992)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(479,678)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1,235,852 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Height w:val="300"/>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83893129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Assets—Investments in unconsolidated joint ventures</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1,365,369 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1,340,647 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Liabilities—</w:t>
            </w:r>
            <w:r>
              <w:rPr>
                <w:rFonts w:eastAsia="Times New Roman"/>
                <w:color w:val="000000"/>
                <w:sz w:val="20"/>
                <w:szCs w:val="20"/>
              </w:rPr>
              <w:t>Distributions in excess of investments in unconsolidated joint ventures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(129,517)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(108,381)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38931294"/>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1,235,852 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1,232,266 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FF0345">
            <w:pPr>
              <w:ind w:firstLine="495"/>
              <w:rPr>
                <w:rFonts w:eastAsia="Times New Roman"/>
              </w:rPr>
            </w:pPr>
          </w:p>
        </w:tc>
        <w:tc>
          <w:tcPr>
            <w:tcW w:w="14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67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01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ind w:hanging="450"/>
        <w:divId w:val="1886675943"/>
        <w:rPr>
          <w:rFonts w:eastAsia="Times New Roman"/>
        </w:rPr>
      </w:pPr>
      <w:r>
        <w:rPr>
          <w:rFonts w:eastAsia="Times New Roman"/>
          <w:color w:val="000000"/>
          <w:sz w:val="16"/>
          <w:szCs w:val="16"/>
        </w:rPr>
        <w:t xml:space="preserve">(1)     These amounts include assets of $2,804,711 and $2,857,757 </w:t>
      </w:r>
      <w:r>
        <w:rPr>
          <w:rFonts w:eastAsia="Times New Roman"/>
          <w:color w:val="000000"/>
          <w:sz w:val="16"/>
          <w:szCs w:val="16"/>
        </w:rPr>
        <w:t>of Pacific Premier Retail LLC (the "PPR Portfolio") as of September 30, 2021 and December 31, 2020, respectively, and liabilities of $1,671,469 and $1,687,042 of the PPR Portfolio as of September 30, 2021 and December 31, 2020, respectively.</w:t>
      </w:r>
    </w:p>
    <w:p w:rsidR="00000000" w:rsidRDefault="00FF0345">
      <w:pPr>
        <w:ind w:hanging="450"/>
        <w:divId w:val="1021398637"/>
        <w:rPr>
          <w:rFonts w:eastAsia="Times New Roman"/>
        </w:rPr>
      </w:pPr>
      <w:r>
        <w:rPr>
          <w:rFonts w:eastAsia="Times New Roman"/>
          <w:color w:val="000000"/>
          <w:sz w:val="16"/>
          <w:szCs w:val="16"/>
        </w:rPr>
        <w:t>(2)     The Co</w:t>
      </w:r>
      <w:r>
        <w:rPr>
          <w:rFonts w:eastAsia="Times New Roman"/>
          <w:color w:val="000000"/>
          <w:sz w:val="16"/>
          <w:szCs w:val="16"/>
        </w:rPr>
        <w:t>mpany amortizes the difference between the cost of its investments in unconsolidated joint ventures and the book value of the underlying equity into income on a straight-line basis consistent with the lives of the underlying assets. The amortization of thi</w:t>
      </w:r>
      <w:r>
        <w:rPr>
          <w:rFonts w:eastAsia="Times New Roman"/>
          <w:color w:val="000000"/>
          <w:sz w:val="16"/>
          <w:szCs w:val="16"/>
        </w:rPr>
        <w:t>s difference was $2,768 and $3,361 for the</w:t>
      </w:r>
      <w:r>
        <w:rPr>
          <w:rFonts w:eastAsia="Times New Roman"/>
          <w:color w:val="000000"/>
          <w:sz w:val="20"/>
          <w:szCs w:val="20"/>
        </w:rPr>
        <w:t xml:space="preserve"> </w:t>
      </w:r>
      <w:r>
        <w:rPr>
          <w:rFonts w:eastAsia="Times New Roman"/>
          <w:color w:val="000000"/>
          <w:sz w:val="16"/>
          <w:szCs w:val="16"/>
        </w:rPr>
        <w:t>three months ended September 30, 2021 and 2020, respectively, and $7,431 and $11,089 for the nine months ended September 30, 2021 and 2020, respectively.</w:t>
      </w:r>
    </w:p>
    <w:p w:rsidR="00000000" w:rsidRDefault="00FF0345">
      <w:pPr>
        <w:jc w:val="center"/>
        <w:divId w:val="1220744206"/>
        <w:rPr>
          <w:rFonts w:eastAsia="Times New Roman"/>
        </w:rPr>
      </w:pPr>
      <w:r>
        <w:rPr>
          <w:rFonts w:eastAsia="Times New Roman"/>
          <w:color w:val="000000"/>
          <w:sz w:val="20"/>
          <w:szCs w:val="20"/>
        </w:rPr>
        <w:t>13</w:t>
      </w:r>
    </w:p>
    <w:p w:rsidR="00000000" w:rsidRDefault="00FF0345">
      <w:pPr>
        <w:rPr>
          <w:rFonts w:eastAsia="Times New Roman"/>
        </w:rPr>
      </w:pPr>
      <w:r>
        <w:rPr>
          <w:rFonts w:eastAsia="Times New Roman"/>
        </w:rPr>
        <w:pict>
          <v:rect id="_x0000_i1037" style="width:0;height:1.5pt" o:hralign="center" o:hrstd="t" o:hr="t" fillcolor="#a0a0a0" stroked="f"/>
        </w:pict>
      </w:r>
    </w:p>
    <w:p w:rsidR="00000000" w:rsidRDefault="00FF0345">
      <w:pPr>
        <w:jc w:val="center"/>
        <w:divId w:val="184950351"/>
        <w:rPr>
          <w:rFonts w:eastAsia="Times New Roman"/>
        </w:rPr>
      </w:pPr>
      <w:r>
        <w:rPr>
          <w:rFonts w:eastAsia="Times New Roman"/>
          <w:b/>
          <w:bCs/>
          <w:color w:val="000000"/>
          <w:sz w:val="20"/>
          <w:szCs w:val="20"/>
        </w:rPr>
        <w:t>THE MACERICH COMPANY</w:t>
      </w:r>
    </w:p>
    <w:p w:rsidR="00000000" w:rsidRDefault="00FF0345">
      <w:pPr>
        <w:jc w:val="center"/>
        <w:divId w:val="1102341098"/>
        <w:rPr>
          <w:rFonts w:eastAsia="Times New Roman"/>
        </w:rPr>
      </w:pPr>
      <w:r>
        <w:rPr>
          <w:rFonts w:eastAsia="Times New Roman"/>
          <w:b/>
          <w:bCs/>
          <w:color w:val="000000"/>
          <w:sz w:val="20"/>
          <w:szCs w:val="20"/>
        </w:rPr>
        <w:t>NOTES TO CONSOLIDATED FINANCIAL STATEMENTS (Continued)</w:t>
      </w:r>
    </w:p>
    <w:p w:rsidR="00000000" w:rsidRDefault="00FF0345">
      <w:pPr>
        <w:jc w:val="center"/>
        <w:divId w:val="497814747"/>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196432073"/>
        <w:rPr>
          <w:rFonts w:eastAsia="Times New Roman"/>
        </w:rPr>
      </w:pPr>
      <w:r>
        <w:rPr>
          <w:rFonts w:eastAsia="Times New Roman"/>
          <w:b/>
          <w:bCs/>
          <w:color w:val="000000"/>
          <w:sz w:val="20"/>
          <w:szCs w:val="20"/>
        </w:rPr>
        <w:t>(Unaudited)</w:t>
      </w:r>
    </w:p>
    <w:p w:rsidR="00000000" w:rsidRDefault="00FF0345">
      <w:pPr>
        <w:divId w:val="506791060"/>
        <w:rPr>
          <w:rFonts w:eastAsia="Times New Roman"/>
        </w:rPr>
      </w:pPr>
      <w:r>
        <w:rPr>
          <w:rFonts w:eastAsia="Times New Roman"/>
          <w:b/>
          <w:bCs/>
          <w:color w:val="000000"/>
          <w:sz w:val="20"/>
          <w:szCs w:val="20"/>
        </w:rPr>
        <w:t>4. Investments in Unconsolidated Joint Ventures: (Continued)</w:t>
      </w:r>
    </w:p>
    <w:p w:rsidR="00000000" w:rsidRDefault="00FF0345">
      <w:pPr>
        <w:ind w:firstLine="495"/>
        <w:divId w:val="872037294"/>
        <w:rPr>
          <w:rFonts w:eastAsia="Times New Roman"/>
        </w:rPr>
      </w:pPr>
      <w:r>
        <w:rPr>
          <w:rFonts w:eastAsia="Times New Roman"/>
          <w:b/>
          <w:bCs/>
          <w:color w:val="000000"/>
          <w:sz w:val="20"/>
          <w:szCs w:val="20"/>
        </w:rPr>
        <w:t>Combined and Condensed Statements of Operations of Unconsolida</w:t>
      </w:r>
      <w:r>
        <w:rPr>
          <w:rFonts w:eastAsia="Times New Roman"/>
          <w:b/>
          <w:bCs/>
          <w:color w:val="000000"/>
          <w:sz w:val="20"/>
          <w:szCs w:val="20"/>
        </w:rPr>
        <w:t>ted Joint Ventures:</w:t>
      </w:r>
    </w:p>
    <w:p w:rsidR="00000000" w:rsidRDefault="00FF0345">
      <w:pPr>
        <w:ind w:firstLine="495"/>
        <w:divId w:val="403842877"/>
        <w:rPr>
          <w:rFonts w:eastAsia="Times New Roman"/>
        </w:rPr>
      </w:pPr>
    </w:p>
    <w:tbl>
      <w:tblPr>
        <w:tblW w:w="4320" w:type="pct"/>
        <w:tblCellMar>
          <w:top w:w="15" w:type="dxa"/>
          <w:left w:w="15" w:type="dxa"/>
          <w:bottom w:w="15" w:type="dxa"/>
          <w:right w:w="15" w:type="dxa"/>
        </w:tblCellMar>
        <w:tblLook w:val="04A0" w:firstRow="1" w:lastRow="0" w:firstColumn="1" w:lastColumn="0" w:noHBand="0" w:noVBand="1"/>
      </w:tblPr>
      <w:tblGrid>
        <w:gridCol w:w="39"/>
        <w:gridCol w:w="3733"/>
        <w:gridCol w:w="38"/>
        <w:gridCol w:w="120"/>
        <w:gridCol w:w="923"/>
        <w:gridCol w:w="36"/>
        <w:gridCol w:w="36"/>
        <w:gridCol w:w="36"/>
        <w:gridCol w:w="36"/>
        <w:gridCol w:w="120"/>
        <w:gridCol w:w="879"/>
        <w:gridCol w:w="36"/>
        <w:gridCol w:w="36"/>
        <w:gridCol w:w="36"/>
        <w:gridCol w:w="36"/>
        <w:gridCol w:w="120"/>
        <w:gridCol w:w="880"/>
        <w:gridCol w:w="36"/>
      </w:tblGrid>
      <w:tr w:rsidR="00000000">
        <w:trPr>
          <w:divId w:val="1392314537"/>
        </w:trPr>
        <w:tc>
          <w:tcPr>
            <w:tcW w:w="50" w:type="pct"/>
            <w:vAlign w:val="center"/>
            <w:hideMark/>
          </w:tcPr>
          <w:p w:rsidR="00000000" w:rsidRDefault="00FF0345">
            <w:pPr>
              <w:ind w:firstLine="495"/>
              <w:rPr>
                <w:rFonts w:eastAsia="Times New Roman"/>
              </w:rPr>
            </w:pPr>
          </w:p>
        </w:tc>
        <w:tc>
          <w:tcPr>
            <w:tcW w:w="265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392314537"/>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Total</w:t>
            </w:r>
          </w:p>
        </w:tc>
      </w:tr>
      <w:tr w:rsidR="00000000">
        <w:trPr>
          <w:divId w:val="139231453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i/>
                <w:iCs/>
                <w:color w:val="000000"/>
                <w:sz w:val="20"/>
                <w:szCs w:val="20"/>
              </w:rPr>
              <w:t>Three Months Ended September 30,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39231453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44,304 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160,044 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204,348 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6,658 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6,672 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44,318 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166,702 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211,020 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39231453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10,078 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67,627 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77,705 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963 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1,295 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15,801 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36,483 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52,284 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24,154 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61,734 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85,888 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50,365 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166,807 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217,172 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39231453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(6,047)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(5,390)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(1,390)</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i/>
                <w:iCs/>
                <w:color w:val="000000"/>
                <w:sz w:val="20"/>
                <w:szCs w:val="20"/>
              </w:rPr>
              <w:t>Three Months Ended September 30, 2020</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39231453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36,043 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155,133 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191,176 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5,671 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5,928 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160,804 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197,104 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39231453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9,678 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61,457 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71,135 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877 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16,267 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37,805 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54,072 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24,819 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73,884 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98,703 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51,030 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174,023 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225,053 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(Loss) 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39231453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w:t>
            </w:r>
            <w:r>
              <w:rPr>
                <w:rFonts w:eastAsia="Times New Roman"/>
                <w:color w:val="000000"/>
                <w:sz w:val="20"/>
                <w:szCs w:val="20"/>
              </w:rPr>
              <w:t>13,215)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(28,065)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3923145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(6,511)</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(6,002)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(12,513)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1312171931"/>
        <w:rPr>
          <w:rFonts w:eastAsia="Times New Roman"/>
        </w:rPr>
      </w:pPr>
    </w:p>
    <w:p w:rsidR="00000000" w:rsidRDefault="00FF0345">
      <w:pPr>
        <w:ind w:firstLine="495"/>
        <w:divId w:val="1988779448"/>
        <w:rPr>
          <w:rFonts w:eastAsia="Times New Roman"/>
        </w:rPr>
      </w:pPr>
    </w:p>
    <w:p w:rsidR="00000000" w:rsidRDefault="00FF0345">
      <w:pPr>
        <w:jc w:val="center"/>
        <w:divId w:val="2114668324"/>
        <w:rPr>
          <w:rFonts w:eastAsia="Times New Roman"/>
        </w:rPr>
      </w:pPr>
      <w:r>
        <w:rPr>
          <w:rFonts w:eastAsia="Times New Roman"/>
          <w:color w:val="000000"/>
          <w:sz w:val="20"/>
          <w:szCs w:val="20"/>
        </w:rPr>
        <w:t>14</w:t>
      </w:r>
    </w:p>
    <w:p w:rsidR="00000000" w:rsidRDefault="00FF0345">
      <w:pPr>
        <w:rPr>
          <w:rFonts w:eastAsia="Times New Roman"/>
        </w:rPr>
      </w:pPr>
      <w:r>
        <w:rPr>
          <w:rFonts w:eastAsia="Times New Roman"/>
        </w:rPr>
        <w:pict>
          <v:rect id="_x0000_i1038" style="width:0;height:1.5pt" o:hralign="center" o:hrstd="t" o:hr="t" fillcolor="#a0a0a0" stroked="f"/>
        </w:pict>
      </w:r>
    </w:p>
    <w:p w:rsidR="00000000" w:rsidRDefault="00FF0345">
      <w:pPr>
        <w:divId w:val="1705713087"/>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980037058"/>
        <w:rPr>
          <w:rFonts w:eastAsia="Times New Roman"/>
        </w:rPr>
      </w:pPr>
      <w:r>
        <w:rPr>
          <w:rFonts w:eastAsia="Times New Roman"/>
          <w:b/>
          <w:bCs/>
          <w:color w:val="000000"/>
          <w:sz w:val="20"/>
          <w:szCs w:val="20"/>
        </w:rPr>
        <w:t>THE MACERICH COMPANY</w:t>
      </w:r>
    </w:p>
    <w:p w:rsidR="00000000" w:rsidRDefault="00FF0345">
      <w:pPr>
        <w:jc w:val="center"/>
        <w:divId w:val="2130392122"/>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 (Continued)</w:t>
      </w:r>
    </w:p>
    <w:p w:rsidR="00000000" w:rsidRDefault="00FF0345">
      <w:pPr>
        <w:jc w:val="center"/>
        <w:divId w:val="843783294"/>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543911369"/>
        <w:rPr>
          <w:rFonts w:eastAsia="Times New Roman"/>
        </w:rPr>
      </w:pPr>
      <w:r>
        <w:rPr>
          <w:rFonts w:eastAsia="Times New Roman"/>
          <w:b/>
          <w:bCs/>
          <w:color w:val="000000"/>
          <w:sz w:val="20"/>
          <w:szCs w:val="20"/>
        </w:rPr>
        <w:t>(Unaudited)</w:t>
      </w:r>
    </w:p>
    <w:p w:rsidR="00000000" w:rsidRDefault="00FF0345">
      <w:pPr>
        <w:divId w:val="1922174841"/>
        <w:rPr>
          <w:rFonts w:eastAsia="Times New Roman"/>
        </w:rPr>
      </w:pPr>
      <w:r>
        <w:rPr>
          <w:rFonts w:eastAsia="Times New Roman"/>
          <w:b/>
          <w:bCs/>
          <w:color w:val="000000"/>
          <w:sz w:val="20"/>
          <w:szCs w:val="20"/>
        </w:rPr>
        <w:t>4. Investments in Unconsolidated Joint Ventures: (Continued)</w:t>
      </w:r>
    </w:p>
    <w:tbl>
      <w:tblPr>
        <w:tblW w:w="4320" w:type="pct"/>
        <w:jc w:val="center"/>
        <w:tblCellMar>
          <w:top w:w="15" w:type="dxa"/>
          <w:left w:w="15" w:type="dxa"/>
          <w:bottom w:w="15" w:type="dxa"/>
          <w:right w:w="15" w:type="dxa"/>
        </w:tblCellMar>
        <w:tblLook w:val="04A0" w:firstRow="1" w:lastRow="0" w:firstColumn="1" w:lastColumn="0" w:noHBand="0" w:noVBand="1"/>
      </w:tblPr>
      <w:tblGrid>
        <w:gridCol w:w="39"/>
        <w:gridCol w:w="3733"/>
        <w:gridCol w:w="38"/>
        <w:gridCol w:w="120"/>
        <w:gridCol w:w="923"/>
        <w:gridCol w:w="36"/>
        <w:gridCol w:w="36"/>
        <w:gridCol w:w="36"/>
        <w:gridCol w:w="36"/>
        <w:gridCol w:w="120"/>
        <w:gridCol w:w="879"/>
        <w:gridCol w:w="36"/>
        <w:gridCol w:w="36"/>
        <w:gridCol w:w="36"/>
        <w:gridCol w:w="36"/>
        <w:gridCol w:w="120"/>
        <w:gridCol w:w="880"/>
        <w:gridCol w:w="36"/>
      </w:tblGrid>
      <w:tr w:rsidR="00000000">
        <w:trPr>
          <w:jc w:val="center"/>
        </w:trPr>
        <w:tc>
          <w:tcPr>
            <w:tcW w:w="50" w:type="pct"/>
            <w:vAlign w:val="center"/>
            <w:hideMark/>
          </w:tcPr>
          <w:p w:rsidR="00000000" w:rsidRDefault="00FF0345">
            <w:pPr>
              <w:rPr>
                <w:rFonts w:eastAsia="Times New Roman"/>
              </w:rPr>
            </w:pPr>
          </w:p>
        </w:tc>
        <w:tc>
          <w:tcPr>
            <w:tcW w:w="265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PPR Portfolio</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Other</w:t>
            </w:r>
            <w:r>
              <w:rPr>
                <w:rFonts w:eastAsia="Times New Roman"/>
                <w:b/>
                <w:bCs/>
                <w:color w:val="000000"/>
                <w:sz w:val="16"/>
                <w:szCs w:val="16"/>
              </w:rPr>
              <w:br/>
              <w:t>Joint</w:t>
            </w:r>
            <w:r>
              <w:rPr>
                <w:rFonts w:eastAsia="Times New Roman"/>
                <w:b/>
                <w:bCs/>
                <w:color w:val="000000"/>
                <w:sz w:val="16"/>
                <w:szCs w:val="16"/>
              </w:rPr>
              <w:br/>
              <w:t>Ventures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i/>
                <w:iCs/>
                <w:color w:val="000000"/>
                <w:sz w:val="20"/>
                <w:szCs w:val="20"/>
              </w:rPr>
              <w:t>Nine Months Ended September 30,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122,311 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459,826 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582,137 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56,508 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56,652 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122,455 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516,334 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638,789 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29,339 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183,013 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212,352 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1,106 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3,423 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4,529 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47,438 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110,586 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158,024 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73,042 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192,149 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265,191 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150,925 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489,171 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640,096 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Gain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(loss)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(28,470)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27,744 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Company's equity in net (loss) income</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(10,269)</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30,481 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20,212 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i/>
                <w:iCs/>
                <w:color w:val="000000"/>
                <w:sz w:val="20"/>
                <w:szCs w:val="20"/>
              </w:rPr>
              <w:t>Nine Months Ended September 30, 2020</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revenue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133,226 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466,830 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600,056 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559 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12,162 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12,721 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133,785 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478,992 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612,777 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Expenses: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Shopping center and operating expenses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27,562 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176,119 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203,681 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expenses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1,031 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3,002 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4,033 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48,724 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112,736 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161,460 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78,000 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208,341 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286,341 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155,317 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500,198 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655,515 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Loss on sale or write down of assets, net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(21,652)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(21,215)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(42,867)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Company's equity in net loss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(5,510)</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(11,478)</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(16,988)</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hanging="450"/>
        <w:divId w:val="750347727"/>
        <w:rPr>
          <w:rFonts w:eastAsia="Times New Roman"/>
        </w:rPr>
      </w:pPr>
    </w:p>
    <w:p w:rsidR="00000000" w:rsidRDefault="00FF0345">
      <w:pPr>
        <w:ind w:firstLine="495"/>
        <w:divId w:val="1437822860"/>
        <w:rPr>
          <w:rFonts w:eastAsia="Times New Roman"/>
        </w:rPr>
      </w:pPr>
      <w:r>
        <w:rPr>
          <w:rFonts w:eastAsia="Times New Roman"/>
          <w:color w:val="000000"/>
          <w:sz w:val="20"/>
          <w:szCs w:val="20"/>
        </w:rPr>
        <w:t>Significant accounting policies used by the unconsolidated joint ventures are similar to those used by the Company.</w:t>
      </w:r>
    </w:p>
    <w:p w:rsidR="00000000" w:rsidRDefault="00FF0345">
      <w:pPr>
        <w:ind w:firstLine="495"/>
        <w:divId w:val="10572161"/>
        <w:rPr>
          <w:rFonts w:eastAsia="Times New Roman"/>
        </w:rPr>
      </w:pPr>
    </w:p>
    <w:p w:rsidR="00000000" w:rsidRDefault="00FF0345">
      <w:pPr>
        <w:jc w:val="center"/>
        <w:divId w:val="1884828491"/>
        <w:rPr>
          <w:rFonts w:eastAsia="Times New Roman"/>
        </w:rPr>
      </w:pPr>
      <w:r>
        <w:rPr>
          <w:rFonts w:eastAsia="Times New Roman"/>
          <w:color w:val="000000"/>
          <w:sz w:val="20"/>
          <w:szCs w:val="20"/>
        </w:rPr>
        <w:t>15</w:t>
      </w:r>
    </w:p>
    <w:p w:rsidR="00000000" w:rsidRDefault="00FF0345">
      <w:pPr>
        <w:rPr>
          <w:rFonts w:eastAsia="Times New Roman"/>
        </w:rPr>
      </w:pPr>
      <w:r>
        <w:rPr>
          <w:rFonts w:eastAsia="Times New Roman"/>
        </w:rPr>
        <w:pict>
          <v:rect id="_x0000_i1039" style="width:0;height:1.5pt" o:hralign="center" o:hrstd="t" o:hr="t" fillcolor="#a0a0a0" stroked="f"/>
        </w:pict>
      </w:r>
    </w:p>
    <w:p w:rsidR="00000000" w:rsidRDefault="00FF0345">
      <w:pPr>
        <w:divId w:val="1474324287"/>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953397254"/>
        <w:rPr>
          <w:rFonts w:eastAsia="Times New Roman"/>
        </w:rPr>
      </w:pPr>
      <w:r>
        <w:rPr>
          <w:rFonts w:eastAsia="Times New Roman"/>
          <w:b/>
          <w:bCs/>
          <w:color w:val="000000"/>
          <w:sz w:val="20"/>
          <w:szCs w:val="20"/>
        </w:rPr>
        <w:t>THE MACERICH COMPANY</w:t>
      </w:r>
    </w:p>
    <w:p w:rsidR="00000000" w:rsidRDefault="00FF0345">
      <w:pPr>
        <w:jc w:val="center"/>
        <w:divId w:val="1954171148"/>
        <w:rPr>
          <w:rFonts w:eastAsia="Times New Roman"/>
        </w:rPr>
      </w:pPr>
      <w:r>
        <w:rPr>
          <w:rFonts w:eastAsia="Times New Roman"/>
          <w:b/>
          <w:bCs/>
          <w:color w:val="000000"/>
          <w:sz w:val="20"/>
          <w:szCs w:val="20"/>
        </w:rPr>
        <w:t>NOTES TO CONSOLIDATED FINANCIAL STATEMENTS (Continued)</w:t>
      </w:r>
    </w:p>
    <w:p w:rsidR="00000000" w:rsidRDefault="00FF0345">
      <w:pPr>
        <w:jc w:val="center"/>
        <w:divId w:val="1955357603"/>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2126925150"/>
        <w:rPr>
          <w:rFonts w:eastAsia="Times New Roman"/>
        </w:rPr>
      </w:pPr>
      <w:r>
        <w:rPr>
          <w:rFonts w:eastAsia="Times New Roman"/>
          <w:b/>
          <w:bCs/>
          <w:color w:val="000000"/>
          <w:sz w:val="20"/>
          <w:szCs w:val="20"/>
        </w:rPr>
        <w:t>(Unaudited)</w:t>
      </w:r>
    </w:p>
    <w:p w:rsidR="00000000" w:rsidRDefault="00FF0345">
      <w:pPr>
        <w:divId w:val="2031711090"/>
        <w:rPr>
          <w:rFonts w:eastAsia="Times New Roman"/>
        </w:rPr>
      </w:pPr>
      <w:r>
        <w:rPr>
          <w:rFonts w:eastAsia="Times New Roman"/>
          <w:b/>
          <w:bCs/>
          <w:color w:val="000000"/>
          <w:sz w:val="20"/>
          <w:szCs w:val="20"/>
        </w:rPr>
        <w:t>5. Derivative I</w:t>
      </w:r>
      <w:r>
        <w:rPr>
          <w:rFonts w:eastAsia="Times New Roman"/>
          <w:b/>
          <w:bCs/>
          <w:color w:val="000000"/>
          <w:sz w:val="20"/>
          <w:szCs w:val="20"/>
        </w:rPr>
        <w:t>nstruments and Hedging Activities:</w:t>
      </w:r>
    </w:p>
    <w:p w:rsidR="00000000" w:rsidRDefault="00FF0345">
      <w:pPr>
        <w:ind w:firstLine="495"/>
        <w:divId w:val="203179091"/>
        <w:rPr>
          <w:rFonts w:eastAsia="Times New Roman"/>
        </w:rPr>
      </w:pPr>
      <w:r>
        <w:rPr>
          <w:rFonts w:eastAsia="Times New Roman"/>
          <w:color w:val="000000"/>
          <w:sz w:val="20"/>
          <w:szCs w:val="20"/>
        </w:rPr>
        <w:t>The Company uses an interest rate cap and four interest rate swap agreements to manage the interest rate risk of its floating rate debt. The Company recorded other comprehensive income (loss) related to the marking-to-mar</w:t>
      </w:r>
      <w:r>
        <w:rPr>
          <w:rFonts w:eastAsia="Times New Roman"/>
          <w:color w:val="000000"/>
          <w:sz w:val="20"/>
          <w:szCs w:val="20"/>
        </w:rPr>
        <w:t xml:space="preserve">ket of derivative instruments of $2,775 and $2,812 for the three months ended September 30, 2021 and 2020, respectively, and $8,208 and $(1,838) for the nine months ended September 30, 2021 and 2020, respectively. </w:t>
      </w:r>
    </w:p>
    <w:p w:rsidR="00000000" w:rsidRDefault="00FF0345">
      <w:pPr>
        <w:ind w:firstLine="495"/>
        <w:divId w:val="1613393805"/>
        <w:rPr>
          <w:rFonts w:eastAsia="Times New Roman"/>
        </w:rPr>
      </w:pPr>
      <w:r>
        <w:rPr>
          <w:rFonts w:eastAsia="Times New Roman"/>
          <w:color w:val="000000"/>
          <w:sz w:val="20"/>
          <w:szCs w:val="20"/>
        </w:rPr>
        <w:t>The following derivatives were outstandin</w:t>
      </w:r>
      <w:r>
        <w:rPr>
          <w:rFonts w:eastAsia="Times New Roman"/>
          <w:color w:val="000000"/>
          <w:sz w:val="20"/>
          <w:szCs w:val="20"/>
        </w:rPr>
        <w:t>g at September 30, 2021:</w:t>
      </w:r>
    </w:p>
    <w:tbl>
      <w:tblPr>
        <w:tblW w:w="4261" w:type="pct"/>
        <w:tblCellMar>
          <w:top w:w="15" w:type="dxa"/>
          <w:left w:w="15" w:type="dxa"/>
          <w:bottom w:w="15" w:type="dxa"/>
          <w:right w:w="15" w:type="dxa"/>
        </w:tblCellMar>
        <w:tblLook w:val="04A0" w:firstRow="1" w:lastRow="0" w:firstColumn="1" w:lastColumn="0" w:noHBand="0" w:noVBand="1"/>
      </w:tblPr>
      <w:tblGrid>
        <w:gridCol w:w="38"/>
        <w:gridCol w:w="1678"/>
        <w:gridCol w:w="37"/>
        <w:gridCol w:w="36"/>
        <w:gridCol w:w="36"/>
        <w:gridCol w:w="36"/>
        <w:gridCol w:w="110"/>
        <w:gridCol w:w="711"/>
        <w:gridCol w:w="36"/>
        <w:gridCol w:w="36"/>
        <w:gridCol w:w="36"/>
        <w:gridCol w:w="36"/>
        <w:gridCol w:w="71"/>
        <w:gridCol w:w="514"/>
        <w:gridCol w:w="36"/>
        <w:gridCol w:w="36"/>
        <w:gridCol w:w="36"/>
        <w:gridCol w:w="36"/>
        <w:gridCol w:w="55"/>
        <w:gridCol w:w="496"/>
        <w:gridCol w:w="170"/>
        <w:gridCol w:w="36"/>
        <w:gridCol w:w="36"/>
        <w:gridCol w:w="36"/>
        <w:gridCol w:w="79"/>
        <w:gridCol w:w="685"/>
        <w:gridCol w:w="36"/>
        <w:gridCol w:w="36"/>
        <w:gridCol w:w="36"/>
        <w:gridCol w:w="36"/>
        <w:gridCol w:w="111"/>
        <w:gridCol w:w="713"/>
        <w:gridCol w:w="36"/>
        <w:gridCol w:w="36"/>
        <w:gridCol w:w="36"/>
        <w:gridCol w:w="36"/>
        <w:gridCol w:w="111"/>
        <w:gridCol w:w="671"/>
        <w:gridCol w:w="36"/>
      </w:tblGrid>
      <w:tr w:rsidR="00000000">
        <w:trPr>
          <w:divId w:val="1613393805"/>
        </w:trPr>
        <w:tc>
          <w:tcPr>
            <w:tcW w:w="50" w:type="pct"/>
            <w:vAlign w:val="center"/>
            <w:hideMark/>
          </w:tcPr>
          <w:p w:rsidR="00000000" w:rsidRDefault="00FF0345">
            <w:pPr>
              <w:ind w:firstLine="495"/>
              <w:rPr>
                <w:rFonts w:eastAsia="Times New Roman"/>
              </w:rPr>
            </w:pPr>
          </w:p>
        </w:tc>
        <w:tc>
          <w:tcPr>
            <w:tcW w:w="129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0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6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9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9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613393805"/>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Fair Value</w:t>
            </w:r>
          </w:p>
        </w:tc>
      </w:tr>
      <w:tr w:rsidR="00000000">
        <w:trPr>
          <w:divId w:val="1613393805"/>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Property</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Product</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LIBOR Rate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Maturity</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61339380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Santa Monica Place(1)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Cap</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8"/>
                <w:szCs w:val="18"/>
              </w:rPr>
              <w:t>12/9/2021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613393805"/>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The Macerich Partnership, L.P.(1)</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400,000 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Swaps</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8"/>
                <w:szCs w:val="18"/>
              </w:rPr>
              <w:t>9/30/2021</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(8,208)</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hanging="450"/>
        <w:divId w:val="660699464"/>
        <w:rPr>
          <w:rFonts w:eastAsia="Times New Roman"/>
        </w:rPr>
      </w:pPr>
      <w:r>
        <w:rPr>
          <w:rFonts w:eastAsia="Times New Roman"/>
          <w:color w:val="000000"/>
          <w:sz w:val="16"/>
          <w:szCs w:val="16"/>
        </w:rPr>
        <w:t xml:space="preserve">(1)     On April 14, 2021, the Company entered into a new credit facility to replace the existing credit facility (See Note 11 - Bank and Other Notes Payable). </w:t>
      </w:r>
      <w:r>
        <w:rPr>
          <w:rFonts w:eastAsia="Times New Roman"/>
          <w:color w:val="000000"/>
          <w:sz w:val="16"/>
          <w:szCs w:val="16"/>
        </w:rPr>
        <w:t>Concurrent with entering into the new credit facility, the Company de-designated the Santa Monica Place $300,000 interest rate cap. As a result of the new credit facility and the Santa Monica Place cap de-designation, the notional amounts of the swaps that</w:t>
      </w:r>
      <w:r>
        <w:rPr>
          <w:rFonts w:eastAsia="Times New Roman"/>
          <w:color w:val="000000"/>
          <w:sz w:val="16"/>
          <w:szCs w:val="16"/>
        </w:rPr>
        <w:t xml:space="preserve"> were previously hedged against the Company’s prior revolving line of credit are now hedged against the Santa Monica Place floating rate debt and a portion of the Green Acres Commons floating rate debt effectively converting the Santa Monica Place loan and</w:t>
      </w:r>
      <w:r>
        <w:rPr>
          <w:rFonts w:eastAsia="Times New Roman"/>
          <w:color w:val="000000"/>
          <w:sz w:val="16"/>
          <w:szCs w:val="16"/>
        </w:rPr>
        <w:t xml:space="preserve"> a majority of the Green Acres Commons loan to fixed rate debt through September 30, 2021. The Company did not renew the swaps that expired on September 30, 2021 and, as a result, on October 1, 2021, these loans reverted back to floating interest rate loan</w:t>
      </w:r>
      <w:r>
        <w:rPr>
          <w:rFonts w:eastAsia="Times New Roman"/>
          <w:color w:val="000000"/>
          <w:sz w:val="16"/>
          <w:szCs w:val="16"/>
        </w:rPr>
        <w:t xml:space="preserve">s (See Note 10 – Mortgage Payable). </w:t>
      </w:r>
    </w:p>
    <w:p w:rsidR="00000000" w:rsidRDefault="00FF0345">
      <w:pPr>
        <w:ind w:firstLine="495"/>
        <w:divId w:val="1742950265"/>
        <w:rPr>
          <w:rFonts w:eastAsia="Times New Roman"/>
        </w:rPr>
      </w:pPr>
      <w:r>
        <w:rPr>
          <w:rFonts w:eastAsia="Times New Roman"/>
          <w:color w:val="000000"/>
          <w:sz w:val="20"/>
          <w:szCs w:val="20"/>
        </w:rPr>
        <w:t>The above derivatives were valued with an aggregate fair value (Level 2 measurement) and were included in other accrued liabilities. The fair value of the Company's interest rate derivatives was determined using discoun</w:t>
      </w:r>
      <w:r>
        <w:rPr>
          <w:rFonts w:eastAsia="Times New Roman"/>
          <w:color w:val="000000"/>
          <w:sz w:val="20"/>
          <w:szCs w:val="20"/>
        </w:rPr>
        <w:t>ted cash flow analysis on the expected cash flows of each derivative. This analysis reflects the contractual terms of the derivatives, including the period to maturity, and uses observable market-based inputs, including interest rate curves and implied vol</w:t>
      </w:r>
      <w:r>
        <w:rPr>
          <w:rFonts w:eastAsia="Times New Roman"/>
          <w:color w:val="000000"/>
          <w:sz w:val="20"/>
          <w:szCs w:val="20"/>
        </w:rPr>
        <w:t>atilities. The Company incorporates credit valuation adjustments to appropriately reflect both its own nonperformance risk and the respective counterparty's nonperformance risk in the fair value measurements.</w:t>
      </w:r>
    </w:p>
    <w:p w:rsidR="00000000" w:rsidRDefault="00FF0345">
      <w:pPr>
        <w:ind w:firstLine="495"/>
        <w:divId w:val="1846825393"/>
        <w:rPr>
          <w:rFonts w:eastAsia="Times New Roman"/>
        </w:rPr>
      </w:pPr>
      <w:r>
        <w:rPr>
          <w:rFonts w:eastAsia="Times New Roman"/>
          <w:color w:val="000000"/>
          <w:sz w:val="20"/>
          <w:szCs w:val="20"/>
        </w:rPr>
        <w:t>Although the Company has determined that the majority of the inputs used to value its derivatives fall within Level 2 of the fair value hierarchy, the credit valuation adjustments associated with its derivatives utilize Level 3 inputs, such as estimates of</w:t>
      </w:r>
      <w:r>
        <w:rPr>
          <w:rFonts w:eastAsia="Times New Roman"/>
          <w:color w:val="000000"/>
          <w:sz w:val="20"/>
          <w:szCs w:val="20"/>
        </w:rPr>
        <w:t xml:space="preserve"> current credit spreads, to evaluate the likelihood of default by the Company and its counterparties. The Company has assessed the significance of the impact of the credit valuation adjustments on the overall valuation of its derivative positions and has d</w:t>
      </w:r>
      <w:r>
        <w:rPr>
          <w:rFonts w:eastAsia="Times New Roman"/>
          <w:color w:val="000000"/>
          <w:sz w:val="20"/>
          <w:szCs w:val="20"/>
        </w:rPr>
        <w:t>etermined that the credit valuation adjustments are not significant to the overall valuation of its interest rate swap. As a result, the Company determined that its interest rate cap and swap valuations in their entirety are classified in Level 2 of the fa</w:t>
      </w:r>
      <w:r>
        <w:rPr>
          <w:rFonts w:eastAsia="Times New Roman"/>
          <w:color w:val="000000"/>
          <w:sz w:val="20"/>
          <w:szCs w:val="20"/>
        </w:rPr>
        <w:t>ir value hierarchy.</w:t>
      </w:r>
    </w:p>
    <w:p w:rsidR="00000000" w:rsidRDefault="00FF0345">
      <w:pPr>
        <w:divId w:val="201090491"/>
        <w:rPr>
          <w:rFonts w:eastAsia="Times New Roman"/>
        </w:rPr>
      </w:pPr>
    </w:p>
    <w:p w:rsidR="00000000" w:rsidRDefault="00FF0345">
      <w:pPr>
        <w:divId w:val="1665085580"/>
        <w:rPr>
          <w:rFonts w:eastAsia="Times New Roman"/>
        </w:rPr>
      </w:pPr>
    </w:p>
    <w:p w:rsidR="00000000" w:rsidRDefault="00FF0345">
      <w:pPr>
        <w:divId w:val="1852452844"/>
        <w:rPr>
          <w:rFonts w:eastAsia="Times New Roman"/>
        </w:rPr>
      </w:pPr>
    </w:p>
    <w:p w:rsidR="00000000" w:rsidRDefault="00FF0345">
      <w:pPr>
        <w:divId w:val="2029133432"/>
        <w:rPr>
          <w:rFonts w:eastAsia="Times New Roman"/>
        </w:rPr>
      </w:pPr>
    </w:p>
    <w:p w:rsidR="00000000" w:rsidRDefault="00FF0345">
      <w:pPr>
        <w:divId w:val="1969504661"/>
        <w:rPr>
          <w:rFonts w:eastAsia="Times New Roman"/>
        </w:rPr>
      </w:pPr>
    </w:p>
    <w:p w:rsidR="00000000" w:rsidRDefault="00FF0345">
      <w:pPr>
        <w:divId w:val="160853988"/>
        <w:rPr>
          <w:rFonts w:eastAsia="Times New Roman"/>
        </w:rPr>
      </w:pPr>
    </w:p>
    <w:p w:rsidR="00000000" w:rsidRDefault="00FF0345">
      <w:pPr>
        <w:divId w:val="554661477"/>
        <w:rPr>
          <w:rFonts w:eastAsia="Times New Roman"/>
        </w:rPr>
      </w:pPr>
    </w:p>
    <w:p w:rsidR="00000000" w:rsidRDefault="00FF0345">
      <w:pPr>
        <w:divId w:val="619191231"/>
        <w:rPr>
          <w:rFonts w:eastAsia="Times New Roman"/>
        </w:rPr>
      </w:pPr>
    </w:p>
    <w:p w:rsidR="00000000" w:rsidRDefault="00FF0345">
      <w:pPr>
        <w:divId w:val="148375443"/>
        <w:rPr>
          <w:rFonts w:eastAsia="Times New Roman"/>
        </w:rPr>
      </w:pPr>
    </w:p>
    <w:p w:rsidR="00000000" w:rsidRDefault="00FF0345">
      <w:pPr>
        <w:divId w:val="361706799"/>
        <w:rPr>
          <w:rFonts w:eastAsia="Times New Roman"/>
        </w:rPr>
      </w:pPr>
    </w:p>
    <w:p w:rsidR="00000000" w:rsidRDefault="00FF0345">
      <w:pPr>
        <w:jc w:val="center"/>
        <w:divId w:val="1664506410"/>
        <w:rPr>
          <w:rFonts w:eastAsia="Times New Roman"/>
        </w:rPr>
      </w:pPr>
      <w:r>
        <w:rPr>
          <w:rFonts w:eastAsia="Times New Roman"/>
          <w:color w:val="000000"/>
          <w:sz w:val="20"/>
          <w:szCs w:val="20"/>
        </w:rPr>
        <w:t>16</w:t>
      </w:r>
    </w:p>
    <w:p w:rsidR="00000000" w:rsidRDefault="00FF0345">
      <w:pPr>
        <w:rPr>
          <w:rFonts w:eastAsia="Times New Roman"/>
        </w:rPr>
      </w:pPr>
      <w:r>
        <w:rPr>
          <w:rFonts w:eastAsia="Times New Roman"/>
        </w:rPr>
        <w:pict>
          <v:rect id="_x0000_i1040" style="width:0;height:1.5pt" o:hralign="center" o:hrstd="t" o:hr="t" fillcolor="#a0a0a0" stroked="f"/>
        </w:pict>
      </w:r>
    </w:p>
    <w:p w:rsidR="00000000" w:rsidRDefault="00FF0345">
      <w:pPr>
        <w:divId w:val="1271161455"/>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385913873"/>
        <w:rPr>
          <w:rFonts w:eastAsia="Times New Roman"/>
        </w:rPr>
      </w:pPr>
      <w:r>
        <w:rPr>
          <w:rFonts w:eastAsia="Times New Roman"/>
          <w:b/>
          <w:bCs/>
          <w:color w:val="000000"/>
          <w:sz w:val="20"/>
          <w:szCs w:val="20"/>
        </w:rPr>
        <w:t>THE MACERICH COMPANY</w:t>
      </w:r>
    </w:p>
    <w:p w:rsidR="00000000" w:rsidRDefault="00FF0345">
      <w:pPr>
        <w:jc w:val="center"/>
        <w:divId w:val="1364402060"/>
        <w:rPr>
          <w:rFonts w:eastAsia="Times New Roman"/>
        </w:rPr>
      </w:pPr>
      <w:r>
        <w:rPr>
          <w:rFonts w:eastAsia="Times New Roman"/>
          <w:b/>
          <w:bCs/>
          <w:color w:val="000000"/>
          <w:sz w:val="20"/>
          <w:szCs w:val="20"/>
        </w:rPr>
        <w:t>NOTES TO CONSOLIDATED FINANCIAL STATEMENTS (Continued)</w:t>
      </w:r>
    </w:p>
    <w:p w:rsidR="00000000" w:rsidRDefault="00FF0345">
      <w:pPr>
        <w:jc w:val="center"/>
        <w:divId w:val="1426419259"/>
        <w:rPr>
          <w:rFonts w:eastAsia="Times New Roman"/>
        </w:rPr>
      </w:pPr>
      <w:r>
        <w:rPr>
          <w:rFonts w:eastAsia="Times New Roman"/>
          <w:b/>
          <w:bCs/>
          <w:color w:val="000000"/>
          <w:sz w:val="20"/>
          <w:szCs w:val="20"/>
        </w:rPr>
        <w:t>(Dollars in thousands, e</w:t>
      </w:r>
      <w:r>
        <w:rPr>
          <w:rFonts w:eastAsia="Times New Roman"/>
          <w:b/>
          <w:bCs/>
          <w:color w:val="000000"/>
          <w:sz w:val="20"/>
          <w:szCs w:val="20"/>
        </w:rPr>
        <w:t>xcept per share and square foot amounts)</w:t>
      </w:r>
    </w:p>
    <w:p w:rsidR="00000000" w:rsidRDefault="00FF0345">
      <w:pPr>
        <w:jc w:val="center"/>
        <w:divId w:val="128862871"/>
        <w:rPr>
          <w:rFonts w:eastAsia="Times New Roman"/>
        </w:rPr>
      </w:pPr>
      <w:r>
        <w:rPr>
          <w:rFonts w:eastAsia="Times New Roman"/>
          <w:b/>
          <w:bCs/>
          <w:color w:val="000000"/>
          <w:sz w:val="20"/>
          <w:szCs w:val="20"/>
        </w:rPr>
        <w:t>(Unaudited)</w:t>
      </w:r>
    </w:p>
    <w:p w:rsidR="00000000" w:rsidRDefault="00FF0345">
      <w:pPr>
        <w:divId w:val="604848454"/>
        <w:rPr>
          <w:rFonts w:eastAsia="Times New Roman"/>
        </w:rPr>
      </w:pPr>
      <w:r>
        <w:rPr>
          <w:rFonts w:eastAsia="Times New Roman"/>
          <w:b/>
          <w:bCs/>
          <w:color w:val="000000"/>
          <w:sz w:val="20"/>
          <w:szCs w:val="20"/>
        </w:rPr>
        <w:t>6. Property, net:</w:t>
      </w:r>
    </w:p>
    <w:p w:rsidR="00000000" w:rsidRDefault="00FF0345">
      <w:pPr>
        <w:divId w:val="787822397"/>
        <w:rPr>
          <w:rFonts w:eastAsia="Times New Roman"/>
        </w:rPr>
      </w:pPr>
    </w:p>
    <w:p w:rsidR="00000000" w:rsidRDefault="00FF0345">
      <w:pPr>
        <w:ind w:firstLine="495"/>
        <w:divId w:val="1756701288"/>
        <w:rPr>
          <w:rFonts w:eastAsia="Times New Roman"/>
        </w:rPr>
      </w:pPr>
      <w:r>
        <w:rPr>
          <w:rFonts w:eastAsia="Times New Roman"/>
          <w:color w:val="000000"/>
          <w:sz w:val="20"/>
          <w:szCs w:val="20"/>
        </w:rPr>
        <w:t>Property, net consists of the following:    </w:t>
      </w:r>
    </w:p>
    <w:tbl>
      <w:tblPr>
        <w:tblW w:w="4312" w:type="pct"/>
        <w:tblCellMar>
          <w:top w:w="15" w:type="dxa"/>
          <w:left w:w="15" w:type="dxa"/>
          <w:bottom w:w="15" w:type="dxa"/>
          <w:right w:w="15" w:type="dxa"/>
        </w:tblCellMar>
        <w:tblLook w:val="04A0" w:firstRow="1" w:lastRow="0" w:firstColumn="1" w:lastColumn="0" w:noHBand="0" w:noVBand="1"/>
      </w:tblPr>
      <w:tblGrid>
        <w:gridCol w:w="39"/>
        <w:gridCol w:w="4847"/>
        <w:gridCol w:w="37"/>
        <w:gridCol w:w="120"/>
        <w:gridCol w:w="929"/>
        <w:gridCol w:w="36"/>
        <w:gridCol w:w="36"/>
        <w:gridCol w:w="36"/>
        <w:gridCol w:w="36"/>
        <w:gridCol w:w="120"/>
        <w:gridCol w:w="891"/>
        <w:gridCol w:w="36"/>
      </w:tblGrid>
      <w:tr w:rsidR="00000000">
        <w:trPr>
          <w:divId w:val="2034651430"/>
        </w:trPr>
        <w:tc>
          <w:tcPr>
            <w:tcW w:w="50" w:type="pct"/>
            <w:vAlign w:val="center"/>
            <w:hideMark/>
          </w:tcPr>
          <w:p w:rsidR="00000000" w:rsidRDefault="00FF0345">
            <w:pPr>
              <w:ind w:firstLine="495"/>
              <w:rPr>
                <w:rFonts w:eastAsia="Times New Roman"/>
              </w:rPr>
            </w:pPr>
          </w:p>
        </w:tc>
        <w:tc>
          <w:tcPr>
            <w:tcW w:w="34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2034651430"/>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2034651430"/>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1,440,383 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1,538,270 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34651430"/>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6,312,458 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6,620,708 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34651430"/>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Tenant improvements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680,047 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750,250 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34651430"/>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Equipment and furnishings(1)</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188,960 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194,231 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34651430"/>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Construction in progress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226,246 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153,253 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34651430"/>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8,848,094 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9,256,712 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34651430"/>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Less accumulated depreciation(1)</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(2,517,703)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(2,562,133)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34651430"/>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6,330,391 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6,694,579 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hanging="540"/>
        <w:divId w:val="898630684"/>
        <w:rPr>
          <w:rFonts w:eastAsia="Times New Roman"/>
        </w:rPr>
      </w:pPr>
      <w:r>
        <w:rPr>
          <w:rFonts w:eastAsia="Times New Roman"/>
          <w:color w:val="000000"/>
          <w:sz w:val="16"/>
          <w:szCs w:val="16"/>
        </w:rPr>
        <w:t xml:space="preserve">(1)      </w:t>
      </w:r>
      <w:r>
        <w:rPr>
          <w:rFonts w:eastAsia="Times New Roman"/>
          <w:color w:val="000000"/>
          <w:sz w:val="16"/>
          <w:szCs w:val="16"/>
        </w:rPr>
        <w:t xml:space="preserve">Equipment and furnishings and accumulated depreciation include the cost and accumulated amortization of ROU assets in connection with finance leases at September 30, 2021 and December 31, 2020 (See Note 8—Leases). </w:t>
      </w:r>
    </w:p>
    <w:p w:rsidR="00000000" w:rsidRDefault="00FF0345">
      <w:pPr>
        <w:ind w:firstLine="495"/>
        <w:divId w:val="832529268"/>
        <w:rPr>
          <w:rFonts w:eastAsia="Times New Roman"/>
        </w:rPr>
      </w:pPr>
      <w:r>
        <w:rPr>
          <w:rFonts w:eastAsia="Times New Roman"/>
          <w:color w:val="000000"/>
          <w:sz w:val="20"/>
          <w:szCs w:val="20"/>
        </w:rPr>
        <w:t>Depreciation expense was $68,715 and $71,250 for the three months ended September 30, 2021 and 2020, respectively, and $211,139 and $216,455 for the nine months ended September 30, 2021 and 2020, respectively.</w:t>
      </w:r>
    </w:p>
    <w:p w:rsidR="00000000" w:rsidRDefault="00FF0345">
      <w:pPr>
        <w:ind w:firstLine="495"/>
        <w:divId w:val="2081052167"/>
        <w:rPr>
          <w:rFonts w:eastAsia="Times New Roman"/>
        </w:rPr>
      </w:pPr>
      <w:r>
        <w:rPr>
          <w:rFonts w:eastAsia="Times New Roman"/>
          <w:color w:val="000000"/>
          <w:sz w:val="20"/>
          <w:szCs w:val="20"/>
        </w:rPr>
        <w:t>Gain (loss) on sale or write-down of assets, n</w:t>
      </w:r>
      <w:r>
        <w:rPr>
          <w:rFonts w:eastAsia="Times New Roman"/>
          <w:color w:val="000000"/>
          <w:sz w:val="20"/>
          <w:szCs w:val="20"/>
        </w:rPr>
        <w:t>et for the three and nine months ended September 30, 2021 and 2020 consist of the following:</w:t>
      </w:r>
    </w:p>
    <w:tbl>
      <w:tblPr>
        <w:tblW w:w="4561" w:type="pct"/>
        <w:tblCellMar>
          <w:top w:w="15" w:type="dxa"/>
          <w:left w:w="15" w:type="dxa"/>
          <w:bottom w:w="15" w:type="dxa"/>
          <w:right w:w="15" w:type="dxa"/>
        </w:tblCellMar>
        <w:tblLook w:val="04A0" w:firstRow="1" w:lastRow="0" w:firstColumn="1" w:lastColumn="0" w:noHBand="0" w:noVBand="1"/>
      </w:tblPr>
      <w:tblGrid>
        <w:gridCol w:w="37"/>
        <w:gridCol w:w="3764"/>
        <w:gridCol w:w="36"/>
        <w:gridCol w:w="36"/>
        <w:gridCol w:w="36"/>
        <w:gridCol w:w="36"/>
        <w:gridCol w:w="120"/>
        <w:gridCol w:w="700"/>
        <w:gridCol w:w="36"/>
        <w:gridCol w:w="36"/>
        <w:gridCol w:w="36"/>
        <w:gridCol w:w="36"/>
        <w:gridCol w:w="120"/>
        <w:gridCol w:w="600"/>
        <w:gridCol w:w="36"/>
        <w:gridCol w:w="36"/>
        <w:gridCol w:w="36"/>
        <w:gridCol w:w="36"/>
        <w:gridCol w:w="120"/>
        <w:gridCol w:w="700"/>
        <w:gridCol w:w="36"/>
        <w:gridCol w:w="36"/>
        <w:gridCol w:w="36"/>
        <w:gridCol w:w="36"/>
        <w:gridCol w:w="120"/>
        <w:gridCol w:w="684"/>
        <w:gridCol w:w="36"/>
      </w:tblGrid>
      <w:tr w:rsidR="00000000">
        <w:trPr>
          <w:divId w:val="2087263511"/>
        </w:trPr>
        <w:tc>
          <w:tcPr>
            <w:tcW w:w="50" w:type="pct"/>
            <w:vAlign w:val="center"/>
            <w:hideMark/>
          </w:tcPr>
          <w:p w:rsidR="00000000" w:rsidRDefault="00FF0345">
            <w:pPr>
              <w:ind w:firstLine="495"/>
              <w:rPr>
                <w:rFonts w:eastAsia="Times New Roman"/>
              </w:rPr>
            </w:pPr>
          </w:p>
        </w:tc>
        <w:tc>
          <w:tcPr>
            <w:tcW w:w="257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8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2087263511"/>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2087263511"/>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2087263511"/>
        </w:trPr>
        <w:tc>
          <w:tcPr>
            <w:tcW w:w="0" w:type="auto"/>
            <w:gridSpan w:val="3"/>
            <w:vAlign w:val="center"/>
            <w:hideMark/>
          </w:tcPr>
          <w:p w:rsidR="00000000" w:rsidRDefault="00FF0345">
            <w:pPr>
              <w:spacing w:after="100"/>
              <w:jc w:val="center"/>
              <w:rPr>
                <w:rFonts w:eastAsia="Times New Roman"/>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087263511"/>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Gain on property sales, net(1)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111,805 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87263511"/>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Loss on write-down of assets(2)</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(2,361)</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(38,362)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(42,971)</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87263511"/>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2087263511"/>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Gain on land sales, net(3)</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13,291 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19,913 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13,331 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087263511"/>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118,566 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11,786 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93,356 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(28,784)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hanging="450"/>
        <w:divId w:val="370611712"/>
        <w:rPr>
          <w:rFonts w:eastAsia="Times New Roman"/>
        </w:rPr>
      </w:pPr>
      <w:r>
        <w:rPr>
          <w:rFonts w:eastAsia="Times New Roman"/>
          <w:color w:val="000000"/>
          <w:sz w:val="16"/>
          <w:szCs w:val="16"/>
        </w:rPr>
        <w:t>(1)    Includes $117,242 and $4</w:t>
      </w:r>
      <w:r>
        <w:rPr>
          <w:rFonts w:eastAsia="Times New Roman"/>
          <w:color w:val="000000"/>
          <w:sz w:val="16"/>
          <w:szCs w:val="16"/>
        </w:rPr>
        <w:t>,229 of gain related to the sale of La Encantada and Paradise Valley Mall, respectively (See Note 15-Dispositions).</w:t>
      </w:r>
    </w:p>
    <w:p w:rsidR="00000000" w:rsidRDefault="00FF0345">
      <w:pPr>
        <w:ind w:hanging="450"/>
        <w:divId w:val="61105250"/>
        <w:rPr>
          <w:rFonts w:eastAsia="Times New Roman"/>
        </w:rPr>
      </w:pPr>
      <w:r>
        <w:rPr>
          <w:rFonts w:eastAsia="Times New Roman"/>
          <w:color w:val="000000"/>
          <w:sz w:val="16"/>
          <w:szCs w:val="16"/>
        </w:rPr>
        <w:t>(2)    Includes impairment loss of $27,281 on Estrella Falls during the nine months ended September 30, 2021 and impairment losses of $30,06</w:t>
      </w:r>
      <w:r>
        <w:rPr>
          <w:rFonts w:eastAsia="Times New Roman"/>
          <w:color w:val="000000"/>
          <w:sz w:val="16"/>
          <w:szCs w:val="16"/>
        </w:rPr>
        <w:t>3 on Wilton Mall and $6,640 on Paradise Valley Mall during the nine months ended September 30, 2020. The impairment losses were due to the reduction of the estimated holding periods of the properties. The remaining amounts for the nine months ended Septemb</w:t>
      </w:r>
      <w:r>
        <w:rPr>
          <w:rFonts w:eastAsia="Times New Roman"/>
          <w:color w:val="000000"/>
          <w:sz w:val="16"/>
          <w:szCs w:val="16"/>
        </w:rPr>
        <w:t>er 30, 2021 mainly pertain to the write off of development costs.</w:t>
      </w:r>
    </w:p>
    <w:p w:rsidR="00000000" w:rsidRDefault="00FF0345">
      <w:pPr>
        <w:ind w:hanging="450"/>
        <w:divId w:val="938677992"/>
        <w:rPr>
          <w:rFonts w:eastAsia="Times New Roman"/>
        </w:rPr>
      </w:pPr>
      <w:r>
        <w:rPr>
          <w:rFonts w:eastAsia="Times New Roman"/>
          <w:color w:val="000000"/>
          <w:sz w:val="16"/>
          <w:szCs w:val="16"/>
        </w:rPr>
        <w:t>(3)    Includes $1,334 related to the sale of Paradise Valley Mall (See Note 15-Dispositions).</w:t>
      </w:r>
    </w:p>
    <w:p w:rsidR="00000000" w:rsidRDefault="00FF0345">
      <w:pPr>
        <w:ind w:hanging="450"/>
        <w:divId w:val="1598900840"/>
        <w:rPr>
          <w:rFonts w:eastAsia="Times New Roman"/>
        </w:rPr>
      </w:pPr>
    </w:p>
    <w:p w:rsidR="00000000" w:rsidRDefault="00FF0345">
      <w:pPr>
        <w:ind w:firstLine="720"/>
        <w:divId w:val="1491948509"/>
        <w:rPr>
          <w:rFonts w:eastAsia="Times New Roman"/>
        </w:rPr>
      </w:pPr>
      <w:r>
        <w:rPr>
          <w:rFonts w:eastAsia="Times New Roman"/>
          <w:color w:val="000000"/>
          <w:sz w:val="20"/>
          <w:szCs w:val="20"/>
        </w:rPr>
        <w:t>The following table summarizes certain of the Company's assets that were measured on a nonrec</w:t>
      </w:r>
      <w:r>
        <w:rPr>
          <w:rFonts w:eastAsia="Times New Roman"/>
          <w:color w:val="000000"/>
          <w:sz w:val="20"/>
          <w:szCs w:val="20"/>
        </w:rPr>
        <w:t>urring basis as a result of the impairment losses recorded for the nine months ended September 30, 2021 and 2020, as described above:</w:t>
      </w:r>
    </w:p>
    <w:tbl>
      <w:tblPr>
        <w:tblW w:w="4758" w:type="pct"/>
        <w:tblCellMar>
          <w:top w:w="15" w:type="dxa"/>
          <w:left w:w="15" w:type="dxa"/>
          <w:bottom w:w="15" w:type="dxa"/>
          <w:right w:w="15" w:type="dxa"/>
        </w:tblCellMar>
        <w:tblLook w:val="04A0" w:firstRow="1" w:lastRow="0" w:firstColumn="1" w:lastColumn="0" w:noHBand="0" w:noVBand="1"/>
      </w:tblPr>
      <w:tblGrid>
        <w:gridCol w:w="37"/>
        <w:gridCol w:w="2228"/>
        <w:gridCol w:w="36"/>
        <w:gridCol w:w="36"/>
        <w:gridCol w:w="39"/>
        <w:gridCol w:w="36"/>
        <w:gridCol w:w="121"/>
        <w:gridCol w:w="1122"/>
        <w:gridCol w:w="36"/>
        <w:gridCol w:w="36"/>
        <w:gridCol w:w="64"/>
        <w:gridCol w:w="36"/>
        <w:gridCol w:w="121"/>
        <w:gridCol w:w="1123"/>
        <w:gridCol w:w="36"/>
        <w:gridCol w:w="36"/>
        <w:gridCol w:w="40"/>
        <w:gridCol w:w="36"/>
        <w:gridCol w:w="121"/>
        <w:gridCol w:w="1123"/>
        <w:gridCol w:w="36"/>
        <w:gridCol w:w="36"/>
        <w:gridCol w:w="40"/>
        <w:gridCol w:w="36"/>
        <w:gridCol w:w="121"/>
        <w:gridCol w:w="1136"/>
        <w:gridCol w:w="36"/>
      </w:tblGrid>
      <w:tr w:rsidR="00000000">
        <w:trPr>
          <w:divId w:val="1491948509"/>
        </w:trPr>
        <w:tc>
          <w:tcPr>
            <w:tcW w:w="50" w:type="pct"/>
            <w:vAlign w:val="center"/>
            <w:hideMark/>
          </w:tcPr>
          <w:p w:rsidR="00000000" w:rsidRDefault="00FF0345">
            <w:pPr>
              <w:ind w:firstLine="720"/>
              <w:rPr>
                <w:rFonts w:eastAsia="Times New Roman"/>
              </w:rPr>
            </w:pPr>
          </w:p>
        </w:tc>
        <w:tc>
          <w:tcPr>
            <w:tcW w:w="145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7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5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491948509"/>
          <w:trHeight w:val="880"/>
        </w:trPr>
        <w:tc>
          <w:tcPr>
            <w:tcW w:w="0" w:type="auto"/>
            <w:gridSpan w:val="3"/>
            <w:vMerge w:val="restart"/>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Total Fair Value Measurement</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Quoted Prices in Active Markets for Identical Assets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Significant Other Unobservable Inputs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Significant Unobservable Inputs</w:t>
            </w:r>
          </w:p>
        </w:tc>
      </w:tr>
      <w:tr w:rsidR="00000000">
        <w:trPr>
          <w:divId w:val="1491948509"/>
          <w:trHeight w:val="300"/>
        </w:trPr>
        <w:tc>
          <w:tcPr>
            <w:tcW w:w="0" w:type="auto"/>
            <w:gridSpan w:val="3"/>
            <w:vMerge/>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vMerge/>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(Level 3)</w:t>
            </w:r>
          </w:p>
        </w:tc>
      </w:tr>
      <w:tr w:rsidR="00000000">
        <w:trPr>
          <w:divId w:val="1491948509"/>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September 30, 2020</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91948509"/>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September 30, 2021</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4,720 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4,720 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91948509"/>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491948509"/>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bl>
    <w:p w:rsidR="00000000" w:rsidRDefault="00FF0345">
      <w:pPr>
        <w:ind w:firstLine="495"/>
        <w:divId w:val="1528518046"/>
        <w:rPr>
          <w:rFonts w:eastAsia="Times New Roman"/>
        </w:rPr>
      </w:pPr>
      <w:r>
        <w:rPr>
          <w:rFonts w:eastAsia="Times New Roman"/>
          <w:color w:val="000000"/>
          <w:sz w:val="20"/>
          <w:szCs w:val="20"/>
        </w:rPr>
        <w:t>The fair values relating to the 2020 impairments and a portion of the 2021 impairments were based on sales contracts and are classified within Level 2 of the fair value hierarchy.</w:t>
      </w:r>
    </w:p>
    <w:p w:rsidR="00000000" w:rsidRDefault="00FF0345">
      <w:pPr>
        <w:ind w:firstLine="495"/>
        <w:divId w:val="1043988628"/>
        <w:rPr>
          <w:rFonts w:eastAsia="Times New Roman"/>
        </w:rPr>
      </w:pPr>
    </w:p>
    <w:p w:rsidR="00000000" w:rsidRDefault="00FF0345">
      <w:pPr>
        <w:jc w:val="center"/>
        <w:divId w:val="1191798736"/>
        <w:rPr>
          <w:rFonts w:eastAsia="Times New Roman"/>
        </w:rPr>
      </w:pPr>
      <w:r>
        <w:rPr>
          <w:rFonts w:eastAsia="Times New Roman"/>
          <w:color w:val="000000"/>
          <w:sz w:val="20"/>
          <w:szCs w:val="20"/>
        </w:rPr>
        <w:t>17</w:t>
      </w:r>
    </w:p>
    <w:p w:rsidR="00000000" w:rsidRDefault="00FF0345">
      <w:pPr>
        <w:rPr>
          <w:rFonts w:eastAsia="Times New Roman"/>
        </w:rPr>
      </w:pPr>
      <w:r>
        <w:rPr>
          <w:rFonts w:eastAsia="Times New Roman"/>
        </w:rPr>
        <w:pict>
          <v:rect id="_x0000_i1041" style="width:0;height:1.5pt" o:hralign="center" o:hrstd="t" o:hr="t" fillcolor="#a0a0a0" stroked="f"/>
        </w:pict>
      </w:r>
    </w:p>
    <w:p w:rsidR="00000000" w:rsidRDefault="00FF0345">
      <w:pPr>
        <w:divId w:val="1406024289"/>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658533973"/>
        <w:rPr>
          <w:rFonts w:eastAsia="Times New Roman"/>
        </w:rPr>
      </w:pPr>
      <w:r>
        <w:rPr>
          <w:rFonts w:eastAsia="Times New Roman"/>
          <w:b/>
          <w:bCs/>
          <w:color w:val="000000"/>
          <w:sz w:val="20"/>
          <w:szCs w:val="20"/>
        </w:rPr>
        <w:t>THE MACERICH COMPANY</w:t>
      </w:r>
    </w:p>
    <w:p w:rsidR="00000000" w:rsidRDefault="00FF0345">
      <w:pPr>
        <w:jc w:val="center"/>
        <w:divId w:val="1663655914"/>
        <w:rPr>
          <w:rFonts w:eastAsia="Times New Roman"/>
        </w:rPr>
      </w:pPr>
      <w:r>
        <w:rPr>
          <w:rFonts w:eastAsia="Times New Roman"/>
          <w:b/>
          <w:bCs/>
          <w:color w:val="000000"/>
          <w:sz w:val="20"/>
          <w:szCs w:val="20"/>
        </w:rPr>
        <w:t>NOTES TO CONSOLIDATED FINANCIAL STATEMENTS (Continued)</w:t>
      </w:r>
    </w:p>
    <w:p w:rsidR="00000000" w:rsidRDefault="00FF0345">
      <w:pPr>
        <w:jc w:val="center"/>
        <w:divId w:val="1021205440"/>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993169646"/>
        <w:rPr>
          <w:rFonts w:eastAsia="Times New Roman"/>
        </w:rPr>
      </w:pPr>
      <w:r>
        <w:rPr>
          <w:rFonts w:eastAsia="Times New Roman"/>
          <w:b/>
          <w:bCs/>
          <w:color w:val="000000"/>
          <w:sz w:val="20"/>
          <w:szCs w:val="20"/>
        </w:rPr>
        <w:t>(Unaudited)</w:t>
      </w:r>
    </w:p>
    <w:p w:rsidR="00000000" w:rsidRDefault="00FF0345">
      <w:pPr>
        <w:divId w:val="715199549"/>
        <w:rPr>
          <w:rFonts w:eastAsia="Times New Roman"/>
        </w:rPr>
      </w:pPr>
      <w:r>
        <w:rPr>
          <w:rFonts w:eastAsia="Times New Roman"/>
          <w:b/>
          <w:bCs/>
          <w:color w:val="000000"/>
          <w:sz w:val="20"/>
          <w:szCs w:val="20"/>
        </w:rPr>
        <w:t>7. Tenant and Other Receivables, net:</w:t>
      </w:r>
    </w:p>
    <w:p w:rsidR="00000000" w:rsidRDefault="00FF0345">
      <w:pPr>
        <w:ind w:firstLine="495"/>
        <w:divId w:val="2046633432"/>
        <w:rPr>
          <w:rFonts w:eastAsia="Times New Roman"/>
        </w:rPr>
      </w:pPr>
      <w:r>
        <w:rPr>
          <w:rFonts w:eastAsia="Times New Roman"/>
          <w:color w:val="000000"/>
          <w:sz w:val="20"/>
          <w:szCs w:val="20"/>
        </w:rPr>
        <w:t xml:space="preserve">Included in tenant and </w:t>
      </w:r>
      <w:r>
        <w:rPr>
          <w:rFonts w:eastAsia="Times New Roman"/>
          <w:color w:val="000000"/>
          <w:sz w:val="20"/>
          <w:szCs w:val="20"/>
        </w:rPr>
        <w:t>other receivables, net is an allowance for doubtful accounts of $20,477 and $37,545 at September 30, 2021 and December 31, 2020, respectively. Also included in tenant and other receivables, net are accrued percentage rents of $6,287 and $4,673 at September</w:t>
      </w:r>
      <w:r>
        <w:rPr>
          <w:rFonts w:eastAsia="Times New Roman"/>
          <w:color w:val="000000"/>
          <w:sz w:val="20"/>
          <w:szCs w:val="20"/>
        </w:rPr>
        <w:t> 30, 2021 and December 31, 2020, respectively, and a deferred rent receivable due to straight-line rent adjustments of $113,346 and $107,003 at September 30, 2021 and December 31, 2020, respectively.</w:t>
      </w:r>
    </w:p>
    <w:p w:rsidR="00000000" w:rsidRDefault="00FF0345">
      <w:pPr>
        <w:divId w:val="1602714541"/>
        <w:rPr>
          <w:rFonts w:eastAsia="Times New Roman"/>
        </w:rPr>
      </w:pPr>
      <w:r>
        <w:rPr>
          <w:rFonts w:eastAsia="Times New Roman"/>
          <w:b/>
          <w:bCs/>
          <w:color w:val="000000"/>
          <w:sz w:val="20"/>
          <w:szCs w:val="20"/>
        </w:rPr>
        <w:t>8. Leases:</w:t>
      </w:r>
    </w:p>
    <w:p w:rsidR="00000000" w:rsidRDefault="00FF0345">
      <w:pPr>
        <w:ind w:firstLine="450"/>
        <w:divId w:val="1247836135"/>
        <w:rPr>
          <w:rFonts w:eastAsia="Times New Roman"/>
        </w:rPr>
      </w:pPr>
      <w:r>
        <w:rPr>
          <w:rFonts w:eastAsia="Times New Roman"/>
          <w:i/>
          <w:iCs/>
          <w:color w:val="000000"/>
          <w:sz w:val="20"/>
          <w:szCs w:val="20"/>
        </w:rPr>
        <w:t>Lessor Leases:</w:t>
      </w:r>
    </w:p>
    <w:p w:rsidR="00000000" w:rsidRDefault="00FF0345">
      <w:pPr>
        <w:ind w:firstLine="495"/>
        <w:divId w:val="1927418674"/>
        <w:rPr>
          <w:rFonts w:eastAsia="Times New Roman"/>
        </w:rPr>
      </w:pPr>
      <w:r>
        <w:rPr>
          <w:rFonts w:eastAsia="Times New Roman"/>
          <w:color w:val="000000"/>
          <w:sz w:val="20"/>
          <w:szCs w:val="20"/>
        </w:rPr>
        <w:t>The Company leases its Centers under agreements that are classified as operating leases. These leases generally include minimum rents, percentage rents and recoveries of real estate taxes, insurance and other shopping center operating expenses. Minimum ren</w:t>
      </w:r>
      <w:r>
        <w:rPr>
          <w:rFonts w:eastAsia="Times New Roman"/>
          <w:color w:val="000000"/>
          <w:sz w:val="20"/>
          <w:szCs w:val="20"/>
        </w:rPr>
        <w:t>tal revenues are recognized on a straight-line basis over the terms of the related leases. Percentage rents are recognized and accrued when tenants' specified sales targets have been met. Estimated recoveries from certain tenants for their pro rata share o</w:t>
      </w:r>
      <w:r>
        <w:rPr>
          <w:rFonts w:eastAsia="Times New Roman"/>
          <w:color w:val="000000"/>
          <w:sz w:val="20"/>
          <w:szCs w:val="20"/>
        </w:rPr>
        <w:t>f real estate taxes, insurance and other shopping center operating expenses are recognized as revenues in the period the applicable expenses are incurred. Other tenants pay a fixed rate and these tenant recoveries are recognized as revenues on a straight-l</w:t>
      </w:r>
      <w:r>
        <w:rPr>
          <w:rFonts w:eastAsia="Times New Roman"/>
          <w:color w:val="000000"/>
          <w:sz w:val="20"/>
          <w:szCs w:val="20"/>
        </w:rPr>
        <w:t xml:space="preserve">ine basis over the term of the related leases. For leasing revenues in which collectability is not considered probable, lease income is recognized on a cash basis and all previously recognized tenant accounts receivables, including straight-line rent, are </w:t>
      </w:r>
      <w:r>
        <w:rPr>
          <w:rFonts w:eastAsia="Times New Roman"/>
          <w:color w:val="000000"/>
          <w:sz w:val="20"/>
          <w:szCs w:val="20"/>
        </w:rPr>
        <w:t xml:space="preserve">fully reserved in the period in which the lease income is determined not to be probable of collection. </w:t>
      </w:r>
    </w:p>
    <w:p w:rsidR="00000000" w:rsidRDefault="00FF0345">
      <w:pPr>
        <w:ind w:firstLine="495"/>
        <w:divId w:val="1927767043"/>
        <w:rPr>
          <w:rFonts w:eastAsia="Times New Roman"/>
        </w:rPr>
      </w:pPr>
      <w:r>
        <w:rPr>
          <w:rFonts w:eastAsia="Times New Roman"/>
          <w:color w:val="000000"/>
          <w:sz w:val="20"/>
          <w:szCs w:val="20"/>
        </w:rPr>
        <w:t>The following table summarizes the components of leasing revenue for the three and nine months ended September 30, 2021 and 2020:</w:t>
      </w:r>
    </w:p>
    <w:tbl>
      <w:tblPr>
        <w:tblW w:w="3954" w:type="pct"/>
        <w:tblCellMar>
          <w:top w:w="15" w:type="dxa"/>
          <w:left w:w="15" w:type="dxa"/>
          <w:bottom w:w="15" w:type="dxa"/>
          <w:right w:w="15" w:type="dxa"/>
        </w:tblCellMar>
        <w:tblLook w:val="04A0" w:firstRow="1" w:lastRow="0" w:firstColumn="1" w:lastColumn="0" w:noHBand="0" w:noVBand="1"/>
      </w:tblPr>
      <w:tblGrid>
        <w:gridCol w:w="37"/>
        <w:gridCol w:w="2747"/>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trPr>
          <w:divId w:val="946355249"/>
        </w:trPr>
        <w:tc>
          <w:tcPr>
            <w:tcW w:w="50" w:type="pct"/>
            <w:vAlign w:val="center"/>
            <w:hideMark/>
          </w:tcPr>
          <w:p w:rsidR="00000000" w:rsidRDefault="00FF0345">
            <w:pPr>
              <w:ind w:firstLine="495"/>
              <w:rPr>
                <w:rFonts w:eastAsia="Times New Roman"/>
              </w:rPr>
            </w:pPr>
          </w:p>
        </w:tc>
        <w:tc>
          <w:tcPr>
            <w:tcW w:w="254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6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9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9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946355249"/>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946355249"/>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946355249"/>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revenue—fixed payments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132,789 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138,843 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395,796 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455,925 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46355249"/>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revenue—variable payments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65,984 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47,220 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173,592 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138,304 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46355249"/>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(Provision for) recovery of doubtful accounts, net</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(1,638)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(10,557)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4,269 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(39,248)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46355249"/>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197,135 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175,506 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573,657 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554,981 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928656684"/>
        <w:rPr>
          <w:rFonts w:eastAsia="Times New Roman"/>
        </w:rPr>
      </w:pPr>
      <w:r>
        <w:rPr>
          <w:rFonts w:eastAsia="Times New Roman"/>
          <w:color w:val="000000"/>
          <w:sz w:val="20"/>
          <w:szCs w:val="20"/>
        </w:rPr>
        <w:t>The following table summarizes the future rental payments to the Company:</w:t>
      </w:r>
    </w:p>
    <w:tbl>
      <w:tblPr>
        <w:tblW w:w="3881" w:type="pct"/>
        <w:tblCellMar>
          <w:top w:w="15" w:type="dxa"/>
          <w:left w:w="15" w:type="dxa"/>
          <w:bottom w:w="15" w:type="dxa"/>
          <w:right w:w="15" w:type="dxa"/>
        </w:tblCellMar>
        <w:tblLook w:val="04A0" w:firstRow="1" w:lastRow="0" w:firstColumn="1" w:lastColumn="0" w:noHBand="0" w:noVBand="1"/>
      </w:tblPr>
      <w:tblGrid>
        <w:gridCol w:w="37"/>
        <w:gridCol w:w="4950"/>
        <w:gridCol w:w="36"/>
        <w:gridCol w:w="36"/>
        <w:gridCol w:w="239"/>
        <w:gridCol w:w="36"/>
        <w:gridCol w:w="120"/>
        <w:gridCol w:w="957"/>
        <w:gridCol w:w="36"/>
      </w:tblGrid>
      <w:tr w:rsidR="00000000">
        <w:trPr>
          <w:divId w:val="1450320247"/>
        </w:trPr>
        <w:tc>
          <w:tcPr>
            <w:tcW w:w="50" w:type="pct"/>
            <w:vAlign w:val="center"/>
            <w:hideMark/>
          </w:tcPr>
          <w:p w:rsidR="00000000" w:rsidRDefault="00FF0345">
            <w:pPr>
              <w:ind w:firstLine="495"/>
              <w:rPr>
                <w:rFonts w:eastAsia="Times New Roman"/>
              </w:rPr>
            </w:pPr>
          </w:p>
        </w:tc>
        <w:tc>
          <w:tcPr>
            <w:tcW w:w="386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0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6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45032024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Twelve months ending September 30,</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 </w:t>
            </w:r>
          </w:p>
        </w:tc>
      </w:tr>
      <w:tr w:rsidR="00000000">
        <w:trPr>
          <w:divId w:val="145032024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376,459 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5032024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334,825 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5032024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281,610 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5032024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230,173 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5032024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184,369 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5032024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529,860 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450320247"/>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1,937,296 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1864902750"/>
        <w:rPr>
          <w:rFonts w:eastAsia="Times New Roman"/>
        </w:rPr>
      </w:pPr>
    </w:p>
    <w:p w:rsidR="00000000" w:rsidRDefault="00FF0345">
      <w:pPr>
        <w:ind w:firstLine="495"/>
        <w:divId w:val="1085303954"/>
        <w:rPr>
          <w:rFonts w:eastAsia="Times New Roman"/>
        </w:rPr>
      </w:pPr>
    </w:p>
    <w:p w:rsidR="00000000" w:rsidRDefault="00FF0345">
      <w:pPr>
        <w:ind w:firstLine="495"/>
        <w:divId w:val="1036933488"/>
        <w:rPr>
          <w:rFonts w:eastAsia="Times New Roman"/>
        </w:rPr>
      </w:pPr>
    </w:p>
    <w:p w:rsidR="00000000" w:rsidRDefault="00FF0345">
      <w:pPr>
        <w:jc w:val="center"/>
        <w:divId w:val="1130593318"/>
        <w:rPr>
          <w:rFonts w:eastAsia="Times New Roman"/>
        </w:rPr>
      </w:pPr>
      <w:r>
        <w:rPr>
          <w:rFonts w:eastAsia="Times New Roman"/>
          <w:color w:val="000000"/>
          <w:sz w:val="20"/>
          <w:szCs w:val="20"/>
        </w:rPr>
        <w:t>18</w:t>
      </w:r>
    </w:p>
    <w:p w:rsidR="00000000" w:rsidRDefault="00FF0345">
      <w:pPr>
        <w:rPr>
          <w:rFonts w:eastAsia="Times New Roman"/>
        </w:rPr>
      </w:pPr>
      <w:r>
        <w:rPr>
          <w:rFonts w:eastAsia="Times New Roman"/>
        </w:rPr>
        <w:pict>
          <v:rect id="_x0000_i1042" style="width:0;height:1.5pt" o:hralign="center" o:hrstd="t" o:hr="t" fillcolor="#a0a0a0" stroked="f"/>
        </w:pict>
      </w:r>
    </w:p>
    <w:p w:rsidR="00000000" w:rsidRDefault="00FF0345">
      <w:pPr>
        <w:divId w:val="1472752359"/>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318997763"/>
        <w:rPr>
          <w:rFonts w:eastAsia="Times New Roman"/>
        </w:rPr>
      </w:pPr>
      <w:r>
        <w:rPr>
          <w:rFonts w:eastAsia="Times New Roman"/>
          <w:b/>
          <w:bCs/>
          <w:color w:val="000000"/>
          <w:sz w:val="20"/>
          <w:szCs w:val="20"/>
        </w:rPr>
        <w:t>THE MACERICH COMPANY</w:t>
      </w:r>
    </w:p>
    <w:p w:rsidR="00000000" w:rsidRDefault="00FF0345">
      <w:pPr>
        <w:jc w:val="center"/>
        <w:divId w:val="1042557331"/>
        <w:rPr>
          <w:rFonts w:eastAsia="Times New Roman"/>
        </w:rPr>
      </w:pPr>
      <w:r>
        <w:rPr>
          <w:rFonts w:eastAsia="Times New Roman"/>
          <w:b/>
          <w:bCs/>
          <w:color w:val="000000"/>
          <w:sz w:val="20"/>
          <w:szCs w:val="20"/>
        </w:rPr>
        <w:t>NOTES TO CONSOLIDATED FINANCIAL STATEMENTS (Continued)</w:t>
      </w:r>
    </w:p>
    <w:p w:rsidR="00000000" w:rsidRDefault="00FF0345">
      <w:pPr>
        <w:jc w:val="center"/>
        <w:divId w:val="97721872"/>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472751763"/>
        <w:rPr>
          <w:rFonts w:eastAsia="Times New Roman"/>
        </w:rPr>
      </w:pPr>
      <w:r>
        <w:rPr>
          <w:rFonts w:eastAsia="Times New Roman"/>
          <w:b/>
          <w:bCs/>
          <w:color w:val="000000"/>
          <w:sz w:val="20"/>
          <w:szCs w:val="20"/>
        </w:rPr>
        <w:t>(Unaudited)</w:t>
      </w:r>
    </w:p>
    <w:p w:rsidR="00000000" w:rsidRDefault="00FF0345">
      <w:pPr>
        <w:divId w:val="1755207046"/>
        <w:rPr>
          <w:rFonts w:eastAsia="Times New Roman"/>
        </w:rPr>
      </w:pPr>
      <w:r>
        <w:rPr>
          <w:rFonts w:eastAsia="Times New Roman"/>
          <w:b/>
          <w:bCs/>
          <w:color w:val="000000"/>
          <w:sz w:val="20"/>
          <w:szCs w:val="20"/>
        </w:rPr>
        <w:t>8. Leases: (Continued)</w:t>
      </w:r>
    </w:p>
    <w:p w:rsidR="00000000" w:rsidRDefault="00FF0345">
      <w:pPr>
        <w:divId w:val="504594387"/>
        <w:rPr>
          <w:rFonts w:eastAsia="Times New Roman"/>
        </w:rPr>
      </w:pPr>
    </w:p>
    <w:p w:rsidR="00000000" w:rsidRDefault="00FF0345">
      <w:pPr>
        <w:ind w:firstLine="495"/>
        <w:divId w:val="372586127"/>
        <w:rPr>
          <w:rFonts w:eastAsia="Times New Roman"/>
        </w:rPr>
      </w:pPr>
      <w:r>
        <w:rPr>
          <w:rFonts w:eastAsia="Times New Roman"/>
          <w:i/>
          <w:iCs/>
          <w:color w:val="000000"/>
          <w:sz w:val="20"/>
          <w:szCs w:val="20"/>
        </w:rPr>
        <w:t>Lessee Leases:</w:t>
      </w:r>
    </w:p>
    <w:p w:rsidR="00000000" w:rsidRDefault="00FF0345">
      <w:pPr>
        <w:ind w:firstLine="495"/>
        <w:divId w:val="695934151"/>
        <w:rPr>
          <w:rFonts w:eastAsia="Times New Roman"/>
        </w:rPr>
      </w:pPr>
      <w:r>
        <w:rPr>
          <w:rFonts w:eastAsia="Times New Roman"/>
          <w:color w:val="000000"/>
          <w:sz w:val="20"/>
          <w:szCs w:val="20"/>
        </w:rPr>
        <w:t xml:space="preserve">The Company has certain properties that are subject to non-cancelable operating leases. The leases expire at various times through 2098, subject in some cases to options to extend the terms of the lease. Certain leases provide for contingent rent payments </w:t>
      </w:r>
      <w:r>
        <w:rPr>
          <w:rFonts w:eastAsia="Times New Roman"/>
          <w:color w:val="000000"/>
          <w:sz w:val="20"/>
          <w:szCs w:val="20"/>
        </w:rPr>
        <w:t xml:space="preserve">based on a percentage of base rental income, as defined in the lease. In addition, the Company has five finance leases that expire at various times through 2024. </w:t>
      </w:r>
    </w:p>
    <w:p w:rsidR="00000000" w:rsidRDefault="00FF0345">
      <w:pPr>
        <w:ind w:firstLine="495"/>
        <w:divId w:val="205987934"/>
        <w:rPr>
          <w:rFonts w:eastAsia="Times New Roman"/>
        </w:rPr>
      </w:pPr>
      <w:r>
        <w:rPr>
          <w:rFonts w:eastAsia="Times New Roman"/>
          <w:color w:val="000000"/>
          <w:sz w:val="20"/>
          <w:szCs w:val="20"/>
        </w:rPr>
        <w:t>The following table summarizes the lease costs for the three and nine months ended September </w:t>
      </w:r>
      <w:r>
        <w:rPr>
          <w:rFonts w:eastAsia="Times New Roman"/>
          <w:color w:val="000000"/>
          <w:sz w:val="20"/>
          <w:szCs w:val="20"/>
        </w:rPr>
        <w:t>30, 2021 and 2020:</w:t>
      </w:r>
    </w:p>
    <w:tbl>
      <w:tblPr>
        <w:tblW w:w="3925" w:type="pct"/>
        <w:tblCellMar>
          <w:top w:w="15" w:type="dxa"/>
          <w:left w:w="15" w:type="dxa"/>
          <w:bottom w:w="15" w:type="dxa"/>
          <w:right w:w="15" w:type="dxa"/>
        </w:tblCellMar>
        <w:tblLook w:val="04A0" w:firstRow="1" w:lastRow="0" w:firstColumn="1" w:lastColumn="0" w:noHBand="0" w:noVBand="1"/>
      </w:tblPr>
      <w:tblGrid>
        <w:gridCol w:w="38"/>
        <w:gridCol w:w="3202"/>
        <w:gridCol w:w="37"/>
        <w:gridCol w:w="120"/>
        <w:gridCol w:w="558"/>
        <w:gridCol w:w="36"/>
        <w:gridCol w:w="36"/>
        <w:gridCol w:w="36"/>
        <w:gridCol w:w="36"/>
        <w:gridCol w:w="120"/>
        <w:gridCol w:w="537"/>
        <w:gridCol w:w="36"/>
        <w:gridCol w:w="36"/>
        <w:gridCol w:w="36"/>
        <w:gridCol w:w="36"/>
        <w:gridCol w:w="120"/>
        <w:gridCol w:w="600"/>
        <w:gridCol w:w="36"/>
        <w:gridCol w:w="36"/>
        <w:gridCol w:w="36"/>
        <w:gridCol w:w="36"/>
        <w:gridCol w:w="120"/>
        <w:gridCol w:w="600"/>
        <w:gridCol w:w="36"/>
      </w:tblGrid>
      <w:tr w:rsidR="00000000">
        <w:trPr>
          <w:divId w:val="1804031491"/>
        </w:trPr>
        <w:tc>
          <w:tcPr>
            <w:tcW w:w="50" w:type="pct"/>
            <w:vAlign w:val="center"/>
            <w:hideMark/>
          </w:tcPr>
          <w:p w:rsidR="00000000" w:rsidRDefault="00FF0345">
            <w:pPr>
              <w:ind w:firstLine="495"/>
              <w:rPr>
                <w:rFonts w:eastAsia="Times New Roman"/>
              </w:rPr>
            </w:pPr>
          </w:p>
        </w:tc>
        <w:tc>
          <w:tcPr>
            <w:tcW w:w="255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9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6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9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9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6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804031491"/>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1804031491"/>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1804031491"/>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Operating lease costs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11,027 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804031491"/>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1804031491"/>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Amortization of ROU assets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1,436 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1,428 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804031491"/>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Interest on lease liabilities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804031491"/>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720"/>
        <w:divId w:val="1092510033"/>
        <w:rPr>
          <w:rFonts w:eastAsia="Times New Roman"/>
        </w:rPr>
      </w:pPr>
      <w:r>
        <w:rPr>
          <w:rFonts w:eastAsia="Times New Roman"/>
          <w:color w:val="000000"/>
          <w:sz w:val="20"/>
          <w:szCs w:val="20"/>
        </w:rPr>
        <w:t>The following table summarizes the future rental payments required under the leases:</w:t>
      </w:r>
    </w:p>
    <w:tbl>
      <w:tblPr>
        <w:tblW w:w="4459" w:type="pct"/>
        <w:tblCellMar>
          <w:top w:w="15" w:type="dxa"/>
          <w:left w:w="15" w:type="dxa"/>
          <w:bottom w:w="15" w:type="dxa"/>
          <w:right w:w="15" w:type="dxa"/>
        </w:tblCellMar>
        <w:tblLook w:val="04A0" w:firstRow="1" w:lastRow="0" w:firstColumn="1" w:lastColumn="0" w:noHBand="0" w:noVBand="1"/>
      </w:tblPr>
      <w:tblGrid>
        <w:gridCol w:w="39"/>
        <w:gridCol w:w="2965"/>
        <w:gridCol w:w="38"/>
        <w:gridCol w:w="36"/>
        <w:gridCol w:w="36"/>
        <w:gridCol w:w="36"/>
        <w:gridCol w:w="120"/>
        <w:gridCol w:w="752"/>
        <w:gridCol w:w="187"/>
        <w:gridCol w:w="36"/>
        <w:gridCol w:w="36"/>
        <w:gridCol w:w="36"/>
        <w:gridCol w:w="120"/>
        <w:gridCol w:w="654"/>
        <w:gridCol w:w="187"/>
        <w:gridCol w:w="36"/>
        <w:gridCol w:w="36"/>
        <w:gridCol w:w="36"/>
        <w:gridCol w:w="120"/>
        <w:gridCol w:w="631"/>
        <w:gridCol w:w="187"/>
        <w:gridCol w:w="36"/>
        <w:gridCol w:w="36"/>
        <w:gridCol w:w="36"/>
        <w:gridCol w:w="120"/>
        <w:gridCol w:w="668"/>
        <w:gridCol w:w="187"/>
      </w:tblGrid>
      <w:tr w:rsidR="00000000">
        <w:trPr>
          <w:divId w:val="1092510033"/>
        </w:trPr>
        <w:tc>
          <w:tcPr>
            <w:tcW w:w="50" w:type="pct"/>
            <w:vAlign w:val="center"/>
            <w:hideMark/>
          </w:tcPr>
          <w:p w:rsidR="00000000" w:rsidRDefault="00FF0345">
            <w:pPr>
              <w:ind w:firstLine="720"/>
              <w:rPr>
                <w:rFonts w:eastAsia="Times New Roman"/>
              </w:rPr>
            </w:pPr>
          </w:p>
        </w:tc>
        <w:tc>
          <w:tcPr>
            <w:tcW w:w="21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5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9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0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092510033"/>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 2021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 2020</w:t>
            </w:r>
          </w:p>
        </w:tc>
      </w:tr>
      <w:tr w:rsidR="00000000">
        <w:trPr>
          <w:divId w:val="1092510033"/>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 xml:space="preserve">Operating </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Finance Leases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Operating 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Finance Leases</w:t>
            </w:r>
          </w:p>
        </w:tc>
      </w:tr>
      <w:tr w:rsidR="00000000">
        <w:trPr>
          <w:divId w:val="1092510033"/>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2021</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14,302 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4,461 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14,558 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2,762 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8,452 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2,043 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6,471 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9,072 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6,759 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3,085 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6,513 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6,796 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Thereafter</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115,828 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116,660 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undiscounted rental payments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155,503 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168,214 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16,976 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Less imputed interest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(86,576)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(3,497)</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(94,375)</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(599)</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 lease liabilities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68,927 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14,529 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73,839 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16,377 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9251003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Weighted average remaining term</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35.9 years</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2.4 years</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34.5 years</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 xml:space="preserve">1.1 </w:t>
            </w:r>
            <w:r>
              <w:rPr>
                <w:rFonts w:eastAsia="Times New Roman"/>
                <w:color w:val="000000"/>
                <w:sz w:val="20"/>
                <w:szCs w:val="20"/>
              </w:rPr>
              <w:t>years</w:t>
            </w:r>
          </w:p>
        </w:tc>
      </w:tr>
      <w:tr w:rsidR="00000000">
        <w:trPr>
          <w:divId w:val="109251003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Weighted average incremental borrowing rate</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r>
    </w:tbl>
    <w:p w:rsidR="00000000" w:rsidRDefault="00FF0345">
      <w:pPr>
        <w:ind w:firstLine="495"/>
        <w:divId w:val="2003771309"/>
        <w:rPr>
          <w:rFonts w:eastAsia="Times New Roman"/>
        </w:rPr>
      </w:pPr>
    </w:p>
    <w:p w:rsidR="00000000" w:rsidRDefault="00FF0345">
      <w:pPr>
        <w:jc w:val="center"/>
        <w:divId w:val="1095591359"/>
        <w:rPr>
          <w:rFonts w:eastAsia="Times New Roman"/>
        </w:rPr>
      </w:pPr>
      <w:r>
        <w:rPr>
          <w:rFonts w:eastAsia="Times New Roman"/>
          <w:color w:val="000000"/>
          <w:sz w:val="20"/>
          <w:szCs w:val="20"/>
        </w:rPr>
        <w:t>19</w:t>
      </w:r>
    </w:p>
    <w:p w:rsidR="00000000" w:rsidRDefault="00FF0345">
      <w:pPr>
        <w:rPr>
          <w:rFonts w:eastAsia="Times New Roman"/>
        </w:rPr>
      </w:pPr>
      <w:r>
        <w:rPr>
          <w:rFonts w:eastAsia="Times New Roman"/>
        </w:rPr>
        <w:pict>
          <v:rect id="_x0000_i1043" style="width:0;height:1.5pt" o:hralign="center" o:hrstd="t" o:hr="t" fillcolor="#a0a0a0" stroked="f"/>
        </w:pict>
      </w:r>
    </w:p>
    <w:p w:rsidR="00000000" w:rsidRDefault="00FF0345">
      <w:pPr>
        <w:divId w:val="574628167"/>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549348233"/>
        <w:rPr>
          <w:rFonts w:eastAsia="Times New Roman"/>
        </w:rPr>
      </w:pPr>
      <w:r>
        <w:rPr>
          <w:rFonts w:eastAsia="Times New Roman"/>
          <w:b/>
          <w:bCs/>
          <w:color w:val="000000"/>
          <w:sz w:val="20"/>
          <w:szCs w:val="20"/>
        </w:rPr>
        <w:t>THE MACERICH COMPANY</w:t>
      </w:r>
    </w:p>
    <w:p w:rsidR="00000000" w:rsidRDefault="00FF0345">
      <w:pPr>
        <w:jc w:val="center"/>
        <w:divId w:val="470557570"/>
        <w:rPr>
          <w:rFonts w:eastAsia="Times New Roman"/>
        </w:rPr>
      </w:pPr>
      <w:r>
        <w:rPr>
          <w:rFonts w:eastAsia="Times New Roman"/>
          <w:b/>
          <w:bCs/>
          <w:color w:val="000000"/>
          <w:sz w:val="20"/>
          <w:szCs w:val="20"/>
        </w:rPr>
        <w:t>NOTES TO CONSOLIDATED FINANCIAL STATEMENTS (Continued)</w:t>
      </w:r>
    </w:p>
    <w:p w:rsidR="00000000" w:rsidRDefault="00FF0345">
      <w:pPr>
        <w:jc w:val="center"/>
        <w:divId w:val="940145652"/>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880162808"/>
        <w:rPr>
          <w:rFonts w:eastAsia="Times New Roman"/>
        </w:rPr>
      </w:pPr>
      <w:r>
        <w:rPr>
          <w:rFonts w:eastAsia="Times New Roman"/>
          <w:b/>
          <w:bCs/>
          <w:color w:val="000000"/>
          <w:sz w:val="20"/>
          <w:szCs w:val="20"/>
        </w:rPr>
        <w:t>(Unaudited)</w:t>
      </w:r>
    </w:p>
    <w:p w:rsidR="00000000" w:rsidRDefault="00FF0345">
      <w:pPr>
        <w:divId w:val="520362632"/>
        <w:rPr>
          <w:rFonts w:eastAsia="Times New Roman"/>
        </w:rPr>
      </w:pPr>
      <w:r>
        <w:rPr>
          <w:rFonts w:eastAsia="Times New Roman"/>
          <w:b/>
          <w:bCs/>
          <w:color w:val="000000"/>
          <w:sz w:val="20"/>
          <w:szCs w:val="20"/>
        </w:rPr>
        <w:t>9. Deferred Cha</w:t>
      </w:r>
      <w:r>
        <w:rPr>
          <w:rFonts w:eastAsia="Times New Roman"/>
          <w:b/>
          <w:bCs/>
          <w:color w:val="000000"/>
          <w:sz w:val="20"/>
          <w:szCs w:val="20"/>
        </w:rPr>
        <w:t>rges and Other Assets, net:</w:t>
      </w:r>
    </w:p>
    <w:p w:rsidR="00000000" w:rsidRDefault="00FF0345">
      <w:pPr>
        <w:divId w:val="2076582429"/>
        <w:rPr>
          <w:rFonts w:eastAsia="Times New Roman"/>
        </w:rPr>
      </w:pPr>
    </w:p>
    <w:p w:rsidR="00000000" w:rsidRDefault="00FF0345">
      <w:pPr>
        <w:ind w:firstLine="495"/>
        <w:divId w:val="468673727"/>
        <w:rPr>
          <w:rFonts w:eastAsia="Times New Roman"/>
        </w:rPr>
      </w:pPr>
      <w:r>
        <w:rPr>
          <w:rFonts w:eastAsia="Times New Roman"/>
          <w:color w:val="000000"/>
          <w:sz w:val="20"/>
          <w:szCs w:val="20"/>
        </w:rPr>
        <w:t>Deferred charges and other assets, net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40"/>
        <w:gridCol w:w="4858"/>
        <w:gridCol w:w="38"/>
        <w:gridCol w:w="120"/>
        <w:gridCol w:w="929"/>
        <w:gridCol w:w="36"/>
        <w:gridCol w:w="36"/>
        <w:gridCol w:w="36"/>
        <w:gridCol w:w="36"/>
        <w:gridCol w:w="120"/>
        <w:gridCol w:w="891"/>
        <w:gridCol w:w="36"/>
      </w:tblGrid>
      <w:tr w:rsidR="00000000">
        <w:trPr>
          <w:divId w:val="468673727"/>
        </w:trPr>
        <w:tc>
          <w:tcPr>
            <w:tcW w:w="50" w:type="pct"/>
            <w:vAlign w:val="center"/>
            <w:hideMark/>
          </w:tcPr>
          <w:p w:rsidR="00000000" w:rsidRDefault="00FF0345">
            <w:pPr>
              <w:ind w:firstLine="495"/>
              <w:rPr>
                <w:rFonts w:eastAsia="Times New Roman"/>
              </w:rPr>
            </w:pPr>
          </w:p>
        </w:tc>
        <w:tc>
          <w:tcPr>
            <w:tcW w:w="34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468673727"/>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46867372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140,245 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162,652 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Intangible assets:</w:t>
            </w: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46867372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In-place lease values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66,472 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74,298 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Leasing commissions and legal costs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17,810 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21,096 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Above-market leases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75,183 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80,120 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 tax assets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21,315 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30,767 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 compensation plan assets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62,658 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62,874 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41,946 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61,553 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425,629 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493,360 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Less accumulated amortization(1)</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(173,608)</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(186,401)</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468673727"/>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252,021 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306,959 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FF0345">
            <w:pPr>
              <w:ind w:firstLine="495"/>
              <w:rPr>
                <w:rFonts w:eastAsia="Times New Roman"/>
              </w:rPr>
            </w:pPr>
          </w:p>
        </w:tc>
        <w:tc>
          <w:tcPr>
            <w:tcW w:w="14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67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01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ind w:hanging="360"/>
        <w:divId w:val="546724497"/>
        <w:rPr>
          <w:rFonts w:eastAsia="Times New Roman"/>
        </w:rPr>
      </w:pPr>
      <w:r>
        <w:rPr>
          <w:rFonts w:eastAsia="Times New Roman"/>
          <w:color w:val="000000"/>
          <w:sz w:val="16"/>
          <w:szCs w:val="16"/>
        </w:rPr>
        <w:t>(1)   Accumulated amortization includes $44,358 and $47,249 relating to in-place lease values, leasing commissions and legal costs at September 30, 2021 and December 31, 2020, respectively. Amortization expense of in-place lease values, leasing commission</w:t>
      </w:r>
      <w:r>
        <w:rPr>
          <w:rFonts w:eastAsia="Times New Roman"/>
          <w:color w:val="000000"/>
          <w:sz w:val="16"/>
          <w:szCs w:val="16"/>
        </w:rPr>
        <w:t>s and legal costs was $2,262 and $1,930 for the three months ended September 30, 2021 and 2020, respectively, and $6,868 and $7,645 for the nine months ended September 30, 2021 and 2020, respectively.</w:t>
      </w:r>
    </w:p>
    <w:p w:rsidR="00000000" w:rsidRDefault="00FF0345">
      <w:pPr>
        <w:ind w:hanging="360"/>
        <w:divId w:val="580331019"/>
        <w:rPr>
          <w:rFonts w:eastAsia="Times New Roman"/>
        </w:rPr>
      </w:pPr>
    </w:p>
    <w:p w:rsidR="00000000" w:rsidRDefault="00FF0345">
      <w:pPr>
        <w:ind w:hanging="360"/>
        <w:divId w:val="1003049544"/>
        <w:rPr>
          <w:rFonts w:eastAsia="Times New Roman"/>
        </w:rPr>
      </w:pPr>
      <w:r>
        <w:rPr>
          <w:rFonts w:eastAsia="Times New Roman"/>
          <w:color w:val="000000"/>
          <w:sz w:val="20"/>
          <w:szCs w:val="20"/>
        </w:rPr>
        <w:t>The allocated values of above-market leases and below</w:t>
      </w:r>
      <w:r>
        <w:rPr>
          <w:rFonts w:eastAsia="Times New Roman"/>
          <w:color w:val="000000"/>
          <w:sz w:val="20"/>
          <w:szCs w:val="20"/>
        </w:rPr>
        <w:t>-market leases consist of the following:</w:t>
      </w:r>
    </w:p>
    <w:tbl>
      <w:tblPr>
        <w:tblW w:w="4320" w:type="pct"/>
        <w:tblCellMar>
          <w:top w:w="15" w:type="dxa"/>
          <w:left w:w="15" w:type="dxa"/>
          <w:bottom w:w="15" w:type="dxa"/>
          <w:right w:w="15" w:type="dxa"/>
        </w:tblCellMar>
        <w:tblLook w:val="04A0" w:firstRow="1" w:lastRow="0" w:firstColumn="1" w:lastColumn="0" w:noHBand="0" w:noVBand="1"/>
      </w:tblPr>
      <w:tblGrid>
        <w:gridCol w:w="39"/>
        <w:gridCol w:w="4859"/>
        <w:gridCol w:w="38"/>
        <w:gridCol w:w="120"/>
        <w:gridCol w:w="929"/>
        <w:gridCol w:w="36"/>
        <w:gridCol w:w="36"/>
        <w:gridCol w:w="36"/>
        <w:gridCol w:w="36"/>
        <w:gridCol w:w="120"/>
        <w:gridCol w:w="891"/>
        <w:gridCol w:w="36"/>
      </w:tblGrid>
      <w:tr w:rsidR="00000000">
        <w:trPr>
          <w:divId w:val="1003049544"/>
        </w:trPr>
        <w:tc>
          <w:tcPr>
            <w:tcW w:w="50" w:type="pct"/>
            <w:vAlign w:val="center"/>
            <w:hideMark/>
          </w:tcPr>
          <w:p w:rsidR="00000000" w:rsidRDefault="00FF0345">
            <w:pPr>
              <w:ind w:hanging="360"/>
              <w:rPr>
                <w:rFonts w:eastAsia="Times New Roman"/>
              </w:rPr>
            </w:pPr>
          </w:p>
        </w:tc>
        <w:tc>
          <w:tcPr>
            <w:tcW w:w="343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8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003049544"/>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00304954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i/>
                <w:iCs/>
                <w:color w:val="000000"/>
                <w:sz w:val="20"/>
                <w:szCs w:val="20"/>
              </w:rPr>
              <w:t>Above-Market Leases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00304954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75,183 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80,120 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0304954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(33,426)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(33,271)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03049544"/>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41,757 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46,849 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0304954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i/>
                <w:iCs/>
                <w:color w:val="000000"/>
                <w:sz w:val="20"/>
                <w:szCs w:val="20"/>
              </w:rPr>
              <w:t>Below-Market Leases(1)</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100304954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Original allocated value</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101,152 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114,790 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0304954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Less accumulated amortization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(36,665)</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(43,656)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003049544"/>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64,487 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71,134 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4436"/>
        <w:gridCol w:w="144"/>
        <w:gridCol w:w="144"/>
        <w:gridCol w:w="3343"/>
        <w:gridCol w:w="144"/>
      </w:tblGrid>
      <w:tr w:rsidR="00000000">
        <w:trPr>
          <w:jc w:val="center"/>
        </w:trPr>
        <w:tc>
          <w:tcPr>
            <w:tcW w:w="50" w:type="pct"/>
            <w:vAlign w:val="center"/>
            <w:hideMark/>
          </w:tcPr>
          <w:p w:rsidR="00000000" w:rsidRDefault="00FF0345">
            <w:pPr>
              <w:ind w:hanging="360"/>
              <w:rPr>
                <w:rFonts w:eastAsia="Times New Roman"/>
              </w:rPr>
            </w:pPr>
          </w:p>
        </w:tc>
        <w:tc>
          <w:tcPr>
            <w:tcW w:w="14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67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01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ind w:hanging="360"/>
        <w:divId w:val="1395549574"/>
        <w:rPr>
          <w:rFonts w:eastAsia="Times New Roman"/>
        </w:rPr>
      </w:pPr>
      <w:r>
        <w:rPr>
          <w:rFonts w:eastAsia="Times New Roman"/>
          <w:color w:val="000000"/>
          <w:sz w:val="16"/>
          <w:szCs w:val="16"/>
        </w:rPr>
        <w:t>(1)   </w:t>
      </w:r>
      <w:r>
        <w:rPr>
          <w:rFonts w:eastAsia="Times New Roman"/>
          <w:color w:val="000000"/>
          <w:sz w:val="16"/>
          <w:szCs w:val="16"/>
        </w:rPr>
        <w:t>Below-market leases are included in other accrued liabilities.</w:t>
      </w:r>
    </w:p>
    <w:p w:rsidR="00000000" w:rsidRDefault="00FF0345">
      <w:pPr>
        <w:ind w:hanging="360"/>
        <w:divId w:val="1920021096"/>
        <w:rPr>
          <w:rFonts w:eastAsia="Times New Roman"/>
        </w:rPr>
      </w:pPr>
    </w:p>
    <w:p w:rsidR="00000000" w:rsidRDefault="00FF0345">
      <w:pPr>
        <w:divId w:val="1296713381"/>
        <w:rPr>
          <w:rFonts w:eastAsia="Times New Roman"/>
        </w:rPr>
      </w:pPr>
    </w:p>
    <w:p w:rsidR="00000000" w:rsidRDefault="00FF0345">
      <w:pPr>
        <w:jc w:val="center"/>
        <w:divId w:val="1376082096"/>
        <w:rPr>
          <w:rFonts w:eastAsia="Times New Roman"/>
        </w:rPr>
      </w:pPr>
      <w:r>
        <w:rPr>
          <w:rFonts w:eastAsia="Times New Roman"/>
          <w:color w:val="000000"/>
          <w:sz w:val="20"/>
          <w:szCs w:val="20"/>
        </w:rPr>
        <w:t>20</w:t>
      </w:r>
    </w:p>
    <w:p w:rsidR="00000000" w:rsidRDefault="00FF0345">
      <w:pPr>
        <w:rPr>
          <w:rFonts w:eastAsia="Times New Roman"/>
        </w:rPr>
      </w:pPr>
      <w:r>
        <w:rPr>
          <w:rFonts w:eastAsia="Times New Roman"/>
        </w:rPr>
        <w:pict>
          <v:rect id="_x0000_i1044" style="width:0;height:1.5pt" o:hralign="center" o:hrstd="t" o:hr="t" fillcolor="#a0a0a0" stroked="f"/>
        </w:pict>
      </w:r>
    </w:p>
    <w:p w:rsidR="00000000" w:rsidRDefault="00FF0345">
      <w:pPr>
        <w:divId w:val="1078865579"/>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687487631"/>
        <w:rPr>
          <w:rFonts w:eastAsia="Times New Roman"/>
        </w:rPr>
      </w:pPr>
      <w:r>
        <w:rPr>
          <w:rFonts w:eastAsia="Times New Roman"/>
          <w:b/>
          <w:bCs/>
          <w:color w:val="000000"/>
          <w:sz w:val="20"/>
          <w:szCs w:val="20"/>
        </w:rPr>
        <w:t>THE MACERICH COMPANY</w:t>
      </w:r>
    </w:p>
    <w:p w:rsidR="00000000" w:rsidRDefault="00FF0345">
      <w:pPr>
        <w:jc w:val="center"/>
        <w:divId w:val="2051607955"/>
        <w:rPr>
          <w:rFonts w:eastAsia="Times New Roman"/>
        </w:rPr>
      </w:pPr>
      <w:r>
        <w:rPr>
          <w:rFonts w:eastAsia="Times New Roman"/>
          <w:b/>
          <w:bCs/>
          <w:color w:val="000000"/>
          <w:sz w:val="20"/>
          <w:szCs w:val="20"/>
        </w:rPr>
        <w:t>NOTES TO CONSOLIDATED FINANCIAL STATEMENTS (Continued</w:t>
      </w:r>
      <w:r>
        <w:rPr>
          <w:rFonts w:eastAsia="Times New Roman"/>
          <w:b/>
          <w:bCs/>
          <w:color w:val="000000"/>
          <w:sz w:val="20"/>
          <w:szCs w:val="20"/>
        </w:rPr>
        <w:t>)</w:t>
      </w:r>
    </w:p>
    <w:p w:rsidR="00000000" w:rsidRDefault="00FF0345">
      <w:pPr>
        <w:jc w:val="center"/>
        <w:divId w:val="984041999"/>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362780892"/>
        <w:rPr>
          <w:rFonts w:eastAsia="Times New Roman"/>
        </w:rPr>
      </w:pPr>
      <w:r>
        <w:rPr>
          <w:rFonts w:eastAsia="Times New Roman"/>
          <w:b/>
          <w:bCs/>
          <w:color w:val="000000"/>
          <w:sz w:val="20"/>
          <w:szCs w:val="20"/>
        </w:rPr>
        <w:t>(Unaudited)</w:t>
      </w:r>
    </w:p>
    <w:p w:rsidR="00000000" w:rsidRDefault="00FF0345">
      <w:pPr>
        <w:divId w:val="821316995"/>
        <w:rPr>
          <w:rFonts w:eastAsia="Times New Roman"/>
        </w:rPr>
      </w:pPr>
      <w:r>
        <w:rPr>
          <w:rFonts w:eastAsia="Times New Roman"/>
          <w:b/>
          <w:bCs/>
          <w:color w:val="000000"/>
          <w:sz w:val="20"/>
          <w:szCs w:val="20"/>
        </w:rPr>
        <w:t>10. Mortgage Notes Payable:</w:t>
      </w:r>
    </w:p>
    <w:p w:rsidR="00000000" w:rsidRDefault="00FF0345">
      <w:pPr>
        <w:ind w:firstLine="495"/>
        <w:divId w:val="1237125954"/>
        <w:rPr>
          <w:rFonts w:eastAsia="Times New Roman"/>
        </w:rPr>
      </w:pPr>
      <w:r>
        <w:rPr>
          <w:rFonts w:eastAsia="Times New Roman"/>
          <w:color w:val="000000"/>
          <w:sz w:val="20"/>
          <w:szCs w:val="20"/>
        </w:rPr>
        <w:t>Mortgage notes payable at September 30, 2021 and December 31, 2020 consist of the following:</w:t>
      </w:r>
    </w:p>
    <w:tbl>
      <w:tblPr>
        <w:tblW w:w="4407" w:type="pct"/>
        <w:tblCellMar>
          <w:top w:w="15" w:type="dxa"/>
          <w:left w:w="15" w:type="dxa"/>
          <w:bottom w:w="15" w:type="dxa"/>
          <w:right w:w="15" w:type="dxa"/>
        </w:tblCellMar>
        <w:tblLook w:val="04A0" w:firstRow="1" w:lastRow="0" w:firstColumn="1" w:lastColumn="0" w:noHBand="0" w:noVBand="1"/>
      </w:tblPr>
      <w:tblGrid>
        <w:gridCol w:w="41"/>
        <w:gridCol w:w="2366"/>
        <w:gridCol w:w="40"/>
        <w:gridCol w:w="36"/>
        <w:gridCol w:w="36"/>
        <w:gridCol w:w="36"/>
        <w:gridCol w:w="120"/>
        <w:gridCol w:w="850"/>
        <w:gridCol w:w="36"/>
        <w:gridCol w:w="36"/>
        <w:gridCol w:w="36"/>
        <w:gridCol w:w="36"/>
        <w:gridCol w:w="120"/>
        <w:gridCol w:w="850"/>
        <w:gridCol w:w="36"/>
        <w:gridCol w:w="36"/>
        <w:gridCol w:w="36"/>
        <w:gridCol w:w="36"/>
        <w:gridCol w:w="64"/>
        <w:gridCol w:w="575"/>
        <w:gridCol w:w="187"/>
        <w:gridCol w:w="36"/>
        <w:gridCol w:w="36"/>
        <w:gridCol w:w="36"/>
        <w:gridCol w:w="121"/>
        <w:gridCol w:w="646"/>
        <w:gridCol w:w="36"/>
        <w:gridCol w:w="36"/>
        <w:gridCol w:w="36"/>
        <w:gridCol w:w="36"/>
        <w:gridCol w:w="68"/>
        <w:gridCol w:w="589"/>
        <w:gridCol w:w="36"/>
      </w:tblGrid>
      <w:tr w:rsidR="00000000">
        <w:trPr>
          <w:divId w:val="1237125954"/>
        </w:trPr>
        <w:tc>
          <w:tcPr>
            <w:tcW w:w="50" w:type="pct"/>
            <w:vAlign w:val="center"/>
            <w:hideMark/>
          </w:tcPr>
          <w:p w:rsidR="00000000" w:rsidRDefault="00FF0345">
            <w:pPr>
              <w:ind w:firstLine="495"/>
              <w:rPr>
                <w:rFonts w:eastAsia="Times New Roman"/>
              </w:rPr>
            </w:pPr>
          </w:p>
        </w:tc>
        <w:tc>
          <w:tcPr>
            <w:tcW w:w="19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6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1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3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237125954"/>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Carrying Amount of Mortgage Notes(1)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1237125954"/>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Property Pledged as Collateral</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Effective Interest</w:t>
            </w:r>
            <w:r>
              <w:rPr>
                <w:rFonts w:eastAsia="Times New Roman"/>
                <w:b/>
                <w:bCs/>
                <w:color w:val="000000"/>
                <w:sz w:val="16"/>
                <w:szCs w:val="16"/>
              </w:rPr>
              <w:br/>
              <w:t>Rate(2)</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Monthly</w:t>
            </w:r>
            <w:r>
              <w:rPr>
                <w:rFonts w:eastAsia="Times New Roman"/>
                <w:b/>
                <w:bCs/>
                <w:color w:val="000000"/>
                <w:sz w:val="16"/>
                <w:szCs w:val="16"/>
              </w:rPr>
              <w:br/>
              <w:t>Debt</w:t>
            </w:r>
            <w:r>
              <w:rPr>
                <w:rFonts w:eastAsia="Times New Roman"/>
                <w:b/>
                <w:bCs/>
                <w:color w:val="000000"/>
                <w:sz w:val="16"/>
                <w:szCs w:val="16"/>
              </w:rPr>
              <w:br/>
              <w:t>Service(3)</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Maturity</w:t>
            </w:r>
            <w:r>
              <w:rPr>
                <w:rFonts w:eastAsia="Times New Roman"/>
                <w:b/>
                <w:bCs/>
                <w:color w:val="000000"/>
                <w:sz w:val="16"/>
                <w:szCs w:val="16"/>
              </w:rPr>
              <w:br/>
              <w:t>Date(4)</w:t>
            </w:r>
          </w:p>
        </w:tc>
      </w:tr>
      <w:tr w:rsidR="00000000">
        <w:trPr>
          <w:divId w:val="123712595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Chandler Fashion Center(5)</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255,502 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255,361 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2024</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Danbury Fair Mall(6)</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170,171 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186,741 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1,538 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2022</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Fashion District Philadelphia</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194,602 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201,000 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649 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2024</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Fashion Outlets of Chicago</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299,253 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299,193 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2031</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Fashion Outlets of Niagara Falls USA</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97,420 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101,463 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2023</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Freehold Raceway Mall(5)</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398,671 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398,545 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2029</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Fresno Fashion Fair</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324,006 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323,857 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2026</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Green Acres Commons(7)</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29,780 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129,847 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3.10 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2023</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Green Acres Commons - Swapped(8)</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95,000 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5.60 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2023</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Green Acres Mall(9)</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247,537 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270,570 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1,447 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2023</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Kings Plaza Shopping Center</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535,799 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535,413 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2030</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Oaks, The</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178,071 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183,108 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2022</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Pacific View</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112,351 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114,909 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2022</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Queens Center</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600,000 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1,744 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2025</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Santa Monica Place - Swapped(10)</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299,127 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298,566 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1,082 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2022</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SanTan Village Regional Center</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219,300 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219,233 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4.34 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2029</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Towne Mall</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19,447 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19,815 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2022</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Tucson La Encantada(11)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62,018 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2022</w:t>
            </w:r>
          </w:p>
        </w:tc>
      </w:tr>
      <w:tr w:rsidR="00000000">
        <w:trPr>
          <w:divId w:val="123712595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Victor Valley, Mall of</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114,835 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114,791 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380 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2024</w:t>
            </w:r>
          </w:p>
        </w:tc>
      </w:tr>
      <w:tr w:rsidR="00000000">
        <w:trPr>
          <w:divId w:val="123712595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Vintage Faire Mall</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241,715 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246,380 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3.55 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1,256 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2026</w:t>
            </w:r>
          </w:p>
        </w:tc>
      </w:tr>
      <w:tr w:rsidR="00000000">
        <w:trPr>
          <w:divId w:val="1237125954"/>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4,432,587 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4,560,810 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r>
    </w:tbl>
    <w:p w:rsidR="00000000" w:rsidRDefault="00FF0345">
      <w:pPr>
        <w:jc w:val="center"/>
        <w:rPr>
          <w:rFonts w:eastAsia="Times New Roman"/>
        </w:rPr>
      </w:pPr>
    </w:p>
    <w:p w:rsidR="00000000" w:rsidRDefault="00FF0345">
      <w:pPr>
        <w:ind w:hanging="450"/>
        <w:divId w:val="594130"/>
        <w:rPr>
          <w:rFonts w:eastAsia="Times New Roman"/>
        </w:rPr>
      </w:pPr>
      <w:r>
        <w:rPr>
          <w:rFonts w:eastAsia="Times New Roman"/>
          <w:color w:val="000000"/>
          <w:sz w:val="16"/>
          <w:szCs w:val="16"/>
        </w:rPr>
        <w:t>(1)</w:t>
      </w:r>
      <w:r>
        <w:rPr>
          <w:rFonts w:eastAsia="Times New Roman"/>
          <w:color w:val="000000"/>
          <w:sz w:val="16"/>
          <w:szCs w:val="16"/>
        </w:rPr>
        <w:t xml:space="preserve">The mortgage notes payable also include unamortized deferred finance costs that are amortized into interest expense over the remaining term of the related debt in a manner that approximates the effective interest method. Unamortized deferred finance costs </w:t>
      </w:r>
      <w:r>
        <w:rPr>
          <w:rFonts w:eastAsia="Times New Roman"/>
          <w:color w:val="000000"/>
          <w:sz w:val="16"/>
          <w:szCs w:val="16"/>
        </w:rPr>
        <w:t>were $13,640 and $14,085 at September 30, 2021 and December 31, 2020, respectively.</w:t>
      </w:r>
    </w:p>
    <w:p w:rsidR="00000000" w:rsidRDefault="00FF0345">
      <w:pPr>
        <w:ind w:hanging="450"/>
        <w:divId w:val="1453597734"/>
        <w:rPr>
          <w:rFonts w:eastAsia="Times New Roman"/>
        </w:rPr>
      </w:pPr>
      <w:r>
        <w:rPr>
          <w:rFonts w:eastAsia="Times New Roman"/>
          <w:color w:val="000000"/>
          <w:sz w:val="16"/>
          <w:szCs w:val="16"/>
        </w:rPr>
        <w:t>(2)The interest rate disclosed represents the effective interest rate, including the impact of debt premium and deferred finance costs.</w:t>
      </w:r>
    </w:p>
    <w:p w:rsidR="00000000" w:rsidRDefault="00FF0345">
      <w:pPr>
        <w:ind w:hanging="450"/>
        <w:divId w:val="1386224047"/>
        <w:rPr>
          <w:rFonts w:eastAsia="Times New Roman"/>
        </w:rPr>
      </w:pPr>
      <w:r>
        <w:rPr>
          <w:rFonts w:eastAsia="Times New Roman"/>
          <w:color w:val="000000"/>
          <w:sz w:val="16"/>
          <w:szCs w:val="16"/>
        </w:rPr>
        <w:t>(3)The monthly debt service represen</w:t>
      </w:r>
      <w:r>
        <w:rPr>
          <w:rFonts w:eastAsia="Times New Roman"/>
          <w:color w:val="000000"/>
          <w:sz w:val="16"/>
          <w:szCs w:val="16"/>
        </w:rPr>
        <w:t>ts the payment of principal and interest.</w:t>
      </w:r>
    </w:p>
    <w:p w:rsidR="00000000" w:rsidRDefault="00FF0345">
      <w:pPr>
        <w:ind w:hanging="450"/>
        <w:divId w:val="1872759329"/>
        <w:rPr>
          <w:rFonts w:eastAsia="Times New Roman"/>
        </w:rPr>
      </w:pPr>
      <w:r>
        <w:rPr>
          <w:rFonts w:eastAsia="Times New Roman"/>
          <w:color w:val="000000"/>
          <w:sz w:val="16"/>
          <w:szCs w:val="16"/>
        </w:rPr>
        <w:t>(4)The maturity date assumes that all extension options are fully exercised and that the Company does not opt to refinance the debt prior to these dates. These extension options are at the Company's discretion, sub</w:t>
      </w:r>
      <w:r>
        <w:rPr>
          <w:rFonts w:eastAsia="Times New Roman"/>
          <w:color w:val="000000"/>
          <w:sz w:val="16"/>
          <w:szCs w:val="16"/>
        </w:rPr>
        <w:t>ject to certain conditions, which the Company believes will be met.</w:t>
      </w:r>
    </w:p>
    <w:p w:rsidR="00000000" w:rsidRDefault="00FF0345">
      <w:pPr>
        <w:ind w:hanging="450"/>
        <w:divId w:val="198124280"/>
        <w:rPr>
          <w:rFonts w:eastAsia="Times New Roman"/>
        </w:rPr>
      </w:pPr>
      <w:r>
        <w:rPr>
          <w:rFonts w:eastAsia="Times New Roman"/>
          <w:color w:val="000000"/>
          <w:sz w:val="16"/>
          <w:szCs w:val="16"/>
        </w:rPr>
        <w:t>(5)A 49.9% interest in the loan has been assumed by a third party in connection with the Company's joint venture in Chandler Freehold (See Note 12—Financing Arrangement).</w:t>
      </w:r>
    </w:p>
    <w:p w:rsidR="00000000" w:rsidRDefault="00FF0345">
      <w:pPr>
        <w:ind w:hanging="450"/>
        <w:divId w:val="488598793"/>
        <w:rPr>
          <w:rFonts w:eastAsia="Times New Roman"/>
        </w:rPr>
      </w:pPr>
      <w:r>
        <w:rPr>
          <w:rFonts w:eastAsia="Times New Roman"/>
          <w:color w:val="000000"/>
          <w:sz w:val="16"/>
          <w:szCs w:val="16"/>
        </w:rPr>
        <w:t>(6)On September 1</w:t>
      </w:r>
      <w:r>
        <w:rPr>
          <w:rFonts w:eastAsia="Times New Roman"/>
          <w:color w:val="000000"/>
          <w:sz w:val="16"/>
          <w:szCs w:val="16"/>
        </w:rPr>
        <w:t>5, 2020, the Company closed on a loan extension agreement for Danbury Fair Mall. Under the extension agreement, the original loan maturity date of October 1, 2020 was extended to April 1, 2021 and subsequently to October 1, 2021. The loan amount and intere</w:t>
      </w:r>
      <w:r>
        <w:rPr>
          <w:rFonts w:eastAsia="Times New Roman"/>
          <w:color w:val="000000"/>
          <w:sz w:val="16"/>
          <w:szCs w:val="16"/>
        </w:rPr>
        <w:t>st rate remained unchanged following these extensions. On September 15, 2021, the Company further extended the loan maturity to July 1, 2022. The interest rate remained unchanged, and the Company repaid $10,000 of the outstanding loan balance at closing.</w:t>
      </w:r>
    </w:p>
    <w:p w:rsidR="00000000" w:rsidRDefault="00FF0345">
      <w:pPr>
        <w:ind w:hanging="450"/>
        <w:divId w:val="591084959"/>
        <w:rPr>
          <w:rFonts w:eastAsia="Times New Roman"/>
        </w:rPr>
      </w:pPr>
      <w:r>
        <w:rPr>
          <w:rFonts w:eastAsia="Times New Roman"/>
          <w:color w:val="000000"/>
          <w:sz w:val="16"/>
          <w:szCs w:val="16"/>
        </w:rPr>
        <w:t>(</w:t>
      </w:r>
      <w:r>
        <w:rPr>
          <w:rFonts w:eastAsia="Times New Roman"/>
          <w:color w:val="000000"/>
          <w:sz w:val="16"/>
          <w:szCs w:val="16"/>
        </w:rPr>
        <w:t xml:space="preserve">7)On March 25, 2021, the Company closed on a two-year extension of the loan to March 29, 2023. The interest rate is LIBOR plus 2.75% and the Company repaid $4,680 of the outstanding loan balance at closing. </w:t>
      </w:r>
    </w:p>
    <w:p w:rsidR="00000000" w:rsidRDefault="00FF0345">
      <w:pPr>
        <w:ind w:hanging="450"/>
        <w:divId w:val="302590250"/>
        <w:rPr>
          <w:rFonts w:eastAsia="Times New Roman"/>
        </w:rPr>
      </w:pPr>
      <w:r>
        <w:rPr>
          <w:rFonts w:eastAsia="Times New Roman"/>
          <w:color w:val="000000"/>
          <w:sz w:val="16"/>
          <w:szCs w:val="16"/>
        </w:rPr>
        <w:t xml:space="preserve">(8)The loan includes an interest rate swap that </w:t>
      </w:r>
      <w:r>
        <w:rPr>
          <w:rFonts w:eastAsia="Times New Roman"/>
          <w:color w:val="000000"/>
          <w:sz w:val="16"/>
          <w:szCs w:val="16"/>
        </w:rPr>
        <w:t>effectively converts $95,000 of the outstanding balance to fixed rate debt through September 30, 2021, the expiration of the interest rate swap. This swap was previously hedged against the Company's prior revolving line of credit that was terminated in Apr</w:t>
      </w:r>
      <w:r>
        <w:rPr>
          <w:rFonts w:eastAsia="Times New Roman"/>
          <w:color w:val="000000"/>
          <w:sz w:val="16"/>
          <w:szCs w:val="16"/>
        </w:rPr>
        <w:t>il 2021. The Company did not renew the swaps that expired on September 30, 2021 and, as a result, on October 1, 2021, this loan reverted back to a floating rate loan with an effective interest rate of 3.10% as of such date (See Note 5—Derivative Instrument</w:t>
      </w:r>
      <w:r>
        <w:rPr>
          <w:rFonts w:eastAsia="Times New Roman"/>
          <w:color w:val="000000"/>
          <w:sz w:val="16"/>
          <w:szCs w:val="16"/>
        </w:rPr>
        <w:t>s and Hedging Activities).</w:t>
      </w:r>
    </w:p>
    <w:p w:rsidR="00000000" w:rsidRDefault="00FF0345">
      <w:pPr>
        <w:jc w:val="center"/>
        <w:divId w:val="1139492192"/>
        <w:rPr>
          <w:rFonts w:eastAsia="Times New Roman"/>
        </w:rPr>
      </w:pPr>
      <w:r>
        <w:rPr>
          <w:rFonts w:eastAsia="Times New Roman"/>
          <w:color w:val="000000"/>
          <w:sz w:val="20"/>
          <w:szCs w:val="20"/>
        </w:rPr>
        <w:t>21</w:t>
      </w:r>
    </w:p>
    <w:p w:rsidR="00000000" w:rsidRDefault="00FF0345">
      <w:pPr>
        <w:rPr>
          <w:rFonts w:eastAsia="Times New Roman"/>
        </w:rPr>
      </w:pPr>
      <w:r>
        <w:rPr>
          <w:rFonts w:eastAsia="Times New Roman"/>
        </w:rPr>
        <w:pict>
          <v:rect id="_x0000_i1045" style="width:0;height:1.5pt" o:hralign="center" o:hrstd="t" o:hr="t" fillcolor="#a0a0a0" stroked="f"/>
        </w:pict>
      </w:r>
    </w:p>
    <w:p w:rsidR="00000000" w:rsidRDefault="00FF0345">
      <w:pPr>
        <w:divId w:val="751969328"/>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186745776"/>
        <w:rPr>
          <w:rFonts w:eastAsia="Times New Roman"/>
        </w:rPr>
      </w:pPr>
      <w:r>
        <w:rPr>
          <w:rFonts w:eastAsia="Times New Roman"/>
          <w:b/>
          <w:bCs/>
          <w:color w:val="000000"/>
          <w:sz w:val="20"/>
          <w:szCs w:val="20"/>
        </w:rPr>
        <w:t>THE MACERICH COMPANY</w:t>
      </w:r>
    </w:p>
    <w:p w:rsidR="00000000" w:rsidRDefault="00FF0345">
      <w:pPr>
        <w:jc w:val="center"/>
        <w:divId w:val="2029519372"/>
        <w:rPr>
          <w:rFonts w:eastAsia="Times New Roman"/>
        </w:rPr>
      </w:pPr>
      <w:r>
        <w:rPr>
          <w:rFonts w:eastAsia="Times New Roman"/>
          <w:b/>
          <w:bCs/>
          <w:color w:val="000000"/>
          <w:sz w:val="20"/>
          <w:szCs w:val="20"/>
        </w:rPr>
        <w:t>NOTES TO CONSOLIDATED FINANCIAL STATEMENTS (Continued)</w:t>
      </w:r>
    </w:p>
    <w:p w:rsidR="00000000" w:rsidRDefault="00FF0345">
      <w:pPr>
        <w:jc w:val="center"/>
        <w:divId w:val="35127975"/>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202674532"/>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FF0345">
      <w:pPr>
        <w:divId w:val="804275507"/>
        <w:rPr>
          <w:rFonts w:eastAsia="Times New Roman"/>
        </w:rPr>
      </w:pPr>
      <w:r>
        <w:rPr>
          <w:rFonts w:eastAsia="Times New Roman"/>
          <w:b/>
          <w:bCs/>
          <w:color w:val="000000"/>
          <w:sz w:val="20"/>
          <w:szCs w:val="20"/>
        </w:rPr>
        <w:t>10. Mortgage Notes Payable: (Continued)</w:t>
      </w:r>
    </w:p>
    <w:p w:rsidR="00000000" w:rsidRDefault="00FF0345">
      <w:pPr>
        <w:ind w:hanging="450"/>
        <w:divId w:val="2141923636"/>
        <w:rPr>
          <w:rFonts w:eastAsia="Times New Roman"/>
        </w:rPr>
      </w:pPr>
      <w:r>
        <w:rPr>
          <w:rFonts w:eastAsia="Times New Roman"/>
          <w:color w:val="000000"/>
          <w:sz w:val="16"/>
          <w:szCs w:val="16"/>
        </w:rPr>
        <w:t xml:space="preserve">(9)On January 22, 2021, the Company closed on a one-year extension of the loan to February 3, 2022, which also includes a one-year extension option to February 3, 2023. The interest rate remained unchanged, </w:t>
      </w:r>
      <w:r>
        <w:rPr>
          <w:rFonts w:eastAsia="Times New Roman"/>
          <w:color w:val="000000"/>
          <w:sz w:val="16"/>
          <w:szCs w:val="16"/>
        </w:rPr>
        <w:t>and the Company repaid $9,000 of the outstanding loan balance at closing.</w:t>
      </w:r>
    </w:p>
    <w:p w:rsidR="00000000" w:rsidRDefault="00FF0345">
      <w:pPr>
        <w:ind w:hanging="450"/>
        <w:divId w:val="1325665873"/>
        <w:rPr>
          <w:rFonts w:eastAsia="Times New Roman"/>
        </w:rPr>
      </w:pPr>
      <w:r>
        <w:rPr>
          <w:rFonts w:eastAsia="Times New Roman"/>
          <w:color w:val="000000"/>
          <w:sz w:val="16"/>
          <w:szCs w:val="16"/>
        </w:rPr>
        <w:t>(10)The loan includes an interest rate swap that effectively converts $300,000 of the outstanding balance to fixed rate debt through September 30, 2021, the expiration of the interes</w:t>
      </w:r>
      <w:r>
        <w:rPr>
          <w:rFonts w:eastAsia="Times New Roman"/>
          <w:color w:val="000000"/>
          <w:sz w:val="16"/>
          <w:szCs w:val="16"/>
        </w:rPr>
        <w:t>t rate swap. This swap was previously hedged against the Company's prior revolving line of credit that was terminated in April 2021. The Company did not renew the swaps that expired on September 30, 2021 and, as a result, on October 1, 2021, this loan reve</w:t>
      </w:r>
      <w:r>
        <w:rPr>
          <w:rFonts w:eastAsia="Times New Roman"/>
          <w:color w:val="000000"/>
          <w:sz w:val="16"/>
          <w:szCs w:val="16"/>
        </w:rPr>
        <w:t xml:space="preserve">rted back to a floating rate loan with an effective interest rate of 1.81% as of such date (See Note 5—Derivative Instruments and Hedging Activities). </w:t>
      </w:r>
    </w:p>
    <w:p w:rsidR="00000000" w:rsidRDefault="00FF0345">
      <w:pPr>
        <w:ind w:hanging="90"/>
        <w:divId w:val="1194271942"/>
        <w:rPr>
          <w:rFonts w:eastAsia="Times New Roman"/>
        </w:rPr>
      </w:pPr>
    </w:p>
    <w:p w:rsidR="00000000" w:rsidRDefault="00FF0345">
      <w:pPr>
        <w:ind w:hanging="450"/>
        <w:divId w:val="1269705046"/>
        <w:rPr>
          <w:rFonts w:eastAsia="Times New Roman"/>
        </w:rPr>
      </w:pPr>
      <w:r>
        <w:rPr>
          <w:rFonts w:eastAsia="Times New Roman"/>
          <w:color w:val="000000"/>
          <w:sz w:val="16"/>
          <w:szCs w:val="16"/>
        </w:rPr>
        <w:t xml:space="preserve">(11)On September 17, 2021, the Company sold Tucson La Encantada and the mortgage payable was paid off </w:t>
      </w:r>
      <w:r>
        <w:rPr>
          <w:rFonts w:eastAsia="Times New Roman"/>
          <w:color w:val="000000"/>
          <w:sz w:val="16"/>
          <w:szCs w:val="16"/>
        </w:rPr>
        <w:t xml:space="preserve">in full (See Note 15—Dispositions). </w:t>
      </w:r>
    </w:p>
    <w:p w:rsidR="00000000" w:rsidRDefault="00FF0345">
      <w:pPr>
        <w:ind w:firstLine="495"/>
        <w:divId w:val="1751851672"/>
        <w:rPr>
          <w:rFonts w:eastAsia="Times New Roman"/>
        </w:rPr>
      </w:pPr>
      <w:r>
        <w:rPr>
          <w:rFonts w:eastAsia="Times New Roman"/>
          <w:color w:val="000000"/>
          <w:sz w:val="20"/>
          <w:szCs w:val="20"/>
        </w:rPr>
        <w:t>Most of the mortgage loan agreements contain a prepayment penalty provision for the early extinguishment of the debt.</w:t>
      </w:r>
    </w:p>
    <w:p w:rsidR="00000000" w:rsidRDefault="00FF0345">
      <w:pPr>
        <w:ind w:firstLine="495"/>
        <w:divId w:val="945037802"/>
        <w:rPr>
          <w:rFonts w:eastAsia="Times New Roman"/>
        </w:rPr>
      </w:pPr>
      <w:r>
        <w:rPr>
          <w:rFonts w:eastAsia="Times New Roman"/>
          <w:color w:val="000000"/>
          <w:sz w:val="20"/>
          <w:szCs w:val="20"/>
        </w:rPr>
        <w:t>The Company's mortgage notes payable are secured by the properties on which they are placed and are n</w:t>
      </w:r>
      <w:r>
        <w:rPr>
          <w:rFonts w:eastAsia="Times New Roman"/>
          <w:color w:val="000000"/>
          <w:sz w:val="20"/>
          <w:szCs w:val="20"/>
        </w:rPr>
        <w:t xml:space="preserve">on-recourse to the Company. </w:t>
      </w:r>
    </w:p>
    <w:p w:rsidR="00000000" w:rsidRDefault="00FF0345">
      <w:pPr>
        <w:ind w:firstLine="495"/>
        <w:divId w:val="718866775"/>
        <w:rPr>
          <w:rFonts w:eastAsia="Times New Roman"/>
        </w:rPr>
      </w:pPr>
      <w:r>
        <w:rPr>
          <w:rFonts w:eastAsia="Times New Roman"/>
          <w:color w:val="000000"/>
          <w:sz w:val="20"/>
          <w:szCs w:val="20"/>
        </w:rPr>
        <w:t>The Company expects that all loan maturities during the next twelve months will be refinanced, restructured, extended and/or paid off from the Company's line of credit or with cash on hand.</w:t>
      </w:r>
    </w:p>
    <w:p w:rsidR="00000000" w:rsidRDefault="00FF0345">
      <w:pPr>
        <w:ind w:firstLine="495"/>
        <w:divId w:val="1181703425"/>
        <w:rPr>
          <w:rFonts w:eastAsia="Times New Roman"/>
        </w:rPr>
      </w:pPr>
      <w:r>
        <w:rPr>
          <w:rFonts w:eastAsia="Times New Roman"/>
          <w:color w:val="000000"/>
          <w:sz w:val="20"/>
          <w:szCs w:val="20"/>
        </w:rPr>
        <w:t>Total interest expense capitalized wa</w:t>
      </w:r>
      <w:r>
        <w:rPr>
          <w:rFonts w:eastAsia="Times New Roman"/>
          <w:color w:val="000000"/>
          <w:sz w:val="20"/>
          <w:szCs w:val="20"/>
        </w:rPr>
        <w:t>s $3,102 and $1,313 for the three months ended September 30, 2021 and 2020, respectively, and $6,812 and $3,969 for the nine months ended September 30, 2021 and 2020, respectively.</w:t>
      </w:r>
    </w:p>
    <w:p w:rsidR="00000000" w:rsidRDefault="00FF0345">
      <w:pPr>
        <w:ind w:firstLine="495"/>
        <w:divId w:val="290404341"/>
        <w:rPr>
          <w:rFonts w:eastAsia="Times New Roman"/>
        </w:rPr>
      </w:pPr>
      <w:r>
        <w:rPr>
          <w:rFonts w:eastAsia="Times New Roman"/>
          <w:color w:val="000000"/>
          <w:sz w:val="20"/>
          <w:szCs w:val="20"/>
        </w:rPr>
        <w:t>The estimated fair value (Level 2 measurement) of mortgage notes payable at</w:t>
      </w:r>
      <w:r>
        <w:rPr>
          <w:rFonts w:eastAsia="Times New Roman"/>
          <w:color w:val="000000"/>
          <w:sz w:val="20"/>
          <w:szCs w:val="20"/>
        </w:rPr>
        <w:t xml:space="preserve"> September 30, 2021 and December 31, 2020 was $4,349,238 and $4,459,797, respectively, based on current interest rates for comparable loans. Fair value was determined using a present value model and an interest rate that included a credit value adjustment </w:t>
      </w:r>
      <w:r>
        <w:rPr>
          <w:rFonts w:eastAsia="Times New Roman"/>
          <w:color w:val="000000"/>
          <w:sz w:val="20"/>
          <w:szCs w:val="20"/>
        </w:rPr>
        <w:t>based on the estimated value of the property that serves as collateral for the underlying debt.</w:t>
      </w:r>
    </w:p>
    <w:p w:rsidR="00000000" w:rsidRDefault="00FF0345">
      <w:pPr>
        <w:divId w:val="1516070087"/>
        <w:rPr>
          <w:rFonts w:eastAsia="Times New Roman"/>
        </w:rPr>
      </w:pPr>
      <w:r>
        <w:rPr>
          <w:rFonts w:eastAsia="Times New Roman"/>
          <w:b/>
          <w:bCs/>
          <w:color w:val="000000"/>
          <w:sz w:val="20"/>
          <w:szCs w:val="20"/>
        </w:rPr>
        <w:t>11. Bank and Other Notes Payable:</w:t>
      </w:r>
    </w:p>
    <w:p w:rsidR="00000000" w:rsidRDefault="00FF0345">
      <w:pPr>
        <w:ind w:firstLine="495"/>
        <w:divId w:val="1321350817"/>
        <w:rPr>
          <w:rFonts w:eastAsia="Times New Roman"/>
        </w:rPr>
      </w:pPr>
      <w:r>
        <w:rPr>
          <w:rFonts w:eastAsia="Times New Roman"/>
          <w:color w:val="000000"/>
          <w:sz w:val="20"/>
          <w:szCs w:val="20"/>
        </w:rPr>
        <w:t>Bank and other notes payable consist of the following:</w:t>
      </w:r>
    </w:p>
    <w:p w:rsidR="00000000" w:rsidRDefault="00FF0345">
      <w:pPr>
        <w:ind w:firstLine="450"/>
        <w:divId w:val="1499467111"/>
        <w:rPr>
          <w:rFonts w:eastAsia="Times New Roman"/>
        </w:rPr>
      </w:pPr>
      <w:r>
        <w:rPr>
          <w:rFonts w:eastAsia="Times New Roman"/>
          <w:i/>
          <w:iCs/>
          <w:color w:val="000000"/>
          <w:sz w:val="20"/>
          <w:szCs w:val="20"/>
        </w:rPr>
        <w:t>Credit Facility:</w:t>
      </w:r>
    </w:p>
    <w:p w:rsidR="00000000" w:rsidRDefault="00FF0345">
      <w:pPr>
        <w:ind w:firstLine="495"/>
        <w:divId w:val="1115053110"/>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an aggregate $700,000 facility, including a $525,000 revolving loan facility that matures on April 14, 2023, with a one-year </w:t>
      </w:r>
      <w:r>
        <w:rPr>
          <w:rFonts w:eastAsia="Times New Roman"/>
          <w:color w:val="000000"/>
          <w:sz w:val="20"/>
          <w:szCs w:val="20"/>
        </w:rPr>
        <w:t>extension option, and a $175,000 term loan facility that matures on April 14, 2024. The revolving loan facility can be expanded up to $800,000, subject to receipt of lender commitments and other conditions. Concurrently with entering into the new credit ag</w:t>
      </w:r>
      <w:r>
        <w:rPr>
          <w:rFonts w:eastAsia="Times New Roman"/>
          <w:color w:val="000000"/>
          <w:sz w:val="20"/>
          <w:szCs w:val="20"/>
        </w:rPr>
        <w:t>reement, the Company drew the $175,000 term loan facility in its entirety and drew $320,000 of the amount available under the revolving loan facility. Simultaneously with entering into the new credit agreement, the Company repaid $985,000 of debt, which in</w:t>
      </w:r>
      <w:r>
        <w:rPr>
          <w:rFonts w:eastAsia="Times New Roman"/>
          <w:color w:val="000000"/>
          <w:sz w:val="20"/>
          <w:szCs w:val="20"/>
        </w:rPr>
        <w:t>cluded terminating and repaying all amounts outstanding under its prior revolving line of credit facility. All obligations under the facility are guaranteed unconditionally by the Company and are secured in the form of mortgages on certain wholly-owned ass</w:t>
      </w:r>
      <w:r>
        <w:rPr>
          <w:rFonts w:eastAsia="Times New Roman"/>
          <w:color w:val="000000"/>
          <w:sz w:val="20"/>
          <w:szCs w:val="20"/>
        </w:rPr>
        <w:t>ets and pledges of equity interests held by certain of the Company’s subsidiaries. The new credit facility bears interest at LIBOR plus a spread of 2.25% to 3.25% depending on the Company’s overall leverage level. As of September 30, 2021, the borrowing ra</w:t>
      </w:r>
      <w:r>
        <w:rPr>
          <w:rFonts w:eastAsia="Times New Roman"/>
          <w:color w:val="000000"/>
          <w:sz w:val="20"/>
          <w:szCs w:val="20"/>
        </w:rPr>
        <w:t>te was LIBOR plus 2.25%. As of September 30, 2021, borrowings under the facility were $130,000, less unamortized deferred finance costs of $15,748, for the revolving loan facility at a total interest rate of 3.69%. As of September 30, 2021, the Company's a</w:t>
      </w:r>
      <w:r>
        <w:rPr>
          <w:rFonts w:eastAsia="Times New Roman"/>
          <w:color w:val="000000"/>
          <w:sz w:val="20"/>
          <w:szCs w:val="20"/>
        </w:rPr>
        <w:t>vailability under the revolving loan facility for additional borrowings was $394,719. On September 20, 2021, the Company paid off the remaining balance outstanding on the term loan facility with proceeds from the sale of Tucson La Encantada (See Note 15—Di</w:t>
      </w:r>
      <w:r>
        <w:rPr>
          <w:rFonts w:eastAsia="Times New Roman"/>
          <w:color w:val="000000"/>
          <w:sz w:val="20"/>
          <w:szCs w:val="20"/>
        </w:rPr>
        <w:t>spositions). The estimated fair value (Level 2 measurement) of borrowings under the credit facility at September 30, 2021 was $129,937 for the revolving loan facility based on a present value model using a credit interest rate spread offered to the Company</w:t>
      </w:r>
      <w:r>
        <w:rPr>
          <w:rFonts w:eastAsia="Times New Roman"/>
          <w:color w:val="000000"/>
          <w:sz w:val="20"/>
          <w:szCs w:val="20"/>
        </w:rPr>
        <w:t xml:space="preserve"> for comparable debt.</w:t>
      </w:r>
    </w:p>
    <w:p w:rsidR="00000000" w:rsidRDefault="00FF0345">
      <w:pPr>
        <w:ind w:firstLine="495"/>
        <w:divId w:val="563873718"/>
        <w:rPr>
          <w:rFonts w:eastAsia="Times New Roman"/>
        </w:rPr>
      </w:pPr>
      <w:r>
        <w:rPr>
          <w:rFonts w:eastAsia="Times New Roman"/>
          <w:color w:val="000000"/>
          <w:sz w:val="20"/>
          <w:szCs w:val="20"/>
        </w:rPr>
        <w:t>The Company had a $1,500,000 revolving line of credit that bore interest at LIBOR plus a spread of 1.30% to 1.90%, depending on the Company's overall leverage level, and was to mature on July 6, 2020. On April 8, 2020, the Company exe</w:t>
      </w:r>
      <w:r>
        <w:rPr>
          <w:rFonts w:eastAsia="Times New Roman"/>
          <w:color w:val="000000"/>
          <w:sz w:val="20"/>
          <w:szCs w:val="20"/>
        </w:rPr>
        <w:t>rcised its option to extend the maturity of the facility to July 6, 2021. The line of credit could have been expanded, depending on certain conditions, up to a total facility of $2,000,000. Based on the Company's leverage level as of December 31, 2020, the</w:t>
      </w:r>
      <w:r>
        <w:rPr>
          <w:rFonts w:eastAsia="Times New Roman"/>
          <w:color w:val="000000"/>
          <w:sz w:val="20"/>
          <w:szCs w:val="20"/>
        </w:rPr>
        <w:t xml:space="preserve"> borrowing rate on the facility was LIBOR plus 1.65%. On April 14, 2021, the Company repaid the $985,000 of outstanding debt and terminated this credit facility. The Company had four interest rate swap agreements that effectively </w:t>
      </w:r>
    </w:p>
    <w:p w:rsidR="00000000" w:rsidRDefault="00FF0345">
      <w:pPr>
        <w:jc w:val="center"/>
        <w:divId w:val="1341154912"/>
        <w:rPr>
          <w:rFonts w:eastAsia="Times New Roman"/>
        </w:rPr>
      </w:pPr>
      <w:r>
        <w:rPr>
          <w:rFonts w:eastAsia="Times New Roman"/>
          <w:color w:val="000000"/>
          <w:sz w:val="20"/>
          <w:szCs w:val="20"/>
        </w:rPr>
        <w:t>22</w:t>
      </w:r>
    </w:p>
    <w:p w:rsidR="00000000" w:rsidRDefault="00FF0345">
      <w:pPr>
        <w:rPr>
          <w:rFonts w:eastAsia="Times New Roman"/>
        </w:rPr>
      </w:pPr>
      <w:r>
        <w:rPr>
          <w:rFonts w:eastAsia="Times New Roman"/>
        </w:rPr>
        <w:pict>
          <v:rect id="_x0000_i1046" style="width:0;height:1.5pt" o:hralign="center" o:hrstd="t" o:hr="t" fillcolor="#a0a0a0" stroked="f"/>
        </w:pict>
      </w:r>
    </w:p>
    <w:p w:rsidR="00000000" w:rsidRDefault="00FF0345">
      <w:pPr>
        <w:divId w:val="421605133"/>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306401282"/>
        <w:rPr>
          <w:rFonts w:eastAsia="Times New Roman"/>
        </w:rPr>
      </w:pPr>
      <w:r>
        <w:rPr>
          <w:rFonts w:eastAsia="Times New Roman"/>
          <w:b/>
          <w:bCs/>
          <w:color w:val="000000"/>
          <w:sz w:val="20"/>
          <w:szCs w:val="20"/>
        </w:rPr>
        <w:t>THE MACERICH COMPANY</w:t>
      </w:r>
    </w:p>
    <w:p w:rsidR="00000000" w:rsidRDefault="00FF0345">
      <w:pPr>
        <w:jc w:val="center"/>
        <w:divId w:val="2324604"/>
        <w:rPr>
          <w:rFonts w:eastAsia="Times New Roman"/>
        </w:rPr>
      </w:pPr>
      <w:r>
        <w:rPr>
          <w:rFonts w:eastAsia="Times New Roman"/>
          <w:b/>
          <w:bCs/>
          <w:color w:val="000000"/>
          <w:sz w:val="20"/>
          <w:szCs w:val="20"/>
        </w:rPr>
        <w:t>NOTES TO CONSOLIDATED FINANCIAL STATEMENTS (Continued)</w:t>
      </w:r>
    </w:p>
    <w:p w:rsidR="00000000" w:rsidRDefault="00FF0345">
      <w:pPr>
        <w:jc w:val="center"/>
        <w:divId w:val="1435322776"/>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634368780"/>
        <w:rPr>
          <w:rFonts w:eastAsia="Times New Roman"/>
        </w:rPr>
      </w:pPr>
      <w:r>
        <w:rPr>
          <w:rFonts w:eastAsia="Times New Roman"/>
          <w:b/>
          <w:bCs/>
          <w:color w:val="000000"/>
          <w:sz w:val="20"/>
          <w:szCs w:val="20"/>
        </w:rPr>
        <w:t>(Unaudited)</w:t>
      </w:r>
    </w:p>
    <w:p w:rsidR="00000000" w:rsidRDefault="00FF0345">
      <w:pPr>
        <w:divId w:val="1679427269"/>
        <w:rPr>
          <w:rFonts w:eastAsia="Times New Roman"/>
        </w:rPr>
      </w:pPr>
      <w:r>
        <w:rPr>
          <w:rFonts w:eastAsia="Times New Roman"/>
          <w:b/>
          <w:bCs/>
          <w:color w:val="000000"/>
          <w:sz w:val="20"/>
          <w:szCs w:val="20"/>
        </w:rPr>
        <w:t>11. Bank and Other Notes Payable: (Continued)</w:t>
      </w:r>
    </w:p>
    <w:p w:rsidR="00000000" w:rsidRDefault="00FF0345">
      <w:pPr>
        <w:divId w:val="19547804"/>
        <w:rPr>
          <w:rFonts w:eastAsia="Times New Roman"/>
        </w:rPr>
      </w:pPr>
      <w:r>
        <w:rPr>
          <w:rFonts w:eastAsia="Times New Roman"/>
          <w:color w:val="000000"/>
          <w:sz w:val="20"/>
          <w:szCs w:val="20"/>
        </w:rPr>
        <w:t>converted a total of $400,000 of the outstanding balance from floating rate debt of LIBOR plus 1.65% to fixed rate debt of 4.50% unti</w:t>
      </w:r>
      <w:r>
        <w:rPr>
          <w:rFonts w:eastAsia="Times New Roman"/>
          <w:color w:val="000000"/>
          <w:sz w:val="20"/>
          <w:szCs w:val="20"/>
        </w:rPr>
        <w:t>l September 30, 2021. These swaps are now hedged against the Santa Monica Place floating rate loan and a portion of the Green Acres Commons floating rate loan effectively converting these loans to fixed rate debt through September 30, 2021. The Company did</w:t>
      </w:r>
      <w:r>
        <w:rPr>
          <w:rFonts w:eastAsia="Times New Roman"/>
          <w:color w:val="000000"/>
          <w:sz w:val="20"/>
          <w:szCs w:val="20"/>
        </w:rPr>
        <w:t xml:space="preserve"> not renew the swaps that expired on September 30, 2021 and, as a result, on October 1, 2021, these loans reverted back to floating interest rate loans (See Note 5 – Derivative Instruments and Hedging Activities and Note 10 – Mortgage Notes Payable). As of</w:t>
      </w:r>
      <w:r>
        <w:rPr>
          <w:rFonts w:eastAsia="Times New Roman"/>
          <w:color w:val="000000"/>
          <w:sz w:val="20"/>
          <w:szCs w:val="20"/>
        </w:rPr>
        <w:t xml:space="preserve"> December 31, 2020, borrowings under the prior line of credit was $1,480,000 less unamortized deferred finance costs of $2,460 at a total interest rate of 2.73%. As of December 31, 2020, the Company's availability under the prior line of credit for additio</w:t>
      </w:r>
      <w:r>
        <w:rPr>
          <w:rFonts w:eastAsia="Times New Roman"/>
          <w:color w:val="000000"/>
          <w:sz w:val="20"/>
          <w:szCs w:val="20"/>
        </w:rPr>
        <w:t>nal borrowings was $19,719. The estimated fair value (Level 2 measurement) of borrowings under the line of credit at December 31, 2020 was $1,485,598 based on a present value model using a credit interest rate spread offered to the Company for comparable d</w:t>
      </w:r>
      <w:r>
        <w:rPr>
          <w:rFonts w:eastAsia="Times New Roman"/>
          <w:color w:val="000000"/>
          <w:sz w:val="20"/>
          <w:szCs w:val="20"/>
        </w:rPr>
        <w:t>ebt.</w:t>
      </w:r>
    </w:p>
    <w:p w:rsidR="00000000" w:rsidRDefault="00FF0345">
      <w:pPr>
        <w:ind w:firstLine="495"/>
        <w:divId w:val="1729839709"/>
        <w:rPr>
          <w:rFonts w:eastAsia="Times New Roman"/>
        </w:rPr>
      </w:pPr>
      <w:r>
        <w:rPr>
          <w:rFonts w:eastAsia="Times New Roman"/>
          <w:color w:val="000000"/>
          <w:sz w:val="20"/>
          <w:szCs w:val="20"/>
        </w:rPr>
        <w:t>As of September 30, 2021 and December 31, 2020, the Company was in compliance with all applicable financial loan covenants.</w:t>
      </w:r>
    </w:p>
    <w:p w:rsidR="00000000" w:rsidRDefault="00FF0345">
      <w:pPr>
        <w:divId w:val="414013765"/>
        <w:rPr>
          <w:rFonts w:eastAsia="Times New Roman"/>
        </w:rPr>
      </w:pPr>
      <w:r>
        <w:rPr>
          <w:rFonts w:eastAsia="Times New Roman"/>
          <w:b/>
          <w:bCs/>
          <w:color w:val="000000"/>
          <w:sz w:val="20"/>
          <w:szCs w:val="20"/>
        </w:rPr>
        <w:t>12. Financing Arrangement:</w:t>
      </w:r>
    </w:p>
    <w:p w:rsidR="00000000" w:rsidRDefault="00FF0345">
      <w:pPr>
        <w:ind w:firstLine="495"/>
        <w:divId w:val="1123111597"/>
        <w:rPr>
          <w:rFonts w:eastAsia="Times New Roman"/>
        </w:rPr>
      </w:pPr>
      <w:r>
        <w:rPr>
          <w:rFonts w:eastAsia="Times New Roman"/>
          <w:color w:val="000000"/>
          <w:sz w:val="20"/>
          <w:szCs w:val="20"/>
        </w:rPr>
        <w:t>On September 30, 2009, the Company formed a joint venture whereby a third party acquired a 49.9% int</w:t>
      </w:r>
      <w:r>
        <w:rPr>
          <w:rFonts w:eastAsia="Times New Roman"/>
          <w:color w:val="000000"/>
          <w:sz w:val="20"/>
          <w:szCs w:val="20"/>
        </w:rPr>
        <w:t>erest in Chandler Fashion Center, a 1,318,000 square foot regional shopping center in Chandler, Arizona, and Freehold Raceway Mall, a 1,552,000 square foot regional shopping center in Freehold, New Jersey (collectively referred to herein as "Chandler Freeh</w:t>
      </w:r>
      <w:r>
        <w:rPr>
          <w:rFonts w:eastAsia="Times New Roman"/>
          <w:color w:val="000000"/>
          <w:sz w:val="20"/>
          <w:szCs w:val="20"/>
        </w:rPr>
        <w:t>old"). As a result of the Company having certain rights under the agreement to repurchase the assets after the seventh year of the formation of Chandler Freehold, the transaction did not qualify for sale treatment. The Company, however, is not obligated to</w:t>
      </w:r>
      <w:r>
        <w:rPr>
          <w:rFonts w:eastAsia="Times New Roman"/>
          <w:color w:val="000000"/>
          <w:sz w:val="20"/>
          <w:szCs w:val="20"/>
        </w:rPr>
        <w:t xml:space="preserve"> repurchase the assets. The Company accounts for its investment in Chandler Freehold as a financing arrangement. The fair value (Level 3 measurement) of the financing arrangement obligation at September 30, 2021 and December 31, 2020 was based upon a termi</w:t>
      </w:r>
      <w:r>
        <w:rPr>
          <w:rFonts w:eastAsia="Times New Roman"/>
          <w:color w:val="000000"/>
          <w:sz w:val="20"/>
          <w:szCs w:val="20"/>
        </w:rPr>
        <w:t>nal capitalization rate of approximately 5.75% and 5.5%, respectively, a discount rate of approximately 7.25% and 7.0%, respectively, and market rents per square foot of $35 to $105. The fair value of the financing arrangement obligation is sensitive to th</w:t>
      </w:r>
      <w:r>
        <w:rPr>
          <w:rFonts w:eastAsia="Times New Roman"/>
          <w:color w:val="000000"/>
          <w:sz w:val="20"/>
          <w:szCs w:val="20"/>
        </w:rPr>
        <w:t>ese significant unobservable inputs and a change in these inputs may result in a significantly higher or lower fair value measurement. Distributions to the partner, excluding distributions of excess loan proceeds, and changes in fair value of the financing</w:t>
      </w:r>
      <w:r>
        <w:rPr>
          <w:rFonts w:eastAsia="Times New Roman"/>
          <w:color w:val="000000"/>
          <w:sz w:val="20"/>
          <w:szCs w:val="20"/>
        </w:rPr>
        <w:t xml:space="preserve"> arrangement obligation are recognized as interest (income) expense in the Company's consolidated statements of operations. </w:t>
      </w:r>
    </w:p>
    <w:p w:rsidR="00000000" w:rsidRDefault="00FF0345">
      <w:pPr>
        <w:ind w:firstLine="495"/>
        <w:divId w:val="1218782107"/>
        <w:rPr>
          <w:rFonts w:eastAsia="Times New Roman"/>
        </w:rPr>
      </w:pPr>
      <w:r>
        <w:rPr>
          <w:rFonts w:eastAsia="Times New Roman"/>
          <w:color w:val="000000"/>
          <w:sz w:val="20"/>
          <w:szCs w:val="20"/>
        </w:rPr>
        <w:t>During the three and nine months ended September 30, 2021 and 2020, the Company incurred interest expense (income) in connection wi</w:t>
      </w:r>
      <w:r>
        <w:rPr>
          <w:rFonts w:eastAsia="Times New Roman"/>
          <w:color w:val="000000"/>
          <w:sz w:val="20"/>
          <w:szCs w:val="20"/>
        </w:rPr>
        <w:t>th the financing arrangement as follows:</w:t>
      </w:r>
    </w:p>
    <w:p w:rsidR="00000000" w:rsidRDefault="00FF0345">
      <w:pPr>
        <w:ind w:firstLine="495"/>
        <w:divId w:val="212817753"/>
        <w:rPr>
          <w:rFonts w:eastAsia="Times New Roman"/>
        </w:rPr>
      </w:pPr>
    </w:p>
    <w:tbl>
      <w:tblPr>
        <w:tblW w:w="4700" w:type="pct"/>
        <w:tblCellMar>
          <w:top w:w="15" w:type="dxa"/>
          <w:left w:w="15" w:type="dxa"/>
          <w:bottom w:w="15" w:type="dxa"/>
          <w:right w:w="15" w:type="dxa"/>
        </w:tblCellMar>
        <w:tblLook w:val="04A0" w:firstRow="1" w:lastRow="0" w:firstColumn="1" w:lastColumn="0" w:noHBand="0" w:noVBand="1"/>
      </w:tblPr>
      <w:tblGrid>
        <w:gridCol w:w="37"/>
        <w:gridCol w:w="4251"/>
        <w:gridCol w:w="36"/>
        <w:gridCol w:w="120"/>
        <w:gridCol w:w="584"/>
        <w:gridCol w:w="36"/>
        <w:gridCol w:w="36"/>
        <w:gridCol w:w="36"/>
        <w:gridCol w:w="36"/>
        <w:gridCol w:w="120"/>
        <w:gridCol w:w="684"/>
        <w:gridCol w:w="36"/>
        <w:gridCol w:w="36"/>
        <w:gridCol w:w="36"/>
        <w:gridCol w:w="36"/>
        <w:gridCol w:w="120"/>
        <w:gridCol w:w="584"/>
        <w:gridCol w:w="36"/>
        <w:gridCol w:w="36"/>
        <w:gridCol w:w="36"/>
        <w:gridCol w:w="36"/>
        <w:gridCol w:w="120"/>
        <w:gridCol w:w="684"/>
        <w:gridCol w:w="36"/>
      </w:tblGrid>
      <w:tr w:rsidR="00000000">
        <w:trPr>
          <w:divId w:val="863908398"/>
        </w:trPr>
        <w:tc>
          <w:tcPr>
            <w:tcW w:w="50" w:type="pct"/>
            <w:vAlign w:val="center"/>
            <w:hideMark/>
          </w:tcPr>
          <w:p w:rsidR="00000000" w:rsidRDefault="00FF0345">
            <w:pPr>
              <w:ind w:firstLine="495"/>
              <w:rPr>
                <w:rFonts w:eastAsia="Times New Roman"/>
              </w:rPr>
            </w:pPr>
          </w:p>
        </w:tc>
        <w:tc>
          <w:tcPr>
            <w:tcW w:w="289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38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1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863908398"/>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863908398"/>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863908398"/>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Distributions equal to the partner's share of net (loss)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63908398"/>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Distributions in excess of the partner's share of net income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3,583 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12,583 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3,356 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63908398"/>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Adjustment to fair value of financing arrangement obligation</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(10,306)</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(15,502)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(12,608)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(96,793)</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63908398"/>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(7,708)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(15,502)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(3,435)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(92,552)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divId w:val="490831855"/>
        <w:rPr>
          <w:rFonts w:eastAsia="Times New Roman"/>
        </w:rPr>
      </w:pPr>
      <w:r>
        <w:rPr>
          <w:rFonts w:eastAsia="Times New Roman"/>
          <w:b/>
          <w:bCs/>
          <w:color w:val="000000"/>
          <w:sz w:val="20"/>
          <w:szCs w:val="20"/>
        </w:rPr>
        <w:t>13. Noncontrolling Interests:</w:t>
      </w:r>
    </w:p>
    <w:p w:rsidR="00000000" w:rsidRDefault="00FF0345">
      <w:pPr>
        <w:ind w:firstLine="495"/>
        <w:divId w:val="579678888"/>
        <w:rPr>
          <w:rFonts w:eastAsia="Times New Roman"/>
        </w:rPr>
      </w:pPr>
      <w:r>
        <w:rPr>
          <w:rFonts w:eastAsia="Times New Roman"/>
          <w:color w:val="000000"/>
          <w:sz w:val="20"/>
          <w:szCs w:val="20"/>
        </w:rPr>
        <w:t>The Company allocates net income of the Operating Partnership based on the weigh</w:t>
      </w:r>
      <w:r>
        <w:rPr>
          <w:rFonts w:eastAsia="Times New Roman"/>
          <w:color w:val="000000"/>
          <w:sz w:val="20"/>
          <w:szCs w:val="20"/>
        </w:rPr>
        <w:t>ted average ownership interest during the period. The net income of the Operating Partnership that is not attributable to the Company is reflected in the consolidated statements of operations as noncontrolling interests. The Company adjusts the noncontroll</w:t>
      </w:r>
      <w:r>
        <w:rPr>
          <w:rFonts w:eastAsia="Times New Roman"/>
          <w:color w:val="000000"/>
          <w:sz w:val="20"/>
          <w:szCs w:val="20"/>
        </w:rPr>
        <w:t>ing interests in the Operating Partnership at the end of each period to reflect its ownership interest in the Company. The Company had a 96% and 93% ownership interest in the Operating Partnership as of September 30, 2021 and December 31, 2020, respectivel</w:t>
      </w:r>
      <w:r>
        <w:rPr>
          <w:rFonts w:eastAsia="Times New Roman"/>
          <w:color w:val="000000"/>
          <w:sz w:val="20"/>
          <w:szCs w:val="20"/>
        </w:rPr>
        <w:t>y. The remaining 4% and 7% limited partnership interest as of September 30, 2021 and December 31, 2020, respectively, was owned by certain of the Company's executive officers and directors, certain of their affiliates and other third party investors in the</w:t>
      </w:r>
      <w:r>
        <w:rPr>
          <w:rFonts w:eastAsia="Times New Roman"/>
          <w:color w:val="000000"/>
          <w:sz w:val="20"/>
          <w:szCs w:val="20"/>
        </w:rPr>
        <w:t xml:space="preserve"> form of OP Units. The OP Units may be redeemed for shares of stock or cash, at the Company's option. The redemption value for each OP </w:t>
      </w:r>
    </w:p>
    <w:p w:rsidR="00000000" w:rsidRDefault="00FF0345">
      <w:pPr>
        <w:jc w:val="center"/>
        <w:divId w:val="1831867771"/>
        <w:rPr>
          <w:rFonts w:eastAsia="Times New Roman"/>
        </w:rPr>
      </w:pPr>
      <w:r>
        <w:rPr>
          <w:rFonts w:eastAsia="Times New Roman"/>
          <w:color w:val="000000"/>
          <w:sz w:val="20"/>
          <w:szCs w:val="20"/>
        </w:rPr>
        <w:t>23</w:t>
      </w:r>
    </w:p>
    <w:p w:rsidR="00000000" w:rsidRDefault="00FF0345">
      <w:pPr>
        <w:rPr>
          <w:rFonts w:eastAsia="Times New Roman"/>
        </w:rPr>
      </w:pPr>
      <w:r>
        <w:rPr>
          <w:rFonts w:eastAsia="Times New Roman"/>
        </w:rPr>
        <w:pict>
          <v:rect id="_x0000_i1047" style="width:0;height:1.5pt" o:hralign="center" o:hrstd="t" o:hr="t" fillcolor="#a0a0a0" stroked="f"/>
        </w:pict>
      </w:r>
    </w:p>
    <w:p w:rsidR="00000000" w:rsidRDefault="00FF0345">
      <w:pPr>
        <w:divId w:val="758604344"/>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732627448"/>
        <w:rPr>
          <w:rFonts w:eastAsia="Times New Roman"/>
        </w:rPr>
      </w:pPr>
      <w:r>
        <w:rPr>
          <w:rFonts w:eastAsia="Times New Roman"/>
          <w:b/>
          <w:bCs/>
          <w:color w:val="000000"/>
          <w:sz w:val="20"/>
          <w:szCs w:val="20"/>
        </w:rPr>
        <w:t>THE MACERICH COMPANY</w:t>
      </w:r>
    </w:p>
    <w:p w:rsidR="00000000" w:rsidRDefault="00FF0345">
      <w:pPr>
        <w:jc w:val="center"/>
        <w:divId w:val="486819886"/>
        <w:rPr>
          <w:rFonts w:eastAsia="Times New Roman"/>
        </w:rPr>
      </w:pPr>
      <w:r>
        <w:rPr>
          <w:rFonts w:eastAsia="Times New Roman"/>
          <w:b/>
          <w:bCs/>
          <w:color w:val="000000"/>
          <w:sz w:val="20"/>
          <w:szCs w:val="20"/>
        </w:rPr>
        <w:t>NOTES TO CONSOLIDATED FINANCIAL STATEMENTS (Continued)</w:t>
      </w:r>
    </w:p>
    <w:p w:rsidR="00000000" w:rsidRDefault="00FF0345">
      <w:pPr>
        <w:jc w:val="center"/>
        <w:divId w:val="901596147"/>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819954041"/>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FF0345">
      <w:pPr>
        <w:divId w:val="247735466"/>
        <w:rPr>
          <w:rFonts w:eastAsia="Times New Roman"/>
        </w:rPr>
      </w:pPr>
      <w:r>
        <w:rPr>
          <w:rFonts w:eastAsia="Times New Roman"/>
          <w:b/>
          <w:bCs/>
          <w:color w:val="000000"/>
          <w:sz w:val="20"/>
          <w:szCs w:val="20"/>
        </w:rPr>
        <w:t>13. Noncontrolling Interests: (Continued)</w:t>
      </w:r>
    </w:p>
    <w:p w:rsidR="00000000" w:rsidRDefault="00FF0345">
      <w:pPr>
        <w:divId w:val="1895700516"/>
        <w:rPr>
          <w:rFonts w:eastAsia="Times New Roman"/>
        </w:rPr>
      </w:pPr>
      <w:r>
        <w:rPr>
          <w:rFonts w:eastAsia="Times New Roman"/>
          <w:color w:val="000000"/>
          <w:sz w:val="20"/>
          <w:szCs w:val="20"/>
        </w:rPr>
        <w:t xml:space="preserve">Unit as of any balance sheet date is the amount equal to the average of the closing price per share of the Company's common stock, par value $0.01 per share, as reported on the New York Stock Exchange for </w:t>
      </w:r>
      <w:r>
        <w:rPr>
          <w:rFonts w:eastAsia="Times New Roman"/>
          <w:color w:val="000000"/>
          <w:sz w:val="20"/>
          <w:szCs w:val="20"/>
        </w:rPr>
        <w:t>the 10 trading days ending on the respective balance sheet date. Accordingly, as of September 30, 2021 and December 31, 2020, the aggregate redemption value of the then-outstanding OP Units not owned by the Company was $171,749 and $117,602, respectively.</w:t>
      </w:r>
    </w:p>
    <w:p w:rsidR="00000000" w:rsidRDefault="00FF0345">
      <w:pPr>
        <w:ind w:firstLine="495"/>
        <w:divId w:val="468594873"/>
        <w:rPr>
          <w:rFonts w:eastAsia="Times New Roman"/>
        </w:rPr>
      </w:pPr>
      <w:r>
        <w:rPr>
          <w:rFonts w:eastAsia="Times New Roman"/>
          <w:color w:val="000000"/>
          <w:sz w:val="20"/>
          <w:szCs w:val="20"/>
        </w:rPr>
        <w:t>The Company issued common and preferred units of MACWH, LP in April 2005 in connection with the acquisition of the Wilmorite portfolio. The common and preferred units of MACWH, LP are redeemable at the election of the holder. The Company may redeem them fo</w:t>
      </w:r>
      <w:r>
        <w:rPr>
          <w:rFonts w:eastAsia="Times New Roman"/>
          <w:color w:val="000000"/>
          <w:sz w:val="20"/>
          <w:szCs w:val="20"/>
        </w:rPr>
        <w:t>r cash or shares of the Company's stock at the Company's option and they are classified as permanent equity.</w:t>
      </w:r>
    </w:p>
    <w:p w:rsidR="00000000" w:rsidRDefault="00FF0345">
      <w:pPr>
        <w:ind w:firstLine="495"/>
        <w:divId w:val="1340624581"/>
        <w:rPr>
          <w:rFonts w:eastAsia="Times New Roman"/>
        </w:rPr>
      </w:pPr>
      <w:r>
        <w:rPr>
          <w:rFonts w:eastAsia="Times New Roman"/>
          <w:color w:val="000000"/>
          <w:sz w:val="20"/>
          <w:szCs w:val="20"/>
        </w:rPr>
        <w:t>Included in permanent equity are outside ownership interests in various consolidated joint ventures. The joint ventures do not have rights that req</w:t>
      </w:r>
      <w:r>
        <w:rPr>
          <w:rFonts w:eastAsia="Times New Roman"/>
          <w:color w:val="000000"/>
          <w:sz w:val="20"/>
          <w:szCs w:val="20"/>
        </w:rPr>
        <w:t>uire the Company to redeem the ownership interests in either cash or stock.</w:t>
      </w:r>
    </w:p>
    <w:p w:rsidR="00000000" w:rsidRDefault="00FF0345">
      <w:pPr>
        <w:divId w:val="1813516500"/>
        <w:rPr>
          <w:rFonts w:eastAsia="Times New Roman"/>
        </w:rPr>
      </w:pPr>
      <w:r>
        <w:rPr>
          <w:rFonts w:eastAsia="Times New Roman"/>
          <w:b/>
          <w:bCs/>
          <w:color w:val="000000"/>
          <w:sz w:val="20"/>
          <w:szCs w:val="20"/>
        </w:rPr>
        <w:t>14. Stockholders' Equity:</w:t>
      </w:r>
    </w:p>
    <w:p w:rsidR="00000000" w:rsidRDefault="00FF0345">
      <w:pPr>
        <w:ind w:firstLine="495"/>
        <w:divId w:val="456949246"/>
        <w:rPr>
          <w:rFonts w:eastAsia="Times New Roman"/>
        </w:rPr>
      </w:pPr>
      <w:r>
        <w:rPr>
          <w:rFonts w:eastAsia="Times New Roman"/>
          <w:i/>
          <w:iCs/>
          <w:color w:val="000000"/>
          <w:sz w:val="20"/>
          <w:szCs w:val="20"/>
        </w:rPr>
        <w:t xml:space="preserve">Stock Dividend </w:t>
      </w:r>
    </w:p>
    <w:p w:rsidR="00000000" w:rsidRDefault="00FF0345">
      <w:pPr>
        <w:ind w:firstLine="495"/>
        <w:divId w:val="565920534"/>
        <w:rPr>
          <w:rFonts w:eastAsia="Times New Roman"/>
        </w:rPr>
      </w:pPr>
      <w:r>
        <w:rPr>
          <w:rFonts w:eastAsia="Times New Roman"/>
          <w:color w:val="000000"/>
          <w:sz w:val="20"/>
          <w:szCs w:val="20"/>
        </w:rPr>
        <w:t xml:space="preserve">On June 3, 2020, the Company issued 7,759,280 </w:t>
      </w:r>
      <w:r>
        <w:rPr>
          <w:rFonts w:eastAsia="Times New Roman"/>
          <w:color w:val="000000"/>
          <w:sz w:val="20"/>
          <w:szCs w:val="20"/>
        </w:rPr>
        <w:t>common shares to its common stockholders in connection with the quarterly dividend of $0.50 per share of common stock declared on March 16, 2020. The dividend consisted of a combination of cash and shares of the Company's common stock. The cash component o</w:t>
      </w:r>
      <w:r>
        <w:rPr>
          <w:rFonts w:eastAsia="Times New Roman"/>
          <w:color w:val="000000"/>
          <w:sz w:val="20"/>
          <w:szCs w:val="20"/>
        </w:rPr>
        <w:t>f the dividend (not including cash paid in lieu of fractional shares) was 20% in the aggregate, or $0.10 per share, with the balance paid in shares of the Company's common stock.</w:t>
      </w:r>
    </w:p>
    <w:p w:rsidR="00000000" w:rsidRDefault="00FF0345">
      <w:pPr>
        <w:ind w:firstLine="495"/>
        <w:divId w:val="1091049969"/>
        <w:rPr>
          <w:rFonts w:eastAsia="Times New Roman"/>
        </w:rPr>
      </w:pPr>
      <w:r>
        <w:rPr>
          <w:rFonts w:eastAsia="Times New Roman"/>
          <w:color w:val="000000"/>
          <w:sz w:val="20"/>
          <w:szCs w:val="20"/>
        </w:rPr>
        <w:t>In accordance with the provisions of Internal Revenue Service Revenue Procedu</w:t>
      </w:r>
      <w:r>
        <w:rPr>
          <w:rFonts w:eastAsia="Times New Roman"/>
          <w:color w:val="000000"/>
          <w:sz w:val="20"/>
          <w:szCs w:val="20"/>
        </w:rPr>
        <w:t>re 2017-45, stockholders were asked to make an election to receive the dividend all in cash or all in shares. To the extent that more than 20% of cash was elected in the aggregate, the cash portion was prorated. Stockholders who elected to receive the divi</w:t>
      </w:r>
      <w:r>
        <w:rPr>
          <w:rFonts w:eastAsia="Times New Roman"/>
          <w:color w:val="000000"/>
          <w:sz w:val="20"/>
          <w:szCs w:val="20"/>
        </w:rPr>
        <w:t>dend in cash received a cash payment of at least $0.10 per share. Stockholders who did not make an election received 20% in cash and 80% in shares of common stock. The number of shares issued as a result of the dividend was calculated based on the volume w</w:t>
      </w:r>
      <w:r>
        <w:rPr>
          <w:rFonts w:eastAsia="Times New Roman"/>
          <w:color w:val="000000"/>
          <w:sz w:val="20"/>
          <w:szCs w:val="20"/>
        </w:rPr>
        <w:t>eighted average trading price of the Company's common stock on the New York Stock Exchange on May 20, May 21 and May 22, 2020 of $7.2956.</w:t>
      </w:r>
    </w:p>
    <w:p w:rsidR="00000000" w:rsidRDefault="00FF0345">
      <w:pPr>
        <w:ind w:firstLine="495"/>
        <w:divId w:val="1293905302"/>
        <w:rPr>
          <w:rFonts w:eastAsia="Times New Roman"/>
        </w:rPr>
      </w:pPr>
      <w:r>
        <w:rPr>
          <w:rFonts w:eastAsia="Times New Roman"/>
          <w:color w:val="000000"/>
          <w:sz w:val="20"/>
          <w:szCs w:val="20"/>
        </w:rPr>
        <w:t>The Company accounted for the stock portion of its distribution as a stock issuance as opposed to a stock dividend. Ac</w:t>
      </w:r>
      <w:r>
        <w:rPr>
          <w:rFonts w:eastAsia="Times New Roman"/>
          <w:color w:val="000000"/>
          <w:sz w:val="20"/>
          <w:szCs w:val="20"/>
        </w:rPr>
        <w:t>cordingly, the impact of the shares issued is reflected in the Company's earnings per share calculation on a prospective basis.</w:t>
      </w:r>
    </w:p>
    <w:p w:rsidR="00000000" w:rsidRDefault="00FF0345">
      <w:pPr>
        <w:ind w:firstLine="495"/>
        <w:divId w:val="898901919"/>
        <w:rPr>
          <w:rFonts w:eastAsia="Times New Roman"/>
        </w:rPr>
      </w:pPr>
      <w:r>
        <w:rPr>
          <w:rFonts w:eastAsia="Times New Roman"/>
          <w:i/>
          <w:iCs/>
          <w:color w:val="000000"/>
          <w:sz w:val="20"/>
          <w:szCs w:val="20"/>
        </w:rPr>
        <w:t>Stock Offerings</w:t>
      </w:r>
    </w:p>
    <w:p w:rsidR="00000000" w:rsidRDefault="00FF0345">
      <w:pPr>
        <w:ind w:firstLine="495"/>
        <w:divId w:val="516309479"/>
        <w:rPr>
          <w:rFonts w:eastAsia="Times New Roman"/>
        </w:rPr>
      </w:pPr>
      <w:r>
        <w:rPr>
          <w:rFonts w:eastAsia="Times New Roman"/>
          <w:color w:val="000000"/>
          <w:sz w:val="20"/>
          <w:szCs w:val="20"/>
        </w:rPr>
        <w:t>In connection with the commencement of separate “at the market” offering programs, on each of February 1, 2021 a</w:t>
      </w:r>
      <w:r>
        <w:rPr>
          <w:rFonts w:eastAsia="Times New Roman"/>
          <w:color w:val="000000"/>
          <w:sz w:val="20"/>
          <w:szCs w:val="20"/>
        </w:rPr>
        <w:t>nd March 26, 2021, which are referred to as the “February 2021 ATM Program” and the “March 2021 ATM Program,” respectively, and collectively as the “ATM Programs,” the Company entered into separate equity distribution agreements with certain sales agents p</w:t>
      </w:r>
      <w:r>
        <w:rPr>
          <w:rFonts w:eastAsia="Times New Roman"/>
          <w:color w:val="000000"/>
          <w:sz w:val="20"/>
          <w:szCs w:val="20"/>
        </w:rPr>
        <w:t>ursuant to which the Company may issue and sell shares of its common stock having an aggregate offering price of up to $500,000 under each of the February 2021 ATM Program and the March 2021 ATM Program, or a total of $1,000,000 under the ATM Programs.</w:t>
      </w:r>
    </w:p>
    <w:p w:rsidR="00000000" w:rsidRDefault="00FF0345">
      <w:pPr>
        <w:ind w:firstLine="495"/>
        <w:divId w:val="1302342949"/>
        <w:rPr>
          <w:rFonts w:eastAsia="Times New Roman"/>
        </w:rPr>
      </w:pPr>
      <w:r>
        <w:rPr>
          <w:rFonts w:eastAsia="Times New Roman"/>
          <w:color w:val="000000"/>
          <w:sz w:val="20"/>
          <w:szCs w:val="20"/>
        </w:rPr>
        <w:t>Dur</w:t>
      </w:r>
      <w:r>
        <w:rPr>
          <w:rFonts w:eastAsia="Times New Roman"/>
          <w:color w:val="000000"/>
          <w:sz w:val="20"/>
          <w:szCs w:val="20"/>
        </w:rPr>
        <w:t>ing the nine months ended September 30, 2021, the Company issued 62,029,777 shares of common stock under the ATM Programs for aggregate gross proceeds of $847,875 and net proceeds of $829,874 after commissions and other transaction costs. The proceeds from</w:t>
      </w:r>
      <w:r>
        <w:rPr>
          <w:rFonts w:eastAsia="Times New Roman"/>
          <w:color w:val="000000"/>
          <w:sz w:val="20"/>
          <w:szCs w:val="20"/>
        </w:rPr>
        <w:t xml:space="preserve"> the sales under the ATM Programs were used to pay down the Company’s line of credit (See Note 11 – Bank and Other Notes Payable). As of September 30, 2021, $152,125 remained available to be sold under the March 2021 ATM Program. The February 2021 ATM Prog</w:t>
      </w:r>
      <w:r>
        <w:rPr>
          <w:rFonts w:eastAsia="Times New Roman"/>
          <w:color w:val="000000"/>
          <w:sz w:val="20"/>
          <w:szCs w:val="20"/>
        </w:rPr>
        <w:t>ram was fully utilized as of June 30, 2021 and is no longer active. Actual future sales will depend upon a variety of factors including, but not limited to, market conditions, the trading price of the Company’s common stock and the Company’s capital needs.</w:t>
      </w:r>
      <w:r>
        <w:rPr>
          <w:rFonts w:eastAsia="Times New Roman"/>
          <w:color w:val="000000"/>
          <w:sz w:val="20"/>
          <w:szCs w:val="20"/>
        </w:rPr>
        <w:t xml:space="preserve"> The Company has no obligation to sell the remaining shares available for sale under the ATM Programs.</w:t>
      </w:r>
    </w:p>
    <w:p w:rsidR="00000000" w:rsidRDefault="00FF0345">
      <w:pPr>
        <w:ind w:firstLine="495"/>
        <w:divId w:val="2023431324"/>
        <w:rPr>
          <w:rFonts w:eastAsia="Times New Roman"/>
        </w:rPr>
      </w:pPr>
      <w:r>
        <w:rPr>
          <w:rFonts w:eastAsia="Times New Roman"/>
          <w:i/>
          <w:iCs/>
          <w:color w:val="000000"/>
          <w:sz w:val="20"/>
          <w:szCs w:val="20"/>
        </w:rPr>
        <w:t>Stock Buyback Program</w:t>
      </w:r>
    </w:p>
    <w:p w:rsidR="00000000" w:rsidRDefault="00FF0345">
      <w:pPr>
        <w:ind w:firstLine="495"/>
        <w:divId w:val="693307701"/>
        <w:rPr>
          <w:rFonts w:eastAsia="Times New Roman"/>
        </w:rPr>
      </w:pPr>
      <w:r>
        <w:rPr>
          <w:rFonts w:eastAsia="Times New Roman"/>
          <w:color w:val="000000"/>
          <w:sz w:val="20"/>
          <w:szCs w:val="20"/>
        </w:rPr>
        <w:t>On February 12, 2017, the Company's Board of Directors authorized the repurchase of up to $500,000 of its outstanding common shares</w:t>
      </w:r>
      <w:r>
        <w:rPr>
          <w:rFonts w:eastAsia="Times New Roman"/>
          <w:color w:val="000000"/>
          <w:sz w:val="20"/>
          <w:szCs w:val="20"/>
        </w:rPr>
        <w:t xml:space="preserve"> as market conditions and the Company’s liquidity warrant. Repurchases may be made through open market </w:t>
      </w:r>
    </w:p>
    <w:p w:rsidR="00000000" w:rsidRDefault="00FF0345">
      <w:pPr>
        <w:jc w:val="center"/>
        <w:divId w:val="771900253"/>
        <w:rPr>
          <w:rFonts w:eastAsia="Times New Roman"/>
        </w:rPr>
      </w:pPr>
      <w:r>
        <w:rPr>
          <w:rFonts w:eastAsia="Times New Roman"/>
          <w:color w:val="000000"/>
          <w:sz w:val="20"/>
          <w:szCs w:val="20"/>
        </w:rPr>
        <w:t>24</w:t>
      </w:r>
    </w:p>
    <w:p w:rsidR="00000000" w:rsidRDefault="00FF0345">
      <w:pPr>
        <w:rPr>
          <w:rFonts w:eastAsia="Times New Roman"/>
        </w:rPr>
      </w:pPr>
      <w:r>
        <w:rPr>
          <w:rFonts w:eastAsia="Times New Roman"/>
        </w:rPr>
        <w:pict>
          <v:rect id="_x0000_i1048" style="width:0;height:1.5pt" o:hralign="center" o:hrstd="t" o:hr="t" fillcolor="#a0a0a0" stroked="f"/>
        </w:pict>
      </w:r>
    </w:p>
    <w:p w:rsidR="00000000" w:rsidRDefault="00FF0345">
      <w:pPr>
        <w:divId w:val="931670527"/>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026440357"/>
        <w:rPr>
          <w:rFonts w:eastAsia="Times New Roman"/>
        </w:rPr>
      </w:pPr>
      <w:r>
        <w:rPr>
          <w:rFonts w:eastAsia="Times New Roman"/>
          <w:b/>
          <w:bCs/>
          <w:color w:val="000000"/>
          <w:sz w:val="20"/>
          <w:szCs w:val="20"/>
        </w:rPr>
        <w:t>THE MACERICH COMPANY</w:t>
      </w:r>
    </w:p>
    <w:p w:rsidR="00000000" w:rsidRDefault="00FF0345">
      <w:pPr>
        <w:jc w:val="center"/>
        <w:divId w:val="787815655"/>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 (Continued)</w:t>
      </w:r>
    </w:p>
    <w:p w:rsidR="00000000" w:rsidRDefault="00FF0345">
      <w:pPr>
        <w:jc w:val="center"/>
        <w:divId w:val="1205944494"/>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2030141400"/>
        <w:rPr>
          <w:rFonts w:eastAsia="Times New Roman"/>
        </w:rPr>
      </w:pPr>
      <w:r>
        <w:rPr>
          <w:rFonts w:eastAsia="Times New Roman"/>
          <w:b/>
          <w:bCs/>
          <w:color w:val="000000"/>
          <w:sz w:val="20"/>
          <w:szCs w:val="20"/>
        </w:rPr>
        <w:t>(Unaudited)</w:t>
      </w:r>
    </w:p>
    <w:p w:rsidR="00000000" w:rsidRDefault="00FF0345">
      <w:pPr>
        <w:divId w:val="685715830"/>
        <w:rPr>
          <w:rFonts w:eastAsia="Times New Roman"/>
        </w:rPr>
      </w:pPr>
      <w:r>
        <w:rPr>
          <w:rFonts w:eastAsia="Times New Roman"/>
          <w:b/>
          <w:bCs/>
          <w:color w:val="000000"/>
          <w:sz w:val="20"/>
          <w:szCs w:val="20"/>
        </w:rPr>
        <w:t>14. Stockholders' Equity: (Continued)</w:t>
      </w:r>
    </w:p>
    <w:p w:rsidR="00000000" w:rsidRDefault="00FF0345">
      <w:pPr>
        <w:divId w:val="28066295"/>
        <w:rPr>
          <w:rFonts w:eastAsia="Times New Roman"/>
        </w:rPr>
      </w:pPr>
      <w:r>
        <w:rPr>
          <w:rFonts w:eastAsia="Times New Roman"/>
          <w:color w:val="000000"/>
          <w:sz w:val="20"/>
          <w:szCs w:val="20"/>
        </w:rPr>
        <w:t>purchases, privately negotiated transactions, structured or derivative transactions, including ASR transactions, or other methods of acquiring shares, from time to time as permitted by securities laws and other legal requirements. The program is referred t</w:t>
      </w:r>
      <w:r>
        <w:rPr>
          <w:rFonts w:eastAsia="Times New Roman"/>
          <w:color w:val="000000"/>
          <w:sz w:val="20"/>
          <w:szCs w:val="20"/>
        </w:rPr>
        <w:t>o herein as the "Stock Buyback Program".</w:t>
      </w:r>
    </w:p>
    <w:p w:rsidR="00000000" w:rsidRDefault="00FF0345">
      <w:pPr>
        <w:ind w:firstLine="495"/>
        <w:divId w:val="875629763"/>
        <w:rPr>
          <w:rFonts w:eastAsia="Times New Roman"/>
        </w:rPr>
      </w:pPr>
      <w:r>
        <w:rPr>
          <w:rFonts w:eastAsia="Times New Roman"/>
          <w:color w:val="000000"/>
          <w:sz w:val="20"/>
          <w:szCs w:val="20"/>
        </w:rPr>
        <w:t xml:space="preserve">There were no repurchases under the Stock Buyback Program during the nine months ended September 30, 2021 or 2020. </w:t>
      </w:r>
    </w:p>
    <w:p w:rsidR="00000000" w:rsidRDefault="00FF0345">
      <w:pPr>
        <w:divId w:val="730228139"/>
        <w:rPr>
          <w:rFonts w:eastAsia="Times New Roman"/>
        </w:rPr>
      </w:pPr>
      <w:r>
        <w:rPr>
          <w:rFonts w:eastAsia="Times New Roman"/>
          <w:b/>
          <w:bCs/>
          <w:color w:val="000000"/>
          <w:sz w:val="20"/>
          <w:szCs w:val="20"/>
        </w:rPr>
        <w:t>15. Dispositions:</w:t>
      </w:r>
    </w:p>
    <w:p w:rsidR="00000000" w:rsidRDefault="00FF0345">
      <w:pPr>
        <w:ind w:firstLine="720"/>
        <w:divId w:val="1891111477"/>
        <w:rPr>
          <w:rFonts w:eastAsia="Times New Roman"/>
        </w:rPr>
      </w:pPr>
      <w:r>
        <w:rPr>
          <w:rFonts w:eastAsia="Times New Roman"/>
          <w:color w:val="000000"/>
          <w:sz w:val="20"/>
          <w:szCs w:val="20"/>
        </w:rPr>
        <w:t>On March 29, 2021, the Company sold Paradise Valley Mall in Phoenix, Arizona to a</w:t>
      </w:r>
      <w:r>
        <w:rPr>
          <w:rFonts w:eastAsia="Times New Roman"/>
          <w:color w:val="000000"/>
          <w:sz w:val="20"/>
          <w:szCs w:val="20"/>
        </w:rPr>
        <w:t xml:space="preserve"> newly formed joint venture for $100,000 resulting in a gain on sale of assets and land of $5,563. Concurrent with the sale, the Company elected to reinvest into the new joint venture at a 5% ownership interest (see Note 4 – Investments in Unconsolidated J</w:t>
      </w:r>
      <w:r>
        <w:rPr>
          <w:rFonts w:eastAsia="Times New Roman"/>
          <w:color w:val="000000"/>
          <w:sz w:val="20"/>
          <w:szCs w:val="20"/>
        </w:rPr>
        <w:t>oint Ventures). The Company used the proceeds from the sale to pay down its line of credit and for other general corporate purposes.</w:t>
      </w:r>
    </w:p>
    <w:p w:rsidR="00000000" w:rsidRDefault="00FF0345">
      <w:pPr>
        <w:ind w:firstLine="495"/>
        <w:divId w:val="262104826"/>
        <w:rPr>
          <w:rFonts w:eastAsia="Times New Roman"/>
        </w:rPr>
      </w:pPr>
      <w:r>
        <w:rPr>
          <w:rFonts w:eastAsia="Times New Roman"/>
          <w:color w:val="000000"/>
          <w:sz w:val="20"/>
          <w:szCs w:val="20"/>
        </w:rPr>
        <w:t>On September 17, 2021, the Company sold Tucson La Encantada in Tucson, Arizona for $165,250, resulting in a gain on sale of</w:t>
      </w:r>
      <w:r>
        <w:rPr>
          <w:rFonts w:eastAsia="Times New Roman"/>
          <w:color w:val="000000"/>
          <w:sz w:val="20"/>
          <w:szCs w:val="20"/>
        </w:rPr>
        <w:t xml:space="preserve"> assets of approximately $117,242. The Company used the net cash proceeds of $100,142 to pay down debt. </w:t>
      </w:r>
    </w:p>
    <w:p w:rsidR="00000000" w:rsidRDefault="00FF0345">
      <w:pPr>
        <w:divId w:val="411439132"/>
        <w:rPr>
          <w:rFonts w:eastAsia="Times New Roman"/>
        </w:rPr>
      </w:pPr>
      <w:r>
        <w:rPr>
          <w:rFonts w:eastAsia="Times New Roman"/>
          <w:b/>
          <w:bCs/>
          <w:color w:val="000000"/>
          <w:sz w:val="20"/>
          <w:szCs w:val="20"/>
        </w:rPr>
        <w:t>16. Commitments and Contingencies:</w:t>
      </w:r>
    </w:p>
    <w:p w:rsidR="00000000" w:rsidRDefault="00FF0345">
      <w:pPr>
        <w:ind w:firstLine="495"/>
        <w:divId w:val="99882608"/>
        <w:rPr>
          <w:rFonts w:eastAsia="Times New Roman"/>
        </w:rPr>
      </w:pPr>
      <w:r>
        <w:rPr>
          <w:rFonts w:eastAsia="Times New Roman"/>
          <w:color w:val="000000"/>
          <w:sz w:val="20"/>
          <w:szCs w:val="20"/>
        </w:rPr>
        <w:t>As of September 30, 2021, the Company was contingently liable for $40,915 in letters of credit guaranteeing performa</w:t>
      </w:r>
      <w:r>
        <w:rPr>
          <w:rFonts w:eastAsia="Times New Roman"/>
          <w:color w:val="000000"/>
          <w:sz w:val="20"/>
          <w:szCs w:val="20"/>
        </w:rPr>
        <w:t>nce by the Company of certain obligations relating to the Centers. As of September 30, 2021, $40,600 of these letters of credit were secured by restricted cash. The Company does not believe that these letters of credit will result in a liability to the Com</w:t>
      </w:r>
      <w:r>
        <w:rPr>
          <w:rFonts w:eastAsia="Times New Roman"/>
          <w:color w:val="000000"/>
          <w:sz w:val="20"/>
          <w:szCs w:val="20"/>
        </w:rPr>
        <w:t>pany.</w:t>
      </w:r>
    </w:p>
    <w:p w:rsidR="00000000" w:rsidRDefault="00FF0345">
      <w:pPr>
        <w:ind w:firstLine="495"/>
        <w:divId w:val="1613124645"/>
        <w:rPr>
          <w:rFonts w:eastAsia="Times New Roman"/>
        </w:rPr>
      </w:pPr>
      <w:r>
        <w:rPr>
          <w:rFonts w:eastAsia="Times New Roman"/>
          <w:color w:val="000000"/>
          <w:sz w:val="20"/>
          <w:szCs w:val="20"/>
        </w:rPr>
        <w:t>The Company has entered into a number of construction agreements related to its redevelopment and development activities. Obligations under these agreements are contingent upon the completion of the services within the guidelines specified in the agr</w:t>
      </w:r>
      <w:r>
        <w:rPr>
          <w:rFonts w:eastAsia="Times New Roman"/>
          <w:color w:val="000000"/>
          <w:sz w:val="20"/>
          <w:szCs w:val="20"/>
        </w:rPr>
        <w:t>eements. At September 30, 2021, the Company had $2,920 in outstanding obligations, which it believes will be settled in the next twelve months.</w:t>
      </w:r>
    </w:p>
    <w:p w:rsidR="00000000" w:rsidRDefault="00FF0345">
      <w:pPr>
        <w:divId w:val="600456440"/>
        <w:rPr>
          <w:rFonts w:eastAsia="Times New Roman"/>
        </w:rPr>
      </w:pPr>
      <w:r>
        <w:rPr>
          <w:rFonts w:eastAsia="Times New Roman"/>
          <w:b/>
          <w:bCs/>
          <w:color w:val="000000"/>
          <w:sz w:val="20"/>
          <w:szCs w:val="20"/>
        </w:rPr>
        <w:t>17. Related Party Transactions:</w:t>
      </w:r>
    </w:p>
    <w:p w:rsidR="00000000" w:rsidRDefault="00FF0345">
      <w:pPr>
        <w:ind w:firstLine="495"/>
        <w:divId w:val="276104203"/>
        <w:rPr>
          <w:rFonts w:eastAsia="Times New Roman"/>
        </w:rPr>
      </w:pPr>
      <w:r>
        <w:rPr>
          <w:rFonts w:eastAsia="Times New Roman"/>
          <w:color w:val="000000"/>
          <w:sz w:val="20"/>
          <w:szCs w:val="20"/>
        </w:rPr>
        <w:t>Certain unconsolidated joint ventures have engaged the Management Companies to m</w:t>
      </w:r>
      <w:r>
        <w:rPr>
          <w:rFonts w:eastAsia="Times New Roman"/>
          <w:color w:val="000000"/>
          <w:sz w:val="20"/>
          <w:szCs w:val="20"/>
        </w:rPr>
        <w:t>anage the operations of the Centers. Under these arrangements, the Management Companies are reimbursed for compensation paid to on-site employees, leasing agents and project managers at the Centers, as well as insurance costs and other administrative expen</w:t>
      </w:r>
      <w:r>
        <w:rPr>
          <w:rFonts w:eastAsia="Times New Roman"/>
          <w:color w:val="000000"/>
          <w:sz w:val="20"/>
          <w:szCs w:val="20"/>
        </w:rPr>
        <w:t xml:space="preserve">ses. </w:t>
      </w:r>
    </w:p>
    <w:p w:rsidR="00000000" w:rsidRDefault="00FF0345">
      <w:pPr>
        <w:ind w:firstLine="495"/>
        <w:divId w:val="662314641"/>
        <w:rPr>
          <w:rFonts w:eastAsia="Times New Roman"/>
        </w:rPr>
      </w:pPr>
      <w:r>
        <w:rPr>
          <w:rFonts w:eastAsia="Times New Roman"/>
          <w:color w:val="000000"/>
          <w:sz w:val="20"/>
          <w:szCs w:val="20"/>
        </w:rPr>
        <w:t>The following are fees charged to unconsolidated joint ventures:</w:t>
      </w:r>
    </w:p>
    <w:tbl>
      <w:tblPr>
        <w:tblW w:w="3559" w:type="pct"/>
        <w:tblCellMar>
          <w:top w:w="15" w:type="dxa"/>
          <w:left w:w="15" w:type="dxa"/>
          <w:bottom w:w="15" w:type="dxa"/>
          <w:right w:w="15" w:type="dxa"/>
        </w:tblCellMar>
        <w:tblLook w:val="04A0" w:firstRow="1" w:lastRow="0" w:firstColumn="1" w:lastColumn="0" w:noHBand="0" w:noVBand="1"/>
      </w:tblPr>
      <w:tblGrid>
        <w:gridCol w:w="37"/>
        <w:gridCol w:w="2624"/>
        <w:gridCol w:w="36"/>
        <w:gridCol w:w="120"/>
        <w:gridCol w:w="552"/>
        <w:gridCol w:w="36"/>
        <w:gridCol w:w="36"/>
        <w:gridCol w:w="36"/>
        <w:gridCol w:w="36"/>
        <w:gridCol w:w="120"/>
        <w:gridCol w:w="515"/>
        <w:gridCol w:w="36"/>
        <w:gridCol w:w="36"/>
        <w:gridCol w:w="36"/>
        <w:gridCol w:w="36"/>
        <w:gridCol w:w="120"/>
        <w:gridCol w:w="600"/>
        <w:gridCol w:w="36"/>
        <w:gridCol w:w="36"/>
        <w:gridCol w:w="36"/>
        <w:gridCol w:w="36"/>
        <w:gridCol w:w="120"/>
        <w:gridCol w:w="600"/>
        <w:gridCol w:w="36"/>
      </w:tblGrid>
      <w:tr w:rsidR="00000000">
        <w:trPr>
          <w:divId w:val="662273135"/>
        </w:trPr>
        <w:tc>
          <w:tcPr>
            <w:tcW w:w="50" w:type="pct"/>
            <w:vAlign w:val="center"/>
            <w:hideMark/>
          </w:tcPr>
          <w:p w:rsidR="00000000" w:rsidRDefault="00FF0345">
            <w:pPr>
              <w:ind w:firstLine="495"/>
              <w:rPr>
                <w:rFonts w:eastAsia="Times New Roman"/>
              </w:rPr>
            </w:pPr>
          </w:p>
        </w:tc>
        <w:tc>
          <w:tcPr>
            <w:tcW w:w="233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5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6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6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6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662273135"/>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662273135"/>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662273135"/>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Management fees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4,285 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13,066 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662273135"/>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Development and leasing fees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1,747 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1,443 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4,732 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5,838 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662273135"/>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5,728 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17,129 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18,904 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1407603435"/>
        <w:rPr>
          <w:rFonts w:eastAsia="Times New Roman"/>
        </w:rPr>
      </w:pPr>
    </w:p>
    <w:p w:rsidR="00000000" w:rsidRDefault="00FF0345">
      <w:pPr>
        <w:ind w:firstLine="495"/>
        <w:divId w:val="488209256"/>
        <w:rPr>
          <w:rFonts w:eastAsia="Times New Roman"/>
        </w:rPr>
      </w:pPr>
      <w:r>
        <w:rPr>
          <w:rFonts w:eastAsia="Times New Roman"/>
          <w:color w:val="000000"/>
          <w:sz w:val="20"/>
          <w:szCs w:val="20"/>
        </w:rPr>
        <w:t xml:space="preserve">Interest expense (income) from related party transactions includes $(7,708) and $(15,502) for the three months ended September 30, 2021 and 2020, respectively, </w:t>
      </w:r>
      <w:r>
        <w:rPr>
          <w:rFonts w:eastAsia="Times New Roman"/>
          <w:color w:val="000000"/>
          <w:sz w:val="20"/>
          <w:szCs w:val="20"/>
        </w:rPr>
        <w:t xml:space="preserve">and $(3,435) and $(92,552) for the nine months ended September 30, 2021 and 2020, respectively, in connection with the Financing Arrangement (See Note 12—Financing Arrangement). </w:t>
      </w:r>
    </w:p>
    <w:p w:rsidR="00000000" w:rsidRDefault="00FF0345">
      <w:pPr>
        <w:ind w:firstLine="495"/>
        <w:divId w:val="1638995393"/>
        <w:rPr>
          <w:rFonts w:eastAsia="Times New Roman"/>
        </w:rPr>
      </w:pPr>
      <w:r>
        <w:rPr>
          <w:rFonts w:eastAsia="Times New Roman"/>
          <w:color w:val="000000"/>
          <w:sz w:val="20"/>
          <w:szCs w:val="20"/>
        </w:rPr>
        <w:t>Due from affiliates includes $2,977 and $1,612 of unreimbursed costs and fees</w:t>
      </w:r>
      <w:r>
        <w:rPr>
          <w:rFonts w:eastAsia="Times New Roman"/>
          <w:color w:val="000000"/>
          <w:sz w:val="20"/>
          <w:szCs w:val="20"/>
        </w:rPr>
        <w:t xml:space="preserve"> from unconsolidated joint ventures due to the Management Companies as of September 30, 2021 and December 31, 2020, respectively.</w:t>
      </w:r>
    </w:p>
    <w:p w:rsidR="00000000" w:rsidRDefault="00FF0345">
      <w:pPr>
        <w:divId w:val="301545459"/>
        <w:rPr>
          <w:rFonts w:eastAsia="Times New Roman"/>
        </w:rPr>
      </w:pPr>
      <w:r>
        <w:rPr>
          <w:rFonts w:eastAsia="Times New Roman"/>
          <w:b/>
          <w:bCs/>
          <w:color w:val="000000"/>
          <w:sz w:val="20"/>
          <w:szCs w:val="20"/>
        </w:rPr>
        <w:t>18. Share and Unit-Based Plans:</w:t>
      </w:r>
    </w:p>
    <w:p w:rsidR="00000000" w:rsidRDefault="00FF0345">
      <w:pPr>
        <w:ind w:firstLine="495"/>
        <w:divId w:val="135953097"/>
        <w:rPr>
          <w:rFonts w:eastAsia="Times New Roman"/>
        </w:rPr>
      </w:pPr>
      <w:r>
        <w:rPr>
          <w:rFonts w:eastAsia="Times New Roman"/>
          <w:color w:val="000000"/>
          <w:sz w:val="20"/>
          <w:szCs w:val="20"/>
        </w:rPr>
        <w:t>Under the Long-Term Incentive Plan ("LTIP"), each award recipient is issued a form of units ("LTIP Units") in the Operating Partnership. Upon the occurrence of specified events and subject to the satisfaction of applicable vesting conditions, LTIP Units (a</w:t>
      </w:r>
      <w:r>
        <w:rPr>
          <w:rFonts w:eastAsia="Times New Roman"/>
          <w:color w:val="000000"/>
          <w:sz w:val="20"/>
          <w:szCs w:val="20"/>
        </w:rPr>
        <w:t xml:space="preserve">fter conversion into OP Units) are ultimately redeemable for common stock of the Company, or cash at the </w:t>
      </w:r>
    </w:p>
    <w:p w:rsidR="00000000" w:rsidRDefault="00FF0345">
      <w:pPr>
        <w:jc w:val="center"/>
        <w:divId w:val="482039475"/>
        <w:rPr>
          <w:rFonts w:eastAsia="Times New Roman"/>
        </w:rPr>
      </w:pPr>
      <w:r>
        <w:rPr>
          <w:rFonts w:eastAsia="Times New Roman"/>
          <w:color w:val="000000"/>
          <w:sz w:val="20"/>
          <w:szCs w:val="20"/>
        </w:rPr>
        <w:t>25</w:t>
      </w:r>
    </w:p>
    <w:p w:rsidR="00000000" w:rsidRDefault="00FF0345">
      <w:pPr>
        <w:rPr>
          <w:rFonts w:eastAsia="Times New Roman"/>
        </w:rPr>
      </w:pPr>
      <w:r>
        <w:rPr>
          <w:rFonts w:eastAsia="Times New Roman"/>
        </w:rPr>
        <w:pict>
          <v:rect id="_x0000_i1049" style="width:0;height:1.5pt" o:hralign="center" o:hrstd="t" o:hr="t" fillcolor="#a0a0a0" stroked="f"/>
        </w:pict>
      </w:r>
    </w:p>
    <w:p w:rsidR="00000000" w:rsidRDefault="00FF0345">
      <w:pPr>
        <w:divId w:val="1715999638"/>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670137088"/>
        <w:rPr>
          <w:rFonts w:eastAsia="Times New Roman"/>
        </w:rPr>
      </w:pPr>
      <w:r>
        <w:rPr>
          <w:rFonts w:eastAsia="Times New Roman"/>
          <w:b/>
          <w:bCs/>
          <w:color w:val="000000"/>
          <w:sz w:val="20"/>
          <w:szCs w:val="20"/>
        </w:rPr>
        <w:t>THE MACERICH COMPANY</w:t>
      </w:r>
    </w:p>
    <w:p w:rsidR="00000000" w:rsidRDefault="00FF0345">
      <w:pPr>
        <w:jc w:val="center"/>
        <w:divId w:val="647899952"/>
        <w:rPr>
          <w:rFonts w:eastAsia="Times New Roman"/>
        </w:rPr>
      </w:pPr>
      <w:r>
        <w:rPr>
          <w:rFonts w:eastAsia="Times New Roman"/>
          <w:b/>
          <w:bCs/>
          <w:color w:val="000000"/>
          <w:sz w:val="20"/>
          <w:szCs w:val="20"/>
        </w:rPr>
        <w:t>NOTES TO CONSOLIDATED FINANCIAL STATEMENTS (Continued)</w:t>
      </w:r>
    </w:p>
    <w:p w:rsidR="00000000" w:rsidRDefault="00FF0345">
      <w:pPr>
        <w:jc w:val="center"/>
        <w:divId w:val="1426419275"/>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977449933"/>
        <w:rPr>
          <w:rFonts w:eastAsia="Times New Roman"/>
        </w:rPr>
      </w:pPr>
      <w:r>
        <w:rPr>
          <w:rFonts w:eastAsia="Times New Roman"/>
          <w:b/>
          <w:bCs/>
          <w:color w:val="000000"/>
          <w:sz w:val="20"/>
          <w:szCs w:val="20"/>
        </w:rPr>
        <w:t>(Un</w:t>
      </w:r>
      <w:r>
        <w:rPr>
          <w:rFonts w:eastAsia="Times New Roman"/>
          <w:b/>
          <w:bCs/>
          <w:color w:val="000000"/>
          <w:sz w:val="20"/>
          <w:szCs w:val="20"/>
        </w:rPr>
        <w:t>audited)</w:t>
      </w:r>
    </w:p>
    <w:p w:rsidR="00000000" w:rsidRDefault="00FF0345">
      <w:pPr>
        <w:ind w:hanging="360"/>
        <w:divId w:val="1245526780"/>
        <w:rPr>
          <w:rFonts w:eastAsia="Times New Roman"/>
        </w:rPr>
      </w:pPr>
      <w:r>
        <w:rPr>
          <w:rFonts w:eastAsia="Times New Roman"/>
          <w:b/>
          <w:bCs/>
          <w:color w:val="000000"/>
          <w:sz w:val="20"/>
          <w:szCs w:val="20"/>
        </w:rPr>
        <w:t>18. Share and Unit-Based Plans: (Continued)</w:t>
      </w:r>
    </w:p>
    <w:p w:rsidR="00000000" w:rsidRDefault="00FF0345">
      <w:pPr>
        <w:divId w:val="1054547082"/>
        <w:rPr>
          <w:rFonts w:eastAsia="Times New Roman"/>
        </w:rPr>
      </w:pPr>
      <w:r>
        <w:rPr>
          <w:rFonts w:eastAsia="Times New Roman"/>
          <w:color w:val="000000"/>
          <w:sz w:val="20"/>
          <w:szCs w:val="20"/>
        </w:rPr>
        <w:t>Company's option, on a one-unit for one-share basis. LTIP Units receive cash dividends based on the dividend amount paid on the common stock of the Company. The LTIP may include both market-indexed award</w:t>
      </w:r>
      <w:r>
        <w:rPr>
          <w:rFonts w:eastAsia="Times New Roman"/>
          <w:color w:val="000000"/>
          <w:sz w:val="20"/>
          <w:szCs w:val="20"/>
        </w:rPr>
        <w:t xml:space="preserve">s and service-based awards. </w:t>
      </w:r>
    </w:p>
    <w:p w:rsidR="00000000" w:rsidRDefault="00FF0345">
      <w:pPr>
        <w:ind w:firstLine="495"/>
        <w:divId w:val="2002931632"/>
        <w:rPr>
          <w:rFonts w:eastAsia="Times New Roman"/>
        </w:rPr>
      </w:pPr>
      <w:r>
        <w:rPr>
          <w:rFonts w:eastAsia="Times New Roman"/>
          <w:color w:val="000000"/>
          <w:sz w:val="20"/>
          <w:szCs w:val="20"/>
        </w:rPr>
        <w:t>The market-indexed LTIP Units vest over the service period of the award based on certain performance conditions of the Company and on the percentile ranking of the Company in terms of total return to stockholders (the "Total Re</w:t>
      </w:r>
      <w:r>
        <w:rPr>
          <w:rFonts w:eastAsia="Times New Roman"/>
          <w:color w:val="000000"/>
          <w:sz w:val="20"/>
          <w:szCs w:val="20"/>
        </w:rPr>
        <w:t>turn") per share of common stock relative to the Total Return of a group of peer REITs, as measured at the end of the measurement period.</w:t>
      </w:r>
    </w:p>
    <w:p w:rsidR="00000000" w:rsidRDefault="00FF0345">
      <w:pPr>
        <w:ind w:firstLine="495"/>
        <w:divId w:val="756366188"/>
        <w:rPr>
          <w:rFonts w:eastAsia="Times New Roman"/>
        </w:rPr>
      </w:pPr>
      <w:r>
        <w:rPr>
          <w:rFonts w:eastAsia="Times New Roman"/>
          <w:color w:val="000000"/>
          <w:sz w:val="20"/>
          <w:szCs w:val="20"/>
        </w:rPr>
        <w:t>During the nine months ended September 30, 2021, the Company granted the following LTIP Units:</w:t>
      </w:r>
    </w:p>
    <w:tbl>
      <w:tblPr>
        <w:tblW w:w="3362" w:type="pct"/>
        <w:tblCellMar>
          <w:top w:w="15" w:type="dxa"/>
          <w:left w:w="15" w:type="dxa"/>
          <w:bottom w:w="15" w:type="dxa"/>
          <w:right w:w="15" w:type="dxa"/>
        </w:tblCellMar>
        <w:tblLook w:val="04A0" w:firstRow="1" w:lastRow="0" w:firstColumn="1" w:lastColumn="0" w:noHBand="0" w:noVBand="1"/>
      </w:tblPr>
      <w:tblGrid>
        <w:gridCol w:w="44"/>
        <w:gridCol w:w="820"/>
        <w:gridCol w:w="37"/>
        <w:gridCol w:w="36"/>
        <w:gridCol w:w="36"/>
        <w:gridCol w:w="36"/>
        <w:gridCol w:w="53"/>
        <w:gridCol w:w="817"/>
        <w:gridCol w:w="36"/>
        <w:gridCol w:w="36"/>
        <w:gridCol w:w="36"/>
        <w:gridCol w:w="36"/>
        <w:gridCol w:w="38"/>
        <w:gridCol w:w="1259"/>
        <w:gridCol w:w="36"/>
        <w:gridCol w:w="36"/>
        <w:gridCol w:w="36"/>
        <w:gridCol w:w="36"/>
        <w:gridCol w:w="120"/>
        <w:gridCol w:w="874"/>
        <w:gridCol w:w="36"/>
        <w:gridCol w:w="36"/>
        <w:gridCol w:w="36"/>
        <w:gridCol w:w="36"/>
        <w:gridCol w:w="56"/>
        <w:gridCol w:w="891"/>
        <w:gridCol w:w="36"/>
      </w:tblGrid>
      <w:tr w:rsidR="00000000">
        <w:trPr>
          <w:divId w:val="756366188"/>
        </w:trPr>
        <w:tc>
          <w:tcPr>
            <w:tcW w:w="50" w:type="pct"/>
            <w:vAlign w:val="center"/>
            <w:hideMark/>
          </w:tcPr>
          <w:p w:rsidR="00000000" w:rsidRDefault="00FF0345">
            <w:pPr>
              <w:ind w:firstLine="495"/>
              <w:rPr>
                <w:rFonts w:eastAsia="Times New Roman"/>
              </w:rPr>
            </w:pPr>
          </w:p>
        </w:tc>
        <w:tc>
          <w:tcPr>
            <w:tcW w:w="80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7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7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7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20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7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82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80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756366188"/>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Grant Date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Units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Type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Fair Value per LTIP Unit</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Vest Date</w:t>
            </w:r>
          </w:p>
        </w:tc>
      </w:tr>
      <w:tr w:rsidR="00000000">
        <w:trPr>
          <w:divId w:val="75636618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1/1/2021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576,378 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Service-based</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12/31/2023</w:t>
            </w:r>
          </w:p>
        </w:tc>
      </w:tr>
      <w:tr w:rsidR="00000000">
        <w:trPr>
          <w:divId w:val="756366188"/>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1/1/2021</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1,005,073 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Market-indexed</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9.85 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20"/>
                <w:szCs w:val="20"/>
              </w:rPr>
              <w:t>12/31/2023</w:t>
            </w:r>
          </w:p>
        </w:tc>
      </w:tr>
      <w:tr w:rsidR="00000000">
        <w:trPr>
          <w:divId w:val="756366188"/>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1,581,451 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ind w:firstLine="495"/>
        <w:divId w:val="791703445"/>
        <w:rPr>
          <w:rFonts w:eastAsia="Times New Roman"/>
        </w:rPr>
      </w:pPr>
      <w:r>
        <w:rPr>
          <w:rFonts w:eastAsia="Times New Roman"/>
          <w:color w:val="000000"/>
          <w:sz w:val="20"/>
          <w:szCs w:val="20"/>
        </w:rPr>
        <w:t>The fair value of the market-indexed LTIP Units (Level 3) granted on January </w:t>
      </w:r>
      <w:r>
        <w:rPr>
          <w:rFonts w:eastAsia="Times New Roman"/>
          <w:color w:val="000000"/>
          <w:sz w:val="20"/>
          <w:szCs w:val="20"/>
        </w:rPr>
        <w:t>1, 2021 was estimated on the date of grant using a Monte Carlo Simulation model that assumed a risk-free interest rate of 0.17% and an expected volatility of 62.82%.</w:t>
      </w:r>
    </w:p>
    <w:p w:rsidR="00000000" w:rsidRDefault="00FF0345">
      <w:pPr>
        <w:ind w:firstLine="495"/>
        <w:divId w:val="1168014144"/>
        <w:rPr>
          <w:rFonts w:eastAsia="Times New Roman"/>
        </w:rPr>
      </w:pPr>
      <w:r>
        <w:rPr>
          <w:rFonts w:eastAsia="Times New Roman"/>
          <w:color w:val="000000"/>
          <w:sz w:val="20"/>
          <w:szCs w:val="20"/>
        </w:rPr>
        <w:t>The following table summarizes the activity of the non-vested LTIP Units, phantom stock un</w:t>
      </w:r>
      <w:r>
        <w:rPr>
          <w:rFonts w:eastAsia="Times New Roman"/>
          <w:color w:val="000000"/>
          <w:sz w:val="20"/>
          <w:szCs w:val="20"/>
        </w:rPr>
        <w:t>its and stock units:</w:t>
      </w:r>
    </w:p>
    <w:tbl>
      <w:tblPr>
        <w:tblW w:w="4181" w:type="pct"/>
        <w:tblCellMar>
          <w:top w:w="15" w:type="dxa"/>
          <w:left w:w="15" w:type="dxa"/>
          <w:bottom w:w="15" w:type="dxa"/>
          <w:right w:w="15" w:type="dxa"/>
        </w:tblCellMar>
        <w:tblLook w:val="04A0" w:firstRow="1" w:lastRow="0" w:firstColumn="1" w:lastColumn="0" w:noHBand="0" w:noVBand="1"/>
      </w:tblPr>
      <w:tblGrid>
        <w:gridCol w:w="39"/>
        <w:gridCol w:w="877"/>
        <w:gridCol w:w="38"/>
        <w:gridCol w:w="79"/>
        <w:gridCol w:w="791"/>
        <w:gridCol w:w="36"/>
        <w:gridCol w:w="36"/>
        <w:gridCol w:w="36"/>
        <w:gridCol w:w="36"/>
        <w:gridCol w:w="121"/>
        <w:gridCol w:w="627"/>
        <w:gridCol w:w="36"/>
        <w:gridCol w:w="36"/>
        <w:gridCol w:w="36"/>
        <w:gridCol w:w="36"/>
        <w:gridCol w:w="36"/>
        <w:gridCol w:w="36"/>
        <w:gridCol w:w="330"/>
        <w:gridCol w:w="330"/>
        <w:gridCol w:w="64"/>
        <w:gridCol w:w="640"/>
        <w:gridCol w:w="36"/>
        <w:gridCol w:w="36"/>
        <w:gridCol w:w="36"/>
        <w:gridCol w:w="36"/>
        <w:gridCol w:w="121"/>
        <w:gridCol w:w="624"/>
        <w:gridCol w:w="37"/>
        <w:gridCol w:w="36"/>
        <w:gridCol w:w="36"/>
        <w:gridCol w:w="36"/>
        <w:gridCol w:w="73"/>
        <w:gridCol w:w="731"/>
        <w:gridCol w:w="36"/>
        <w:gridCol w:w="36"/>
        <w:gridCol w:w="36"/>
        <w:gridCol w:w="36"/>
        <w:gridCol w:w="121"/>
        <w:gridCol w:w="627"/>
        <w:gridCol w:w="36"/>
      </w:tblGrid>
      <w:tr w:rsidR="00000000">
        <w:trPr>
          <w:divId w:val="1168014144"/>
        </w:trPr>
        <w:tc>
          <w:tcPr>
            <w:tcW w:w="50" w:type="pct"/>
            <w:vAlign w:val="center"/>
            <w:hideMark/>
          </w:tcPr>
          <w:p w:rsidR="00000000" w:rsidRDefault="00FF0345">
            <w:pPr>
              <w:ind w:firstLine="495"/>
              <w:rPr>
                <w:rFonts w:eastAsia="Times New Roman"/>
              </w:rPr>
            </w:pPr>
          </w:p>
        </w:tc>
        <w:tc>
          <w:tcPr>
            <w:tcW w:w="147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6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6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6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168014144"/>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8"/>
                <w:szCs w:val="18"/>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LTIP Units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Phantom Stock Units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Stock Units</w:t>
            </w: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r>
      <w:tr w:rsidR="00000000">
        <w:trPr>
          <w:divId w:val="1168014144"/>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Value(1)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Value(1)</w:t>
            </w:r>
          </w:p>
        </w:tc>
      </w:tr>
      <w:tr w:rsidR="00000000">
        <w:trPr>
          <w:divId w:val="116801414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784,052 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4,662 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309,845 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16801414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1,581,451 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10.15 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16,577 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11.74 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167,356 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14.58 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168014144"/>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(17,931)</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29.75 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(16,710)</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16.87 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(209,709)</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19.04 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168014144"/>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(987)</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22.12 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16801414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Balance at September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2,347,572 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16.00 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4,529 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17.10 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266,505 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19.05 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168014144"/>
          <w:trHeight w:val="240"/>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116801414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1168014144"/>
        </w:trPr>
        <w:tc>
          <w:tcPr>
            <w:tcW w:w="0" w:type="auto"/>
            <w:gridSpan w:val="28"/>
            <w:tcMar>
              <w:top w:w="30" w:type="dxa"/>
              <w:left w:w="20" w:type="dxa"/>
              <w:bottom w:w="30" w:type="dxa"/>
              <w:right w:w="20" w:type="dxa"/>
            </w:tcMar>
            <w:vAlign w:val="bottom"/>
            <w:hideMark/>
          </w:tcPr>
          <w:p w:rsidR="00000000" w:rsidRDefault="00FF0345">
            <w:pPr>
              <w:spacing w:after="100"/>
              <w:ind w:hanging="450"/>
              <w:divId w:val="1568227547"/>
              <w:rPr>
                <w:rFonts w:eastAsia="Times New Roman"/>
              </w:rPr>
            </w:pPr>
            <w:r>
              <w:rPr>
                <w:rFonts w:eastAsia="Times New Roman"/>
                <w:color w:val="000000"/>
                <w:sz w:val="16"/>
                <w:szCs w:val="16"/>
              </w:rPr>
              <w:t>(1) Value represents the weighted average grant date fair value.</w:t>
            </w: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r>
    </w:tbl>
    <w:p w:rsidR="00000000" w:rsidRDefault="00FF0345">
      <w:pPr>
        <w:ind w:firstLine="270"/>
        <w:divId w:val="90393026"/>
        <w:rPr>
          <w:rFonts w:eastAsia="Times New Roman"/>
        </w:rPr>
      </w:pPr>
      <w:r>
        <w:rPr>
          <w:rFonts w:eastAsia="Times New Roman"/>
          <w:color w:val="000000"/>
          <w:sz w:val="20"/>
          <w:szCs w:val="20"/>
        </w:rPr>
        <w:t>The following table summarizes the activity of the stock options outstanding:</w:t>
      </w:r>
    </w:p>
    <w:tbl>
      <w:tblPr>
        <w:tblW w:w="2434" w:type="pct"/>
        <w:tblCellMar>
          <w:top w:w="15" w:type="dxa"/>
          <w:left w:w="15" w:type="dxa"/>
          <w:bottom w:w="15" w:type="dxa"/>
          <w:right w:w="15" w:type="dxa"/>
        </w:tblCellMar>
        <w:tblLook w:val="04A0" w:firstRow="1" w:lastRow="0" w:firstColumn="1" w:lastColumn="0" w:noHBand="0" w:noVBand="1"/>
      </w:tblPr>
      <w:tblGrid>
        <w:gridCol w:w="39"/>
        <w:gridCol w:w="1672"/>
        <w:gridCol w:w="38"/>
        <w:gridCol w:w="36"/>
        <w:gridCol w:w="46"/>
        <w:gridCol w:w="520"/>
        <w:gridCol w:w="36"/>
        <w:gridCol w:w="36"/>
        <w:gridCol w:w="36"/>
        <w:gridCol w:w="38"/>
        <w:gridCol w:w="587"/>
        <w:gridCol w:w="36"/>
        <w:gridCol w:w="36"/>
        <w:gridCol w:w="36"/>
        <w:gridCol w:w="36"/>
        <w:gridCol w:w="121"/>
        <w:gridCol w:w="658"/>
        <w:gridCol w:w="36"/>
      </w:tblGrid>
      <w:tr w:rsidR="00000000">
        <w:trPr>
          <w:divId w:val="568809137"/>
        </w:trPr>
        <w:tc>
          <w:tcPr>
            <w:tcW w:w="50" w:type="pct"/>
            <w:vAlign w:val="center"/>
            <w:hideMark/>
          </w:tcPr>
          <w:p w:rsidR="00000000" w:rsidRDefault="00FF0345">
            <w:pPr>
              <w:ind w:firstLine="270"/>
              <w:rPr>
                <w:rFonts w:eastAsia="Times New Roman"/>
              </w:rPr>
            </w:pPr>
          </w:p>
        </w:tc>
        <w:tc>
          <w:tcPr>
            <w:tcW w:w="293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6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90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6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84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56880913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FF0345">
            <w:pPr>
              <w:spacing w:after="100"/>
              <w:rPr>
                <w:rFonts w:eastAsia="Times New Roman"/>
              </w:rPr>
            </w:pPr>
          </w:p>
        </w:tc>
        <w:tc>
          <w:tcPr>
            <w:tcW w:w="0" w:type="auto"/>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Stock Options</w:t>
            </w: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r>
      <w:tr w:rsidR="00000000">
        <w:trPr>
          <w:divId w:val="56880913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8"/>
                <w:szCs w:val="18"/>
              </w:rPr>
              <w:t> </w:t>
            </w:r>
          </w:p>
        </w:tc>
        <w:tc>
          <w:tcPr>
            <w:tcW w:w="0" w:type="auto"/>
            <w:vAlign w:val="center"/>
            <w:hideMark/>
          </w:tcPr>
          <w:p w:rsidR="00000000" w:rsidRDefault="00FF0345">
            <w:pPr>
              <w:spacing w:after="100"/>
              <w:rPr>
                <w:rFonts w:eastAsia="Times New Roman"/>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Value(1)</w:t>
            </w:r>
          </w:p>
        </w:tc>
      </w:tr>
      <w:tr w:rsidR="00000000">
        <w:trPr>
          <w:divId w:val="56880913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Balance at January 1, 2021</w:t>
            </w:r>
          </w:p>
        </w:tc>
        <w:tc>
          <w:tcPr>
            <w:tcW w:w="0" w:type="auto"/>
            <w:vAlign w:val="center"/>
            <w:hideMark/>
          </w:tcPr>
          <w:p w:rsidR="00000000" w:rsidRDefault="00FF0345">
            <w:pPr>
              <w:spacing w:after="100"/>
              <w:rPr>
                <w:rFonts w:eastAsia="Times New Roman"/>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568809137"/>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Granted</w:t>
            </w:r>
          </w:p>
        </w:tc>
        <w:tc>
          <w:tcPr>
            <w:tcW w:w="0" w:type="auto"/>
            <w:vAlign w:val="center"/>
            <w:hideMark/>
          </w:tcPr>
          <w:p w:rsidR="00000000" w:rsidRDefault="00FF0345">
            <w:pPr>
              <w:spacing w:after="100"/>
              <w:rPr>
                <w:rFonts w:eastAsia="Times New Roman"/>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568809137"/>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Exercised</w:t>
            </w:r>
          </w:p>
        </w:tc>
        <w:tc>
          <w:tcPr>
            <w:tcW w:w="0" w:type="auto"/>
            <w:vAlign w:val="center"/>
            <w:hideMark/>
          </w:tcPr>
          <w:p w:rsidR="00000000" w:rsidRDefault="00FF0345">
            <w:pPr>
              <w:spacing w:after="100"/>
              <w:rPr>
                <w:rFonts w:eastAsia="Times New Roman"/>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568809137"/>
        </w:trPr>
        <w:tc>
          <w:tcPr>
            <w:tcW w:w="0" w:type="auto"/>
            <w:gridSpan w:val="3"/>
            <w:vAlign w:val="center"/>
            <w:hideMark/>
          </w:tcPr>
          <w:p w:rsidR="00000000" w:rsidRDefault="00FF0345">
            <w:pPr>
              <w:spacing w:after="100"/>
              <w:jc w:val="right"/>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56880913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Balance at September 30, 2021</w:t>
            </w:r>
          </w:p>
        </w:tc>
        <w:tc>
          <w:tcPr>
            <w:tcW w:w="0" w:type="auto"/>
            <w:vAlign w:val="center"/>
            <w:hideMark/>
          </w:tcPr>
          <w:p w:rsidR="00000000" w:rsidRDefault="00FF0345">
            <w:pPr>
              <w:spacing w:after="100"/>
              <w:rPr>
                <w:rFonts w:eastAsia="Times New Roman"/>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37,515 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54.34 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568809137"/>
          <w:trHeight w:val="300"/>
        </w:trPr>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568809137"/>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568809137"/>
        </w:trPr>
        <w:tc>
          <w:tcPr>
            <w:tcW w:w="0" w:type="auto"/>
            <w:gridSpan w:val="9"/>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xml:space="preserve">(1) </w:t>
            </w:r>
            <w:r>
              <w:rPr>
                <w:rFonts w:eastAsia="Times New Roman"/>
                <w:color w:val="000000"/>
                <w:sz w:val="16"/>
                <w:szCs w:val="16"/>
              </w:rPr>
              <w:t>Value represents the weighted average exercise price.</w:t>
            </w: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c>
          <w:tcPr>
            <w:tcW w:w="0" w:type="auto"/>
            <w:vAlign w:val="center"/>
            <w:hideMark/>
          </w:tcPr>
          <w:p w:rsidR="00000000" w:rsidRDefault="00FF0345">
            <w:pPr>
              <w:spacing w:after="100"/>
              <w:rPr>
                <w:rFonts w:eastAsia="Times New Roman"/>
                <w:sz w:val="20"/>
                <w:szCs w:val="20"/>
              </w:rPr>
            </w:pPr>
          </w:p>
        </w:tc>
      </w:tr>
    </w:tbl>
    <w:p w:rsidR="00000000" w:rsidRDefault="00FF0345">
      <w:pPr>
        <w:ind w:firstLine="495"/>
        <w:divId w:val="1498613110"/>
        <w:rPr>
          <w:rFonts w:eastAsia="Times New Roman"/>
        </w:rPr>
      </w:pPr>
    </w:p>
    <w:p w:rsidR="00000000" w:rsidRDefault="00FF0345">
      <w:pPr>
        <w:jc w:val="center"/>
        <w:divId w:val="144277436"/>
        <w:rPr>
          <w:rFonts w:eastAsia="Times New Roman"/>
        </w:rPr>
      </w:pPr>
      <w:r>
        <w:rPr>
          <w:rFonts w:eastAsia="Times New Roman"/>
          <w:color w:val="000000"/>
          <w:sz w:val="20"/>
          <w:szCs w:val="20"/>
        </w:rPr>
        <w:t>26</w:t>
      </w:r>
    </w:p>
    <w:p w:rsidR="00000000" w:rsidRDefault="00FF0345">
      <w:pPr>
        <w:rPr>
          <w:rFonts w:eastAsia="Times New Roman"/>
        </w:rPr>
      </w:pPr>
      <w:r>
        <w:rPr>
          <w:rFonts w:eastAsia="Times New Roman"/>
        </w:rPr>
        <w:pict>
          <v:rect id="_x0000_i1050" style="width:0;height:1.5pt" o:hralign="center" o:hrstd="t" o:hr="t" fillcolor="#a0a0a0" stroked="f"/>
        </w:pict>
      </w:r>
    </w:p>
    <w:p w:rsidR="00000000" w:rsidRDefault="00FF0345">
      <w:pPr>
        <w:divId w:val="1557472467"/>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jc w:val="center"/>
        <w:divId w:val="1265073971"/>
        <w:rPr>
          <w:rFonts w:eastAsia="Times New Roman"/>
        </w:rPr>
      </w:pPr>
      <w:r>
        <w:rPr>
          <w:rFonts w:eastAsia="Times New Roman"/>
          <w:b/>
          <w:bCs/>
          <w:color w:val="000000"/>
          <w:sz w:val="20"/>
          <w:szCs w:val="20"/>
        </w:rPr>
        <w:t>THE MACERICH COMPANY</w:t>
      </w:r>
    </w:p>
    <w:p w:rsidR="00000000" w:rsidRDefault="00FF0345">
      <w:pPr>
        <w:jc w:val="center"/>
        <w:divId w:val="1770739470"/>
        <w:rPr>
          <w:rFonts w:eastAsia="Times New Roman"/>
        </w:rPr>
      </w:pPr>
      <w:r>
        <w:rPr>
          <w:rFonts w:eastAsia="Times New Roman"/>
          <w:b/>
          <w:bCs/>
          <w:color w:val="000000"/>
          <w:sz w:val="20"/>
          <w:szCs w:val="20"/>
        </w:rPr>
        <w:t>NOTES TO CONSOLIDATED FINANCIAL STATEMENTS (Continued)</w:t>
      </w:r>
    </w:p>
    <w:p w:rsidR="00000000" w:rsidRDefault="00FF0345">
      <w:pPr>
        <w:jc w:val="center"/>
        <w:divId w:val="1518500437"/>
        <w:rPr>
          <w:rFonts w:eastAsia="Times New Roman"/>
        </w:rPr>
      </w:pPr>
      <w:r>
        <w:rPr>
          <w:rFonts w:eastAsia="Times New Roman"/>
          <w:b/>
          <w:bCs/>
          <w:color w:val="000000"/>
          <w:sz w:val="20"/>
          <w:szCs w:val="20"/>
        </w:rPr>
        <w:t>(Dollars in thousands, except per share and square foot amounts)</w:t>
      </w:r>
    </w:p>
    <w:p w:rsidR="00000000" w:rsidRDefault="00FF0345">
      <w:pPr>
        <w:jc w:val="center"/>
        <w:divId w:val="1280646900"/>
        <w:rPr>
          <w:rFonts w:eastAsia="Times New Roman"/>
        </w:rPr>
      </w:pPr>
      <w:r>
        <w:rPr>
          <w:rFonts w:eastAsia="Times New Roman"/>
          <w:b/>
          <w:bCs/>
          <w:color w:val="000000"/>
          <w:sz w:val="20"/>
          <w:szCs w:val="20"/>
        </w:rPr>
        <w:t>(Unaudited)</w:t>
      </w:r>
    </w:p>
    <w:p w:rsidR="00000000" w:rsidRDefault="00FF0345">
      <w:pPr>
        <w:ind w:hanging="360"/>
        <w:divId w:val="1098217028"/>
        <w:rPr>
          <w:rFonts w:eastAsia="Times New Roman"/>
        </w:rPr>
      </w:pPr>
      <w:r>
        <w:rPr>
          <w:rFonts w:eastAsia="Times New Roman"/>
          <w:b/>
          <w:bCs/>
          <w:color w:val="000000"/>
          <w:sz w:val="20"/>
          <w:szCs w:val="20"/>
        </w:rPr>
        <w:t>18. Share and Unit-Based Plans: (Continued)</w:t>
      </w:r>
    </w:p>
    <w:p w:rsidR="00000000" w:rsidRDefault="00FF0345">
      <w:pPr>
        <w:ind w:firstLine="495"/>
        <w:divId w:val="329531194"/>
        <w:rPr>
          <w:rFonts w:eastAsia="Times New Roman"/>
        </w:rPr>
      </w:pPr>
      <w:r>
        <w:rPr>
          <w:rFonts w:eastAsia="Times New Roman"/>
          <w:color w:val="000000"/>
          <w:sz w:val="20"/>
          <w:szCs w:val="20"/>
        </w:rPr>
        <w:t>The following summarizes the compensation cost under the share and unit-based plans:</w:t>
      </w:r>
    </w:p>
    <w:tbl>
      <w:tblPr>
        <w:tblW w:w="4203" w:type="pct"/>
        <w:tblCellMar>
          <w:top w:w="15" w:type="dxa"/>
          <w:left w:w="15" w:type="dxa"/>
          <w:bottom w:w="15" w:type="dxa"/>
          <w:right w:w="15" w:type="dxa"/>
        </w:tblCellMar>
        <w:tblLook w:val="04A0" w:firstRow="1" w:lastRow="0" w:firstColumn="1" w:lastColumn="0" w:noHBand="0" w:noVBand="1"/>
      </w:tblPr>
      <w:tblGrid>
        <w:gridCol w:w="38"/>
        <w:gridCol w:w="3687"/>
        <w:gridCol w:w="37"/>
        <w:gridCol w:w="120"/>
        <w:gridCol w:w="542"/>
        <w:gridCol w:w="36"/>
        <w:gridCol w:w="36"/>
        <w:gridCol w:w="36"/>
        <w:gridCol w:w="36"/>
        <w:gridCol w:w="120"/>
        <w:gridCol w:w="530"/>
        <w:gridCol w:w="36"/>
        <w:gridCol w:w="36"/>
        <w:gridCol w:w="36"/>
        <w:gridCol w:w="36"/>
        <w:gridCol w:w="120"/>
        <w:gridCol w:w="600"/>
        <w:gridCol w:w="36"/>
        <w:gridCol w:w="36"/>
        <w:gridCol w:w="36"/>
        <w:gridCol w:w="36"/>
        <w:gridCol w:w="120"/>
        <w:gridCol w:w="600"/>
        <w:gridCol w:w="36"/>
      </w:tblGrid>
      <w:tr w:rsidR="00000000">
        <w:trPr>
          <w:divId w:val="329531194"/>
        </w:trPr>
        <w:tc>
          <w:tcPr>
            <w:tcW w:w="50" w:type="pct"/>
            <w:vAlign w:val="center"/>
            <w:hideMark/>
          </w:tcPr>
          <w:p w:rsidR="00000000" w:rsidRDefault="00FF0345">
            <w:pPr>
              <w:ind w:firstLine="495"/>
              <w:rPr>
                <w:rFonts w:eastAsia="Times New Roman"/>
              </w:rPr>
            </w:pPr>
          </w:p>
        </w:tc>
        <w:tc>
          <w:tcPr>
            <w:tcW w:w="27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6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5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329531194"/>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329531194"/>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32953119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LTIP Units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10,822 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29531194"/>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329531194"/>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Stock units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598 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2,577 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3,580 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29531194"/>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329531194"/>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329531194"/>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Phantom stock units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438 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329531194"/>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4,318 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13,681 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13,936 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547644004"/>
        <w:rPr>
          <w:rFonts w:eastAsia="Times New Roman"/>
        </w:rPr>
      </w:pPr>
      <w:r>
        <w:rPr>
          <w:rFonts w:eastAsia="Times New Roman"/>
          <w:color w:val="000000"/>
          <w:sz w:val="20"/>
          <w:szCs w:val="20"/>
        </w:rPr>
        <w:t>The Company capitalized share and unit-based compensation costs of $910 and $626 for the three months ended September 30, 2021 and 2020, respectively, and $2,813 and $2,946 for the nine months ended September 30, 2021 and 2020, respectively. Unrecog</w:t>
      </w:r>
      <w:r>
        <w:rPr>
          <w:rFonts w:eastAsia="Times New Roman"/>
          <w:color w:val="000000"/>
          <w:sz w:val="20"/>
          <w:szCs w:val="20"/>
        </w:rPr>
        <w:t xml:space="preserve">nized compensation costs of share and unit-based plans at September 30, 2021 consisted of $8,235 from LTIP Units, $2,097 from stock units and $77 from phantom stock units. </w:t>
      </w:r>
    </w:p>
    <w:p w:rsidR="00000000" w:rsidRDefault="00FF0345">
      <w:pPr>
        <w:divId w:val="1142696662"/>
        <w:rPr>
          <w:rFonts w:eastAsia="Times New Roman"/>
        </w:rPr>
      </w:pPr>
      <w:r>
        <w:rPr>
          <w:rFonts w:eastAsia="Times New Roman"/>
          <w:b/>
          <w:bCs/>
          <w:color w:val="000000"/>
          <w:sz w:val="20"/>
          <w:szCs w:val="20"/>
        </w:rPr>
        <w:t>19. Income Taxes:</w:t>
      </w:r>
    </w:p>
    <w:p w:rsidR="00000000" w:rsidRDefault="00FF0345">
      <w:pPr>
        <w:ind w:firstLine="495"/>
        <w:divId w:val="1757752065"/>
        <w:rPr>
          <w:rFonts w:eastAsia="Times New Roman"/>
        </w:rPr>
      </w:pPr>
      <w:r>
        <w:rPr>
          <w:rFonts w:eastAsia="Times New Roman"/>
          <w:color w:val="000000"/>
          <w:sz w:val="20"/>
          <w:szCs w:val="20"/>
        </w:rPr>
        <w:t>The Company has made taxable REIT subsidiary elections for all of</w:t>
      </w:r>
      <w:r>
        <w:rPr>
          <w:rFonts w:eastAsia="Times New Roman"/>
          <w:color w:val="000000"/>
          <w:sz w:val="20"/>
          <w:szCs w:val="20"/>
        </w:rPr>
        <w:t xml:space="preserve"> its corporate subsidiaries other than its qualified REIT subsidiaries. The elections, effective for the year beginning January 1, 2001 and future years, were made pursuant to Section 856(l) of the Code. The Company's taxable REIT subsidiaries ("TRSs") are</w:t>
      </w:r>
      <w:r>
        <w:rPr>
          <w:rFonts w:eastAsia="Times New Roman"/>
          <w:color w:val="000000"/>
          <w:sz w:val="20"/>
          <w:szCs w:val="20"/>
        </w:rPr>
        <w:t xml:space="preserve"> subject to corporate level income taxes which are provided for in the Company's consolidated financial statements. The Company's primary TRSs include Macerich Management Company and Macerich Arizona Partners LLC.</w:t>
      </w:r>
    </w:p>
    <w:p w:rsidR="00000000" w:rsidRDefault="00FF0345">
      <w:pPr>
        <w:ind w:firstLine="495"/>
        <w:divId w:val="2131626563"/>
        <w:rPr>
          <w:rFonts w:eastAsia="Times New Roman"/>
        </w:rPr>
      </w:pPr>
      <w:r>
        <w:rPr>
          <w:rFonts w:eastAsia="Times New Roman"/>
          <w:color w:val="000000"/>
          <w:sz w:val="20"/>
          <w:szCs w:val="20"/>
        </w:rPr>
        <w:t>The income tax provision of the TRSs are a</w:t>
      </w:r>
      <w:r>
        <w:rPr>
          <w:rFonts w:eastAsia="Times New Roman"/>
          <w:color w:val="000000"/>
          <w:sz w:val="20"/>
          <w:szCs w:val="20"/>
        </w:rPr>
        <w:t>s follows:</w:t>
      </w:r>
    </w:p>
    <w:tbl>
      <w:tblPr>
        <w:tblW w:w="4188" w:type="pct"/>
        <w:tblCellMar>
          <w:top w:w="15" w:type="dxa"/>
          <w:left w:w="15" w:type="dxa"/>
          <w:bottom w:w="15" w:type="dxa"/>
          <w:right w:w="15" w:type="dxa"/>
        </w:tblCellMar>
        <w:tblLook w:val="04A0" w:firstRow="1" w:lastRow="0" w:firstColumn="1" w:lastColumn="0" w:noHBand="0" w:noVBand="1"/>
      </w:tblPr>
      <w:tblGrid>
        <w:gridCol w:w="39"/>
        <w:gridCol w:w="3131"/>
        <w:gridCol w:w="36"/>
        <w:gridCol w:w="120"/>
        <w:gridCol w:w="739"/>
        <w:gridCol w:w="36"/>
        <w:gridCol w:w="36"/>
        <w:gridCol w:w="36"/>
        <w:gridCol w:w="36"/>
        <w:gridCol w:w="120"/>
        <w:gridCol w:w="679"/>
        <w:gridCol w:w="36"/>
        <w:gridCol w:w="36"/>
        <w:gridCol w:w="36"/>
        <w:gridCol w:w="36"/>
        <w:gridCol w:w="120"/>
        <w:gridCol w:w="692"/>
        <w:gridCol w:w="36"/>
        <w:gridCol w:w="36"/>
        <w:gridCol w:w="36"/>
        <w:gridCol w:w="36"/>
        <w:gridCol w:w="120"/>
        <w:gridCol w:w="693"/>
        <w:gridCol w:w="36"/>
      </w:tblGrid>
      <w:tr w:rsidR="00000000">
        <w:trPr>
          <w:divId w:val="2131626563"/>
        </w:trPr>
        <w:tc>
          <w:tcPr>
            <w:tcW w:w="50" w:type="pct"/>
            <w:vAlign w:val="center"/>
            <w:hideMark/>
          </w:tcPr>
          <w:p w:rsidR="00000000" w:rsidRDefault="00FF0345">
            <w:pPr>
              <w:ind w:firstLine="495"/>
              <w:rPr>
                <w:rFonts w:eastAsia="Times New Roman"/>
              </w:rPr>
            </w:pPr>
          </w:p>
        </w:tc>
        <w:tc>
          <w:tcPr>
            <w:tcW w:w="2309"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6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2131626563"/>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2131626563"/>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213162656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Current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13162656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w:t>
            </w:r>
            <w:r>
              <w:rPr>
                <w:rFonts w:eastAsia="Times New Roman"/>
                <w:color w:val="000000"/>
                <w:sz w:val="20"/>
                <w:szCs w:val="20"/>
              </w:rPr>
              <w:t>1,106)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(9,452)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213162656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Total income tax (expense) benefit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(9,452)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992027316"/>
        <w:rPr>
          <w:rFonts w:eastAsia="Times New Roman"/>
        </w:rPr>
      </w:pPr>
      <w:r>
        <w:rPr>
          <w:rFonts w:eastAsia="Times New Roman"/>
          <w:color w:val="000000"/>
          <w:sz w:val="20"/>
          <w:szCs w:val="20"/>
        </w:rPr>
        <w:t xml:space="preserve">The net operating loss ("NOL") carryforwards generated through the 2017 tax year are scheduled to expire through 2037, beginning in 2025. Pursuant to the Tax </w:t>
      </w:r>
      <w:r>
        <w:rPr>
          <w:rFonts w:eastAsia="Times New Roman"/>
          <w:color w:val="000000"/>
          <w:sz w:val="20"/>
          <w:szCs w:val="20"/>
        </w:rPr>
        <w:t xml:space="preserve">Cuts and Jobs Act of 2017, NOLs generated in 2018 and subsequent tax years are carried forward indefinitely. The Coronavirus Aid, Relief and Economic Security Act removed the 80% of taxable income limitation, imposed by the Tax Cuts and Jobs Act, for NOLs </w:t>
      </w:r>
      <w:r>
        <w:rPr>
          <w:rFonts w:eastAsia="Times New Roman"/>
          <w:color w:val="000000"/>
          <w:sz w:val="20"/>
          <w:szCs w:val="20"/>
        </w:rPr>
        <w:t>generated in 2018, 2019 and 2020. Net deferred tax assets of $21,315 and $30,767 were included in deferred charges and other assets, net at September 30, 2021 and December 31, 2020, respectively.</w:t>
      </w:r>
    </w:p>
    <w:p w:rsidR="00000000" w:rsidRDefault="00FF0345">
      <w:pPr>
        <w:ind w:firstLine="495"/>
        <w:divId w:val="1384791310"/>
        <w:rPr>
          <w:rFonts w:eastAsia="Times New Roman"/>
        </w:rPr>
      </w:pPr>
      <w:r>
        <w:rPr>
          <w:rFonts w:eastAsia="Times New Roman"/>
          <w:color w:val="000000"/>
          <w:sz w:val="20"/>
          <w:szCs w:val="20"/>
        </w:rPr>
        <w:t>The Company is required to establish a valuation allowance f</w:t>
      </w:r>
      <w:r>
        <w:rPr>
          <w:rFonts w:eastAsia="Times New Roman"/>
          <w:color w:val="000000"/>
          <w:sz w:val="20"/>
          <w:szCs w:val="20"/>
        </w:rPr>
        <w:t>or any portion of the deferred tax asset that the Company concludes is more likely than not to be unrealizable. The Company’s assessment considers all evidence, both positive and negative, including the nature, frequency and severity of any current and cum</w:t>
      </w:r>
      <w:r>
        <w:rPr>
          <w:rFonts w:eastAsia="Times New Roman"/>
          <w:color w:val="000000"/>
          <w:sz w:val="20"/>
          <w:szCs w:val="20"/>
        </w:rPr>
        <w:t xml:space="preserve">ulative losses, taxable income in carry back years, the scheduled reversal of deferred tax liabilities, tax planning strategies and projected future taxable income in making this assessment. As of September 30, 2021, the Company had no valuation allowance </w:t>
      </w:r>
      <w:r>
        <w:rPr>
          <w:rFonts w:eastAsia="Times New Roman"/>
          <w:color w:val="000000"/>
          <w:sz w:val="20"/>
          <w:szCs w:val="20"/>
        </w:rPr>
        <w:t>recorded.</w:t>
      </w:r>
    </w:p>
    <w:p w:rsidR="00000000" w:rsidRDefault="00FF0345">
      <w:pPr>
        <w:ind w:firstLine="495"/>
        <w:divId w:val="1410420672"/>
        <w:rPr>
          <w:rFonts w:eastAsia="Times New Roman"/>
        </w:rPr>
      </w:pPr>
      <w:r>
        <w:rPr>
          <w:rFonts w:eastAsia="Times New Roman"/>
          <w:color w:val="000000"/>
          <w:sz w:val="20"/>
          <w:szCs w:val="20"/>
        </w:rPr>
        <w:t>The tax years 2017 through 2019 remain open to examination by the taxing jurisdictions to which the Company is subject. The Company does not expect that the total amount of unrecognized tax benefit will materially change within the next twelve mo</w:t>
      </w:r>
      <w:r>
        <w:rPr>
          <w:rFonts w:eastAsia="Times New Roman"/>
          <w:color w:val="000000"/>
          <w:sz w:val="20"/>
          <w:szCs w:val="20"/>
        </w:rPr>
        <w:t>nths.</w:t>
      </w:r>
    </w:p>
    <w:p w:rsidR="00000000" w:rsidRDefault="00FF0345">
      <w:pPr>
        <w:divId w:val="158931661"/>
        <w:rPr>
          <w:rFonts w:eastAsia="Times New Roman"/>
        </w:rPr>
      </w:pPr>
      <w:r>
        <w:rPr>
          <w:rFonts w:eastAsia="Times New Roman"/>
          <w:b/>
          <w:bCs/>
          <w:color w:val="000000"/>
          <w:sz w:val="20"/>
          <w:szCs w:val="20"/>
        </w:rPr>
        <w:t>20. Subsequent Events:</w:t>
      </w:r>
    </w:p>
    <w:p w:rsidR="00000000" w:rsidRDefault="00FF0345">
      <w:pPr>
        <w:ind w:firstLine="495"/>
        <w:divId w:val="1024139957"/>
        <w:rPr>
          <w:rFonts w:eastAsia="Times New Roman"/>
        </w:rPr>
      </w:pPr>
      <w:r>
        <w:rPr>
          <w:rFonts w:eastAsia="Times New Roman"/>
          <w:color w:val="000000"/>
          <w:sz w:val="20"/>
          <w:szCs w:val="20"/>
        </w:rPr>
        <w:t>On October 28, 2021, the Company announced a dividend/distribution of $0.15 per share for common stockholders and OP Unitholders of record on November 9, 2021. All dividends/distributions will be paid 100% in cash on December 3</w:t>
      </w:r>
      <w:r>
        <w:rPr>
          <w:rFonts w:eastAsia="Times New Roman"/>
          <w:color w:val="000000"/>
          <w:sz w:val="20"/>
          <w:szCs w:val="20"/>
        </w:rPr>
        <w:t>, 2021.</w:t>
      </w:r>
    </w:p>
    <w:p w:rsidR="00000000" w:rsidRDefault="00FF0345">
      <w:pPr>
        <w:jc w:val="center"/>
        <w:divId w:val="155655803"/>
        <w:rPr>
          <w:rFonts w:eastAsia="Times New Roman"/>
        </w:rPr>
      </w:pPr>
      <w:r>
        <w:rPr>
          <w:rFonts w:eastAsia="Times New Roman"/>
          <w:color w:val="000000"/>
          <w:sz w:val="20"/>
          <w:szCs w:val="20"/>
        </w:rPr>
        <w:t>27</w:t>
      </w:r>
    </w:p>
    <w:p w:rsidR="00000000" w:rsidRDefault="00FF0345">
      <w:pPr>
        <w:rPr>
          <w:rFonts w:eastAsia="Times New Roman"/>
        </w:rPr>
      </w:pPr>
      <w:r>
        <w:rPr>
          <w:rFonts w:eastAsia="Times New Roman"/>
        </w:rPr>
        <w:pict>
          <v:rect id="_x0000_i1051" style="width:0;height:1.5pt" o:hralign="center" o:hrstd="t" o:hr="t" fillcolor="#a0a0a0" stroked="f"/>
        </w:pict>
      </w:r>
    </w:p>
    <w:p w:rsidR="00000000" w:rsidRDefault="00FF0345">
      <w:pPr>
        <w:divId w:val="1110277020"/>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hanging="360"/>
        <w:divId w:val="330526362"/>
        <w:rPr>
          <w:rFonts w:eastAsia="Times New Roman"/>
        </w:rPr>
      </w:pPr>
      <w:r>
        <w:rPr>
          <w:rFonts w:eastAsia="Times New Roman"/>
          <w:b/>
          <w:bCs/>
          <w:color w:val="000000"/>
          <w:sz w:val="20"/>
          <w:szCs w:val="20"/>
        </w:rPr>
        <w:t>Item 2.    </w:t>
      </w:r>
      <w:r>
        <w:rPr>
          <w:rFonts w:eastAsia="Times New Roman"/>
          <w:b/>
          <w:bCs/>
          <w:color w:val="000000"/>
          <w:sz w:val="20"/>
          <w:szCs w:val="20"/>
        </w:rPr>
        <w:t>Management's Discussion and Analysis of Financial Condition and Results of Operations</w:t>
      </w:r>
    </w:p>
    <w:p w:rsidR="00000000" w:rsidRDefault="00FF0345">
      <w:pPr>
        <w:divId w:val="992172682"/>
        <w:rPr>
          <w:rFonts w:eastAsia="Times New Roman"/>
        </w:rPr>
      </w:pPr>
      <w:r>
        <w:rPr>
          <w:rFonts w:eastAsia="Times New Roman"/>
          <w:b/>
          <w:bCs/>
          <w:color w:val="000000"/>
          <w:sz w:val="20"/>
          <w:szCs w:val="20"/>
        </w:rPr>
        <w:t>IMPORTANT INFORMATION RELATED TO FORWARD-LOOKING STATEMENTS</w:t>
      </w:r>
    </w:p>
    <w:p w:rsidR="00000000" w:rsidRDefault="00FF0345">
      <w:pPr>
        <w:ind w:firstLine="495"/>
        <w:divId w:val="2064940204"/>
        <w:rPr>
          <w:rFonts w:eastAsia="Times New Roman"/>
        </w:rPr>
      </w:pPr>
      <w:r>
        <w:rPr>
          <w:rFonts w:eastAsia="Times New Roman"/>
          <w:color w:val="000000"/>
          <w:sz w:val="20"/>
          <w:szCs w:val="20"/>
        </w:rPr>
        <w:t>This Quarterly Report on Form 10-Q of The Macerich Company (the "Company") contains or incorporates statements</w:t>
      </w:r>
      <w:r>
        <w:rPr>
          <w:rFonts w:eastAsia="Times New Roman"/>
          <w:color w:val="000000"/>
          <w:sz w:val="20"/>
          <w:szCs w:val="20"/>
        </w:rPr>
        <w:t xml:space="preserve"> that constitute forward-looking statements within the meaning of the federal securities laws. Any statements that do not relate to historical or current facts or matters are forward-looking statements. You can identify some of the forward-looking statemen</w:t>
      </w:r>
      <w:r>
        <w:rPr>
          <w:rFonts w:eastAsia="Times New Roman"/>
          <w:color w:val="000000"/>
          <w:sz w:val="20"/>
          <w:szCs w:val="20"/>
        </w:rPr>
        <w:t>ts by the use of forward-looking words, such as "may," "will," "could," "should," "expects," "anticipates," "intends," "projects," "predicts," "plans," "believes," "seeks," "estimates," "scheduled" and variations of these words and similar expressions. Sta</w:t>
      </w:r>
      <w:r>
        <w:rPr>
          <w:rFonts w:eastAsia="Times New Roman"/>
          <w:color w:val="000000"/>
          <w:sz w:val="20"/>
          <w:szCs w:val="20"/>
        </w:rPr>
        <w:t>tements concerning current conditions may also be forward-looking if they imply a continuation of current conditions. Forward-looking statements appear in a number of places in this Form 10-Q and include statements regarding, among other matters:</w:t>
      </w:r>
    </w:p>
    <w:p w:rsidR="00000000" w:rsidRDefault="00FF0345">
      <w:pPr>
        <w:ind w:hanging="720"/>
        <w:divId w:val="30736824"/>
        <w:rPr>
          <w:rFonts w:eastAsia="Times New Roman"/>
        </w:rPr>
      </w:pPr>
      <w:r>
        <w:rPr>
          <w:rFonts w:eastAsia="Times New Roman"/>
          <w:color w:val="000000"/>
          <w:sz w:val="20"/>
          <w:szCs w:val="20"/>
        </w:rPr>
        <w:t>•expectat</w:t>
      </w:r>
      <w:r>
        <w:rPr>
          <w:rFonts w:eastAsia="Times New Roman"/>
          <w:color w:val="000000"/>
          <w:sz w:val="20"/>
          <w:szCs w:val="20"/>
        </w:rPr>
        <w:t>ions regarding the Company's growth;</w:t>
      </w:r>
    </w:p>
    <w:p w:rsidR="00000000" w:rsidRDefault="00FF0345">
      <w:pPr>
        <w:ind w:hanging="720"/>
        <w:divId w:val="1833909663"/>
        <w:rPr>
          <w:rFonts w:eastAsia="Times New Roman"/>
        </w:rPr>
      </w:pPr>
      <w:r>
        <w:rPr>
          <w:rFonts w:eastAsia="Times New Roman"/>
          <w:color w:val="000000"/>
          <w:sz w:val="20"/>
          <w:szCs w:val="20"/>
        </w:rPr>
        <w:t>•the Company's beliefs regarding its acquisition, redevelopment, development, leasing and operational activities and opportunities, including the performance and financial stability of its retailers;</w:t>
      </w:r>
    </w:p>
    <w:p w:rsidR="00000000" w:rsidRDefault="00FF0345">
      <w:pPr>
        <w:ind w:hanging="720"/>
        <w:divId w:val="706761417"/>
        <w:rPr>
          <w:rFonts w:eastAsia="Times New Roman"/>
        </w:rPr>
      </w:pPr>
      <w:r>
        <w:rPr>
          <w:rFonts w:eastAsia="Times New Roman"/>
          <w:color w:val="000000"/>
          <w:sz w:val="20"/>
          <w:szCs w:val="20"/>
        </w:rPr>
        <w:t>•the Company's acqu</w:t>
      </w:r>
      <w:r>
        <w:rPr>
          <w:rFonts w:eastAsia="Times New Roman"/>
          <w:color w:val="000000"/>
          <w:sz w:val="20"/>
          <w:szCs w:val="20"/>
        </w:rPr>
        <w:t>isition, disposition and other strategies;</w:t>
      </w:r>
    </w:p>
    <w:p w:rsidR="00000000" w:rsidRDefault="00FF0345">
      <w:pPr>
        <w:ind w:hanging="720"/>
        <w:divId w:val="69741190"/>
        <w:rPr>
          <w:rFonts w:eastAsia="Times New Roman"/>
        </w:rPr>
      </w:pPr>
      <w:r>
        <w:rPr>
          <w:rFonts w:eastAsia="Times New Roman"/>
          <w:color w:val="000000"/>
          <w:sz w:val="20"/>
          <w:szCs w:val="20"/>
        </w:rPr>
        <w:t>•regulatory matters pertaining to compliance with governmental regulations;</w:t>
      </w:r>
    </w:p>
    <w:p w:rsidR="00000000" w:rsidRDefault="00FF0345">
      <w:pPr>
        <w:ind w:hanging="720"/>
        <w:divId w:val="1804345279"/>
        <w:rPr>
          <w:rFonts w:eastAsia="Times New Roman"/>
        </w:rPr>
      </w:pPr>
      <w:r>
        <w:rPr>
          <w:rFonts w:eastAsia="Times New Roman"/>
          <w:color w:val="000000"/>
          <w:sz w:val="20"/>
          <w:szCs w:val="20"/>
        </w:rPr>
        <w:t>•the Company's capital expenditure plans and expectations for obtaining capital for expenditures;</w:t>
      </w:r>
    </w:p>
    <w:p w:rsidR="00000000" w:rsidRDefault="00FF0345">
      <w:pPr>
        <w:ind w:hanging="720"/>
        <w:divId w:val="76832618"/>
        <w:rPr>
          <w:rFonts w:eastAsia="Times New Roman"/>
        </w:rPr>
      </w:pPr>
      <w:r>
        <w:rPr>
          <w:rFonts w:eastAsia="Times New Roman"/>
          <w:color w:val="000000"/>
          <w:sz w:val="20"/>
          <w:szCs w:val="20"/>
        </w:rPr>
        <w:t>•the Company's expectations regarding i</w:t>
      </w:r>
      <w:r>
        <w:rPr>
          <w:rFonts w:eastAsia="Times New Roman"/>
          <w:color w:val="000000"/>
          <w:sz w:val="20"/>
          <w:szCs w:val="20"/>
        </w:rPr>
        <w:t>ncome tax benefits;</w:t>
      </w:r>
    </w:p>
    <w:p w:rsidR="00000000" w:rsidRDefault="00FF0345">
      <w:pPr>
        <w:ind w:hanging="720"/>
        <w:divId w:val="2116167598"/>
        <w:rPr>
          <w:rFonts w:eastAsia="Times New Roman"/>
        </w:rPr>
      </w:pPr>
      <w:r>
        <w:rPr>
          <w:rFonts w:eastAsia="Times New Roman"/>
          <w:color w:val="000000"/>
          <w:sz w:val="20"/>
          <w:szCs w:val="20"/>
        </w:rPr>
        <w:t>•the Company's expectations regarding its financial condition or results of operations; and</w:t>
      </w:r>
    </w:p>
    <w:p w:rsidR="00000000" w:rsidRDefault="00FF0345">
      <w:pPr>
        <w:ind w:hanging="720"/>
        <w:divId w:val="1577277173"/>
        <w:rPr>
          <w:rFonts w:eastAsia="Times New Roman"/>
        </w:rPr>
      </w:pPr>
      <w:r>
        <w:rPr>
          <w:rFonts w:eastAsia="Times New Roman"/>
          <w:color w:val="000000"/>
          <w:sz w:val="20"/>
          <w:szCs w:val="20"/>
        </w:rPr>
        <w:t>•the Company's expectations for refinancing its indebtedness, entering into and servicing debt obligations and entering into joint venture arran</w:t>
      </w:r>
      <w:r>
        <w:rPr>
          <w:rFonts w:eastAsia="Times New Roman"/>
          <w:color w:val="000000"/>
          <w:sz w:val="20"/>
          <w:szCs w:val="20"/>
        </w:rPr>
        <w:t>gements.</w:t>
      </w:r>
    </w:p>
    <w:p w:rsidR="00000000" w:rsidRDefault="00FF0345">
      <w:pPr>
        <w:ind w:firstLine="495"/>
        <w:divId w:val="99568666"/>
        <w:rPr>
          <w:rFonts w:eastAsia="Times New Roman"/>
        </w:rPr>
      </w:pPr>
      <w:r>
        <w:rPr>
          <w:rFonts w:eastAsia="Times New Roman"/>
          <w:color w:val="000000"/>
          <w:sz w:val="20"/>
          <w:szCs w:val="20"/>
        </w:rPr>
        <w:t>Stockholders are cautioned that any such forward-looking statements are not guarantees of future performance and involve risks, uncertainties and other factors that may cause actual results, performance or achievements of the Company or the indust</w:t>
      </w:r>
      <w:r>
        <w:rPr>
          <w:rFonts w:eastAsia="Times New Roman"/>
          <w:color w:val="000000"/>
          <w:sz w:val="20"/>
          <w:szCs w:val="20"/>
        </w:rPr>
        <w:t>ry to differ materially from the Company's future results, performance or achievements, or those of the industry, expressed or implied in such forward-looking statements. Such factors include, among others, general industry, as well as national, regional a</w:t>
      </w:r>
      <w:r>
        <w:rPr>
          <w:rFonts w:eastAsia="Times New Roman"/>
          <w:color w:val="000000"/>
          <w:sz w:val="20"/>
          <w:szCs w:val="20"/>
        </w:rPr>
        <w:t>nd local economic and business conditions, which will, among other things, affect demand for retail space or retail goods, availability and creditworthiness of current and prospective tenants, anchor or tenant bankruptcies, closures, mergers or consolidati</w:t>
      </w:r>
      <w:r>
        <w:rPr>
          <w:rFonts w:eastAsia="Times New Roman"/>
          <w:color w:val="000000"/>
          <w:sz w:val="20"/>
          <w:szCs w:val="20"/>
        </w:rPr>
        <w:t>ons, lease rates, terms and payments, interest rate fluctuations, availability, terms and cost of financing and operating expenses; adverse changes in the real estate markets including, among other things, competition from other companies, retail formats a</w:t>
      </w:r>
      <w:r>
        <w:rPr>
          <w:rFonts w:eastAsia="Times New Roman"/>
          <w:color w:val="000000"/>
          <w:sz w:val="20"/>
          <w:szCs w:val="20"/>
        </w:rPr>
        <w:t>nd technology, risks of real estate development and redevelopment, acquisitions and dispositions; the continuing adverse impact of the novel coronavirus ("COVID-19") on the U.S., regional and global economies and the financial condition and results of oper</w:t>
      </w:r>
      <w:r>
        <w:rPr>
          <w:rFonts w:eastAsia="Times New Roman"/>
          <w:color w:val="000000"/>
          <w:sz w:val="20"/>
          <w:szCs w:val="20"/>
        </w:rPr>
        <w:t xml:space="preserve">ations of the Company and its tenants; the liquidity of real estate investments, governmental actions and initiatives (including legislative and regulatory changes); environmental and safety requirements; and terrorist activities or other acts of violence </w:t>
      </w:r>
      <w:r>
        <w:rPr>
          <w:rFonts w:eastAsia="Times New Roman"/>
          <w:color w:val="000000"/>
          <w:sz w:val="20"/>
          <w:szCs w:val="20"/>
        </w:rPr>
        <w:t>which could adversely affect all of the above factors. You are urged to carefully review the disclosures we make concerning these risks and other factors that may affect our business and operating results, including those made in "Item 1A. Risk Factors" in</w:t>
      </w:r>
      <w:r>
        <w:rPr>
          <w:rFonts w:eastAsia="Times New Roman"/>
          <w:color w:val="000000"/>
          <w:sz w:val="20"/>
          <w:szCs w:val="20"/>
        </w:rPr>
        <w:t xml:space="preserve"> our Annual Report on Form 10-K for the year ended December 31, 2020, as well as our other reports filed with the Securities and Exchange Commission (the "SEC"), which disclosures are incorporated herein by reference. You are cautioned not to place undue r</w:t>
      </w:r>
      <w:r>
        <w:rPr>
          <w:rFonts w:eastAsia="Times New Roman"/>
          <w:color w:val="000000"/>
          <w:sz w:val="20"/>
          <w:szCs w:val="20"/>
        </w:rPr>
        <w:t>eliance on these forward-looking statements, which speak only as of the date of this document. The Company does not intend, and undertakes no obligation, to update any forward-looking information to reflect events or circumstances after the date of this do</w:t>
      </w:r>
      <w:r>
        <w:rPr>
          <w:rFonts w:eastAsia="Times New Roman"/>
          <w:color w:val="000000"/>
          <w:sz w:val="20"/>
          <w:szCs w:val="20"/>
        </w:rPr>
        <w:t>cument or to reflect the occurrence of unanticipated events, unless required by law to do so.</w:t>
      </w:r>
    </w:p>
    <w:p w:rsidR="00000000" w:rsidRDefault="00FF0345">
      <w:pPr>
        <w:divId w:val="627130810"/>
        <w:rPr>
          <w:rFonts w:eastAsia="Times New Roman"/>
        </w:rPr>
      </w:pPr>
      <w:r>
        <w:rPr>
          <w:rFonts w:eastAsia="Times New Roman"/>
          <w:b/>
          <w:bCs/>
          <w:color w:val="000000"/>
          <w:sz w:val="20"/>
          <w:szCs w:val="20"/>
        </w:rPr>
        <w:t>Management's Overview and Summary</w:t>
      </w:r>
    </w:p>
    <w:p w:rsidR="00000000" w:rsidRDefault="00FF0345">
      <w:pPr>
        <w:ind w:firstLine="495"/>
        <w:divId w:val="203373631"/>
        <w:rPr>
          <w:rFonts w:eastAsia="Times New Roman"/>
        </w:rPr>
      </w:pPr>
      <w:r>
        <w:rPr>
          <w:rFonts w:eastAsia="Times New Roman"/>
          <w:color w:val="000000"/>
          <w:sz w:val="20"/>
          <w:szCs w:val="20"/>
        </w:rPr>
        <w:t>The Company is involved in the acquisition, ownership, development, redevelopment, management and leasing of regional and commun</w:t>
      </w:r>
      <w:r>
        <w:rPr>
          <w:rFonts w:eastAsia="Times New Roman"/>
          <w:color w:val="000000"/>
          <w:sz w:val="20"/>
          <w:szCs w:val="20"/>
        </w:rPr>
        <w:t>ity/power shopping centers located throughout the United States. The Company is the sole general partner of, and owns a majority of the ownership interests in, The Macerich Partnership, L.P. (the "Operating Partnership"). As of September 30, 2021, the Oper</w:t>
      </w:r>
      <w:r>
        <w:rPr>
          <w:rFonts w:eastAsia="Times New Roman"/>
          <w:color w:val="000000"/>
          <w:sz w:val="20"/>
          <w:szCs w:val="20"/>
        </w:rPr>
        <w:t>ating Partnership owned or had an ownership interest in 45 regional town centers and five community/power shopping centers. These 50 regional town centers and community/power shopping centers (which include any related office space) consist of approximatel</w:t>
      </w:r>
      <w:r>
        <w:rPr>
          <w:rFonts w:eastAsia="Times New Roman"/>
          <w:color w:val="000000"/>
          <w:sz w:val="20"/>
          <w:szCs w:val="20"/>
        </w:rPr>
        <w:t xml:space="preserve">y 49 million square feet of gross leasable area and are referred to herein as the "Centers". The Centers consist of consolidated Centers ("Consolidated Centers") and unconsolidated joint venture Centers ("Unconsolidated Joint Venture Centers"), unless the </w:t>
      </w:r>
      <w:r>
        <w:rPr>
          <w:rFonts w:eastAsia="Times New Roman"/>
          <w:color w:val="000000"/>
          <w:sz w:val="20"/>
          <w:szCs w:val="20"/>
        </w:rPr>
        <w:t>context otherwise requires. The property management, leasing and redevelopment of the Company's portfolio is provided by the Company's seven management companies (collectively referred to herein as the "Management Companies"). The Company is a self-adminis</w:t>
      </w:r>
      <w:r>
        <w:rPr>
          <w:rFonts w:eastAsia="Times New Roman"/>
          <w:color w:val="000000"/>
          <w:sz w:val="20"/>
          <w:szCs w:val="20"/>
        </w:rPr>
        <w:t>tered and self-managed real estate investment trust ("REIT") and conducts all of its operations through the Operating Partnership and the Management Companies.</w:t>
      </w:r>
    </w:p>
    <w:p w:rsidR="00000000" w:rsidRDefault="00FF0345">
      <w:pPr>
        <w:jc w:val="center"/>
        <w:divId w:val="1640264215"/>
        <w:rPr>
          <w:rFonts w:eastAsia="Times New Roman"/>
        </w:rPr>
      </w:pPr>
    </w:p>
    <w:p w:rsidR="00000000" w:rsidRDefault="00FF0345">
      <w:pPr>
        <w:jc w:val="center"/>
        <w:divId w:val="1640264215"/>
        <w:rPr>
          <w:rFonts w:eastAsia="Times New Roman"/>
        </w:rPr>
      </w:pPr>
      <w:r>
        <w:rPr>
          <w:rFonts w:eastAsia="Times New Roman"/>
          <w:color w:val="000000"/>
          <w:sz w:val="20"/>
          <w:szCs w:val="20"/>
        </w:rPr>
        <w:t>28</w:t>
      </w:r>
    </w:p>
    <w:p w:rsidR="00000000" w:rsidRDefault="00FF0345">
      <w:pPr>
        <w:rPr>
          <w:rFonts w:eastAsia="Times New Roman"/>
        </w:rPr>
      </w:pPr>
      <w:r>
        <w:rPr>
          <w:rFonts w:eastAsia="Times New Roman"/>
        </w:rPr>
        <w:pict>
          <v:rect id="_x0000_i1052" style="width:0;height:1.5pt" o:hralign="center" o:hrstd="t" o:hr="t" fillcolor="#a0a0a0" stroked="f"/>
        </w:pict>
      </w:r>
    </w:p>
    <w:p w:rsidR="00000000" w:rsidRDefault="00FF0345">
      <w:pPr>
        <w:divId w:val="1407462270"/>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firstLine="495"/>
        <w:divId w:val="209221595"/>
        <w:rPr>
          <w:rFonts w:eastAsia="Times New Roman"/>
        </w:rPr>
      </w:pPr>
      <w:r>
        <w:rPr>
          <w:rFonts w:eastAsia="Times New Roman"/>
          <w:color w:val="000000"/>
          <w:sz w:val="20"/>
          <w:szCs w:val="20"/>
        </w:rPr>
        <w:t>The following discussion is based primarily on the consolidated financial statements of the Company for the three and nine months ended September 30, 2021 and 2020. It compares the results of operations for the three months ended Sept</w:t>
      </w:r>
      <w:r>
        <w:rPr>
          <w:rFonts w:eastAsia="Times New Roman"/>
          <w:color w:val="000000"/>
          <w:sz w:val="20"/>
          <w:szCs w:val="20"/>
        </w:rPr>
        <w:t>ember 30, 2021 to the results of operations for the three months ended September 30, 2020. It also compares the results of operations and cash flows for the nine months ended September 30, 2021 to the results of operations and cash flows for the nine month</w:t>
      </w:r>
      <w:r>
        <w:rPr>
          <w:rFonts w:eastAsia="Times New Roman"/>
          <w:color w:val="000000"/>
          <w:sz w:val="20"/>
          <w:szCs w:val="20"/>
        </w:rPr>
        <w:t xml:space="preserve">s ended September 30, 2020. </w:t>
      </w:r>
    </w:p>
    <w:p w:rsidR="00000000" w:rsidRDefault="00FF0345">
      <w:pPr>
        <w:ind w:firstLine="495"/>
        <w:divId w:val="854728946"/>
        <w:rPr>
          <w:rFonts w:eastAsia="Times New Roman"/>
        </w:rPr>
      </w:pPr>
      <w:r>
        <w:rPr>
          <w:rFonts w:eastAsia="Times New Roman"/>
          <w:color w:val="000000"/>
          <w:sz w:val="20"/>
          <w:szCs w:val="20"/>
        </w:rPr>
        <w:t>This information should be read in conjunction with the accompanying consolidated financial statements and notes thereto.</w:t>
      </w:r>
    </w:p>
    <w:p w:rsidR="00000000" w:rsidRDefault="00FF0345">
      <w:pPr>
        <w:ind w:firstLine="450"/>
        <w:divId w:val="1693188726"/>
        <w:rPr>
          <w:rFonts w:eastAsia="Times New Roman"/>
        </w:rPr>
      </w:pPr>
      <w:r>
        <w:rPr>
          <w:rFonts w:eastAsia="Times New Roman"/>
          <w:i/>
          <w:iCs/>
          <w:color w:val="000000"/>
          <w:sz w:val="20"/>
          <w:szCs w:val="20"/>
        </w:rPr>
        <w:t>Dispositions:</w:t>
      </w:r>
    </w:p>
    <w:p w:rsidR="00000000" w:rsidRDefault="00FF0345">
      <w:pPr>
        <w:ind w:firstLine="495"/>
        <w:divId w:val="1913083222"/>
        <w:rPr>
          <w:rFonts w:eastAsia="Times New Roman"/>
        </w:rPr>
      </w:pPr>
      <w:r>
        <w:rPr>
          <w:rFonts w:eastAsia="Times New Roman"/>
          <w:color w:val="000000"/>
          <w:sz w:val="20"/>
          <w:szCs w:val="20"/>
        </w:rPr>
        <w:t>On March 29, 2021, the Company sold Paradise Valley Mall in Phoenix, Arizona to a newly for</w:t>
      </w:r>
      <w:r>
        <w:rPr>
          <w:rFonts w:eastAsia="Times New Roman"/>
          <w:color w:val="000000"/>
          <w:sz w:val="20"/>
          <w:szCs w:val="20"/>
        </w:rPr>
        <w:t xml:space="preserve">med joint venture for $100 million, resulting in a gain on sale of assets of approximately $5.6 million. Concurrent with the sale, the Company elected to reinvest into the new joint venture at a 5% ownership interest. The Company used the $95.3 million of </w:t>
      </w:r>
      <w:r>
        <w:rPr>
          <w:rFonts w:eastAsia="Times New Roman"/>
          <w:color w:val="000000"/>
          <w:sz w:val="20"/>
          <w:szCs w:val="20"/>
        </w:rPr>
        <w:t>net proceeds from the sale to pay down its line of credit (See "Liquidity and Capital Resources").</w:t>
      </w:r>
    </w:p>
    <w:p w:rsidR="00000000" w:rsidRDefault="00FF0345">
      <w:pPr>
        <w:ind w:firstLine="495"/>
        <w:divId w:val="1919559206"/>
        <w:rPr>
          <w:rFonts w:eastAsia="Times New Roman"/>
        </w:rPr>
      </w:pPr>
      <w:r>
        <w:rPr>
          <w:rFonts w:eastAsia="Times New Roman"/>
          <w:color w:val="000000"/>
          <w:sz w:val="20"/>
          <w:szCs w:val="20"/>
        </w:rPr>
        <w:t>On September 17, 2021, the Company sold Tucson La Encantada in Tucson, Arizona for $165.3 million, resulting in a gain on sale of assets of approximately $11</w:t>
      </w:r>
      <w:r>
        <w:rPr>
          <w:rFonts w:eastAsia="Times New Roman"/>
          <w:color w:val="000000"/>
          <w:sz w:val="20"/>
          <w:szCs w:val="20"/>
        </w:rPr>
        <w:t xml:space="preserve">7.2 million. The Company used the net cash proceeds of approximately $100.1 million to pay down debt (See "Liquidity and Capital Resources"). </w:t>
      </w:r>
    </w:p>
    <w:p w:rsidR="00000000" w:rsidRDefault="00FF0345">
      <w:pPr>
        <w:ind w:firstLine="450"/>
        <w:divId w:val="7644"/>
        <w:rPr>
          <w:rFonts w:eastAsia="Times New Roman"/>
        </w:rPr>
      </w:pPr>
      <w:r>
        <w:rPr>
          <w:rFonts w:eastAsia="Times New Roman"/>
          <w:i/>
          <w:iCs/>
          <w:color w:val="000000"/>
          <w:sz w:val="20"/>
          <w:szCs w:val="20"/>
        </w:rPr>
        <w:t>Financing Activities:</w:t>
      </w:r>
    </w:p>
    <w:p w:rsidR="00000000" w:rsidRDefault="00FF0345">
      <w:pPr>
        <w:ind w:firstLine="495"/>
        <w:divId w:val="278997146"/>
        <w:rPr>
          <w:rFonts w:eastAsia="Times New Roman"/>
        </w:rPr>
      </w:pPr>
      <w:r>
        <w:rPr>
          <w:rFonts w:eastAsia="Times New Roman"/>
          <w:color w:val="000000"/>
          <w:sz w:val="20"/>
          <w:szCs w:val="20"/>
        </w:rPr>
        <w:t>On September 15, 2020, the Company closed on a loan extension agreement for the $191.0 million loan on Danbury Fair Mall. Under the extension agreement, the original loan maturity date of October 1, 2020 was extended to April 1, 2021 and subsequently to Oc</w:t>
      </w:r>
      <w:r>
        <w:rPr>
          <w:rFonts w:eastAsia="Times New Roman"/>
          <w:color w:val="000000"/>
          <w:sz w:val="20"/>
          <w:szCs w:val="20"/>
        </w:rPr>
        <w:t>tober 1, 2021. The loan amount and interest rate remained unchanged following these extensions. On September 15, 2021, the Company further extended the loan maturity to July 1, 2022. The interest rate remained unchanged, and the Company repaid $10.0 millio</w:t>
      </w:r>
      <w:r>
        <w:rPr>
          <w:rFonts w:eastAsia="Times New Roman"/>
          <w:color w:val="000000"/>
          <w:sz w:val="20"/>
          <w:szCs w:val="20"/>
        </w:rPr>
        <w:t>n of the outstanding loan balance at closing.</w:t>
      </w:r>
    </w:p>
    <w:p w:rsidR="00000000" w:rsidRDefault="00FF0345">
      <w:pPr>
        <w:ind w:firstLine="495"/>
        <w:divId w:val="536312197"/>
        <w:rPr>
          <w:rFonts w:eastAsia="Times New Roman"/>
        </w:rPr>
      </w:pPr>
      <w:r>
        <w:rPr>
          <w:rFonts w:eastAsia="Times New Roman"/>
          <w:color w:val="000000"/>
          <w:sz w:val="20"/>
          <w:szCs w:val="20"/>
        </w:rPr>
        <w:t>On November 17, 2020, the Company’s joint venture in Tysons VITA, the residential tower at Tysons Corner Center, placed a new $95.0 million loan on the property that bears interest at an effective rate of 3.43%</w:t>
      </w:r>
      <w:r>
        <w:rPr>
          <w:rFonts w:eastAsia="Times New Roman"/>
          <w:color w:val="000000"/>
          <w:sz w:val="20"/>
          <w:szCs w:val="20"/>
        </w:rPr>
        <w:t xml:space="preserve"> and matures on December 1, 2030. Initial loan funding for the Company's joint venture was $90.0 million with future advance potential of up to $5.0 million. The Company used its share of the initial proceeds of $45.0 million for general corporate purposes</w:t>
      </w:r>
      <w:r>
        <w:rPr>
          <w:rFonts w:eastAsia="Times New Roman"/>
          <w:color w:val="000000"/>
          <w:sz w:val="20"/>
          <w:szCs w:val="20"/>
        </w:rPr>
        <w:t>.</w:t>
      </w:r>
    </w:p>
    <w:p w:rsidR="00000000" w:rsidRDefault="00FF0345">
      <w:pPr>
        <w:ind w:firstLine="495"/>
        <w:divId w:val="302857553"/>
        <w:rPr>
          <w:rFonts w:eastAsia="Times New Roman"/>
        </w:rPr>
      </w:pPr>
      <w:r>
        <w:rPr>
          <w:rFonts w:eastAsia="Times New Roman"/>
          <w:color w:val="000000"/>
          <w:sz w:val="20"/>
          <w:szCs w:val="20"/>
        </w:rPr>
        <w:t>On December 10, 2020, the Company made a loan (the “Partnership Loan”) to the Company’s joint venture in Fashion District Philadelphia to fund the entirety of a $100.0 million repayment to reduce the mortgage loan on Fashion District Philadelphia from $3</w:t>
      </w:r>
      <w:r>
        <w:rPr>
          <w:rFonts w:eastAsia="Times New Roman"/>
          <w:color w:val="000000"/>
          <w:sz w:val="20"/>
          <w:szCs w:val="20"/>
        </w:rPr>
        <w:t>01.0 million to $201.0 million. This mortgage loan now matures on January 22, 2024, assuming exercise of a one-year extension option, and bears interest at LIBOR plus 3.5%, with a LIBOR floor of 0.50%. The partnership agreement for the joint venture was am</w:t>
      </w:r>
      <w:r>
        <w:rPr>
          <w:rFonts w:eastAsia="Times New Roman"/>
          <w:color w:val="000000"/>
          <w:sz w:val="20"/>
          <w:szCs w:val="20"/>
        </w:rPr>
        <w:t>ended in connection with the Partnership Loan, and pursuant to the amended agreement, the Partnership Loan plus 15% accrued interest must be repaid prior to the resumption of 50/50 cash distributions to the Company and its joint venture partner.</w:t>
      </w:r>
    </w:p>
    <w:p w:rsidR="00000000" w:rsidRDefault="00FF0345">
      <w:pPr>
        <w:ind w:firstLine="495"/>
        <w:divId w:val="1661152351"/>
        <w:rPr>
          <w:rFonts w:eastAsia="Times New Roman"/>
        </w:rPr>
      </w:pPr>
      <w:r>
        <w:rPr>
          <w:rFonts w:eastAsia="Times New Roman"/>
          <w:color w:val="000000"/>
          <w:sz w:val="20"/>
          <w:szCs w:val="20"/>
        </w:rPr>
        <w:t>On Decembe</w:t>
      </w:r>
      <w:r>
        <w:rPr>
          <w:rFonts w:eastAsia="Times New Roman"/>
          <w:color w:val="000000"/>
          <w:sz w:val="20"/>
          <w:szCs w:val="20"/>
        </w:rPr>
        <w:t>r 15, 2020, the Company closed on a loan extension agreement for the $101.5 million loan on Fashion Outlets of Niagara. Under the extension agreement the original loan maturity date of October 6, 2020 was extended to October 6, 2023. The loan amount and in</w:t>
      </w:r>
      <w:r>
        <w:rPr>
          <w:rFonts w:eastAsia="Times New Roman"/>
          <w:color w:val="000000"/>
          <w:sz w:val="20"/>
          <w:szCs w:val="20"/>
        </w:rPr>
        <w:t>terest rate are unchanged following the extension.</w:t>
      </w:r>
    </w:p>
    <w:p w:rsidR="00000000" w:rsidRDefault="00FF0345">
      <w:pPr>
        <w:ind w:firstLine="495"/>
        <w:divId w:val="1424760466"/>
        <w:rPr>
          <w:rFonts w:eastAsia="Times New Roman"/>
        </w:rPr>
      </w:pPr>
      <w:r>
        <w:rPr>
          <w:rFonts w:eastAsia="Times New Roman"/>
          <w:color w:val="000000"/>
          <w:sz w:val="20"/>
          <w:szCs w:val="20"/>
        </w:rPr>
        <w:t>On December 29, 2020, the Company’s joint venture closed on a one-year maturity date extension for the FlatIron Crossing loan to January 5, 2022. The interest rate increased from 3.85% to 4.10%, and the Co</w:t>
      </w:r>
      <w:r>
        <w:rPr>
          <w:rFonts w:eastAsia="Times New Roman"/>
          <w:color w:val="000000"/>
          <w:sz w:val="20"/>
          <w:szCs w:val="20"/>
        </w:rPr>
        <w:t>mpany’s joint venture repaid $15.0 million, $7.6 million at the Company's pro rata share, of the outstanding loan balance at closing. The Company's joint venture is currently negotiating a commitment for a new five-year $200.0 million loan to replace the e</w:t>
      </w:r>
      <w:r>
        <w:rPr>
          <w:rFonts w:eastAsia="Times New Roman"/>
          <w:color w:val="000000"/>
          <w:sz w:val="20"/>
          <w:szCs w:val="20"/>
        </w:rPr>
        <w:t>xisting $198.2 million loan on the property.</w:t>
      </w:r>
    </w:p>
    <w:p w:rsidR="00000000" w:rsidRDefault="00FF0345">
      <w:pPr>
        <w:ind w:firstLine="495"/>
        <w:divId w:val="1369841845"/>
        <w:rPr>
          <w:rFonts w:eastAsia="Times New Roman"/>
        </w:rPr>
      </w:pPr>
      <w:r>
        <w:rPr>
          <w:rFonts w:eastAsia="Times New Roman"/>
          <w:color w:val="000000"/>
          <w:sz w:val="20"/>
          <w:szCs w:val="20"/>
        </w:rPr>
        <w:t>On January 22, 2021, the Company closed on a one-year extension for the Green Acres Mall $258.2 million loan to February 3, 2022, which also includes a one-year extension option to February 3, 2023. The interest</w:t>
      </w:r>
      <w:r>
        <w:rPr>
          <w:rFonts w:eastAsia="Times New Roman"/>
          <w:color w:val="000000"/>
          <w:sz w:val="20"/>
          <w:szCs w:val="20"/>
        </w:rPr>
        <w:t xml:space="preserve"> rate remained unchanged, and the Company repaid $9 million of the outstanding loan balance at closing.</w:t>
      </w:r>
    </w:p>
    <w:p w:rsidR="00000000" w:rsidRDefault="00FF0345">
      <w:pPr>
        <w:ind w:firstLine="495"/>
        <w:divId w:val="1309048013"/>
        <w:rPr>
          <w:rFonts w:eastAsia="Times New Roman"/>
        </w:rPr>
      </w:pPr>
      <w:r>
        <w:rPr>
          <w:rFonts w:eastAsia="Times New Roman"/>
          <w:color w:val="000000"/>
          <w:sz w:val="20"/>
          <w:szCs w:val="20"/>
        </w:rPr>
        <w:t>On March 25, 2021, the Company closed on a two-year extension for the Green Acres Commons $124.6 million loan to March 29, 2023. The interest rate is LIBOR plus 2.75% and the Company repaid $4.7 million of the outstanding loan balance at closing.</w:t>
      </w:r>
    </w:p>
    <w:p w:rsidR="00000000" w:rsidRDefault="00FF0345">
      <w:pPr>
        <w:ind w:firstLine="495"/>
        <w:divId w:val="1605268411"/>
        <w:rPr>
          <w:rFonts w:eastAsia="Times New Roman"/>
        </w:rPr>
      </w:pPr>
      <w:r>
        <w:rPr>
          <w:rFonts w:eastAsia="Times New Roman"/>
          <w:color w:val="000000"/>
          <w:sz w:val="20"/>
          <w:szCs w:val="20"/>
        </w:rPr>
        <w:t>On Octobe</w:t>
      </w:r>
      <w:r>
        <w:rPr>
          <w:rFonts w:eastAsia="Times New Roman"/>
          <w:color w:val="000000"/>
          <w:sz w:val="20"/>
          <w:szCs w:val="20"/>
        </w:rPr>
        <w:t>r 26, 2021, the Company's joint venture in The Shops at Atlas Park replaced the existing loan on the property with a new $65 million loan that bears interest at a floating rate of LIBOR plus 4.15% and matures on November 9, 2026, including extension option</w:t>
      </w:r>
      <w:r>
        <w:rPr>
          <w:rFonts w:eastAsia="Times New Roman"/>
          <w:color w:val="000000"/>
          <w:sz w:val="20"/>
          <w:szCs w:val="20"/>
        </w:rPr>
        <w:t xml:space="preserve">s. </w:t>
      </w:r>
    </w:p>
    <w:p w:rsidR="00000000" w:rsidRDefault="00FF0345">
      <w:pPr>
        <w:jc w:val="center"/>
        <w:divId w:val="1717200137"/>
        <w:rPr>
          <w:rFonts w:eastAsia="Times New Roman"/>
        </w:rPr>
      </w:pPr>
    </w:p>
    <w:p w:rsidR="00000000" w:rsidRDefault="00FF0345">
      <w:pPr>
        <w:jc w:val="center"/>
        <w:divId w:val="1717200137"/>
        <w:rPr>
          <w:rFonts w:eastAsia="Times New Roman"/>
        </w:rPr>
      </w:pPr>
      <w:r>
        <w:rPr>
          <w:rFonts w:eastAsia="Times New Roman"/>
          <w:color w:val="000000"/>
          <w:sz w:val="20"/>
          <w:szCs w:val="20"/>
        </w:rPr>
        <w:t>29</w:t>
      </w:r>
    </w:p>
    <w:p w:rsidR="00000000" w:rsidRDefault="00FF0345">
      <w:pPr>
        <w:rPr>
          <w:rFonts w:eastAsia="Times New Roman"/>
        </w:rPr>
      </w:pPr>
      <w:r>
        <w:rPr>
          <w:rFonts w:eastAsia="Times New Roman"/>
        </w:rPr>
        <w:pict>
          <v:rect id="_x0000_i1053" style="width:0;height:1.5pt" o:hralign="center" o:hrstd="t" o:hr="t" fillcolor="#a0a0a0" stroked="f"/>
        </w:pict>
      </w:r>
    </w:p>
    <w:p w:rsidR="00000000" w:rsidRDefault="00FF0345">
      <w:pPr>
        <w:divId w:val="1306617553"/>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firstLine="495"/>
        <w:divId w:val="658310244"/>
        <w:rPr>
          <w:rFonts w:eastAsia="Times New Roman"/>
        </w:rPr>
      </w:pPr>
      <w:r>
        <w:rPr>
          <w:rFonts w:eastAsia="Times New Roman"/>
          <w:color w:val="000000"/>
          <w:sz w:val="20"/>
          <w:szCs w:val="20"/>
        </w:rPr>
        <w:t>During the second quarter of 2020 and in July 2020, the Company secured agreements with its mortgage lenders on 19 mortgage loans to d</w:t>
      </w:r>
      <w:r>
        <w:rPr>
          <w:rFonts w:eastAsia="Times New Roman"/>
          <w:color w:val="000000"/>
          <w:sz w:val="20"/>
          <w:szCs w:val="20"/>
        </w:rPr>
        <w:t>efer approximately $47.2 million of both second and third quarter of 2020 debt service payments at the Company’s pro rata share during the COVID-19 pandemic. Of the deferred payments, $28.1 million and $36.9 million was repaid in the three months and twelv</w:t>
      </w:r>
      <w:r>
        <w:rPr>
          <w:rFonts w:eastAsia="Times New Roman"/>
          <w:color w:val="000000"/>
          <w:sz w:val="20"/>
          <w:szCs w:val="20"/>
        </w:rPr>
        <w:t>e months ended December 31, 2020, respectively; and the remaining balance was fully repaid during the first quarter of 2021.</w:t>
      </w:r>
    </w:p>
    <w:p w:rsidR="00000000" w:rsidRDefault="00FF0345">
      <w:pPr>
        <w:ind w:firstLine="495"/>
        <w:divId w:val="19669339"/>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w:t>
      </w:r>
      <w:r>
        <w:rPr>
          <w:rFonts w:eastAsia="Times New Roman"/>
          <w:color w:val="000000"/>
          <w:sz w:val="20"/>
          <w:szCs w:val="20"/>
        </w:rPr>
        <w:t>an aggregate $700 million facility, including a $525 million revolving loan facility that matures on April 14, 2023, with a one-year extension option, and a $175 million term loan facility that matures on April 14, 2024 (See "Liquidity and Capital Resource</w:t>
      </w:r>
      <w:r>
        <w:rPr>
          <w:rFonts w:eastAsia="Times New Roman"/>
          <w:color w:val="000000"/>
          <w:sz w:val="20"/>
          <w:szCs w:val="20"/>
        </w:rPr>
        <w:t>s").</w:t>
      </w:r>
    </w:p>
    <w:p w:rsidR="00000000" w:rsidRDefault="00FF0345">
      <w:pPr>
        <w:ind w:firstLine="495"/>
        <w:divId w:val="659819059"/>
        <w:rPr>
          <w:rFonts w:eastAsia="Times New Roman"/>
        </w:rPr>
      </w:pPr>
      <w:r>
        <w:rPr>
          <w:rFonts w:eastAsia="Times New Roman"/>
          <w:i/>
          <w:iCs/>
          <w:color w:val="000000"/>
          <w:sz w:val="20"/>
          <w:szCs w:val="20"/>
        </w:rPr>
        <w:t>Redevelopment and Development Activities:</w:t>
      </w:r>
    </w:p>
    <w:p w:rsidR="00000000" w:rsidRDefault="00FF0345">
      <w:pPr>
        <w:ind w:firstLine="495"/>
        <w:divId w:val="1263805521"/>
        <w:rPr>
          <w:rFonts w:eastAsia="Times New Roman"/>
        </w:rPr>
      </w:pPr>
      <w:r>
        <w:rPr>
          <w:rFonts w:eastAsia="Times New Roman"/>
          <w:color w:val="000000"/>
          <w:sz w:val="20"/>
          <w:szCs w:val="20"/>
        </w:rPr>
        <w:t>The Company's joint venture with Hudson Pacific Properties is redeveloping One Westside into 584,000 square feet of creative office space and 96,000 square feet of dining and entertainment space. The entire cr</w:t>
      </w:r>
      <w:r>
        <w:rPr>
          <w:rFonts w:eastAsia="Times New Roman"/>
          <w:color w:val="000000"/>
          <w:sz w:val="20"/>
          <w:szCs w:val="20"/>
        </w:rPr>
        <w:t xml:space="preserve">eative office space has been leased to Google and is expected to be completed in 2022. The total cost of the project is estimated to be between $500.0 million and $550.0 million, with $125.0 million to $137.5 million estimated to be the Company's pro rata </w:t>
      </w:r>
      <w:r>
        <w:rPr>
          <w:rFonts w:eastAsia="Times New Roman"/>
          <w:color w:val="000000"/>
          <w:sz w:val="20"/>
          <w:szCs w:val="20"/>
        </w:rPr>
        <w:t>share. The Company has funded $100.3 million of the total $401.3 million incurred by the joint venture as of September 30, 2021. The joint venture expects to fund the remaining costs of the development with its $414.6 million construction loan (See "Financ</w:t>
      </w:r>
      <w:r>
        <w:rPr>
          <w:rFonts w:eastAsia="Times New Roman"/>
          <w:color w:val="000000"/>
          <w:sz w:val="20"/>
          <w:szCs w:val="20"/>
        </w:rPr>
        <w:t xml:space="preserve">ing Activities"). </w:t>
      </w:r>
    </w:p>
    <w:p w:rsidR="00000000" w:rsidRDefault="00FF0345">
      <w:pPr>
        <w:ind w:firstLine="495"/>
        <w:divId w:val="1217279542"/>
        <w:rPr>
          <w:rFonts w:eastAsia="Times New Roman"/>
        </w:rPr>
      </w:pPr>
      <w:r>
        <w:rPr>
          <w:rFonts w:eastAsia="Times New Roman"/>
          <w:color w:val="000000"/>
          <w:sz w:val="20"/>
          <w:szCs w:val="20"/>
        </w:rPr>
        <w:t>The Company has a 50/50 joint venture with Simon Property Group to develop Los Angeles Premium Outlets, a premium outlet center in Carson, California that is planned to open with approximately 400,000 square feet, followed by an addition</w:t>
      </w:r>
      <w:r>
        <w:rPr>
          <w:rFonts w:eastAsia="Times New Roman"/>
          <w:color w:val="000000"/>
          <w:sz w:val="20"/>
          <w:szCs w:val="20"/>
        </w:rPr>
        <w:t>al 165,000 square feet in the second phase. The Company has funded $40.8 million of the total $81.6 million incurred by the joint venture as of September 30, 2021.</w:t>
      </w:r>
    </w:p>
    <w:p w:rsidR="00000000" w:rsidRDefault="00FF0345">
      <w:pPr>
        <w:ind w:firstLine="495"/>
        <w:divId w:val="1067339279"/>
        <w:rPr>
          <w:rFonts w:eastAsia="Times New Roman"/>
        </w:rPr>
      </w:pPr>
      <w:r>
        <w:rPr>
          <w:rFonts w:eastAsia="Times New Roman"/>
          <w:color w:val="000000"/>
          <w:sz w:val="20"/>
          <w:szCs w:val="20"/>
        </w:rPr>
        <w:t>In connection with the closures and lease rejections of several Sears stores owned or partia</w:t>
      </w:r>
      <w:r>
        <w:rPr>
          <w:rFonts w:eastAsia="Times New Roman"/>
          <w:color w:val="000000"/>
          <w:sz w:val="20"/>
          <w:szCs w:val="20"/>
        </w:rPr>
        <w:t>lly owned by the Company, the Company anticipates spending between $130.0 million to $160.0 million at the Company’s pro rata share to redevelop the Sears stores. The anticipated openings of such redevelopments are expected to occur over several years. The</w:t>
      </w:r>
      <w:r>
        <w:rPr>
          <w:rFonts w:eastAsia="Times New Roman"/>
          <w:color w:val="000000"/>
          <w:sz w:val="20"/>
          <w:szCs w:val="20"/>
        </w:rPr>
        <w:t xml:space="preserve"> estimated range of redevelopment costs could increase if the Company or its joint venture decides to expand the scope of the redevelopments. The Company has funded $39.9 million at its pro rata share as of September 30, 2021. </w:t>
      </w:r>
    </w:p>
    <w:p w:rsidR="00000000" w:rsidRDefault="00FF0345">
      <w:pPr>
        <w:ind w:firstLine="495"/>
        <w:divId w:val="588658405"/>
        <w:rPr>
          <w:rFonts w:eastAsia="Times New Roman"/>
        </w:rPr>
      </w:pPr>
      <w:r>
        <w:rPr>
          <w:rFonts w:eastAsia="Times New Roman"/>
          <w:i/>
          <w:iCs/>
          <w:color w:val="000000"/>
          <w:sz w:val="20"/>
          <w:szCs w:val="20"/>
        </w:rPr>
        <w:t>Other Transactions and Event</w:t>
      </w:r>
      <w:r>
        <w:rPr>
          <w:rFonts w:eastAsia="Times New Roman"/>
          <w:i/>
          <w:iCs/>
          <w:color w:val="000000"/>
          <w:sz w:val="20"/>
          <w:szCs w:val="20"/>
        </w:rPr>
        <w:t>s:</w:t>
      </w:r>
    </w:p>
    <w:p w:rsidR="00000000" w:rsidRDefault="00FF0345">
      <w:pPr>
        <w:ind w:firstLine="495"/>
        <w:divId w:val="131752462"/>
        <w:rPr>
          <w:rFonts w:eastAsia="Times New Roman"/>
        </w:rPr>
      </w:pPr>
      <w:r>
        <w:rPr>
          <w:rFonts w:eastAsia="Times New Roman"/>
          <w:color w:val="000000"/>
          <w:sz w:val="20"/>
          <w:szCs w:val="20"/>
        </w:rPr>
        <w:t>In March 2020, the COVID-19 outbreak was declared a pandemic by the World Health Organization. As a result, all of the markets that the Company operates in were subject to stay-at-home orders, and the majority of its properties were temporarily closed i</w:t>
      </w:r>
      <w:r>
        <w:rPr>
          <w:rFonts w:eastAsia="Times New Roman"/>
          <w:color w:val="000000"/>
          <w:sz w:val="20"/>
          <w:szCs w:val="20"/>
        </w:rPr>
        <w:t>n part or completely. Following staggered re-openings during 2020, all Centers have been open and operating since October 7, 2020. As of the date of this Quarterly Report on Form 10-Q, government-imposed capacity restrictions resulting from COVID-19 have b</w:t>
      </w:r>
      <w:r>
        <w:rPr>
          <w:rFonts w:eastAsia="Times New Roman"/>
          <w:color w:val="000000"/>
          <w:sz w:val="20"/>
          <w:szCs w:val="20"/>
        </w:rPr>
        <w:t>een essentially eliminated across the Company's markets.</w:t>
      </w:r>
    </w:p>
    <w:p w:rsidR="00000000" w:rsidRDefault="00FF0345">
      <w:pPr>
        <w:ind w:firstLine="495"/>
        <w:divId w:val="1497962087"/>
        <w:rPr>
          <w:rFonts w:eastAsia="Times New Roman"/>
        </w:rPr>
      </w:pPr>
      <w:r>
        <w:rPr>
          <w:rFonts w:eastAsia="Times New Roman"/>
          <w:color w:val="000000"/>
          <w:sz w:val="20"/>
          <w:szCs w:val="20"/>
        </w:rPr>
        <w:t>On December 31, 2020, the Company and its joint venture partner, Seritage Growth Properties (“Seritage”), entered into a distribution agreement. The joint venture owned nine properties, including the</w:t>
      </w:r>
      <w:r>
        <w:rPr>
          <w:rFonts w:eastAsia="Times New Roman"/>
          <w:color w:val="000000"/>
          <w:sz w:val="20"/>
          <w:szCs w:val="20"/>
        </w:rPr>
        <w:t xml:space="preserve"> former Sears parcels at the South Plains Mall and the Arrowhead Towne Center. The joint venture distributed the former Sears parcel at South Plains Mall to the Company and the former Sears parcel at Arrowhead Towne Center to Seritage. The joint venture pa</w:t>
      </w:r>
      <w:r>
        <w:rPr>
          <w:rFonts w:eastAsia="Times New Roman"/>
          <w:color w:val="000000"/>
          <w:sz w:val="20"/>
          <w:szCs w:val="20"/>
        </w:rPr>
        <w:t>rtners agreed that the distributed properties were of equal value. The Company now owns 100% of the former Sears parcel at South Plains Mall. Effective December 31, 2020, the Company consolidates its 100% interest in the Sears parcel at South Plains Mall i</w:t>
      </w:r>
      <w:r>
        <w:rPr>
          <w:rFonts w:eastAsia="Times New Roman"/>
          <w:color w:val="000000"/>
          <w:sz w:val="20"/>
          <w:szCs w:val="20"/>
        </w:rPr>
        <w:t>n the Company’s consolidated financial statements.</w:t>
      </w:r>
    </w:p>
    <w:p w:rsidR="00000000" w:rsidRDefault="00FF0345">
      <w:pPr>
        <w:ind w:firstLine="495"/>
        <w:divId w:val="190534114"/>
        <w:rPr>
          <w:rFonts w:eastAsia="Times New Roman"/>
        </w:rPr>
      </w:pPr>
      <w:r>
        <w:rPr>
          <w:rFonts w:eastAsia="Times New Roman"/>
          <w:color w:val="000000"/>
          <w:sz w:val="20"/>
          <w:szCs w:val="20"/>
        </w:rPr>
        <w:t>In March 2020, the Company declared a reduced second quarter dividend of $0.50 per share of its common stock, which was paid on June 3, 2020 in a combination of cash and shares of common stock, at the elec</w:t>
      </w:r>
      <w:r>
        <w:rPr>
          <w:rFonts w:eastAsia="Times New Roman"/>
          <w:color w:val="000000"/>
          <w:sz w:val="20"/>
          <w:szCs w:val="20"/>
        </w:rPr>
        <w:t>tion of the stockholder, subject to a limitation that the aggregate amount of cash payable to holders of the Company’s common stock would not exceed 20% of the aggregate amount of the dividend, or $0.10 per share, for all stockholders of record on April 22</w:t>
      </w:r>
      <w:r>
        <w:rPr>
          <w:rFonts w:eastAsia="Times New Roman"/>
          <w:color w:val="000000"/>
          <w:sz w:val="20"/>
          <w:szCs w:val="20"/>
        </w:rPr>
        <w:t>, 2020. The amount of the dividend represented a reduction from the Company’s first quarter 2020 dividend, and was paid in a combination of cash and shares of common stock to preserve liquidity in light of the impact and uncertainty arising out of the COVI</w:t>
      </w:r>
      <w:r>
        <w:rPr>
          <w:rFonts w:eastAsia="Times New Roman"/>
          <w:color w:val="000000"/>
          <w:sz w:val="20"/>
          <w:szCs w:val="20"/>
        </w:rPr>
        <w:t>D-19 pandemic. The Company declared a further reduced cash dividend of $0.15 per share of its common stock for the third and fourth quarters of 2020 and for the first, second and third quarters of 2021. On October 28, 2021, the Company declared a fourth qu</w:t>
      </w:r>
      <w:r>
        <w:rPr>
          <w:rFonts w:eastAsia="Times New Roman"/>
          <w:color w:val="000000"/>
          <w:sz w:val="20"/>
          <w:szCs w:val="20"/>
        </w:rPr>
        <w:t>arter cash dividend of $0.15 per share of its common stock, which will be paid on December 3, 2021 to stockholders of record on November 9, 2021. The dividend amount will be reviewed by the Board on a quarterly basis.</w:t>
      </w:r>
    </w:p>
    <w:p w:rsidR="00000000" w:rsidRDefault="00FF0345">
      <w:pPr>
        <w:ind w:firstLine="495"/>
        <w:divId w:val="1580402494"/>
        <w:rPr>
          <w:rFonts w:eastAsia="Times New Roman"/>
        </w:rPr>
      </w:pPr>
      <w:r>
        <w:rPr>
          <w:rFonts w:eastAsia="Times New Roman"/>
          <w:color w:val="000000"/>
          <w:sz w:val="20"/>
          <w:szCs w:val="20"/>
        </w:rPr>
        <w:t>In connection with the commencement of</w:t>
      </w:r>
      <w:r>
        <w:rPr>
          <w:rFonts w:eastAsia="Times New Roman"/>
          <w:color w:val="000000"/>
          <w:sz w:val="20"/>
          <w:szCs w:val="20"/>
        </w:rPr>
        <w:t xml:space="preserve"> separate "at the market" offering programs, on each of February 1, 2021 and March 26, 2021, which are referred to as the "February 2021 ATM Program" and the "March 2021 ATM Program," respectively, and collectively as the "ATM Programs," the Company entere</w:t>
      </w:r>
      <w:r>
        <w:rPr>
          <w:rFonts w:eastAsia="Times New Roman"/>
          <w:color w:val="000000"/>
          <w:sz w:val="20"/>
          <w:szCs w:val="20"/>
        </w:rPr>
        <w:t xml:space="preserve">d into separate equity distribution agreements with certain sales agents pursuant to which the Company may issue and sell shares of its common stock having an aggregate offering </w:t>
      </w:r>
    </w:p>
    <w:p w:rsidR="00000000" w:rsidRDefault="00FF0345">
      <w:pPr>
        <w:jc w:val="center"/>
        <w:divId w:val="1631086977"/>
        <w:rPr>
          <w:rFonts w:eastAsia="Times New Roman"/>
        </w:rPr>
      </w:pPr>
    </w:p>
    <w:p w:rsidR="00000000" w:rsidRDefault="00FF0345">
      <w:pPr>
        <w:jc w:val="center"/>
        <w:divId w:val="1631086977"/>
        <w:rPr>
          <w:rFonts w:eastAsia="Times New Roman"/>
        </w:rPr>
      </w:pPr>
      <w:r>
        <w:rPr>
          <w:rFonts w:eastAsia="Times New Roman"/>
          <w:color w:val="000000"/>
          <w:sz w:val="20"/>
          <w:szCs w:val="20"/>
        </w:rPr>
        <w:t>30</w:t>
      </w:r>
    </w:p>
    <w:p w:rsidR="00000000" w:rsidRDefault="00FF0345">
      <w:pPr>
        <w:rPr>
          <w:rFonts w:eastAsia="Times New Roman"/>
        </w:rPr>
      </w:pPr>
      <w:r>
        <w:rPr>
          <w:rFonts w:eastAsia="Times New Roman"/>
        </w:rPr>
        <w:pict>
          <v:rect id="_x0000_i1054" style="width:0;height:1.5pt" o:hralign="center" o:hrstd="t" o:hr="t" fillcolor="#a0a0a0" stroked="f"/>
        </w:pict>
      </w:r>
    </w:p>
    <w:p w:rsidR="00000000" w:rsidRDefault="00FF0345">
      <w:pPr>
        <w:divId w:val="163209282"/>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838302903"/>
        <w:rPr>
          <w:rFonts w:eastAsia="Times New Roman"/>
        </w:rPr>
      </w:pPr>
      <w:r>
        <w:rPr>
          <w:rFonts w:eastAsia="Times New Roman"/>
          <w:color w:val="000000"/>
          <w:sz w:val="20"/>
          <w:szCs w:val="20"/>
        </w:rPr>
        <w:t>price of up to $500 million under each of the February 2021 ATM Program and the March 2021 ATM Program, or a total of $1 billion under the ATM Programs. As of September 30, 2021, t</w:t>
      </w:r>
      <w:r>
        <w:rPr>
          <w:rFonts w:eastAsia="Times New Roman"/>
          <w:color w:val="000000"/>
          <w:sz w:val="20"/>
          <w:szCs w:val="20"/>
        </w:rPr>
        <w:t xml:space="preserve">he Company had approximately $152.1 million of gross sales of its common stock available under the March 2021 ATM Program. The February 2021 ATM Program was fully utilized as of June 30, 2021 and is no longer active. </w:t>
      </w:r>
    </w:p>
    <w:p w:rsidR="00000000" w:rsidRDefault="00FF0345">
      <w:pPr>
        <w:ind w:firstLine="495"/>
        <w:divId w:val="579943932"/>
        <w:rPr>
          <w:rFonts w:eastAsia="Times New Roman"/>
        </w:rPr>
      </w:pPr>
      <w:r>
        <w:rPr>
          <w:rFonts w:eastAsia="Times New Roman"/>
          <w:color w:val="000000"/>
          <w:sz w:val="20"/>
          <w:szCs w:val="20"/>
        </w:rPr>
        <w:t xml:space="preserve">See “Liquidity and Capital Resources” </w:t>
      </w:r>
      <w:r>
        <w:rPr>
          <w:rFonts w:eastAsia="Times New Roman"/>
          <w:color w:val="000000"/>
          <w:sz w:val="20"/>
          <w:szCs w:val="20"/>
        </w:rPr>
        <w:t>for a further discussion of the Company’s anticipated liquidity needs, and the measures taken by the Company to meet those needs, including the ATM Programs and the Company's new credit facility.</w:t>
      </w:r>
    </w:p>
    <w:p w:rsidR="00000000" w:rsidRDefault="00FF0345">
      <w:pPr>
        <w:ind w:firstLine="495"/>
        <w:divId w:val="362824591"/>
        <w:rPr>
          <w:rFonts w:eastAsia="Times New Roman"/>
        </w:rPr>
      </w:pPr>
      <w:r>
        <w:rPr>
          <w:rFonts w:eastAsia="Times New Roman"/>
          <w:i/>
          <w:iCs/>
          <w:color w:val="000000"/>
          <w:sz w:val="20"/>
          <w:szCs w:val="20"/>
        </w:rPr>
        <w:t>Inflation:</w:t>
      </w:r>
    </w:p>
    <w:p w:rsidR="00000000" w:rsidRDefault="00FF0345">
      <w:pPr>
        <w:ind w:firstLine="495"/>
        <w:divId w:val="1505365592"/>
        <w:rPr>
          <w:rFonts w:eastAsia="Times New Roman"/>
        </w:rPr>
      </w:pPr>
      <w:r>
        <w:rPr>
          <w:rFonts w:eastAsia="Times New Roman"/>
          <w:color w:val="000000"/>
          <w:sz w:val="20"/>
          <w:szCs w:val="20"/>
        </w:rPr>
        <w:t>In the last five years, inflation has not had a s</w:t>
      </w:r>
      <w:r>
        <w:rPr>
          <w:rFonts w:eastAsia="Times New Roman"/>
          <w:color w:val="000000"/>
          <w:sz w:val="20"/>
          <w:szCs w:val="20"/>
        </w:rPr>
        <w:t>ignificant impact on the Company because of a relatively low inflation rate. Most of the leases at the Centers have rent adjustments periodically throughout the lease term. These rent increases are either in fixed increments or based on using an annual mul</w:t>
      </w:r>
      <w:r>
        <w:rPr>
          <w:rFonts w:eastAsia="Times New Roman"/>
          <w:color w:val="000000"/>
          <w:sz w:val="20"/>
          <w:szCs w:val="20"/>
        </w:rPr>
        <w:t>tiple of increases in the Consumer Price Index. In addition, approximately 3% to 18% of the leases for spaces 10,000 square feet and under expire each year, which enables the Company to replace existing leases with new leases at higher base rents if the re</w:t>
      </w:r>
      <w:r>
        <w:rPr>
          <w:rFonts w:eastAsia="Times New Roman"/>
          <w:color w:val="000000"/>
          <w:sz w:val="20"/>
          <w:szCs w:val="20"/>
        </w:rPr>
        <w:t>nts of the existing leases are below the then existing market rate. The Company has generally entered into leases that require tenants to pay a stated amount for operating expenses, generally excluding property taxes, regardless of the expenses actually in</w:t>
      </w:r>
      <w:r>
        <w:rPr>
          <w:rFonts w:eastAsia="Times New Roman"/>
          <w:color w:val="000000"/>
          <w:sz w:val="20"/>
          <w:szCs w:val="20"/>
        </w:rPr>
        <w:t>curred at any Center, which places the burden of cost control on the Company. Additionally, most leases require the tenants to pay their pro rata share of property taxes and utilities.</w:t>
      </w:r>
    </w:p>
    <w:p w:rsidR="00000000" w:rsidRDefault="00FF0345">
      <w:pPr>
        <w:divId w:val="1218665598"/>
        <w:rPr>
          <w:rFonts w:eastAsia="Times New Roman"/>
        </w:rPr>
      </w:pPr>
      <w:r>
        <w:rPr>
          <w:rFonts w:eastAsia="Times New Roman"/>
          <w:b/>
          <w:bCs/>
          <w:color w:val="000000"/>
          <w:sz w:val="20"/>
          <w:szCs w:val="20"/>
        </w:rPr>
        <w:t>Critical Accounting Policies</w:t>
      </w:r>
    </w:p>
    <w:p w:rsidR="00000000" w:rsidRDefault="00FF0345">
      <w:pPr>
        <w:ind w:firstLine="495"/>
        <w:divId w:val="36468418"/>
        <w:rPr>
          <w:rFonts w:eastAsia="Times New Roman"/>
        </w:rPr>
      </w:pPr>
      <w:r>
        <w:rPr>
          <w:rFonts w:eastAsia="Times New Roman"/>
          <w:color w:val="000000"/>
          <w:sz w:val="20"/>
          <w:szCs w:val="20"/>
        </w:rPr>
        <w:t>The preparation of financial statements in</w:t>
      </w:r>
      <w:r>
        <w:rPr>
          <w:rFonts w:eastAsia="Times New Roman"/>
          <w:color w:val="000000"/>
          <w:sz w:val="20"/>
          <w:szCs w:val="20"/>
        </w:rPr>
        <w:t xml:space="preserve"> conformity with generally accepted accounting principles ("GAAP") in the United States of America requires management to make estimates and assumptions that affect the reported amounts of assets and liabilities and disclosure of contingent assets and liab</w:t>
      </w:r>
      <w:r>
        <w:rPr>
          <w:rFonts w:eastAsia="Times New Roman"/>
          <w:color w:val="000000"/>
          <w:sz w:val="20"/>
          <w:szCs w:val="20"/>
        </w:rPr>
        <w:t>ilities at the date of the financial statements and the reported amounts of revenues and expenses during the reporting period. Actual results could differ from those estimates.</w:t>
      </w:r>
    </w:p>
    <w:p w:rsidR="00000000" w:rsidRDefault="00FF0345">
      <w:pPr>
        <w:ind w:firstLine="495"/>
        <w:divId w:val="397284685"/>
        <w:rPr>
          <w:rFonts w:eastAsia="Times New Roman"/>
        </w:rPr>
      </w:pPr>
      <w:r>
        <w:rPr>
          <w:rFonts w:eastAsia="Times New Roman"/>
          <w:color w:val="000000"/>
          <w:sz w:val="20"/>
          <w:szCs w:val="20"/>
        </w:rPr>
        <w:t>Some of these estimates and assumptions include judgments on revenue recognitio</w:t>
      </w:r>
      <w:r>
        <w:rPr>
          <w:rFonts w:eastAsia="Times New Roman"/>
          <w:color w:val="000000"/>
          <w:sz w:val="20"/>
          <w:szCs w:val="20"/>
        </w:rPr>
        <w:t>n, estimates for common area maintenance and real estate tax accruals, provisions for uncollectible accounts, impairment of long-lived assets, the allocation of purchase price between tangible and intangible assets, capitalization of costs and fair value m</w:t>
      </w:r>
      <w:r>
        <w:rPr>
          <w:rFonts w:eastAsia="Times New Roman"/>
          <w:color w:val="000000"/>
          <w:sz w:val="20"/>
          <w:szCs w:val="20"/>
        </w:rPr>
        <w:t>easurements. The Company's significant accounting policies are described in more detail in Note 2—Summary of Significant Accounting Policies in the Company's Notes to the Consolidated Financial Statements. However, the following policies are deemed to be c</w:t>
      </w:r>
      <w:r>
        <w:rPr>
          <w:rFonts w:eastAsia="Times New Roman"/>
          <w:color w:val="000000"/>
          <w:sz w:val="20"/>
          <w:szCs w:val="20"/>
        </w:rPr>
        <w:t>ritical.</w:t>
      </w:r>
    </w:p>
    <w:p w:rsidR="00000000" w:rsidRDefault="00FF0345">
      <w:pPr>
        <w:ind w:firstLine="495"/>
        <w:divId w:val="830483058"/>
        <w:rPr>
          <w:rFonts w:eastAsia="Times New Roman"/>
        </w:rPr>
      </w:pPr>
      <w:r>
        <w:rPr>
          <w:rFonts w:eastAsia="Times New Roman"/>
          <w:i/>
          <w:iCs/>
          <w:color w:val="000000"/>
          <w:sz w:val="20"/>
          <w:szCs w:val="20"/>
        </w:rPr>
        <w:t>Acquisitions:</w:t>
      </w:r>
    </w:p>
    <w:p w:rsidR="00000000" w:rsidRDefault="00FF0345">
      <w:pPr>
        <w:ind w:firstLine="495"/>
        <w:divId w:val="2063357541"/>
        <w:rPr>
          <w:rFonts w:eastAsia="Times New Roman"/>
        </w:rPr>
      </w:pPr>
      <w:r>
        <w:rPr>
          <w:rFonts w:eastAsia="Times New Roman"/>
          <w:color w:val="000000"/>
          <w:sz w:val="20"/>
          <w:szCs w:val="20"/>
        </w:rPr>
        <w:t>Upon the acquisition of real estate properties, the Company evaluates whether the acquisition is a business combination or asset acquisition. For both business combinations and asset acquisitions, the Company allocates the purchase p</w:t>
      </w:r>
      <w:r>
        <w:rPr>
          <w:rFonts w:eastAsia="Times New Roman"/>
          <w:color w:val="000000"/>
          <w:sz w:val="20"/>
          <w:szCs w:val="20"/>
        </w:rPr>
        <w:t>rice of properties to acquired tangible assets and intangible assets and liabilities. For asset acquisitions, the Company capitalizes transaction costs and allocates the purchase price using a relative fair value method allocating all accumulated costs. Fo</w:t>
      </w:r>
      <w:r>
        <w:rPr>
          <w:rFonts w:eastAsia="Times New Roman"/>
          <w:color w:val="000000"/>
          <w:sz w:val="20"/>
          <w:szCs w:val="20"/>
        </w:rPr>
        <w:t>r business combinations, the Company expenses transaction costs incurred and allocates purchase price based on the estimated fair value of each separately identified asset and liability. The Company allocates the estimated fair value of acquisitions to lan</w:t>
      </w:r>
      <w:r>
        <w:rPr>
          <w:rFonts w:eastAsia="Times New Roman"/>
          <w:color w:val="000000"/>
          <w:sz w:val="20"/>
          <w:szCs w:val="20"/>
        </w:rPr>
        <w:t>d, building, tenant improvements and identified intangible assets and liabilities, based on their estimated fair values. In addition, any assumed mortgage notes payable are recorded at their estimated fair values. The estimated fair value of the land and b</w:t>
      </w:r>
      <w:r>
        <w:rPr>
          <w:rFonts w:eastAsia="Times New Roman"/>
          <w:color w:val="000000"/>
          <w:sz w:val="20"/>
          <w:szCs w:val="20"/>
        </w:rPr>
        <w:t>uildings is determined utilizing an “as if vacant” methodology. Tenant improvements represent the tangible assets associated with the existing leases valued on a fair value basis at the acquisition date prorated over the remaining lease terms. The tenant i</w:t>
      </w:r>
      <w:r>
        <w:rPr>
          <w:rFonts w:eastAsia="Times New Roman"/>
          <w:color w:val="000000"/>
          <w:sz w:val="20"/>
          <w:szCs w:val="20"/>
        </w:rPr>
        <w:t>mprovements are classified as an asset under property and are depreciated over the remaining lease terms. Identifiable intangible assets and liabilities relate to the value of in-place operating leases which come in three forms: (i) leasing commissions and</w:t>
      </w:r>
      <w:r>
        <w:rPr>
          <w:rFonts w:eastAsia="Times New Roman"/>
          <w:color w:val="000000"/>
          <w:sz w:val="20"/>
          <w:szCs w:val="20"/>
        </w:rPr>
        <w:t xml:space="preserve"> legal costs, which represent the value associated with “cost avoidance” of acquiring in-place leases, such as lease commissions paid under terms generally experienced in the Company's markets; (ii) value of in-place leases, which represents the estimated </w:t>
      </w:r>
      <w:r>
        <w:rPr>
          <w:rFonts w:eastAsia="Times New Roman"/>
          <w:color w:val="000000"/>
          <w:sz w:val="20"/>
          <w:szCs w:val="20"/>
        </w:rPr>
        <w:t>loss of revenue and of costs incurred for the period required to lease the “assumed vacant” property to the occupancy level when purchased; and (iii) above or below-market value of in-place leases, which represents the difference between the contractual re</w:t>
      </w:r>
      <w:r>
        <w:rPr>
          <w:rFonts w:eastAsia="Times New Roman"/>
          <w:color w:val="000000"/>
          <w:sz w:val="20"/>
          <w:szCs w:val="20"/>
        </w:rPr>
        <w:t>nts and market rents at the time of the acquisition, discounted for tenant credit risks. Leasing commissions and legal costs are recorded in deferred charges and other assets and are amortized over the remaining lease terms. The value of in-place leases ar</w:t>
      </w:r>
      <w:r>
        <w:rPr>
          <w:rFonts w:eastAsia="Times New Roman"/>
          <w:color w:val="000000"/>
          <w:sz w:val="20"/>
          <w:szCs w:val="20"/>
        </w:rPr>
        <w:t>e recorded in deferred charges and other assets and amortized over the remaining lease terms plus any below-market fixed rate renewal options. Above or below-market leases are classified in deferred charges and other assets or in other accrued liabilities,</w:t>
      </w:r>
      <w:r>
        <w:rPr>
          <w:rFonts w:eastAsia="Times New Roman"/>
          <w:color w:val="000000"/>
          <w:sz w:val="20"/>
          <w:szCs w:val="20"/>
        </w:rPr>
        <w:t xml:space="preserve"> depending on whether the contractual terms are above or below-market, and the asset or liability is amortized to minimum rents over the remaining terms of the leases. The remaining lease terms of below-market leases may include certain below-market fixed-</w:t>
      </w:r>
      <w:r>
        <w:rPr>
          <w:rFonts w:eastAsia="Times New Roman"/>
          <w:color w:val="000000"/>
          <w:sz w:val="20"/>
          <w:szCs w:val="20"/>
        </w:rPr>
        <w:t>rate renewal periods. In considering whether or not a lessee will execute a below-market fixed-rate lease renewal option, the Company evaluates economic factors and certain qualitative factors at the time of acquisition such as tenant mix in the Center, th</w:t>
      </w:r>
      <w:r>
        <w:rPr>
          <w:rFonts w:eastAsia="Times New Roman"/>
          <w:color w:val="000000"/>
          <w:sz w:val="20"/>
          <w:szCs w:val="20"/>
        </w:rPr>
        <w:t>e Company's relationship with the tenant and the availability of competing tenant space.</w:t>
      </w:r>
    </w:p>
    <w:p w:rsidR="00000000" w:rsidRDefault="00FF0345">
      <w:pPr>
        <w:jc w:val="center"/>
        <w:divId w:val="180583890"/>
        <w:rPr>
          <w:rFonts w:eastAsia="Times New Roman"/>
        </w:rPr>
      </w:pPr>
    </w:p>
    <w:p w:rsidR="00000000" w:rsidRDefault="00FF0345">
      <w:pPr>
        <w:jc w:val="center"/>
        <w:divId w:val="180583890"/>
        <w:rPr>
          <w:rFonts w:eastAsia="Times New Roman"/>
        </w:rPr>
      </w:pPr>
      <w:r>
        <w:rPr>
          <w:rFonts w:eastAsia="Times New Roman"/>
          <w:color w:val="000000"/>
          <w:sz w:val="20"/>
          <w:szCs w:val="20"/>
        </w:rPr>
        <w:t>31</w:t>
      </w:r>
    </w:p>
    <w:p w:rsidR="00000000" w:rsidRDefault="00FF0345">
      <w:pPr>
        <w:rPr>
          <w:rFonts w:eastAsia="Times New Roman"/>
        </w:rPr>
      </w:pPr>
      <w:r>
        <w:rPr>
          <w:rFonts w:eastAsia="Times New Roman"/>
        </w:rPr>
        <w:pict>
          <v:rect id="_x0000_i1055" style="width:0;height:1.5pt" o:hralign="center" o:hrstd="t" o:hr="t" fillcolor="#a0a0a0" stroked="f"/>
        </w:pict>
      </w:r>
    </w:p>
    <w:p w:rsidR="00000000" w:rsidRDefault="00FF0345">
      <w:pPr>
        <w:divId w:val="872690608"/>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firstLine="495"/>
        <w:divId w:val="1571426339"/>
        <w:rPr>
          <w:rFonts w:eastAsia="Times New Roman"/>
        </w:rPr>
      </w:pPr>
      <w:r>
        <w:rPr>
          <w:rFonts w:eastAsia="Times New Roman"/>
          <w:color w:val="000000"/>
          <w:sz w:val="20"/>
          <w:szCs w:val="20"/>
        </w:rPr>
        <w:t>Remeasurement gains and losses are recognized when the Company becomes the primary beneficiary of an existing equity method investment that is a</w:t>
      </w:r>
      <w:r>
        <w:rPr>
          <w:rFonts w:eastAsia="Times New Roman"/>
          <w:color w:val="000000"/>
          <w:sz w:val="20"/>
          <w:szCs w:val="20"/>
        </w:rPr>
        <w:t xml:space="preserve"> variable interest entity to the extent that the fair value of the existing equity investment exceeds the carrying value of the investment, and remeasurement losses to the extent the carrying value of the investment exceeds the fair value. The fair value i</w:t>
      </w:r>
      <w:r>
        <w:rPr>
          <w:rFonts w:eastAsia="Times New Roman"/>
          <w:color w:val="000000"/>
          <w:sz w:val="20"/>
          <w:szCs w:val="20"/>
        </w:rPr>
        <w:t xml:space="preserve">s determined based on a discounted cash flow model, with the significant unobservable inputs including discount rate, terminal capitalization rate and market rents. </w:t>
      </w:r>
    </w:p>
    <w:p w:rsidR="00000000" w:rsidRDefault="00FF0345">
      <w:pPr>
        <w:ind w:firstLine="495"/>
        <w:divId w:val="756561797"/>
        <w:rPr>
          <w:rFonts w:eastAsia="Times New Roman"/>
        </w:rPr>
      </w:pPr>
      <w:r>
        <w:rPr>
          <w:rFonts w:eastAsia="Times New Roman"/>
          <w:i/>
          <w:iCs/>
          <w:color w:val="000000"/>
          <w:sz w:val="20"/>
          <w:szCs w:val="20"/>
        </w:rPr>
        <w:t>Asset Impairment:</w:t>
      </w:r>
    </w:p>
    <w:p w:rsidR="00000000" w:rsidRDefault="00FF0345">
      <w:pPr>
        <w:ind w:firstLine="495"/>
        <w:divId w:val="1990011109"/>
        <w:rPr>
          <w:rFonts w:eastAsia="Times New Roman"/>
        </w:rPr>
      </w:pPr>
      <w:r>
        <w:rPr>
          <w:rFonts w:eastAsia="Times New Roman"/>
          <w:color w:val="000000"/>
          <w:sz w:val="20"/>
          <w:szCs w:val="20"/>
        </w:rPr>
        <w:t xml:space="preserve">The Company assesses whether an indicator of impairment in the value of </w:t>
      </w:r>
      <w:r>
        <w:rPr>
          <w:rFonts w:eastAsia="Times New Roman"/>
          <w:color w:val="000000"/>
          <w:sz w:val="20"/>
          <w:szCs w:val="20"/>
        </w:rPr>
        <w:t>its properties exists by considering expected future operating income, trends and prospects, as well as the effects of demand, competition and other economic factors. Such factors include projected rental revenue, operating costs and capital expenditures a</w:t>
      </w:r>
      <w:r>
        <w:rPr>
          <w:rFonts w:eastAsia="Times New Roman"/>
          <w:color w:val="000000"/>
          <w:sz w:val="20"/>
          <w:szCs w:val="20"/>
        </w:rPr>
        <w:t>s well as estimated holding periods and capitalization rates. If an impairment indicator exists, the determination of recoverability is made based upon the estimated undiscounted future net cash flows, excluding interest expense. The amount of impairment l</w:t>
      </w:r>
      <w:r>
        <w:rPr>
          <w:rFonts w:eastAsia="Times New Roman"/>
          <w:color w:val="000000"/>
          <w:sz w:val="20"/>
          <w:szCs w:val="20"/>
        </w:rPr>
        <w:t>oss, if any, is determined by comparing the fair value, as determined by a discounted cash flows analysis or a contracted sales price, with the carrying value of the related assets. The Company generally holds and operates its properties long-term, which d</w:t>
      </w:r>
      <w:r>
        <w:rPr>
          <w:rFonts w:eastAsia="Times New Roman"/>
          <w:color w:val="000000"/>
          <w:sz w:val="20"/>
          <w:szCs w:val="20"/>
        </w:rPr>
        <w:t xml:space="preserve">ecreases the likelihood of their carrying values not being recoverable. A shortened holding period increases the risk that the carrying value of a long-lived asset is not recoverable. Properties classified as held for sale are measured at the lower of the </w:t>
      </w:r>
      <w:r>
        <w:rPr>
          <w:rFonts w:eastAsia="Times New Roman"/>
          <w:color w:val="000000"/>
          <w:sz w:val="20"/>
          <w:szCs w:val="20"/>
        </w:rPr>
        <w:t>carrying amount or fair value less cost to sell.</w:t>
      </w:r>
    </w:p>
    <w:p w:rsidR="00000000" w:rsidRDefault="00FF0345">
      <w:pPr>
        <w:ind w:firstLine="495"/>
        <w:divId w:val="2115129321"/>
        <w:rPr>
          <w:rFonts w:eastAsia="Times New Roman"/>
        </w:rPr>
      </w:pPr>
      <w:r>
        <w:rPr>
          <w:rFonts w:eastAsia="Times New Roman"/>
          <w:color w:val="000000"/>
          <w:sz w:val="20"/>
          <w:szCs w:val="20"/>
        </w:rPr>
        <w:t>The Company reviews its investments in unconsolidated joint ventures for a series of operating losses and other factors that may indicate that a decrease in the value of its investments has occurred which is</w:t>
      </w:r>
      <w:r>
        <w:rPr>
          <w:rFonts w:eastAsia="Times New Roman"/>
          <w:color w:val="000000"/>
          <w:sz w:val="20"/>
          <w:szCs w:val="20"/>
        </w:rPr>
        <w:t xml:space="preserve"> other-than-temporary. The investment in each unconsolidated joint venture is evaluated periodically, and as deemed necessary, for recoverability and valuation declines that are other-than-temporary.</w:t>
      </w:r>
    </w:p>
    <w:p w:rsidR="00000000" w:rsidRDefault="00FF0345">
      <w:pPr>
        <w:ind w:firstLine="495"/>
        <w:divId w:val="1140879862"/>
        <w:rPr>
          <w:rFonts w:eastAsia="Times New Roman"/>
        </w:rPr>
      </w:pPr>
      <w:r>
        <w:rPr>
          <w:rFonts w:eastAsia="Times New Roman"/>
          <w:i/>
          <w:iCs/>
          <w:color w:val="000000"/>
          <w:sz w:val="20"/>
          <w:szCs w:val="20"/>
        </w:rPr>
        <w:t>Fair Value of Financial Instruments:</w:t>
      </w:r>
    </w:p>
    <w:p w:rsidR="00000000" w:rsidRDefault="00FF0345">
      <w:pPr>
        <w:ind w:firstLine="495"/>
        <w:divId w:val="420222145"/>
        <w:rPr>
          <w:rFonts w:eastAsia="Times New Roman"/>
        </w:rPr>
      </w:pPr>
      <w:r>
        <w:rPr>
          <w:rFonts w:eastAsia="Times New Roman"/>
          <w:color w:val="000000"/>
          <w:sz w:val="20"/>
          <w:szCs w:val="20"/>
        </w:rPr>
        <w:t>The fair value hier</w:t>
      </w:r>
      <w:r>
        <w:rPr>
          <w:rFonts w:eastAsia="Times New Roman"/>
          <w:color w:val="000000"/>
          <w:sz w:val="20"/>
          <w:szCs w:val="20"/>
        </w:rPr>
        <w:t xml:space="preserve">archy distinguishes between market participant assumptions based on market data obtained from sources independent of the reporting entity and the reporting entity's own assumptions about market participant assumptions. Level 1 inputs utilize quoted prices </w:t>
      </w:r>
      <w:r>
        <w:rPr>
          <w:rFonts w:eastAsia="Times New Roman"/>
          <w:color w:val="000000"/>
          <w:sz w:val="20"/>
          <w:szCs w:val="20"/>
        </w:rPr>
        <w:t xml:space="preserve">in active markets for identical assets or liabilities that the Company has the ability to access. Level 2 inputs are inputs other than quoted prices included in Level 1 that are observable for the asset or liability, either directly or indirectly. Level 2 </w:t>
      </w:r>
      <w:r>
        <w:rPr>
          <w:rFonts w:eastAsia="Times New Roman"/>
          <w:color w:val="000000"/>
          <w:sz w:val="20"/>
          <w:szCs w:val="20"/>
        </w:rPr>
        <w:t>inputs may include quoted prices for similar assets and liabilities in active markets, as well as inputs that are observable for the asset or liability (other than quoted prices), such as interest rates, foreign exchange rates and yield curves that are obs</w:t>
      </w:r>
      <w:r>
        <w:rPr>
          <w:rFonts w:eastAsia="Times New Roman"/>
          <w:color w:val="000000"/>
          <w:sz w:val="20"/>
          <w:szCs w:val="20"/>
        </w:rPr>
        <w:t>ervable at commonly quoted intervals. Level 3 inputs are unobservable inputs for the asset or liability, which is typically based on an entity's own assumptions, as there is little, if any, related market activity. In instances where the determination of t</w:t>
      </w:r>
      <w:r>
        <w:rPr>
          <w:rFonts w:eastAsia="Times New Roman"/>
          <w:color w:val="000000"/>
          <w:sz w:val="20"/>
          <w:szCs w:val="20"/>
        </w:rPr>
        <w:t>he fair value measurement is based on inputs from different levels of the fair value hierarchy, the level in the fair value hierarchy within which the entire fair value measurement falls is based on the lowest level input that is significant to the fair va</w:t>
      </w:r>
      <w:r>
        <w:rPr>
          <w:rFonts w:eastAsia="Times New Roman"/>
          <w:color w:val="000000"/>
          <w:sz w:val="20"/>
          <w:szCs w:val="20"/>
        </w:rPr>
        <w:t>lue measurement in its entirety. The Company's assessment of the significance of a particular input to the fair value measurement in its entirety requires judgment, and considers factors specific to the asset or liability.</w:t>
      </w:r>
    </w:p>
    <w:p w:rsidR="00000000" w:rsidRDefault="00FF0345">
      <w:pPr>
        <w:ind w:firstLine="495"/>
        <w:divId w:val="1030297191"/>
        <w:rPr>
          <w:rFonts w:eastAsia="Times New Roman"/>
        </w:rPr>
      </w:pPr>
      <w:r>
        <w:rPr>
          <w:rFonts w:eastAsia="Times New Roman"/>
          <w:color w:val="000000"/>
          <w:sz w:val="20"/>
          <w:szCs w:val="20"/>
        </w:rPr>
        <w:t>The Company calculates the fair v</w:t>
      </w:r>
      <w:r>
        <w:rPr>
          <w:rFonts w:eastAsia="Times New Roman"/>
          <w:color w:val="000000"/>
          <w:sz w:val="20"/>
          <w:szCs w:val="20"/>
        </w:rPr>
        <w:t>alue of financial instruments and includes this additional information in the Notes to the Consolidated Financial Statements when the fair value is different than the carrying value of those financial instruments. When the fair value reasonably approximate</w:t>
      </w:r>
      <w:r>
        <w:rPr>
          <w:rFonts w:eastAsia="Times New Roman"/>
          <w:color w:val="000000"/>
          <w:sz w:val="20"/>
          <w:szCs w:val="20"/>
        </w:rPr>
        <w:t>s the carrying value, no additional disclosure is made.</w:t>
      </w:r>
    </w:p>
    <w:p w:rsidR="00000000" w:rsidRDefault="00FF0345">
      <w:pPr>
        <w:ind w:firstLine="495"/>
        <w:divId w:val="1786460402"/>
        <w:rPr>
          <w:rFonts w:eastAsia="Times New Roman"/>
        </w:rPr>
      </w:pPr>
      <w:r>
        <w:rPr>
          <w:rFonts w:eastAsia="Times New Roman"/>
          <w:color w:val="000000"/>
          <w:sz w:val="20"/>
          <w:szCs w:val="20"/>
        </w:rPr>
        <w:t>The Company records its Financing Arrangement (See Note 12—Financing Arrangement in the Company's Notes to the Consolidated Financial Statements) obligation at fair value on a recurring basis with cha</w:t>
      </w:r>
      <w:r>
        <w:rPr>
          <w:rFonts w:eastAsia="Times New Roman"/>
          <w:color w:val="000000"/>
          <w:sz w:val="20"/>
          <w:szCs w:val="20"/>
        </w:rPr>
        <w:t>nges in fair value being recorded as interest expense in the Company’s consolidated statements of operations. The fair value is determined based on a discounted cash flow model, with the significant unobservable inputs including discount rate, terminal cap</w:t>
      </w:r>
      <w:r>
        <w:rPr>
          <w:rFonts w:eastAsia="Times New Roman"/>
          <w:color w:val="000000"/>
          <w:sz w:val="20"/>
          <w:szCs w:val="20"/>
        </w:rPr>
        <w:t xml:space="preserve">italization rate, and market rents. The fair value of the Financing Arrangement obligation is sensitive to these significant unobservable inputs and a change in these inputs may result in a significantly higher or lower fair value measurement. </w:t>
      </w:r>
    </w:p>
    <w:p w:rsidR="00000000" w:rsidRDefault="00FF0345">
      <w:pPr>
        <w:divId w:val="1031417574"/>
        <w:rPr>
          <w:rFonts w:eastAsia="Times New Roman"/>
        </w:rPr>
      </w:pPr>
      <w:r>
        <w:rPr>
          <w:rFonts w:eastAsia="Times New Roman"/>
          <w:b/>
          <w:bCs/>
          <w:color w:val="000000"/>
          <w:sz w:val="20"/>
          <w:szCs w:val="20"/>
        </w:rPr>
        <w:t xml:space="preserve">Results of </w:t>
      </w:r>
      <w:r>
        <w:rPr>
          <w:rFonts w:eastAsia="Times New Roman"/>
          <w:b/>
          <w:bCs/>
          <w:color w:val="000000"/>
          <w:sz w:val="20"/>
          <w:szCs w:val="20"/>
        </w:rPr>
        <w:t>Operations</w:t>
      </w:r>
    </w:p>
    <w:p w:rsidR="00000000" w:rsidRDefault="00FF0345">
      <w:pPr>
        <w:ind w:firstLine="495"/>
        <w:divId w:val="1025210477"/>
        <w:rPr>
          <w:rFonts w:eastAsia="Times New Roman"/>
        </w:rPr>
      </w:pPr>
      <w:r>
        <w:rPr>
          <w:rFonts w:eastAsia="Times New Roman"/>
          <w:color w:val="000000"/>
          <w:sz w:val="20"/>
          <w:szCs w:val="20"/>
        </w:rPr>
        <w:t>Many of the variations in the results of operations, discussed below, occurred because of the transactions affecting the Company's properties described in Management's Overview and Summary above, including the Redevelopment Properties and the Di</w:t>
      </w:r>
      <w:r>
        <w:rPr>
          <w:rFonts w:eastAsia="Times New Roman"/>
          <w:color w:val="000000"/>
          <w:sz w:val="20"/>
          <w:szCs w:val="20"/>
        </w:rPr>
        <w:t>sposition Properties (as defined below).</w:t>
      </w:r>
    </w:p>
    <w:p w:rsidR="00000000" w:rsidRDefault="00FF0345">
      <w:pPr>
        <w:ind w:firstLine="495"/>
        <w:divId w:val="623193921"/>
        <w:rPr>
          <w:rFonts w:eastAsia="Times New Roman"/>
        </w:rPr>
      </w:pPr>
      <w:r>
        <w:rPr>
          <w:rFonts w:eastAsia="Times New Roman"/>
          <w:color w:val="000000"/>
          <w:sz w:val="20"/>
          <w:szCs w:val="20"/>
        </w:rPr>
        <w:t>For purposes of the discussion below, the Company defines "Same Centers" as those Centers that are substantially complete and in operation for the entirety of both periods of the comparison. Non-Same Centers for com</w:t>
      </w:r>
      <w:r>
        <w:rPr>
          <w:rFonts w:eastAsia="Times New Roman"/>
          <w:color w:val="000000"/>
          <w:sz w:val="20"/>
          <w:szCs w:val="20"/>
        </w:rPr>
        <w:t>parison purposes include those Centers or properties that are going through a substantial redevelopment often resulting in the closing of a portion of the Center (“Redevelopment Properties”), those properties that have recently transitioned to or from equi</w:t>
      </w:r>
      <w:r>
        <w:rPr>
          <w:rFonts w:eastAsia="Times New Roman"/>
          <w:color w:val="000000"/>
          <w:sz w:val="20"/>
          <w:szCs w:val="20"/>
        </w:rPr>
        <w:t>ty method joint ventures to or from consolidated assets ("JV Transition Centers") and properties that have been disposed of ("Disposition Properties"). The Company moves a Center in and out of Same Centers based on whether the Center is substantially compl</w:t>
      </w:r>
      <w:r>
        <w:rPr>
          <w:rFonts w:eastAsia="Times New Roman"/>
          <w:color w:val="000000"/>
          <w:sz w:val="20"/>
          <w:szCs w:val="20"/>
        </w:rPr>
        <w:t xml:space="preserve">ete </w:t>
      </w:r>
    </w:p>
    <w:p w:rsidR="00000000" w:rsidRDefault="00FF0345">
      <w:pPr>
        <w:jc w:val="center"/>
        <w:divId w:val="1666590093"/>
        <w:rPr>
          <w:rFonts w:eastAsia="Times New Roman"/>
        </w:rPr>
      </w:pPr>
    </w:p>
    <w:p w:rsidR="00000000" w:rsidRDefault="00FF0345">
      <w:pPr>
        <w:jc w:val="center"/>
        <w:divId w:val="1666590093"/>
        <w:rPr>
          <w:rFonts w:eastAsia="Times New Roman"/>
        </w:rPr>
      </w:pPr>
      <w:r>
        <w:rPr>
          <w:rFonts w:eastAsia="Times New Roman"/>
          <w:color w:val="000000"/>
          <w:sz w:val="20"/>
          <w:szCs w:val="20"/>
        </w:rPr>
        <w:t>32</w:t>
      </w:r>
    </w:p>
    <w:p w:rsidR="00000000" w:rsidRDefault="00FF0345">
      <w:pPr>
        <w:rPr>
          <w:rFonts w:eastAsia="Times New Roman"/>
        </w:rPr>
      </w:pPr>
      <w:r>
        <w:rPr>
          <w:rFonts w:eastAsia="Times New Roman"/>
        </w:rPr>
        <w:pict>
          <v:rect id="_x0000_i1056" style="width:0;height:1.5pt" o:hralign="center" o:hrstd="t" o:hr="t" fillcolor="#a0a0a0" stroked="f"/>
        </w:pict>
      </w:r>
    </w:p>
    <w:p w:rsidR="00000000" w:rsidRDefault="00FF0345">
      <w:pPr>
        <w:divId w:val="861749541"/>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1431390651"/>
        <w:rPr>
          <w:rFonts w:eastAsia="Times New Roman"/>
        </w:rPr>
      </w:pPr>
      <w:r>
        <w:rPr>
          <w:rFonts w:eastAsia="Times New Roman"/>
          <w:color w:val="000000"/>
          <w:sz w:val="20"/>
          <w:szCs w:val="20"/>
        </w:rPr>
        <w:t>and in operation for the entirety of both periods of the comparison. Accordingly, the Same Centers consist of all consolidated Centers, excluding the Redevelopment Properties, the JV Transition Centers and the Disposition Properties, for the periods of com</w:t>
      </w:r>
      <w:r>
        <w:rPr>
          <w:rFonts w:eastAsia="Times New Roman"/>
          <w:color w:val="000000"/>
          <w:sz w:val="20"/>
          <w:szCs w:val="20"/>
        </w:rPr>
        <w:t>parison.</w:t>
      </w:r>
    </w:p>
    <w:p w:rsidR="00000000" w:rsidRDefault="00FF0345">
      <w:pPr>
        <w:ind w:firstLine="495"/>
        <w:divId w:val="490413721"/>
        <w:rPr>
          <w:rFonts w:eastAsia="Times New Roman"/>
        </w:rPr>
      </w:pPr>
      <w:r>
        <w:rPr>
          <w:rFonts w:eastAsia="Times New Roman"/>
          <w:color w:val="000000"/>
          <w:sz w:val="20"/>
          <w:szCs w:val="20"/>
        </w:rPr>
        <w:t>For the comparison of the three and nine months ended September 30, 2021 to the three and nine months ended September 30, 2020, the JV Transition Centers are Fashion District Philadelphia and Sears South Plains. For the comparison of the three and</w:t>
      </w:r>
      <w:r>
        <w:rPr>
          <w:rFonts w:eastAsia="Times New Roman"/>
          <w:color w:val="000000"/>
          <w:sz w:val="20"/>
          <w:szCs w:val="20"/>
        </w:rPr>
        <w:t xml:space="preserve"> nine months ended September 30, 2021 to the three and nine months ended September 30, 2020, the Disposition Properties are Paradise Valley Mall and Tucson La Encantada.</w:t>
      </w:r>
    </w:p>
    <w:p w:rsidR="00000000" w:rsidRDefault="00FF0345">
      <w:pPr>
        <w:ind w:firstLine="495"/>
        <w:divId w:val="1607420884"/>
        <w:rPr>
          <w:rFonts w:eastAsia="Times New Roman"/>
        </w:rPr>
      </w:pPr>
      <w:r>
        <w:rPr>
          <w:rFonts w:eastAsia="Times New Roman"/>
          <w:color w:val="000000"/>
          <w:sz w:val="20"/>
          <w:szCs w:val="20"/>
        </w:rPr>
        <w:t>Unconsolidated joint ventures are reflected using the equity method of accounting. The</w:t>
      </w:r>
      <w:r>
        <w:rPr>
          <w:rFonts w:eastAsia="Times New Roman"/>
          <w:color w:val="000000"/>
          <w:sz w:val="20"/>
          <w:szCs w:val="20"/>
        </w:rPr>
        <w:t xml:space="preserve"> Company's pro rata share of the results from these Centers is reflected in the Consolidated Statements of Operations as equity in income of unconsolidated joint ventures.</w:t>
      </w:r>
    </w:p>
    <w:p w:rsidR="00000000" w:rsidRDefault="00FF0345">
      <w:pPr>
        <w:ind w:firstLine="495"/>
        <w:divId w:val="723528035"/>
        <w:rPr>
          <w:rFonts w:eastAsia="Times New Roman"/>
        </w:rPr>
      </w:pPr>
      <w:r>
        <w:rPr>
          <w:rFonts w:eastAsia="Times New Roman"/>
          <w:color w:val="000000"/>
          <w:sz w:val="20"/>
          <w:szCs w:val="20"/>
        </w:rPr>
        <w:t>The Company considers tenant annual sales, occupancy rates (excluding large retail s</w:t>
      </w:r>
      <w:r>
        <w:rPr>
          <w:rFonts w:eastAsia="Times New Roman"/>
          <w:color w:val="000000"/>
          <w:sz w:val="20"/>
          <w:szCs w:val="20"/>
        </w:rPr>
        <w:t>tores or "Anchors") and releasing spreads (i.e. a comparison of initial average base rent per square foot on leases executed during the trailing twelve months to average base rent per square foot at expiration for the leases expiring during the trailing tw</w:t>
      </w:r>
      <w:r>
        <w:rPr>
          <w:rFonts w:eastAsia="Times New Roman"/>
          <w:color w:val="000000"/>
          <w:sz w:val="20"/>
          <w:szCs w:val="20"/>
        </w:rPr>
        <w:t>elve months based on the spaces 10,000 square feet and under) to be key performance indicators of the Company's internal growth.</w:t>
      </w:r>
    </w:p>
    <w:p w:rsidR="00000000" w:rsidRDefault="00FF0345">
      <w:pPr>
        <w:ind w:firstLine="495"/>
        <w:divId w:val="1432580688"/>
        <w:rPr>
          <w:rFonts w:eastAsia="Times New Roman"/>
        </w:rPr>
      </w:pPr>
      <w:r>
        <w:rPr>
          <w:rFonts w:eastAsia="Times New Roman"/>
          <w:color w:val="000000"/>
          <w:sz w:val="20"/>
          <w:szCs w:val="20"/>
        </w:rPr>
        <w:t>During the third quarter of 2021, comparable tenant sales from spaces less than 10,000 square feet across the portfolio increas</w:t>
      </w:r>
      <w:r>
        <w:rPr>
          <w:rFonts w:eastAsia="Times New Roman"/>
          <w:color w:val="000000"/>
          <w:sz w:val="20"/>
          <w:szCs w:val="20"/>
        </w:rPr>
        <w:t>ed by 13.8% relative to pre-COVID sales during the third quarter of 2019. The leased occupancy rate decreased from 90.8% at September 30, 2020 to 90.3% at September 30, 2021, but improved by 0.90% from 89.4% at June 30, 2021. Releasing spreads decreased as</w:t>
      </w:r>
      <w:r>
        <w:rPr>
          <w:rFonts w:eastAsia="Times New Roman"/>
          <w:color w:val="000000"/>
          <w:sz w:val="20"/>
          <w:szCs w:val="20"/>
        </w:rPr>
        <w:t xml:space="preserve"> the Company executed leases at an average rent of $55.23 for new and renewal leases executed compared to $56.65 on leases expiring, resulting in a releasing spread decrease of $1.42 per square foot, or 2.5%, for the trailing twelve months ended September </w:t>
      </w:r>
      <w:r>
        <w:rPr>
          <w:rFonts w:eastAsia="Times New Roman"/>
          <w:color w:val="000000"/>
          <w:sz w:val="20"/>
          <w:szCs w:val="20"/>
        </w:rPr>
        <w:t>30, 2021.</w:t>
      </w:r>
    </w:p>
    <w:p w:rsidR="00000000" w:rsidRDefault="00FF0345">
      <w:pPr>
        <w:ind w:firstLine="495"/>
        <w:divId w:val="2131432169"/>
        <w:rPr>
          <w:rFonts w:eastAsia="Times New Roman"/>
        </w:rPr>
      </w:pPr>
      <w:r>
        <w:rPr>
          <w:rFonts w:eastAsia="Times New Roman"/>
          <w:color w:val="000000"/>
          <w:sz w:val="20"/>
          <w:szCs w:val="20"/>
        </w:rPr>
        <w:t xml:space="preserve">The Company continues to renew or replace leases that are scheduled to expire in the remainder of 2021. As of September 30, 2021, the Company has executed leases or commitments from retailers that are in lease documentation for 91% of the leased </w:t>
      </w:r>
      <w:r>
        <w:rPr>
          <w:rFonts w:eastAsia="Times New Roman"/>
          <w:color w:val="000000"/>
          <w:sz w:val="20"/>
          <w:szCs w:val="20"/>
        </w:rPr>
        <w:t>space expiring in 2021. The remaining leases expiring in 2021 represented approximately 257,000 square feet, and the Company is negotiating letters of intent for those spaces. These amounts exclude leases for stores that have closed or for stores that tena</w:t>
      </w:r>
      <w:r>
        <w:rPr>
          <w:rFonts w:eastAsia="Times New Roman"/>
          <w:color w:val="000000"/>
          <w:sz w:val="20"/>
          <w:szCs w:val="20"/>
        </w:rPr>
        <w:t>nts have indicated they intend to close.</w:t>
      </w:r>
    </w:p>
    <w:p w:rsidR="00000000" w:rsidRDefault="00FF0345">
      <w:pPr>
        <w:ind w:firstLine="495"/>
        <w:divId w:val="110367712"/>
        <w:rPr>
          <w:rFonts w:eastAsia="Times New Roman"/>
        </w:rPr>
      </w:pPr>
      <w:r>
        <w:rPr>
          <w:rFonts w:eastAsia="Times New Roman"/>
          <w:color w:val="000000"/>
          <w:sz w:val="20"/>
          <w:szCs w:val="20"/>
        </w:rPr>
        <w:t>The Company has entered into 215 leases for new stores totaling approximately 964,000 square feet that have previously opened in 2021 or are planned for opening in the remainder of 2021. While there may be additiona</w:t>
      </w:r>
      <w:r>
        <w:rPr>
          <w:rFonts w:eastAsia="Times New Roman"/>
          <w:color w:val="000000"/>
          <w:sz w:val="20"/>
          <w:szCs w:val="20"/>
        </w:rPr>
        <w:t xml:space="preserve">l new store openings in 2021, any such leases were not yet executed as of September 30, 2021. </w:t>
      </w:r>
    </w:p>
    <w:p w:rsidR="00000000" w:rsidRDefault="00FF0345">
      <w:pPr>
        <w:ind w:firstLine="495"/>
        <w:divId w:val="183372699"/>
        <w:rPr>
          <w:rFonts w:eastAsia="Times New Roman"/>
        </w:rPr>
      </w:pPr>
      <w:r>
        <w:rPr>
          <w:rFonts w:eastAsia="Times New Roman"/>
          <w:color w:val="000000"/>
          <w:sz w:val="20"/>
          <w:szCs w:val="20"/>
        </w:rPr>
        <w:t xml:space="preserve">During the trailing twelve months ended September 30, 2021, the Company signed 265 new leases and 559 renewal leases comprising approximately 3.0 million square </w:t>
      </w:r>
      <w:r>
        <w:rPr>
          <w:rFonts w:eastAsia="Times New Roman"/>
          <w:color w:val="000000"/>
          <w:sz w:val="20"/>
          <w:szCs w:val="20"/>
        </w:rPr>
        <w:t>feet of GLA, of which 1.8 million square feet is related to the consolidated Centers. The average tenant allowance was $22.82 per square foot. The Company's COVID-19 related lease amendments are excluded from these numbers.</w:t>
      </w:r>
    </w:p>
    <w:p w:rsidR="00000000" w:rsidRDefault="00FF0345">
      <w:pPr>
        <w:divId w:val="1272934926"/>
        <w:rPr>
          <w:rFonts w:eastAsia="Times New Roman"/>
        </w:rPr>
      </w:pPr>
      <w:r>
        <w:rPr>
          <w:rFonts w:eastAsia="Times New Roman"/>
          <w:b/>
          <w:bCs/>
          <w:color w:val="000000"/>
          <w:sz w:val="20"/>
          <w:szCs w:val="20"/>
        </w:rPr>
        <w:t>Outlook</w:t>
      </w:r>
    </w:p>
    <w:p w:rsidR="00000000" w:rsidRDefault="00FF0345">
      <w:pPr>
        <w:ind w:firstLine="495"/>
        <w:divId w:val="940912135"/>
        <w:rPr>
          <w:rFonts w:eastAsia="Times New Roman"/>
        </w:rPr>
      </w:pPr>
      <w:r>
        <w:rPr>
          <w:rFonts w:eastAsia="Times New Roman"/>
          <w:color w:val="000000"/>
          <w:sz w:val="20"/>
          <w:szCs w:val="20"/>
        </w:rPr>
        <w:t>The Company has a long-t</w:t>
      </w:r>
      <w:r>
        <w:rPr>
          <w:rFonts w:eastAsia="Times New Roman"/>
          <w:color w:val="000000"/>
          <w:sz w:val="20"/>
          <w:szCs w:val="20"/>
        </w:rPr>
        <w:t xml:space="preserve">erm four-pronged business strategy that focuses on the acquisition, leasing and management, redevelopment and development of Regional Shopping Centers. Although overall regional town center fundamentals in its markets continued to improve during the third </w:t>
      </w:r>
      <w:r>
        <w:rPr>
          <w:rFonts w:eastAsia="Times New Roman"/>
          <w:color w:val="000000"/>
          <w:sz w:val="20"/>
          <w:szCs w:val="20"/>
        </w:rPr>
        <w:t>quarter, the Company expects that its results for the remainder of 2021 will be negatively impacted by the COVID-19 pandemic, reduced occupancy relative to pre-COVID levels and Anchor closures, among other factors.</w:t>
      </w:r>
    </w:p>
    <w:p w:rsidR="00000000" w:rsidRDefault="00FF0345">
      <w:pPr>
        <w:ind w:firstLine="495"/>
        <w:divId w:val="1468429269"/>
        <w:rPr>
          <w:rFonts w:eastAsia="Times New Roman"/>
        </w:rPr>
      </w:pPr>
      <w:r>
        <w:rPr>
          <w:rFonts w:eastAsia="Times New Roman"/>
          <w:color w:val="000000"/>
          <w:sz w:val="20"/>
          <w:szCs w:val="20"/>
        </w:rPr>
        <w:t>All Centers have been open and operating since October 7, 2020. As of the date of this Quarterly Report on Form 10-Q, government-imposed capacity restrictions resulting from COVID-19 have been essentially eliminated across the Company’s markets. The Compan</w:t>
      </w:r>
      <w:r>
        <w:rPr>
          <w:rFonts w:eastAsia="Times New Roman"/>
          <w:color w:val="000000"/>
          <w:sz w:val="20"/>
          <w:szCs w:val="20"/>
        </w:rPr>
        <w:t>y experienced a positive impact to its leasing revenue during the three months ending September 30, 2021. Leasing revenue increased by approximately 11%, including joint ventures at the Company’s share, compared to the three months ended September 30, 2020</w:t>
      </w:r>
      <w:r>
        <w:rPr>
          <w:rFonts w:eastAsia="Times New Roman"/>
          <w:color w:val="000000"/>
          <w:sz w:val="20"/>
          <w:szCs w:val="20"/>
        </w:rPr>
        <w:t xml:space="preserve">. This increase was primarily due to (i) increases in percentage rent, which was primarily driven by accelerating tenant sales and all of the Company’s Centers being fully open and operating in the third quarter of 2021 as compared to the third quarter of </w:t>
      </w:r>
      <w:r>
        <w:rPr>
          <w:rFonts w:eastAsia="Times New Roman"/>
          <w:color w:val="000000"/>
          <w:sz w:val="20"/>
          <w:szCs w:val="20"/>
        </w:rPr>
        <w:t>2020; and (ii) decreases in bad debt reserves and decreases in retroactive rent abatements incurred in the third quarter of 2021 compared to the third quarter of 2020. During the three and nine months ended September 30, 2021, certain of the Company’s prev</w:t>
      </w:r>
      <w:r>
        <w:rPr>
          <w:rFonts w:eastAsia="Times New Roman"/>
          <w:color w:val="000000"/>
          <w:sz w:val="20"/>
          <w:szCs w:val="20"/>
        </w:rPr>
        <w:t>iously reserved accounts receivable were collected resulting in a reduction of bad debt expense. These collections were a result of improving economic conditions that have become evident as the impact of the pandemic has eased as well as collection efforts</w:t>
      </w:r>
      <w:r>
        <w:rPr>
          <w:rFonts w:eastAsia="Times New Roman"/>
          <w:color w:val="000000"/>
          <w:sz w:val="20"/>
          <w:szCs w:val="20"/>
        </w:rPr>
        <w:t xml:space="preserve"> by the Company. </w:t>
      </w:r>
    </w:p>
    <w:p w:rsidR="00000000" w:rsidRDefault="00FF0345">
      <w:pPr>
        <w:divId w:val="1514807744"/>
        <w:rPr>
          <w:rFonts w:eastAsia="Times New Roman"/>
        </w:rPr>
      </w:pPr>
      <w:r>
        <w:rPr>
          <w:rFonts w:eastAsia="Times New Roman"/>
          <w:color w:val="000000"/>
          <w:sz w:val="20"/>
          <w:szCs w:val="20"/>
        </w:rPr>
        <w:t>As a result of government-imposed capacity restrictions resulting from COVID-19 essentially being eliminated across the Company’s markets, combined with pent up demand, the positive economic impacts of consumer savings, fiscal stimulus an</w:t>
      </w:r>
      <w:r>
        <w:rPr>
          <w:rFonts w:eastAsia="Times New Roman"/>
          <w:color w:val="000000"/>
          <w:sz w:val="20"/>
          <w:szCs w:val="20"/>
        </w:rPr>
        <w:t xml:space="preserve">d </w:t>
      </w:r>
    </w:p>
    <w:p w:rsidR="00000000" w:rsidRDefault="00FF0345">
      <w:pPr>
        <w:jc w:val="center"/>
        <w:divId w:val="1561280781"/>
        <w:rPr>
          <w:rFonts w:eastAsia="Times New Roman"/>
        </w:rPr>
      </w:pPr>
    </w:p>
    <w:p w:rsidR="00000000" w:rsidRDefault="00FF0345">
      <w:pPr>
        <w:jc w:val="center"/>
        <w:divId w:val="1561280781"/>
        <w:rPr>
          <w:rFonts w:eastAsia="Times New Roman"/>
        </w:rPr>
      </w:pPr>
      <w:r>
        <w:rPr>
          <w:rFonts w:eastAsia="Times New Roman"/>
          <w:color w:val="000000"/>
          <w:sz w:val="20"/>
          <w:szCs w:val="20"/>
        </w:rPr>
        <w:t>33</w:t>
      </w:r>
    </w:p>
    <w:p w:rsidR="00000000" w:rsidRDefault="00FF0345">
      <w:pPr>
        <w:rPr>
          <w:rFonts w:eastAsia="Times New Roman"/>
        </w:rPr>
      </w:pPr>
      <w:r>
        <w:rPr>
          <w:rFonts w:eastAsia="Times New Roman"/>
        </w:rPr>
        <w:pict>
          <v:rect id="_x0000_i1057" style="width:0;height:1.5pt" o:hralign="center" o:hrstd="t" o:hr="t" fillcolor="#a0a0a0" stroked="f"/>
        </w:pict>
      </w:r>
    </w:p>
    <w:p w:rsidR="00000000" w:rsidRDefault="00FF0345">
      <w:pPr>
        <w:divId w:val="125705162"/>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374046323"/>
        <w:rPr>
          <w:rFonts w:eastAsia="Times New Roman"/>
        </w:rPr>
      </w:pPr>
      <w:r>
        <w:rPr>
          <w:rFonts w:eastAsia="Times New Roman"/>
          <w:color w:val="000000"/>
          <w:sz w:val="20"/>
          <w:szCs w:val="20"/>
        </w:rPr>
        <w:t>other factors, sales and traffic at the Company's Centers continued to greatly improve during the third quarter of 2021 with extremely h</w:t>
      </w:r>
      <w:r>
        <w:rPr>
          <w:rFonts w:eastAsia="Times New Roman"/>
          <w:color w:val="000000"/>
          <w:sz w:val="20"/>
          <w:szCs w:val="20"/>
        </w:rPr>
        <w:t>igh customer conversion rates. Traffic levels continue to range in the mid 90%'s relative to 2019. Comparable tenant sales from spaces less than 10,000 square feet across the portfolio increased by 13.8% relative to pre-COVID sales during the third quarter</w:t>
      </w:r>
      <w:r>
        <w:rPr>
          <w:rFonts w:eastAsia="Times New Roman"/>
          <w:color w:val="000000"/>
          <w:sz w:val="20"/>
          <w:szCs w:val="20"/>
        </w:rPr>
        <w:t xml:space="preserve"> of 2019. For the nine months ended September 30, 2021, comparable tenant sales from spaces less than 10,000 square feet across the portfolio increased by 8.7% relative to sales during the same pre-COVID nine-month period of 2019. </w:t>
      </w:r>
    </w:p>
    <w:p w:rsidR="00000000" w:rsidRDefault="00FF0345">
      <w:pPr>
        <w:divId w:val="517501779"/>
        <w:rPr>
          <w:rFonts w:eastAsia="Times New Roman"/>
        </w:rPr>
      </w:pPr>
    </w:p>
    <w:p w:rsidR="00000000" w:rsidRDefault="00FF0345">
      <w:pPr>
        <w:divId w:val="1529565666"/>
        <w:rPr>
          <w:rFonts w:eastAsia="Times New Roman"/>
        </w:rPr>
      </w:pPr>
      <w:r>
        <w:rPr>
          <w:rFonts w:eastAsia="Times New Roman"/>
          <w:color w:val="000000"/>
          <w:sz w:val="20"/>
          <w:szCs w:val="20"/>
        </w:rPr>
        <w:t>During the third quart</w:t>
      </w:r>
      <w:r>
        <w:rPr>
          <w:rFonts w:eastAsia="Times New Roman"/>
          <w:color w:val="000000"/>
          <w:sz w:val="20"/>
          <w:szCs w:val="20"/>
        </w:rPr>
        <w:t>er of 2021, the Company signed 219 leases for approximately 1.13 million square feet (excluding COVID-19 workout deals), which represents a 15% increase in the leased square feet relative to what was leased during the pre-COVID third quarter of 2019. For t</w:t>
      </w:r>
      <w:r>
        <w:rPr>
          <w:rFonts w:eastAsia="Times New Roman"/>
          <w:color w:val="000000"/>
          <w:sz w:val="20"/>
          <w:szCs w:val="20"/>
        </w:rPr>
        <w:t>he nine months ended September 30, 2021, the Company has signed 707 leases for approximately 2.98 million square feet, which represents a 26% increase in the amount of leased square feet relative to what was leased over the same pre-COVID nine month period</w:t>
      </w:r>
      <w:r>
        <w:rPr>
          <w:rFonts w:eastAsia="Times New Roman"/>
          <w:color w:val="000000"/>
          <w:sz w:val="20"/>
          <w:szCs w:val="20"/>
        </w:rPr>
        <w:t xml:space="preserve"> ended September 30, 2019. 2019 was the highest volume leasing year for the Company since 2015.</w:t>
      </w:r>
    </w:p>
    <w:p w:rsidR="00000000" w:rsidRDefault="00FF0345">
      <w:pPr>
        <w:ind w:firstLine="495"/>
        <w:divId w:val="1482235384"/>
        <w:rPr>
          <w:rFonts w:eastAsia="Times New Roman"/>
        </w:rPr>
      </w:pPr>
      <w:r>
        <w:rPr>
          <w:rFonts w:eastAsia="Times New Roman"/>
          <w:color w:val="000000"/>
          <w:sz w:val="20"/>
          <w:szCs w:val="20"/>
        </w:rPr>
        <w:t>As of September 30, 2021, the leased occupancy rate increased to 90.3% compared to the leased occupancy rate at June 30, 2021 of 89.4%, which is also a sequenti</w:t>
      </w:r>
      <w:r>
        <w:rPr>
          <w:rFonts w:eastAsia="Times New Roman"/>
          <w:color w:val="000000"/>
          <w:sz w:val="20"/>
          <w:szCs w:val="20"/>
        </w:rPr>
        <w:t>al 1.80% occupancy improvement from 88.5% at March 31, 2021.</w:t>
      </w:r>
    </w:p>
    <w:p w:rsidR="00000000" w:rsidRDefault="00FF0345">
      <w:pPr>
        <w:ind w:firstLine="495"/>
        <w:divId w:val="1336347696"/>
        <w:rPr>
          <w:rFonts w:eastAsia="Times New Roman"/>
        </w:rPr>
      </w:pPr>
      <w:r>
        <w:rPr>
          <w:rFonts w:eastAsia="Times New Roman"/>
          <w:color w:val="000000"/>
          <w:sz w:val="20"/>
          <w:szCs w:val="20"/>
        </w:rPr>
        <w:t xml:space="preserve">The Company's rent collections have continued to significantly improve and are now comparable to pre-COVID levels. The Company has made significant progress in its negotiations with national and </w:t>
      </w:r>
      <w:r>
        <w:rPr>
          <w:rFonts w:eastAsia="Times New Roman"/>
          <w:color w:val="000000"/>
          <w:sz w:val="20"/>
          <w:szCs w:val="20"/>
        </w:rPr>
        <w:t>local tenants to secure rental payments, despite a significant portion of the Company’s tenants requesting rental assistance, whether in the form of deferral or rent reduction. This effort of negotiating COVID-19 rental assistance agreements is essentially</w:t>
      </w:r>
      <w:r>
        <w:rPr>
          <w:rFonts w:eastAsia="Times New Roman"/>
          <w:color w:val="000000"/>
          <w:sz w:val="20"/>
          <w:szCs w:val="20"/>
        </w:rPr>
        <w:t xml:space="preserve"> now completed. The lease amendments negotiated by the Company related to COVID-19 have resulted in a combination of rent payment deferrals and rent abatements. The majority of the Company’s leases required continued payment of rent by the Company’s tenant</w:t>
      </w:r>
      <w:r>
        <w:rPr>
          <w:rFonts w:eastAsia="Times New Roman"/>
          <w:color w:val="000000"/>
          <w:sz w:val="20"/>
          <w:szCs w:val="20"/>
        </w:rPr>
        <w:t xml:space="preserve">s during the period of government mandated closures caused by COVID-19. Additionally, many of the Company’s leases contain co-tenancy clauses. Certain Anchor or small tenant closures have become permanent following the re-opening of the Company's Centers, </w:t>
      </w:r>
      <w:r>
        <w:rPr>
          <w:rFonts w:eastAsia="Times New Roman"/>
          <w:color w:val="000000"/>
          <w:sz w:val="20"/>
          <w:szCs w:val="20"/>
        </w:rPr>
        <w:t xml:space="preserve">and co-tenancy clauses within certain leases may be triggered as a result. The Company does not anticipate any negative impact of such clauses on lease revenue will be significant. </w:t>
      </w:r>
    </w:p>
    <w:p w:rsidR="00000000" w:rsidRDefault="00FF0345">
      <w:pPr>
        <w:ind w:firstLine="495"/>
        <w:divId w:val="523596213"/>
        <w:rPr>
          <w:rFonts w:eastAsia="Times New Roman"/>
        </w:rPr>
      </w:pPr>
      <w:r>
        <w:rPr>
          <w:rFonts w:eastAsia="Times New Roman"/>
          <w:color w:val="000000"/>
          <w:sz w:val="20"/>
          <w:szCs w:val="20"/>
        </w:rPr>
        <w:t>During the year ended December 31, 2020, the Company incurred $56.4 millio</w:t>
      </w:r>
      <w:r>
        <w:rPr>
          <w:rFonts w:eastAsia="Times New Roman"/>
          <w:color w:val="000000"/>
          <w:sz w:val="20"/>
          <w:szCs w:val="20"/>
        </w:rPr>
        <w:t>n of rent abatements at the Company’s share relating primarily to 2020 rents as a result of COVID-19 and negotiated $32.9 million of rent deferrals during the year ended December 31, 2020 at the Company’s share. During the three and nine months ended Septe</w:t>
      </w:r>
      <w:r>
        <w:rPr>
          <w:rFonts w:eastAsia="Times New Roman"/>
          <w:color w:val="000000"/>
          <w:sz w:val="20"/>
          <w:szCs w:val="20"/>
        </w:rPr>
        <w:t>mber 30, 2021, the Company incurred $2.0 million and $46.3 million, respectively, of rent abatements at the Company’s share relating primarily to 2020 rents as a result of COVID-19, and negotiated $4.9 million of rent deferrals during the nine months ended</w:t>
      </w:r>
      <w:r>
        <w:rPr>
          <w:rFonts w:eastAsia="Times New Roman"/>
          <w:color w:val="000000"/>
          <w:sz w:val="20"/>
          <w:szCs w:val="20"/>
        </w:rPr>
        <w:t xml:space="preserve"> September 30, 2021, at the Company’s share. The Company did not negotiate any rent deferrals during the three months ended September 30, 2021. As of September 30, 2021, $6.7 million of the rent deferrals remain outstanding, with $2.8 million scheduled to </w:t>
      </w:r>
      <w:r>
        <w:rPr>
          <w:rFonts w:eastAsia="Times New Roman"/>
          <w:color w:val="000000"/>
          <w:sz w:val="20"/>
          <w:szCs w:val="20"/>
        </w:rPr>
        <w:t xml:space="preserve">be repaid during the remainder of 2021 and the balance scheduled for repayment in 2022 and 2023. </w:t>
      </w:r>
    </w:p>
    <w:p w:rsidR="00000000" w:rsidRDefault="00FF0345">
      <w:pPr>
        <w:ind w:firstLine="495"/>
        <w:divId w:val="1626082863"/>
        <w:rPr>
          <w:rFonts w:eastAsia="Times New Roman"/>
        </w:rPr>
      </w:pPr>
      <w:r>
        <w:rPr>
          <w:rFonts w:eastAsia="Times New Roman"/>
          <w:color w:val="000000"/>
          <w:sz w:val="20"/>
          <w:szCs w:val="20"/>
        </w:rPr>
        <w:t>During 2020, there were 42 bankruptcy filings involving the Company’s tenants, totaling 322 leases and involving approximately 6.0 million square feet and $85</w:t>
      </w:r>
      <w:r>
        <w:rPr>
          <w:rFonts w:eastAsia="Times New Roman"/>
          <w:color w:val="000000"/>
          <w:sz w:val="20"/>
          <w:szCs w:val="20"/>
        </w:rPr>
        <w:t>.4 million of annual leasing revenue at the Company’s share. During 2021, the pace of such filings has decreased substantially, as there were ten bankruptcy filings involving the Company's tenants, totaling 62 leases and involving approximately 369,000 squ</w:t>
      </w:r>
      <w:r>
        <w:rPr>
          <w:rFonts w:eastAsia="Times New Roman"/>
          <w:color w:val="000000"/>
          <w:sz w:val="20"/>
          <w:szCs w:val="20"/>
        </w:rPr>
        <w:t>are feet and $11.9 million of annual leasing revenue at the Company's share. This included two leases totaling 139,000 square feet with a single department store retailer that quickly emerged from bankruptcy and assumed both of its leases with the Company.</w:t>
      </w:r>
      <w:r>
        <w:rPr>
          <w:rFonts w:eastAsia="Times New Roman"/>
          <w:color w:val="000000"/>
          <w:sz w:val="20"/>
          <w:szCs w:val="20"/>
        </w:rPr>
        <w:t xml:space="preserve"> Excluding this department store retailer, bankruptcy filings during 2021 are only 230,000 square feet. The current pace of 2021 bankruptcy filings is well lower than the past several years, dating back to 2015.</w:t>
      </w:r>
    </w:p>
    <w:p w:rsidR="00000000" w:rsidRDefault="00FF0345">
      <w:pPr>
        <w:ind w:firstLine="495"/>
        <w:divId w:val="645474061"/>
        <w:rPr>
          <w:rFonts w:eastAsia="Times New Roman"/>
        </w:rPr>
      </w:pPr>
      <w:r>
        <w:rPr>
          <w:rFonts w:eastAsia="Times New Roman"/>
          <w:color w:val="000000"/>
          <w:sz w:val="20"/>
          <w:szCs w:val="20"/>
        </w:rPr>
        <w:t>During 2021, the Company expects to generate</w:t>
      </w:r>
      <w:r>
        <w:rPr>
          <w:rFonts w:eastAsia="Times New Roman"/>
          <w:color w:val="000000"/>
          <w:sz w:val="20"/>
          <w:szCs w:val="20"/>
        </w:rPr>
        <w:t xml:space="preserve"> significant cash flow from operations after recurring operating capital expenditures, leasing capital expenditures and payment of dividends. This assumption does not include any potential capital generated from dispositions, refinancings or issuances of c</w:t>
      </w:r>
      <w:r>
        <w:rPr>
          <w:rFonts w:eastAsia="Times New Roman"/>
          <w:color w:val="000000"/>
          <w:sz w:val="20"/>
          <w:szCs w:val="20"/>
        </w:rPr>
        <w:t>ommon equity. This expected surplus will be used to de-lever the Company's balance sheet as well as to fund the Company's development pipeline.</w:t>
      </w:r>
    </w:p>
    <w:p w:rsidR="00000000" w:rsidRDefault="00FF0345">
      <w:pPr>
        <w:ind w:firstLine="495"/>
        <w:divId w:val="739014442"/>
        <w:rPr>
          <w:rFonts w:eastAsia="Times New Roman"/>
        </w:rPr>
      </w:pPr>
      <w:r>
        <w:rPr>
          <w:rFonts w:eastAsia="Times New Roman"/>
          <w:color w:val="000000"/>
          <w:sz w:val="20"/>
          <w:szCs w:val="20"/>
        </w:rPr>
        <w:t>Given the continued disruption and uncertainties from COVID-19 and the related impacts on the capital markets, t</w:t>
      </w:r>
      <w:r>
        <w:rPr>
          <w:rFonts w:eastAsia="Times New Roman"/>
          <w:color w:val="000000"/>
          <w:sz w:val="20"/>
          <w:szCs w:val="20"/>
        </w:rPr>
        <w:t xml:space="preserve">he Company has secured extensions of term from one to three years of its near-term maturing non-recourse mortgage loans totaling an aggregate of approximately $950 million on Danbury Fair Mall, The Shops at Atlas Park, Fashion Outlets of Niagara, FlatIron </w:t>
      </w:r>
      <w:r>
        <w:rPr>
          <w:rFonts w:eastAsia="Times New Roman"/>
          <w:color w:val="000000"/>
          <w:sz w:val="20"/>
          <w:szCs w:val="20"/>
        </w:rPr>
        <w:t>Crossing, Green Acres Mall and Green Acres Commons. On October 26, 2021, the Company’s joint venture closed a $65 million, five-year loan, including extension options, that bears interest at LIBOR plus 4.15% to refinance The Shops at Atlas Park, which repl</w:t>
      </w:r>
      <w:r>
        <w:rPr>
          <w:rFonts w:eastAsia="Times New Roman"/>
          <w:color w:val="000000"/>
          <w:sz w:val="20"/>
          <w:szCs w:val="20"/>
        </w:rPr>
        <w:t>aced a $67.5 million loan on the property. The Company’s joint venture in FlatIron Crossing is currently negotiating a commitment for a new five-year $200 million loan to replace the existing $198.2 million loan on the property. (See "Financing Activities"</w:t>
      </w:r>
      <w:r>
        <w:rPr>
          <w:rFonts w:eastAsia="Times New Roman"/>
          <w:color w:val="000000"/>
          <w:sz w:val="20"/>
          <w:szCs w:val="20"/>
        </w:rPr>
        <w:t xml:space="preserve"> in Management's Overview and Summary).</w:t>
      </w:r>
    </w:p>
    <w:p w:rsidR="00000000" w:rsidRDefault="00FF0345">
      <w:pPr>
        <w:ind w:firstLine="495"/>
        <w:divId w:val="1132746099"/>
        <w:rPr>
          <w:rFonts w:eastAsia="Times New Roman"/>
        </w:rPr>
      </w:pPr>
      <w:r>
        <w:rPr>
          <w:rFonts w:eastAsia="Times New Roman"/>
          <w:color w:val="000000"/>
          <w:sz w:val="20"/>
          <w:szCs w:val="20"/>
        </w:rPr>
        <w:t>During the second quarter of 2021, the Company repaid and terminated its existing credit facility and entered into a new credit agreement, which provides for an aggregate $700 million facility, including a $525 milli</w:t>
      </w:r>
      <w:r>
        <w:rPr>
          <w:rFonts w:eastAsia="Times New Roman"/>
          <w:color w:val="000000"/>
          <w:sz w:val="20"/>
          <w:szCs w:val="20"/>
        </w:rPr>
        <w:t xml:space="preserve">on revolving loan facility that </w:t>
      </w:r>
    </w:p>
    <w:p w:rsidR="00000000" w:rsidRDefault="00FF0345">
      <w:pPr>
        <w:jc w:val="center"/>
        <w:divId w:val="1234319753"/>
        <w:rPr>
          <w:rFonts w:eastAsia="Times New Roman"/>
        </w:rPr>
      </w:pPr>
    </w:p>
    <w:p w:rsidR="00000000" w:rsidRDefault="00FF0345">
      <w:pPr>
        <w:jc w:val="center"/>
        <w:divId w:val="1234319753"/>
        <w:rPr>
          <w:rFonts w:eastAsia="Times New Roman"/>
        </w:rPr>
      </w:pPr>
      <w:r>
        <w:rPr>
          <w:rFonts w:eastAsia="Times New Roman"/>
          <w:color w:val="000000"/>
          <w:sz w:val="20"/>
          <w:szCs w:val="20"/>
        </w:rPr>
        <w:t>34</w:t>
      </w:r>
    </w:p>
    <w:p w:rsidR="00000000" w:rsidRDefault="00FF0345">
      <w:pPr>
        <w:rPr>
          <w:rFonts w:eastAsia="Times New Roman"/>
        </w:rPr>
      </w:pPr>
      <w:r>
        <w:rPr>
          <w:rFonts w:eastAsia="Times New Roman"/>
        </w:rPr>
        <w:pict>
          <v:rect id="_x0000_i1058" style="width:0;height:1.5pt" o:hralign="center" o:hrstd="t" o:hr="t" fillcolor="#a0a0a0" stroked="f"/>
        </w:pict>
      </w:r>
    </w:p>
    <w:p w:rsidR="00000000" w:rsidRDefault="00FF0345">
      <w:pPr>
        <w:divId w:val="1323122206"/>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950862237"/>
        <w:rPr>
          <w:rFonts w:eastAsia="Times New Roman"/>
        </w:rPr>
      </w:pPr>
      <w:r>
        <w:rPr>
          <w:rFonts w:eastAsia="Times New Roman"/>
          <w:color w:val="000000"/>
          <w:sz w:val="20"/>
          <w:szCs w:val="20"/>
        </w:rPr>
        <w:t>matures on April 14, 2023, with a one-year extension option, and a $175 million term loan facility that matures on April 14, 2024. Concurrent wi</w:t>
      </w:r>
      <w:r>
        <w:rPr>
          <w:rFonts w:eastAsia="Times New Roman"/>
          <w:color w:val="000000"/>
          <w:sz w:val="20"/>
          <w:szCs w:val="20"/>
        </w:rPr>
        <w:t>th the closing of this credit facility, the Company repaid $985.0 million of debt (See "Liquidity and Capital Resources"). As of September 30, 2021, the balances on the term loan facility and the revolving loan facility were $0 and $130.0 million (less the</w:t>
      </w:r>
      <w:r>
        <w:rPr>
          <w:rFonts w:eastAsia="Times New Roman"/>
          <w:color w:val="000000"/>
          <w:sz w:val="20"/>
          <w:szCs w:val="20"/>
        </w:rPr>
        <w:t xml:space="preserve"> amount of unamortized deferred financing costs of $15.7 million), respectively. </w:t>
      </w:r>
    </w:p>
    <w:p w:rsidR="00000000" w:rsidRDefault="00FF0345">
      <w:pPr>
        <w:ind w:firstLine="495"/>
        <w:divId w:val="1527210869"/>
        <w:rPr>
          <w:rFonts w:eastAsia="Times New Roman"/>
        </w:rPr>
      </w:pPr>
      <w:r>
        <w:rPr>
          <w:rFonts w:eastAsia="Times New Roman"/>
          <w:color w:val="000000"/>
          <w:sz w:val="20"/>
          <w:szCs w:val="20"/>
        </w:rPr>
        <w:t xml:space="preserve">Rising interest rates could increase the cost of the Company’s borrowings due to its outstanding floating-rate debt and lead to higher interest rates on new fixed-rate debt. </w:t>
      </w:r>
      <w:r>
        <w:rPr>
          <w:rFonts w:eastAsia="Times New Roman"/>
          <w:color w:val="000000"/>
          <w:sz w:val="20"/>
          <w:szCs w:val="20"/>
        </w:rPr>
        <w:t>In certain cases, the Company may limit its exposure to interest rate fluctuations related to a portion of its floating-rate debt by using interest rate cap and swap agreements. Such agreements, subject to current market conditions, allow the Company to re</w:t>
      </w:r>
      <w:r>
        <w:rPr>
          <w:rFonts w:eastAsia="Times New Roman"/>
          <w:color w:val="000000"/>
          <w:sz w:val="20"/>
          <w:szCs w:val="20"/>
        </w:rPr>
        <w:t xml:space="preserve">place floating-rate debt with fixed-rate debt in order to achieve its desired ratio of floating-rate to fixed-rate debt. In today’s interest rate environment, the swap agreements that the Company had entered into resulted in increases in interest expense. </w:t>
      </w:r>
      <w:r>
        <w:rPr>
          <w:rFonts w:eastAsia="Times New Roman"/>
          <w:color w:val="000000"/>
          <w:sz w:val="20"/>
          <w:szCs w:val="20"/>
        </w:rPr>
        <w:t>Those swap agreements expired on September 30, 2021 and have not been renewed by the Company.</w:t>
      </w:r>
    </w:p>
    <w:p w:rsidR="00000000" w:rsidRDefault="00FF0345">
      <w:pPr>
        <w:divId w:val="369690522"/>
        <w:rPr>
          <w:rFonts w:eastAsia="Times New Roman"/>
        </w:rPr>
      </w:pPr>
      <w:r>
        <w:rPr>
          <w:rFonts w:eastAsia="Times New Roman"/>
          <w:b/>
          <w:bCs/>
          <w:color w:val="000000"/>
          <w:sz w:val="20"/>
          <w:szCs w:val="20"/>
        </w:rPr>
        <w:t xml:space="preserve">Comparison of Three Months Ended September 30, 2021 and 2020 </w:t>
      </w:r>
    </w:p>
    <w:p w:rsidR="00000000" w:rsidRDefault="00FF0345">
      <w:pPr>
        <w:ind w:firstLine="450"/>
        <w:divId w:val="897083811"/>
        <w:rPr>
          <w:rFonts w:eastAsia="Times New Roman"/>
        </w:rPr>
      </w:pPr>
      <w:r>
        <w:rPr>
          <w:rFonts w:eastAsia="Times New Roman"/>
          <w:i/>
          <w:iCs/>
          <w:color w:val="000000"/>
          <w:sz w:val="20"/>
          <w:szCs w:val="20"/>
        </w:rPr>
        <w:t>Revenues:</w:t>
      </w:r>
    </w:p>
    <w:p w:rsidR="00000000" w:rsidRDefault="00FF0345">
      <w:pPr>
        <w:ind w:firstLine="495"/>
        <w:divId w:val="908656792"/>
        <w:rPr>
          <w:rFonts w:eastAsia="Times New Roman"/>
        </w:rPr>
      </w:pPr>
      <w:r>
        <w:rPr>
          <w:rFonts w:eastAsia="Times New Roman"/>
          <w:color w:val="000000"/>
          <w:sz w:val="20"/>
          <w:szCs w:val="20"/>
        </w:rPr>
        <w:t>Leasing revenue increased by $21.6 million, or 12.3%, from 2020 to 2021. The increase in l</w:t>
      </w:r>
      <w:r>
        <w:rPr>
          <w:rFonts w:eastAsia="Times New Roman"/>
          <w:color w:val="000000"/>
          <w:sz w:val="20"/>
          <w:szCs w:val="20"/>
        </w:rPr>
        <w:t>easing revenue is attributed to increases of $16.2 million from the Same Centers and $6.3 million from the JV Transition Centers offset in part by a decrease of $0.9 million from the Disposition Properties. Leasing revenue includes the amortization of abov</w:t>
      </w:r>
      <w:r>
        <w:rPr>
          <w:rFonts w:eastAsia="Times New Roman"/>
          <w:color w:val="000000"/>
          <w:sz w:val="20"/>
          <w:szCs w:val="20"/>
        </w:rPr>
        <w:t>e and below-market leases, the amortization of straight-line rents, lease termination income, percentage rent and the provision for bad debts. The amortization of above and below-market leases was $0.6 million for both 2020 and 2021. The amortization of st</w:t>
      </w:r>
      <w:r>
        <w:rPr>
          <w:rFonts w:eastAsia="Times New Roman"/>
          <w:color w:val="000000"/>
          <w:sz w:val="20"/>
          <w:szCs w:val="20"/>
        </w:rPr>
        <w:t>raight-line rents decreased from $5.5 million in 2020 to $(2.6) million in 2021. Lease termination income increased from $4.3 million in 2020 to $8.9 million in 2021. Percentage rent increased from $2.8 million in 2020 to $13.7 million in 2021. Provision f</w:t>
      </w:r>
      <w:r>
        <w:rPr>
          <w:rFonts w:eastAsia="Times New Roman"/>
          <w:color w:val="000000"/>
          <w:sz w:val="20"/>
          <w:szCs w:val="20"/>
        </w:rPr>
        <w:t>or bad debts decreased from $10.6 million in 2020 to $1.6 million in 2021. The increase in leasing revenue and decrease in bad debt at the Same Centers is primarily the result of all Centers being opened in 2021 compared to some Centers being closed for al</w:t>
      </w:r>
      <w:r>
        <w:rPr>
          <w:rFonts w:eastAsia="Times New Roman"/>
          <w:color w:val="000000"/>
          <w:sz w:val="20"/>
          <w:szCs w:val="20"/>
        </w:rPr>
        <w:t>l or a portion of the third quarter of 2020 and an increase in tenant sales to pre-COVID 2019 levels (See "Other Transactions and Events" in Management's Overview and Summary).</w:t>
      </w:r>
    </w:p>
    <w:p w:rsidR="00000000" w:rsidRDefault="00FF0345">
      <w:pPr>
        <w:ind w:firstLine="450"/>
        <w:divId w:val="1463765418"/>
        <w:rPr>
          <w:rFonts w:eastAsia="Times New Roman"/>
        </w:rPr>
      </w:pPr>
      <w:r>
        <w:rPr>
          <w:rFonts w:eastAsia="Times New Roman"/>
          <w:color w:val="000000"/>
          <w:sz w:val="20"/>
          <w:szCs w:val="20"/>
        </w:rPr>
        <w:t xml:space="preserve">Other income increased from $4.3 million in 2020 to $8.2 million in 2021. This </w:t>
      </w:r>
      <w:r>
        <w:rPr>
          <w:rFonts w:eastAsia="Times New Roman"/>
          <w:color w:val="000000"/>
          <w:sz w:val="20"/>
          <w:szCs w:val="20"/>
        </w:rPr>
        <w:t>is primarily due to increased parking garage income resulting from increased traffic at the Centers.</w:t>
      </w:r>
    </w:p>
    <w:p w:rsidR="00000000" w:rsidRDefault="00FF0345">
      <w:pPr>
        <w:ind w:firstLine="495"/>
        <w:divId w:val="631986255"/>
        <w:rPr>
          <w:rFonts w:eastAsia="Times New Roman"/>
        </w:rPr>
      </w:pPr>
      <w:r>
        <w:rPr>
          <w:rFonts w:eastAsia="Times New Roman"/>
          <w:color w:val="000000"/>
          <w:sz w:val="20"/>
          <w:szCs w:val="20"/>
        </w:rPr>
        <w:t>Management Companies' revenue increased from $6.0 million in 2020 to $6.8 million in 2021.</w:t>
      </w:r>
    </w:p>
    <w:p w:rsidR="00000000" w:rsidRDefault="00FF0345">
      <w:pPr>
        <w:ind w:firstLine="495"/>
        <w:divId w:val="32315667"/>
        <w:rPr>
          <w:rFonts w:eastAsia="Times New Roman"/>
        </w:rPr>
      </w:pPr>
      <w:r>
        <w:rPr>
          <w:rFonts w:eastAsia="Times New Roman"/>
          <w:i/>
          <w:iCs/>
          <w:color w:val="000000"/>
          <w:sz w:val="20"/>
          <w:szCs w:val="20"/>
        </w:rPr>
        <w:t>Shopping Center and Operating Expenses:</w:t>
      </w:r>
    </w:p>
    <w:p w:rsidR="00000000" w:rsidRDefault="00FF0345">
      <w:pPr>
        <w:ind w:firstLine="495"/>
        <w:divId w:val="151143519"/>
        <w:rPr>
          <w:rFonts w:eastAsia="Times New Roman"/>
        </w:rPr>
      </w:pPr>
      <w:r>
        <w:rPr>
          <w:rFonts w:eastAsia="Times New Roman"/>
          <w:color w:val="000000"/>
          <w:sz w:val="20"/>
          <w:szCs w:val="20"/>
        </w:rPr>
        <w:t>Shopping center and oper</w:t>
      </w:r>
      <w:r>
        <w:rPr>
          <w:rFonts w:eastAsia="Times New Roman"/>
          <w:color w:val="000000"/>
          <w:sz w:val="20"/>
          <w:szCs w:val="20"/>
        </w:rPr>
        <w:t>ating expenses increased $6.0 million, or 9.3%, from 2020 to 2021. The increase in shopping center and operating expenses is attributed to increases of $2.1 million from the Same Centers and $5.0 million from the JV Transition Centers offset in part by a d</w:t>
      </w:r>
      <w:r>
        <w:rPr>
          <w:rFonts w:eastAsia="Times New Roman"/>
          <w:color w:val="000000"/>
          <w:sz w:val="20"/>
          <w:szCs w:val="20"/>
        </w:rPr>
        <w:t>ecrease of $1.1 million from the Disposition Properties. The increase in shopping center and operating expenses at the Same Centers is primarily the result of some Centers being closed for all or a portion of the third quarter of 2020 (See "Other Transacti</w:t>
      </w:r>
      <w:r>
        <w:rPr>
          <w:rFonts w:eastAsia="Times New Roman"/>
          <w:color w:val="000000"/>
          <w:sz w:val="20"/>
          <w:szCs w:val="20"/>
        </w:rPr>
        <w:t>ons and Events" in Management's Overview and Summary).</w:t>
      </w:r>
    </w:p>
    <w:p w:rsidR="00000000" w:rsidRDefault="00FF0345">
      <w:pPr>
        <w:ind w:firstLine="495"/>
        <w:divId w:val="259801542"/>
        <w:rPr>
          <w:rFonts w:eastAsia="Times New Roman"/>
        </w:rPr>
      </w:pPr>
      <w:r>
        <w:rPr>
          <w:rFonts w:eastAsia="Times New Roman"/>
          <w:i/>
          <w:iCs/>
          <w:color w:val="000000"/>
          <w:sz w:val="20"/>
          <w:szCs w:val="20"/>
        </w:rPr>
        <w:t>Leasing Expenses:</w:t>
      </w:r>
    </w:p>
    <w:p w:rsidR="00000000" w:rsidRDefault="00FF0345">
      <w:pPr>
        <w:ind w:firstLine="495"/>
        <w:divId w:val="1570185980"/>
        <w:rPr>
          <w:rFonts w:eastAsia="Times New Roman"/>
        </w:rPr>
      </w:pPr>
      <w:r>
        <w:rPr>
          <w:rFonts w:eastAsia="Times New Roman"/>
          <w:color w:val="000000"/>
          <w:sz w:val="20"/>
          <w:szCs w:val="20"/>
        </w:rPr>
        <w:t>Leasing expenses increased from $5.5 million in 2020 to $6.2 million in 2021.</w:t>
      </w:r>
    </w:p>
    <w:p w:rsidR="00000000" w:rsidRDefault="00FF0345">
      <w:pPr>
        <w:ind w:firstLine="450"/>
        <w:divId w:val="1102648395"/>
        <w:rPr>
          <w:rFonts w:eastAsia="Times New Roman"/>
        </w:rPr>
      </w:pPr>
      <w:r>
        <w:rPr>
          <w:rFonts w:eastAsia="Times New Roman"/>
          <w:i/>
          <w:iCs/>
          <w:color w:val="000000"/>
          <w:sz w:val="20"/>
          <w:szCs w:val="20"/>
        </w:rPr>
        <w:t>Management Companies' Operating Expenses:</w:t>
      </w:r>
    </w:p>
    <w:p w:rsidR="00000000" w:rsidRDefault="00FF0345">
      <w:pPr>
        <w:ind w:firstLine="495"/>
        <w:divId w:val="546527543"/>
        <w:rPr>
          <w:rFonts w:eastAsia="Times New Roman"/>
        </w:rPr>
      </w:pPr>
      <w:r>
        <w:rPr>
          <w:rFonts w:eastAsia="Times New Roman"/>
          <w:color w:val="000000"/>
          <w:sz w:val="20"/>
          <w:szCs w:val="20"/>
        </w:rPr>
        <w:t xml:space="preserve">Management Companies' operating expenses increased $1.6 million from 2020 to 2021. </w:t>
      </w:r>
    </w:p>
    <w:p w:rsidR="00000000" w:rsidRDefault="00FF0345">
      <w:pPr>
        <w:ind w:firstLine="450"/>
        <w:divId w:val="1012877489"/>
        <w:rPr>
          <w:rFonts w:eastAsia="Times New Roman"/>
        </w:rPr>
      </w:pPr>
      <w:r>
        <w:rPr>
          <w:rFonts w:eastAsia="Times New Roman"/>
          <w:i/>
          <w:iCs/>
          <w:color w:val="000000"/>
          <w:sz w:val="20"/>
          <w:szCs w:val="20"/>
        </w:rPr>
        <w:t>REIT General and Administrative Expenses:</w:t>
      </w:r>
    </w:p>
    <w:p w:rsidR="00000000" w:rsidRDefault="00FF0345">
      <w:pPr>
        <w:ind w:firstLine="495"/>
        <w:divId w:val="1432362173"/>
        <w:rPr>
          <w:rFonts w:eastAsia="Times New Roman"/>
        </w:rPr>
      </w:pPr>
      <w:r>
        <w:rPr>
          <w:rFonts w:eastAsia="Times New Roman"/>
          <w:color w:val="000000"/>
          <w:sz w:val="20"/>
          <w:szCs w:val="20"/>
        </w:rPr>
        <w:t>REIT general and administrative expenses was $7.6 million for both 2020 and 2021.</w:t>
      </w:r>
    </w:p>
    <w:p w:rsidR="00000000" w:rsidRDefault="00FF0345">
      <w:pPr>
        <w:ind w:firstLine="450"/>
        <w:divId w:val="89200968"/>
        <w:rPr>
          <w:rFonts w:eastAsia="Times New Roman"/>
        </w:rPr>
      </w:pPr>
      <w:r>
        <w:rPr>
          <w:rFonts w:eastAsia="Times New Roman"/>
          <w:i/>
          <w:iCs/>
          <w:color w:val="000000"/>
          <w:sz w:val="20"/>
          <w:szCs w:val="20"/>
        </w:rPr>
        <w:t>Depreciation and Amortization:</w:t>
      </w:r>
    </w:p>
    <w:p w:rsidR="00000000" w:rsidRDefault="00FF0345">
      <w:pPr>
        <w:ind w:firstLine="495"/>
        <w:divId w:val="1788506594"/>
        <w:rPr>
          <w:rFonts w:eastAsia="Times New Roman"/>
        </w:rPr>
      </w:pPr>
      <w:r>
        <w:rPr>
          <w:rFonts w:eastAsia="Times New Roman"/>
          <w:color w:val="000000"/>
          <w:sz w:val="20"/>
          <w:szCs w:val="20"/>
        </w:rPr>
        <w:t xml:space="preserve">Depreciation and </w:t>
      </w:r>
      <w:r>
        <w:rPr>
          <w:rFonts w:eastAsia="Times New Roman"/>
          <w:color w:val="000000"/>
          <w:sz w:val="20"/>
          <w:szCs w:val="20"/>
        </w:rPr>
        <w:t>amortization decreased $3.1 million from 2020 to 2021. The decrease in depreciation and amortization is attributed to a decrease of $4.7 million from the Same Centers and $1.4 million from the Disposition Properties offset in part by an increase of $2.9 mi</w:t>
      </w:r>
      <w:r>
        <w:rPr>
          <w:rFonts w:eastAsia="Times New Roman"/>
          <w:color w:val="000000"/>
          <w:sz w:val="20"/>
          <w:szCs w:val="20"/>
        </w:rPr>
        <w:t>llion from the JV Transition Centers.</w:t>
      </w:r>
    </w:p>
    <w:p w:rsidR="00000000" w:rsidRDefault="00FF0345">
      <w:pPr>
        <w:ind w:firstLine="450"/>
        <w:divId w:val="614680261"/>
        <w:rPr>
          <w:rFonts w:eastAsia="Times New Roman"/>
        </w:rPr>
      </w:pPr>
      <w:r>
        <w:rPr>
          <w:rFonts w:eastAsia="Times New Roman"/>
          <w:i/>
          <w:iCs/>
          <w:color w:val="000000"/>
          <w:sz w:val="20"/>
          <w:szCs w:val="20"/>
        </w:rPr>
        <w:t>Interest Expense:</w:t>
      </w:r>
    </w:p>
    <w:p w:rsidR="00000000" w:rsidRDefault="00FF0345">
      <w:pPr>
        <w:ind w:firstLine="495"/>
        <w:divId w:val="588469909"/>
        <w:rPr>
          <w:rFonts w:eastAsia="Times New Roman"/>
        </w:rPr>
      </w:pPr>
      <w:r>
        <w:rPr>
          <w:rFonts w:eastAsia="Times New Roman"/>
          <w:color w:val="000000"/>
          <w:sz w:val="20"/>
          <w:szCs w:val="20"/>
        </w:rPr>
        <w:t xml:space="preserve">Interest expense increased $3.2 million from 2020 to 2021. The increase in interest expense is attributed to an increase of $7.8 million from the Financing Arrangement </w:t>
      </w:r>
      <w:r>
        <w:rPr>
          <w:rFonts w:eastAsia="Times New Roman"/>
          <w:color w:val="000000"/>
          <w:sz w:val="20"/>
          <w:szCs w:val="20"/>
          <w:shd w:val="clear" w:color="auto" w:fill="FFFFFF"/>
        </w:rPr>
        <w:t>(See Note 12—</w:t>
      </w:r>
      <w:r>
        <w:rPr>
          <w:rFonts w:eastAsia="Times New Roman"/>
          <w:color w:val="000000"/>
          <w:sz w:val="20"/>
          <w:szCs w:val="20"/>
        </w:rPr>
        <w:t>Financing Arrangeme</w:t>
      </w:r>
      <w:r>
        <w:rPr>
          <w:rFonts w:eastAsia="Times New Roman"/>
          <w:color w:val="000000"/>
          <w:sz w:val="20"/>
          <w:szCs w:val="20"/>
        </w:rPr>
        <w:t>nt</w:t>
      </w:r>
      <w:r>
        <w:rPr>
          <w:rFonts w:eastAsia="Times New Roman"/>
          <w:color w:val="000000"/>
          <w:sz w:val="20"/>
          <w:szCs w:val="20"/>
          <w:shd w:val="clear" w:color="auto" w:fill="FFFFFF"/>
        </w:rPr>
        <w:t xml:space="preserve"> in the Company's Notes to the Consolidated Financial Statements) and </w:t>
      </w:r>
      <w:r>
        <w:rPr>
          <w:rFonts w:eastAsia="Times New Roman"/>
          <w:color w:val="000000"/>
          <w:sz w:val="20"/>
          <w:szCs w:val="20"/>
        </w:rPr>
        <w:t xml:space="preserve">$1.4 million from the JV Transition Centers offset in part by decreases of $4.3 million </w:t>
      </w:r>
    </w:p>
    <w:p w:rsidR="00000000" w:rsidRDefault="00FF0345">
      <w:pPr>
        <w:jc w:val="center"/>
        <w:divId w:val="910777312"/>
        <w:rPr>
          <w:rFonts w:eastAsia="Times New Roman"/>
        </w:rPr>
      </w:pPr>
    </w:p>
    <w:p w:rsidR="00000000" w:rsidRDefault="00FF0345">
      <w:pPr>
        <w:jc w:val="center"/>
        <w:divId w:val="910777312"/>
        <w:rPr>
          <w:rFonts w:eastAsia="Times New Roman"/>
        </w:rPr>
      </w:pPr>
      <w:r>
        <w:rPr>
          <w:rFonts w:eastAsia="Times New Roman"/>
          <w:color w:val="000000"/>
          <w:sz w:val="20"/>
          <w:szCs w:val="20"/>
        </w:rPr>
        <w:t>35</w:t>
      </w:r>
    </w:p>
    <w:p w:rsidR="00000000" w:rsidRDefault="00FF0345">
      <w:pPr>
        <w:rPr>
          <w:rFonts w:eastAsia="Times New Roman"/>
        </w:rPr>
      </w:pPr>
      <w:r>
        <w:rPr>
          <w:rFonts w:eastAsia="Times New Roman"/>
        </w:rPr>
        <w:pict>
          <v:rect id="_x0000_i1059" style="width:0;height:1.5pt" o:hralign="center" o:hrstd="t" o:hr="t" fillcolor="#a0a0a0" stroked="f"/>
        </w:pict>
      </w:r>
    </w:p>
    <w:p w:rsidR="00000000" w:rsidRDefault="00FF0345">
      <w:pPr>
        <w:divId w:val="1148715508"/>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1030759652"/>
        <w:rPr>
          <w:rFonts w:eastAsia="Times New Roman"/>
        </w:rPr>
      </w:pPr>
      <w:r>
        <w:rPr>
          <w:rFonts w:eastAsia="Times New Roman"/>
          <w:color w:val="000000"/>
          <w:sz w:val="20"/>
          <w:szCs w:val="20"/>
        </w:rPr>
        <w:t>from the Company's revolving line of credit and $1.7 million from the Same Centers. The increase in interest expense from the Financing Arrangement is primarily due to the change in fair value of the underlying properties and the mort</w:t>
      </w:r>
      <w:r>
        <w:rPr>
          <w:rFonts w:eastAsia="Times New Roman"/>
          <w:color w:val="000000"/>
          <w:sz w:val="20"/>
          <w:szCs w:val="20"/>
        </w:rPr>
        <w:t>gage notes payable on the underlying properties.</w:t>
      </w:r>
    </w:p>
    <w:p w:rsidR="00000000" w:rsidRDefault="00FF0345">
      <w:pPr>
        <w:ind w:firstLine="450"/>
        <w:divId w:val="1249731252"/>
        <w:rPr>
          <w:rFonts w:eastAsia="Times New Roman"/>
        </w:rPr>
      </w:pPr>
      <w:r>
        <w:rPr>
          <w:rFonts w:eastAsia="Times New Roman"/>
          <w:i/>
          <w:iCs/>
          <w:color w:val="000000"/>
          <w:sz w:val="20"/>
          <w:szCs w:val="20"/>
        </w:rPr>
        <w:t>Equity in Loss of Unconsolidated Joint Ventures:</w:t>
      </w:r>
    </w:p>
    <w:p w:rsidR="00000000" w:rsidRDefault="00FF0345">
      <w:pPr>
        <w:ind w:firstLine="495"/>
        <w:divId w:val="704410753"/>
        <w:rPr>
          <w:rFonts w:eastAsia="Times New Roman"/>
        </w:rPr>
      </w:pPr>
      <w:r>
        <w:rPr>
          <w:rFonts w:eastAsia="Times New Roman"/>
          <w:color w:val="000000"/>
          <w:sz w:val="20"/>
          <w:szCs w:val="20"/>
          <w:shd w:val="clear" w:color="auto" w:fill="FFFFFF"/>
        </w:rPr>
        <w:t>Equity in loss of unconsolidated joint ventures decreased $10.8 million from 2020 to 2021</w:t>
      </w:r>
      <w:r>
        <w:rPr>
          <w:rFonts w:eastAsia="Times New Roman"/>
          <w:color w:val="000000"/>
          <w:sz w:val="20"/>
          <w:szCs w:val="20"/>
        </w:rPr>
        <w:t>. The decrease in equity in loss of unconsolidated joint ventures is primarily due to an increase in leasing revenue, percentage rent, other income and a decrease in t</w:t>
      </w:r>
      <w:r>
        <w:rPr>
          <w:rFonts w:eastAsia="Times New Roman"/>
          <w:color w:val="000000"/>
          <w:sz w:val="20"/>
          <w:szCs w:val="20"/>
        </w:rPr>
        <w:t>he provision for bad debt as a result of the Centers being opened in 2021 compared to some Centers being closed for all or a portion of the third quarter of 2020 (See "Other Transactions and Events" in Management's Overview and Summary).</w:t>
      </w:r>
    </w:p>
    <w:p w:rsidR="00000000" w:rsidRDefault="00FF0345">
      <w:pPr>
        <w:ind w:firstLine="495"/>
        <w:divId w:val="509877316"/>
        <w:rPr>
          <w:rFonts w:eastAsia="Times New Roman"/>
        </w:rPr>
      </w:pPr>
      <w:r>
        <w:rPr>
          <w:rFonts w:eastAsia="Times New Roman"/>
          <w:i/>
          <w:iCs/>
          <w:color w:val="000000"/>
          <w:sz w:val="20"/>
          <w:szCs w:val="20"/>
        </w:rPr>
        <w:t>Gain on Sale or Wr</w:t>
      </w:r>
      <w:r>
        <w:rPr>
          <w:rFonts w:eastAsia="Times New Roman"/>
          <w:i/>
          <w:iCs/>
          <w:color w:val="000000"/>
          <w:sz w:val="20"/>
          <w:szCs w:val="20"/>
        </w:rPr>
        <w:t xml:space="preserve">ite Down of </w:t>
      </w:r>
      <w:r>
        <w:rPr>
          <w:rFonts w:eastAsia="Times New Roman"/>
          <w:i/>
          <w:iCs/>
          <w:color w:val="000000"/>
          <w:sz w:val="20"/>
          <w:szCs w:val="20"/>
          <w:shd w:val="clear" w:color="auto" w:fill="FFFFFF"/>
        </w:rPr>
        <w:t>Assets, net:</w:t>
      </w:r>
    </w:p>
    <w:p w:rsidR="00000000" w:rsidRDefault="00FF0345">
      <w:pPr>
        <w:ind w:firstLine="495"/>
        <w:divId w:val="1593466747"/>
        <w:rPr>
          <w:rFonts w:eastAsia="Times New Roman"/>
        </w:rPr>
      </w:pPr>
      <w:r>
        <w:rPr>
          <w:rFonts w:eastAsia="Times New Roman"/>
          <w:color w:val="000000"/>
          <w:sz w:val="20"/>
          <w:szCs w:val="20"/>
        </w:rPr>
        <w:t>The gain on sale or write down of assets, net increased $106.8 million from 2020 to 2021 primarily due to the sale of Tucson La Encantada (See "Dispositions" in Management's Overview and Summary).</w:t>
      </w:r>
    </w:p>
    <w:p w:rsidR="00000000" w:rsidRDefault="00FF0345">
      <w:pPr>
        <w:ind w:firstLine="450"/>
        <w:divId w:val="338578144"/>
        <w:rPr>
          <w:rFonts w:eastAsia="Times New Roman"/>
        </w:rPr>
      </w:pPr>
      <w:r>
        <w:rPr>
          <w:rFonts w:eastAsia="Times New Roman"/>
          <w:i/>
          <w:iCs/>
          <w:color w:val="000000"/>
          <w:sz w:val="20"/>
          <w:szCs w:val="20"/>
        </w:rPr>
        <w:t>Net Income (Loss):</w:t>
      </w:r>
    </w:p>
    <w:p w:rsidR="00000000" w:rsidRDefault="00FF0345">
      <w:pPr>
        <w:ind w:firstLine="495"/>
        <w:divId w:val="30153026"/>
        <w:rPr>
          <w:rFonts w:eastAsia="Times New Roman"/>
        </w:rPr>
      </w:pPr>
      <w:r>
        <w:rPr>
          <w:rFonts w:eastAsia="Times New Roman"/>
          <w:color w:val="000000"/>
          <w:sz w:val="20"/>
          <w:szCs w:val="20"/>
          <w:shd w:val="clear" w:color="auto" w:fill="FFFFFF"/>
        </w:rPr>
        <w:t>Net income incr</w:t>
      </w:r>
      <w:r>
        <w:rPr>
          <w:rFonts w:eastAsia="Times New Roman"/>
          <w:color w:val="000000"/>
          <w:sz w:val="20"/>
          <w:szCs w:val="20"/>
          <w:shd w:val="clear" w:color="auto" w:fill="FFFFFF"/>
        </w:rPr>
        <w:t>eased $135.6 million from 2020 to 2021.</w:t>
      </w:r>
      <w:r>
        <w:rPr>
          <w:rFonts w:eastAsia="Times New Roman"/>
          <w:color w:val="000000"/>
          <w:sz w:val="20"/>
          <w:szCs w:val="20"/>
        </w:rPr>
        <w:t xml:space="preserve"> The increase in net income is primarily due to the variances noted above and the sale of Tucson La Encantada.</w:t>
      </w:r>
    </w:p>
    <w:p w:rsidR="00000000" w:rsidRDefault="00FF0345">
      <w:pPr>
        <w:ind w:firstLine="450"/>
        <w:divId w:val="304745501"/>
        <w:rPr>
          <w:rFonts w:eastAsia="Times New Roman"/>
        </w:rPr>
      </w:pPr>
      <w:r>
        <w:rPr>
          <w:rFonts w:eastAsia="Times New Roman"/>
          <w:i/>
          <w:iCs/>
          <w:color w:val="000000"/>
          <w:sz w:val="20"/>
          <w:szCs w:val="20"/>
        </w:rPr>
        <w:t>Funds From Operations ("FFO"):</w:t>
      </w:r>
    </w:p>
    <w:p w:rsidR="00000000" w:rsidRDefault="00FF0345">
      <w:pPr>
        <w:ind w:firstLine="495"/>
        <w:divId w:val="933981439"/>
        <w:rPr>
          <w:rFonts w:eastAsia="Times New Roman"/>
        </w:rPr>
      </w:pPr>
      <w:r>
        <w:rPr>
          <w:rFonts w:eastAsia="Times New Roman"/>
          <w:color w:val="000000"/>
          <w:sz w:val="20"/>
          <w:szCs w:val="20"/>
        </w:rPr>
        <w:t xml:space="preserve">Primarily as a result of the factors mentioned above, </w:t>
      </w:r>
      <w:r>
        <w:rPr>
          <w:rFonts w:eastAsia="Times New Roman"/>
          <w:color w:val="000000"/>
          <w:sz w:val="20"/>
          <w:szCs w:val="20"/>
          <w:shd w:val="clear" w:color="auto" w:fill="FFFFFF"/>
        </w:rPr>
        <w:t>FFO attributable to c</w:t>
      </w:r>
      <w:r>
        <w:rPr>
          <w:rFonts w:eastAsia="Times New Roman"/>
          <w:color w:val="000000"/>
          <w:sz w:val="20"/>
          <w:szCs w:val="20"/>
          <w:shd w:val="clear" w:color="auto" w:fill="FFFFFF"/>
        </w:rPr>
        <w:t xml:space="preserve">ommon stockholders and unit holders—diluted, excluding financing expense in connection with Chandler Freehold and loss on extinguishment of debt </w:t>
      </w:r>
      <w:r>
        <w:rPr>
          <w:rFonts w:eastAsia="Times New Roman"/>
          <w:color w:val="000000"/>
          <w:sz w:val="20"/>
          <w:szCs w:val="20"/>
        </w:rPr>
        <w:t xml:space="preserve">increased 21.6% from </w:t>
      </w:r>
      <w:r>
        <w:rPr>
          <w:rFonts w:eastAsia="Times New Roman"/>
          <w:color w:val="000000"/>
          <w:sz w:val="20"/>
          <w:szCs w:val="20"/>
          <w:shd w:val="clear" w:color="auto" w:fill="FFFFFF"/>
        </w:rPr>
        <w:t>$83.4 million</w:t>
      </w:r>
      <w:r>
        <w:rPr>
          <w:rFonts w:eastAsia="Times New Roman"/>
          <w:color w:val="000000"/>
          <w:sz w:val="20"/>
          <w:szCs w:val="20"/>
        </w:rPr>
        <w:t xml:space="preserve"> in 2020 to </w:t>
      </w:r>
      <w:r>
        <w:rPr>
          <w:rFonts w:eastAsia="Times New Roman"/>
          <w:color w:val="000000"/>
          <w:sz w:val="20"/>
          <w:szCs w:val="20"/>
          <w:shd w:val="clear" w:color="auto" w:fill="FFFFFF"/>
        </w:rPr>
        <w:t>$101.4 million</w:t>
      </w:r>
      <w:r>
        <w:rPr>
          <w:rFonts w:eastAsia="Times New Roman"/>
          <w:color w:val="000000"/>
          <w:sz w:val="20"/>
          <w:szCs w:val="20"/>
        </w:rPr>
        <w:t xml:space="preserve"> </w:t>
      </w:r>
      <w:r>
        <w:rPr>
          <w:rFonts w:eastAsia="Times New Roman"/>
          <w:color w:val="000000"/>
          <w:sz w:val="20"/>
          <w:szCs w:val="20"/>
        </w:rPr>
        <w:t>in 2021. For a reconciliation of net income (loss) attributable to the Company, the most directly comparable GAAP financial measure, to FFO attributable to common stockholders and unit holders, excluding financing expense in connection with Chandler Freeho</w:t>
      </w:r>
      <w:r>
        <w:rPr>
          <w:rFonts w:eastAsia="Times New Roman"/>
          <w:color w:val="000000"/>
          <w:sz w:val="20"/>
          <w:szCs w:val="20"/>
        </w:rPr>
        <w:t xml:space="preserve">ld and loss on extinguishment of debt and </w:t>
      </w:r>
      <w:r>
        <w:rPr>
          <w:rFonts w:eastAsia="Times New Roman"/>
          <w:color w:val="000000"/>
          <w:sz w:val="20"/>
          <w:szCs w:val="20"/>
          <w:shd w:val="clear" w:color="auto" w:fill="FFFFFF"/>
        </w:rPr>
        <w:t>FFO attributable to common stockholders and unit holders—diluted, excluding financing expense in connection with Chandler Freehold and loss on extinguishment of debt</w:t>
      </w:r>
      <w:r>
        <w:rPr>
          <w:rFonts w:eastAsia="Times New Roman"/>
          <w:color w:val="000000"/>
          <w:sz w:val="20"/>
          <w:szCs w:val="20"/>
        </w:rPr>
        <w:t>, see "Funds From Operations ("FFO")" below.</w:t>
      </w:r>
    </w:p>
    <w:p w:rsidR="00000000" w:rsidRDefault="00FF0345">
      <w:pPr>
        <w:divId w:val="175312260"/>
        <w:rPr>
          <w:rFonts w:eastAsia="Times New Roman"/>
        </w:rPr>
      </w:pPr>
      <w:r>
        <w:rPr>
          <w:rFonts w:eastAsia="Times New Roman"/>
          <w:b/>
          <w:bCs/>
          <w:color w:val="000000"/>
          <w:sz w:val="20"/>
          <w:szCs w:val="20"/>
        </w:rPr>
        <w:t>Comp</w:t>
      </w:r>
      <w:r>
        <w:rPr>
          <w:rFonts w:eastAsia="Times New Roman"/>
          <w:b/>
          <w:bCs/>
          <w:color w:val="000000"/>
          <w:sz w:val="20"/>
          <w:szCs w:val="20"/>
        </w:rPr>
        <w:t xml:space="preserve">arison of Nine Months Ended September 30, 2021 and 2020 </w:t>
      </w:r>
    </w:p>
    <w:p w:rsidR="00000000" w:rsidRDefault="00FF0345">
      <w:pPr>
        <w:ind w:firstLine="450"/>
        <w:divId w:val="329873076"/>
        <w:rPr>
          <w:rFonts w:eastAsia="Times New Roman"/>
        </w:rPr>
      </w:pPr>
      <w:r>
        <w:rPr>
          <w:rFonts w:eastAsia="Times New Roman"/>
          <w:i/>
          <w:iCs/>
          <w:color w:val="000000"/>
          <w:sz w:val="20"/>
          <w:szCs w:val="20"/>
        </w:rPr>
        <w:t>Revenues:</w:t>
      </w:r>
    </w:p>
    <w:p w:rsidR="00000000" w:rsidRDefault="00FF0345">
      <w:pPr>
        <w:ind w:firstLine="495"/>
        <w:divId w:val="2059936665"/>
        <w:rPr>
          <w:rFonts w:eastAsia="Times New Roman"/>
        </w:rPr>
      </w:pPr>
      <w:r>
        <w:rPr>
          <w:rFonts w:eastAsia="Times New Roman"/>
          <w:color w:val="000000"/>
          <w:sz w:val="20"/>
          <w:szCs w:val="20"/>
        </w:rPr>
        <w:t xml:space="preserve">Leasing revenue increased by $18.7 million, or 3.4%, from 2020 to 2021. The increase in leasing revenue is attributed to increases of $24.0 million from the JV Transition Centers offset in </w:t>
      </w:r>
      <w:r>
        <w:rPr>
          <w:rFonts w:eastAsia="Times New Roman"/>
          <w:color w:val="000000"/>
          <w:sz w:val="20"/>
          <w:szCs w:val="20"/>
        </w:rPr>
        <w:t>part by decreases of $2.1 million from the Same Centers and $3.2 million from the Disposition Properties. Leasing revenue includes the amortization of above and below-market leases, the amortization of straight-line rents, lease termination income, percent</w:t>
      </w:r>
      <w:r>
        <w:rPr>
          <w:rFonts w:eastAsia="Times New Roman"/>
          <w:color w:val="000000"/>
          <w:sz w:val="20"/>
          <w:szCs w:val="20"/>
        </w:rPr>
        <w:t>age rent and the provision for bad debts. The amortization of above and below-market leases increased from $1.4 million in 2020 to $1.6 million in 2021. Straight-line rents increased from $5.9 million in 2020 to $8.2 million in 2021. Lease termination inco</w:t>
      </w:r>
      <w:r>
        <w:rPr>
          <w:rFonts w:eastAsia="Times New Roman"/>
          <w:color w:val="000000"/>
          <w:sz w:val="20"/>
          <w:szCs w:val="20"/>
        </w:rPr>
        <w:t>me increased from $7.0 million in 2020 to $16.9 million in 2021. Percentage rent increased from $6.5 million in 2020 to $31.0 million in 2021. Provision for bad debts decreased from $39.2 million in 2020 to a recovery of $(4.3) million in 2021.</w:t>
      </w:r>
    </w:p>
    <w:p w:rsidR="00000000" w:rsidRDefault="00FF0345">
      <w:pPr>
        <w:ind w:firstLine="450"/>
        <w:divId w:val="1037896084"/>
        <w:rPr>
          <w:rFonts w:eastAsia="Times New Roman"/>
        </w:rPr>
      </w:pPr>
      <w:r>
        <w:rPr>
          <w:rFonts w:eastAsia="Times New Roman"/>
          <w:color w:val="000000"/>
          <w:sz w:val="20"/>
          <w:szCs w:val="20"/>
        </w:rPr>
        <w:t>Other incom</w:t>
      </w:r>
      <w:r>
        <w:rPr>
          <w:rFonts w:eastAsia="Times New Roman"/>
          <w:color w:val="000000"/>
          <w:sz w:val="20"/>
          <w:szCs w:val="20"/>
        </w:rPr>
        <w:t>e increased from $16.6 million in 2020 to $25.4 million in 2021. This increase is primarily due to increased parking garage income resulting from increased traffic at the Centers in 2021 compared to 2020 (See "Other Transactions and Events" in Management's</w:t>
      </w:r>
      <w:r>
        <w:rPr>
          <w:rFonts w:eastAsia="Times New Roman"/>
          <w:color w:val="000000"/>
          <w:sz w:val="20"/>
          <w:szCs w:val="20"/>
        </w:rPr>
        <w:t xml:space="preserve"> Overview and Summary).</w:t>
      </w:r>
    </w:p>
    <w:p w:rsidR="00000000" w:rsidRDefault="00FF0345">
      <w:pPr>
        <w:ind w:firstLine="495"/>
        <w:divId w:val="1879320282"/>
        <w:rPr>
          <w:rFonts w:eastAsia="Times New Roman"/>
        </w:rPr>
      </w:pPr>
      <w:r>
        <w:rPr>
          <w:rFonts w:eastAsia="Times New Roman"/>
          <w:color w:val="000000"/>
          <w:sz w:val="20"/>
          <w:szCs w:val="20"/>
        </w:rPr>
        <w:t>Management Companies' revenue decreased from $19.8 million in 2020 to $19.0 million in 2021 due to a decrease in management fees and development fees.</w:t>
      </w:r>
    </w:p>
    <w:p w:rsidR="00000000" w:rsidRDefault="00FF0345">
      <w:pPr>
        <w:ind w:firstLine="495"/>
        <w:divId w:val="15425271"/>
        <w:rPr>
          <w:rFonts w:eastAsia="Times New Roman"/>
        </w:rPr>
      </w:pPr>
      <w:r>
        <w:rPr>
          <w:rFonts w:eastAsia="Times New Roman"/>
          <w:i/>
          <w:iCs/>
          <w:color w:val="000000"/>
          <w:sz w:val="20"/>
          <w:szCs w:val="20"/>
        </w:rPr>
        <w:t>Shopping Center and Operating Expenses:</w:t>
      </w:r>
    </w:p>
    <w:p w:rsidR="00000000" w:rsidRDefault="00FF0345">
      <w:pPr>
        <w:ind w:firstLine="495"/>
        <w:divId w:val="1329796502"/>
        <w:rPr>
          <w:rFonts w:eastAsia="Times New Roman"/>
        </w:rPr>
      </w:pPr>
      <w:r>
        <w:rPr>
          <w:rFonts w:eastAsia="Times New Roman"/>
          <w:color w:val="000000"/>
          <w:sz w:val="20"/>
          <w:szCs w:val="20"/>
        </w:rPr>
        <w:t>Shopping center and operating expenses in</w:t>
      </w:r>
      <w:r>
        <w:rPr>
          <w:rFonts w:eastAsia="Times New Roman"/>
          <w:color w:val="000000"/>
          <w:sz w:val="20"/>
          <w:szCs w:val="20"/>
        </w:rPr>
        <w:t>creased $22.0 million, or 11.4%, from 2020 to 2021. The increase in shopping center and operating expenses is attributed to increases of $14.2 million from the JV Transition Centers and $9.7 million from the Same Centers. The increase in shopping center an</w:t>
      </w:r>
      <w:r>
        <w:rPr>
          <w:rFonts w:eastAsia="Times New Roman"/>
          <w:color w:val="000000"/>
          <w:sz w:val="20"/>
          <w:szCs w:val="20"/>
        </w:rPr>
        <w:t>d operating expenses at the Same Centers is primarily the result of some Centers being closed for all or a portion of the third quarter of 2020 (</w:t>
      </w:r>
      <w:r>
        <w:rPr>
          <w:rFonts w:eastAsia="Times New Roman"/>
          <w:color w:val="000000"/>
          <w:sz w:val="20"/>
          <w:szCs w:val="20"/>
          <w:shd w:val="clear" w:color="auto" w:fill="FFFFFF"/>
        </w:rPr>
        <w:t>See "</w:t>
      </w:r>
      <w:r>
        <w:rPr>
          <w:rFonts w:eastAsia="Times New Roman"/>
          <w:color w:val="000000"/>
          <w:sz w:val="20"/>
          <w:szCs w:val="20"/>
        </w:rPr>
        <w:t>Other Transactions and Events</w:t>
      </w:r>
      <w:r>
        <w:rPr>
          <w:rFonts w:eastAsia="Times New Roman"/>
          <w:color w:val="000000"/>
          <w:sz w:val="20"/>
          <w:szCs w:val="20"/>
          <w:shd w:val="clear" w:color="auto" w:fill="FFFFFF"/>
        </w:rPr>
        <w:t>" in Management's Overview and Summary).</w:t>
      </w:r>
      <w:r>
        <w:rPr>
          <w:rFonts w:eastAsia="Times New Roman"/>
          <w:color w:val="000000"/>
          <w:sz w:val="20"/>
          <w:szCs w:val="20"/>
        </w:rPr>
        <w:t xml:space="preserve"> </w:t>
      </w:r>
    </w:p>
    <w:p w:rsidR="00000000" w:rsidRDefault="00FF0345">
      <w:pPr>
        <w:ind w:firstLine="450"/>
        <w:divId w:val="792135885"/>
        <w:rPr>
          <w:rFonts w:eastAsia="Times New Roman"/>
        </w:rPr>
      </w:pPr>
      <w:r>
        <w:rPr>
          <w:rFonts w:eastAsia="Times New Roman"/>
          <w:i/>
          <w:iCs/>
          <w:color w:val="000000"/>
          <w:sz w:val="20"/>
          <w:szCs w:val="20"/>
        </w:rPr>
        <w:t>Leasing Expenses:</w:t>
      </w:r>
    </w:p>
    <w:p w:rsidR="00000000" w:rsidRDefault="00FF0345">
      <w:pPr>
        <w:ind w:firstLine="495"/>
        <w:divId w:val="458500860"/>
        <w:rPr>
          <w:rFonts w:eastAsia="Times New Roman"/>
        </w:rPr>
      </w:pPr>
      <w:r>
        <w:rPr>
          <w:rFonts w:eastAsia="Times New Roman"/>
          <w:color w:val="000000"/>
          <w:sz w:val="20"/>
          <w:szCs w:val="20"/>
        </w:rPr>
        <w:t xml:space="preserve">Leasing expenses </w:t>
      </w:r>
      <w:r>
        <w:rPr>
          <w:rFonts w:eastAsia="Times New Roman"/>
          <w:color w:val="000000"/>
          <w:sz w:val="20"/>
          <w:szCs w:val="20"/>
        </w:rPr>
        <w:t xml:space="preserve">decreased from $19.6 million in 2020 to $18.0 million in 2021 due to a decrease in compensation expense. </w:t>
      </w:r>
    </w:p>
    <w:p w:rsidR="00000000" w:rsidRDefault="00FF0345">
      <w:pPr>
        <w:ind w:firstLine="495"/>
        <w:divId w:val="535852105"/>
        <w:rPr>
          <w:rFonts w:eastAsia="Times New Roman"/>
        </w:rPr>
      </w:pPr>
    </w:p>
    <w:p w:rsidR="00000000" w:rsidRDefault="00FF0345">
      <w:pPr>
        <w:jc w:val="center"/>
        <w:divId w:val="980967116"/>
        <w:rPr>
          <w:rFonts w:eastAsia="Times New Roman"/>
        </w:rPr>
      </w:pPr>
    </w:p>
    <w:p w:rsidR="00000000" w:rsidRDefault="00FF0345">
      <w:pPr>
        <w:jc w:val="center"/>
        <w:divId w:val="980967116"/>
        <w:rPr>
          <w:rFonts w:eastAsia="Times New Roman"/>
        </w:rPr>
      </w:pPr>
      <w:r>
        <w:rPr>
          <w:rFonts w:eastAsia="Times New Roman"/>
          <w:color w:val="000000"/>
          <w:sz w:val="20"/>
          <w:szCs w:val="20"/>
        </w:rPr>
        <w:t>36</w:t>
      </w:r>
    </w:p>
    <w:p w:rsidR="00000000" w:rsidRDefault="00FF0345">
      <w:pPr>
        <w:rPr>
          <w:rFonts w:eastAsia="Times New Roman"/>
        </w:rPr>
      </w:pPr>
      <w:r>
        <w:rPr>
          <w:rFonts w:eastAsia="Times New Roman"/>
        </w:rPr>
        <w:pict>
          <v:rect id="_x0000_i1060" style="width:0;height:1.5pt" o:hralign="center" o:hrstd="t" o:hr="t" fillcolor="#a0a0a0" stroked="f"/>
        </w:pict>
      </w:r>
    </w:p>
    <w:p w:rsidR="00000000" w:rsidRDefault="00FF0345">
      <w:pPr>
        <w:divId w:val="1219319057"/>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firstLine="405"/>
        <w:divId w:val="1450930369"/>
        <w:rPr>
          <w:rFonts w:eastAsia="Times New Roman"/>
        </w:rPr>
      </w:pPr>
      <w:r>
        <w:rPr>
          <w:rFonts w:eastAsia="Times New Roman"/>
          <w:i/>
          <w:iCs/>
          <w:color w:val="000000"/>
          <w:sz w:val="20"/>
          <w:szCs w:val="20"/>
        </w:rPr>
        <w:t>Management Companies' Operatin</w:t>
      </w:r>
      <w:r>
        <w:rPr>
          <w:rFonts w:eastAsia="Times New Roman"/>
          <w:i/>
          <w:iCs/>
          <w:color w:val="000000"/>
          <w:sz w:val="20"/>
          <w:szCs w:val="20"/>
        </w:rPr>
        <w:t>g Expenses:</w:t>
      </w:r>
    </w:p>
    <w:p w:rsidR="00000000" w:rsidRDefault="00FF0345">
      <w:pPr>
        <w:ind w:firstLine="495"/>
        <w:divId w:val="1376537928"/>
        <w:rPr>
          <w:rFonts w:eastAsia="Times New Roman"/>
        </w:rPr>
      </w:pPr>
      <w:r>
        <w:rPr>
          <w:rFonts w:eastAsia="Times New Roman"/>
          <w:color w:val="000000"/>
          <w:sz w:val="20"/>
          <w:szCs w:val="20"/>
        </w:rPr>
        <w:t xml:space="preserve">Management Companies' operating expenses decreased $1.2 million from 2020 to 2021 due to a decrease in compensation expense. </w:t>
      </w:r>
    </w:p>
    <w:p w:rsidR="00000000" w:rsidRDefault="00FF0345">
      <w:pPr>
        <w:ind w:firstLine="405"/>
        <w:divId w:val="1377654703"/>
        <w:rPr>
          <w:rFonts w:eastAsia="Times New Roman"/>
        </w:rPr>
      </w:pPr>
      <w:r>
        <w:rPr>
          <w:rFonts w:eastAsia="Times New Roman"/>
          <w:i/>
          <w:iCs/>
          <w:color w:val="000000"/>
          <w:sz w:val="20"/>
          <w:szCs w:val="20"/>
        </w:rPr>
        <w:t>REIT General and Administrative Expenses:</w:t>
      </w:r>
    </w:p>
    <w:p w:rsidR="00000000" w:rsidRDefault="00FF0345">
      <w:pPr>
        <w:ind w:firstLine="495"/>
        <w:divId w:val="2030519667"/>
        <w:rPr>
          <w:rFonts w:eastAsia="Times New Roman"/>
        </w:rPr>
      </w:pPr>
      <w:r>
        <w:rPr>
          <w:rFonts w:eastAsia="Times New Roman"/>
          <w:color w:val="000000"/>
          <w:sz w:val="20"/>
          <w:szCs w:val="20"/>
        </w:rPr>
        <w:t>REIT general and administrative expenses decreased $0.3 million from 2020 to</w:t>
      </w:r>
      <w:r>
        <w:rPr>
          <w:rFonts w:eastAsia="Times New Roman"/>
          <w:color w:val="000000"/>
          <w:sz w:val="20"/>
          <w:szCs w:val="20"/>
        </w:rPr>
        <w:t xml:space="preserve"> 2021.</w:t>
      </w:r>
    </w:p>
    <w:p w:rsidR="00000000" w:rsidRDefault="00FF0345">
      <w:pPr>
        <w:ind w:firstLine="450"/>
        <w:divId w:val="1857110602"/>
        <w:rPr>
          <w:rFonts w:eastAsia="Times New Roman"/>
        </w:rPr>
      </w:pPr>
      <w:r>
        <w:rPr>
          <w:rFonts w:eastAsia="Times New Roman"/>
          <w:i/>
          <w:iCs/>
          <w:color w:val="000000"/>
          <w:sz w:val="20"/>
          <w:szCs w:val="20"/>
        </w:rPr>
        <w:t>Depreciation and Amortization:</w:t>
      </w:r>
    </w:p>
    <w:p w:rsidR="00000000" w:rsidRDefault="00FF0345">
      <w:pPr>
        <w:ind w:firstLine="495"/>
        <w:divId w:val="484392099"/>
        <w:rPr>
          <w:rFonts w:eastAsia="Times New Roman"/>
        </w:rPr>
      </w:pPr>
      <w:r>
        <w:rPr>
          <w:rFonts w:eastAsia="Times New Roman"/>
          <w:color w:val="000000"/>
          <w:sz w:val="20"/>
          <w:szCs w:val="20"/>
        </w:rPr>
        <w:t>Depreciation and amortization decreased $9.6 million from 2020 to 2021. The decrease in depreciation and amortization is attributed to decreases of $16.4 million from the Same Centers and $2.8 million from the Disposition Properties offset in part by an in</w:t>
      </w:r>
      <w:r>
        <w:rPr>
          <w:rFonts w:eastAsia="Times New Roman"/>
          <w:color w:val="000000"/>
          <w:sz w:val="20"/>
          <w:szCs w:val="20"/>
        </w:rPr>
        <w:t>crease of $8.9 million from the JV Transition Centers.</w:t>
      </w:r>
    </w:p>
    <w:p w:rsidR="00000000" w:rsidRDefault="00FF0345">
      <w:pPr>
        <w:ind w:firstLine="495"/>
        <w:divId w:val="1140265141"/>
        <w:rPr>
          <w:rFonts w:eastAsia="Times New Roman"/>
        </w:rPr>
      </w:pPr>
      <w:r>
        <w:rPr>
          <w:rFonts w:eastAsia="Times New Roman"/>
          <w:i/>
          <w:iCs/>
          <w:color w:val="000000"/>
          <w:sz w:val="20"/>
          <w:szCs w:val="20"/>
        </w:rPr>
        <w:t>Interest Expense:</w:t>
      </w:r>
    </w:p>
    <w:p w:rsidR="00000000" w:rsidRDefault="00FF0345">
      <w:pPr>
        <w:ind w:firstLine="495"/>
        <w:divId w:val="7485163"/>
        <w:rPr>
          <w:rFonts w:eastAsia="Times New Roman"/>
        </w:rPr>
      </w:pPr>
      <w:r>
        <w:rPr>
          <w:rFonts w:eastAsia="Times New Roman"/>
          <w:color w:val="000000"/>
          <w:sz w:val="20"/>
          <w:szCs w:val="20"/>
        </w:rPr>
        <w:t xml:space="preserve">Interest expense increased $83.9 million from 2020 to 2021. The increase in interest expense was attributed to an increase of $89.1 million from the Financing Arrangement </w:t>
      </w:r>
      <w:r>
        <w:rPr>
          <w:rFonts w:eastAsia="Times New Roman"/>
          <w:color w:val="000000"/>
          <w:sz w:val="20"/>
          <w:szCs w:val="20"/>
          <w:shd w:val="clear" w:color="auto" w:fill="FFFFFF"/>
        </w:rPr>
        <w:t>(See Note 12</w:t>
      </w:r>
      <w:r>
        <w:rPr>
          <w:rFonts w:eastAsia="Times New Roman"/>
          <w:color w:val="000000"/>
          <w:sz w:val="20"/>
          <w:szCs w:val="20"/>
          <w:shd w:val="clear" w:color="auto" w:fill="FFFFFF"/>
        </w:rPr>
        <w:t>—</w:t>
      </w:r>
      <w:r>
        <w:rPr>
          <w:rFonts w:eastAsia="Times New Roman"/>
          <w:color w:val="000000"/>
          <w:sz w:val="20"/>
          <w:szCs w:val="20"/>
        </w:rPr>
        <w:t>Financing Arrangement</w:t>
      </w:r>
      <w:r>
        <w:rPr>
          <w:rFonts w:eastAsia="Times New Roman"/>
          <w:color w:val="000000"/>
          <w:sz w:val="20"/>
          <w:szCs w:val="20"/>
          <w:shd w:val="clear" w:color="auto" w:fill="FFFFFF"/>
        </w:rPr>
        <w:t xml:space="preserve"> in the Company's Notes to the Consolidated Financial Statements) and </w:t>
      </w:r>
      <w:r>
        <w:rPr>
          <w:rFonts w:eastAsia="Times New Roman"/>
          <w:color w:val="000000"/>
          <w:sz w:val="20"/>
          <w:szCs w:val="20"/>
        </w:rPr>
        <w:t xml:space="preserve">$4.7 million from the JV Transition Centers offset in part by decreases of $5.1 million from the Same Centers and $4.8 million from the Company's revolving line of </w:t>
      </w:r>
      <w:r>
        <w:rPr>
          <w:rFonts w:eastAsia="Times New Roman"/>
          <w:color w:val="000000"/>
          <w:sz w:val="20"/>
          <w:szCs w:val="20"/>
        </w:rPr>
        <w:t>credit. The increase in interest expense from the Financing Arrangement is primarily due to the change in fair value of the underlying properties and the mortgage notes payable on the underlying properties.</w:t>
      </w:r>
    </w:p>
    <w:p w:rsidR="00000000" w:rsidRDefault="00FF0345">
      <w:pPr>
        <w:ind w:firstLine="495"/>
        <w:divId w:val="1990398207"/>
        <w:rPr>
          <w:rFonts w:eastAsia="Times New Roman"/>
        </w:rPr>
      </w:pPr>
      <w:r>
        <w:rPr>
          <w:rFonts w:eastAsia="Times New Roman"/>
          <w:i/>
          <w:iCs/>
          <w:color w:val="000000"/>
          <w:sz w:val="20"/>
          <w:szCs w:val="20"/>
        </w:rPr>
        <w:t>Equity in Income (Loss) of Unconsolidated Joint Ventures:</w:t>
      </w:r>
    </w:p>
    <w:p w:rsidR="00000000" w:rsidRDefault="00FF0345">
      <w:pPr>
        <w:ind w:firstLine="495"/>
        <w:divId w:val="517934026"/>
        <w:rPr>
          <w:rFonts w:eastAsia="Times New Roman"/>
        </w:rPr>
      </w:pPr>
      <w:r>
        <w:rPr>
          <w:rFonts w:eastAsia="Times New Roman"/>
          <w:color w:val="000000"/>
          <w:sz w:val="20"/>
          <w:szCs w:val="20"/>
          <w:shd w:val="clear" w:color="auto" w:fill="FFFFFF"/>
        </w:rPr>
        <w:t>Equity in income (loss) of unconsolidated joint ventures increased $37.2 million from 2020 to 2021</w:t>
      </w:r>
      <w:r>
        <w:rPr>
          <w:rFonts w:eastAsia="Times New Roman"/>
          <w:color w:val="000000"/>
          <w:sz w:val="20"/>
          <w:szCs w:val="20"/>
        </w:rPr>
        <w:t>. The increase in equity in income (loss) of unconsolidated joint ventures is primarily due to a dec</w:t>
      </w:r>
      <w:r>
        <w:rPr>
          <w:rFonts w:eastAsia="Times New Roman"/>
          <w:color w:val="000000"/>
          <w:sz w:val="20"/>
          <w:szCs w:val="20"/>
        </w:rPr>
        <w:t xml:space="preserve">rease in the provision for bad debts and an increase in percentage rent in 2021 compared to 2020. </w:t>
      </w:r>
    </w:p>
    <w:p w:rsidR="00000000" w:rsidRDefault="00FF0345">
      <w:pPr>
        <w:ind w:firstLine="450"/>
        <w:divId w:val="1522623956"/>
        <w:rPr>
          <w:rFonts w:eastAsia="Times New Roman"/>
        </w:rPr>
      </w:pPr>
      <w:r>
        <w:rPr>
          <w:rFonts w:eastAsia="Times New Roman"/>
          <w:i/>
          <w:iCs/>
          <w:color w:val="000000"/>
          <w:sz w:val="20"/>
          <w:szCs w:val="20"/>
        </w:rPr>
        <w:t>Gain (Loss) on Sale or Write Down of Assets, net:</w:t>
      </w:r>
    </w:p>
    <w:p w:rsidR="00000000" w:rsidRDefault="00FF0345">
      <w:pPr>
        <w:ind w:firstLine="495"/>
        <w:divId w:val="508833535"/>
        <w:rPr>
          <w:rFonts w:eastAsia="Times New Roman"/>
        </w:rPr>
      </w:pPr>
      <w:r>
        <w:rPr>
          <w:rFonts w:eastAsia="Times New Roman"/>
          <w:color w:val="000000"/>
          <w:sz w:val="20"/>
          <w:szCs w:val="20"/>
        </w:rPr>
        <w:t>Gain (Loss) on sale or write down of assets, net increased from a loss of $28.8 million in 2020 to a gain o</w:t>
      </w:r>
      <w:r>
        <w:rPr>
          <w:rFonts w:eastAsia="Times New Roman"/>
          <w:color w:val="000000"/>
          <w:sz w:val="20"/>
          <w:szCs w:val="20"/>
        </w:rPr>
        <w:t>f $93.4 million in 2021. The increase is primarily due to the $36.7 million of impairment losses on Wilton Mall and Paradise Valley Mall in 2020 and $117.2 million gain on the sale of Tucson La Encantada in 2021 offset in part by the sale and impairment lo</w:t>
      </w:r>
      <w:r>
        <w:rPr>
          <w:rFonts w:eastAsia="Times New Roman"/>
          <w:color w:val="000000"/>
          <w:sz w:val="20"/>
          <w:szCs w:val="20"/>
        </w:rPr>
        <w:t>ss of $41.6 million on Estrella Falls in 2021. The impairment losses were due to the reduction in the estimated holding periods of the properties (See "Dispositions" in Management's Overview and Summary).</w:t>
      </w:r>
    </w:p>
    <w:p w:rsidR="00000000" w:rsidRDefault="00FF0345">
      <w:pPr>
        <w:ind w:firstLine="450"/>
        <w:divId w:val="1989819503"/>
        <w:rPr>
          <w:rFonts w:eastAsia="Times New Roman"/>
        </w:rPr>
      </w:pPr>
      <w:r>
        <w:rPr>
          <w:rFonts w:eastAsia="Times New Roman"/>
          <w:i/>
          <w:iCs/>
          <w:color w:val="000000"/>
          <w:sz w:val="20"/>
          <w:szCs w:val="20"/>
          <w:shd w:val="clear" w:color="auto" w:fill="FFFFFF"/>
        </w:rPr>
        <w:t>Net Income (Loss):</w:t>
      </w:r>
    </w:p>
    <w:p w:rsidR="00000000" w:rsidRDefault="00FF0345">
      <w:pPr>
        <w:ind w:firstLine="495"/>
        <w:divId w:val="1971471156"/>
        <w:rPr>
          <w:rFonts w:eastAsia="Times New Roman"/>
        </w:rPr>
      </w:pPr>
      <w:r>
        <w:rPr>
          <w:rFonts w:eastAsia="Times New Roman"/>
          <w:color w:val="000000"/>
          <w:sz w:val="20"/>
          <w:szCs w:val="20"/>
          <w:shd w:val="clear" w:color="auto" w:fill="FFFFFF"/>
        </w:rPr>
        <w:t xml:space="preserve">Net income increased </w:t>
      </w:r>
      <w:r>
        <w:rPr>
          <w:rFonts w:eastAsia="Times New Roman"/>
          <w:color w:val="000000"/>
          <w:sz w:val="20"/>
          <w:szCs w:val="20"/>
        </w:rPr>
        <w:t>$81.8 milli</w:t>
      </w:r>
      <w:r>
        <w:rPr>
          <w:rFonts w:eastAsia="Times New Roman"/>
          <w:color w:val="000000"/>
          <w:sz w:val="20"/>
          <w:szCs w:val="20"/>
        </w:rPr>
        <w:t>on</w:t>
      </w:r>
      <w:r>
        <w:rPr>
          <w:rFonts w:eastAsia="Times New Roman"/>
          <w:color w:val="000000"/>
          <w:sz w:val="20"/>
          <w:szCs w:val="20"/>
          <w:shd w:val="clear" w:color="auto" w:fill="FFFFFF"/>
        </w:rPr>
        <w:t xml:space="preserve"> from 2020 to 2021. </w:t>
      </w:r>
      <w:r>
        <w:rPr>
          <w:rFonts w:eastAsia="Times New Roman"/>
          <w:color w:val="000000"/>
          <w:sz w:val="20"/>
          <w:szCs w:val="20"/>
        </w:rPr>
        <w:t>The increase in net income is primarily due to the variances noted above.</w:t>
      </w:r>
    </w:p>
    <w:p w:rsidR="00000000" w:rsidRDefault="00FF0345">
      <w:pPr>
        <w:ind w:firstLine="495"/>
        <w:divId w:val="1053776266"/>
        <w:rPr>
          <w:rFonts w:eastAsia="Times New Roman"/>
        </w:rPr>
      </w:pPr>
      <w:r>
        <w:rPr>
          <w:rFonts w:eastAsia="Times New Roman"/>
          <w:i/>
          <w:iCs/>
          <w:color w:val="000000"/>
          <w:sz w:val="20"/>
          <w:szCs w:val="20"/>
          <w:shd w:val="clear" w:color="auto" w:fill="FFFFFF"/>
        </w:rPr>
        <w:t>Funds From Operations ("FFO"):</w:t>
      </w:r>
    </w:p>
    <w:p w:rsidR="00000000" w:rsidRDefault="00FF0345">
      <w:pPr>
        <w:ind w:firstLine="495"/>
        <w:divId w:val="364526157"/>
        <w:rPr>
          <w:rFonts w:eastAsia="Times New Roman"/>
        </w:rPr>
      </w:pPr>
      <w:r>
        <w:rPr>
          <w:rFonts w:eastAsia="Times New Roman"/>
          <w:color w:val="000000"/>
          <w:sz w:val="20"/>
          <w:szCs w:val="20"/>
          <w:shd w:val="clear" w:color="auto" w:fill="FFFFFF"/>
        </w:rPr>
        <w:t>Primarily as a result of the factors mentioned above, FFO attributable to common stockholders and unit holders—diluted, excluding</w:t>
      </w:r>
      <w:r>
        <w:rPr>
          <w:rFonts w:eastAsia="Times New Roman"/>
          <w:color w:val="000000"/>
          <w:sz w:val="20"/>
          <w:szCs w:val="20"/>
          <w:shd w:val="clear" w:color="auto" w:fill="FFFFFF"/>
        </w:rPr>
        <w:t xml:space="preserve"> financing expense in connection with Chandler Freehold and loss on extinguishment of debt</w:t>
      </w:r>
      <w:r>
        <w:rPr>
          <w:rFonts w:eastAsia="Times New Roman"/>
          <w:color w:val="000000"/>
          <w:sz w:val="20"/>
          <w:szCs w:val="20"/>
        </w:rPr>
        <w:t xml:space="preserve"> increased 14.2% from </w:t>
      </w:r>
      <w:r>
        <w:rPr>
          <w:rFonts w:eastAsia="Times New Roman"/>
          <w:color w:val="000000"/>
          <w:sz w:val="20"/>
          <w:szCs w:val="20"/>
          <w:shd w:val="clear" w:color="auto" w:fill="FFFFFF"/>
        </w:rPr>
        <w:t>$266.6 million</w:t>
      </w:r>
      <w:r>
        <w:rPr>
          <w:rFonts w:eastAsia="Times New Roman"/>
          <w:color w:val="000000"/>
          <w:sz w:val="20"/>
          <w:szCs w:val="20"/>
        </w:rPr>
        <w:t xml:space="preserve"> in 2020 to </w:t>
      </w:r>
      <w:r>
        <w:rPr>
          <w:rFonts w:eastAsia="Times New Roman"/>
          <w:color w:val="000000"/>
          <w:sz w:val="20"/>
          <w:szCs w:val="20"/>
          <w:shd w:val="clear" w:color="auto" w:fill="FFFFFF"/>
        </w:rPr>
        <w:t>$304.5 million</w:t>
      </w:r>
      <w:r>
        <w:rPr>
          <w:rFonts w:eastAsia="Times New Roman"/>
          <w:color w:val="000000"/>
          <w:sz w:val="20"/>
          <w:szCs w:val="20"/>
        </w:rPr>
        <w:t xml:space="preserve"> in 2021. For a reconciliation of net income (loss) attributable to the Company, the most directly compa</w:t>
      </w:r>
      <w:r>
        <w:rPr>
          <w:rFonts w:eastAsia="Times New Roman"/>
          <w:color w:val="000000"/>
          <w:sz w:val="20"/>
          <w:szCs w:val="20"/>
        </w:rPr>
        <w:t xml:space="preserve">rable GAAP financial measure, to FFO attributable to common stockholders and unit holders, excluding financing expense in connection with Chandler Freehold and loss on extinguishment of debt and </w:t>
      </w:r>
      <w:r>
        <w:rPr>
          <w:rFonts w:eastAsia="Times New Roman"/>
          <w:color w:val="000000"/>
          <w:sz w:val="20"/>
          <w:szCs w:val="20"/>
          <w:shd w:val="clear" w:color="auto" w:fill="FFFFFF"/>
        </w:rPr>
        <w:t>FFO attributable to common stockholders and unit holders—dilu</w:t>
      </w:r>
      <w:r>
        <w:rPr>
          <w:rFonts w:eastAsia="Times New Roman"/>
          <w:color w:val="000000"/>
          <w:sz w:val="20"/>
          <w:szCs w:val="20"/>
          <w:shd w:val="clear" w:color="auto" w:fill="FFFFFF"/>
        </w:rPr>
        <w:t>ted, excluding financing expense in connection with Chandler Freehold and loss on extinguishment of debt</w:t>
      </w:r>
      <w:r>
        <w:rPr>
          <w:rFonts w:eastAsia="Times New Roman"/>
          <w:color w:val="000000"/>
          <w:sz w:val="20"/>
          <w:szCs w:val="20"/>
        </w:rPr>
        <w:t>, see "Funds From Operations ("FFO")" below.</w:t>
      </w:r>
    </w:p>
    <w:p w:rsidR="00000000" w:rsidRDefault="00FF0345">
      <w:pPr>
        <w:ind w:firstLine="450"/>
        <w:divId w:val="1091972354"/>
        <w:rPr>
          <w:rFonts w:eastAsia="Times New Roman"/>
        </w:rPr>
      </w:pPr>
      <w:r>
        <w:rPr>
          <w:rFonts w:eastAsia="Times New Roman"/>
          <w:i/>
          <w:iCs/>
          <w:color w:val="000000"/>
          <w:sz w:val="20"/>
          <w:szCs w:val="20"/>
        </w:rPr>
        <w:t>Operating Activities:</w:t>
      </w:r>
    </w:p>
    <w:p w:rsidR="00000000" w:rsidRDefault="00FF0345">
      <w:pPr>
        <w:ind w:firstLine="495"/>
        <w:divId w:val="833178364"/>
        <w:rPr>
          <w:rFonts w:eastAsia="Times New Roman"/>
        </w:rPr>
      </w:pPr>
      <w:r>
        <w:rPr>
          <w:rFonts w:eastAsia="Times New Roman"/>
          <w:color w:val="000000"/>
          <w:sz w:val="20"/>
          <w:szCs w:val="20"/>
        </w:rPr>
        <w:t>Cash provided by operating activities increased $146.5 million from 2020 to 2021. The</w:t>
      </w:r>
      <w:r>
        <w:rPr>
          <w:rFonts w:eastAsia="Times New Roman"/>
          <w:color w:val="000000"/>
          <w:sz w:val="20"/>
          <w:szCs w:val="20"/>
        </w:rPr>
        <w:t xml:space="preserve"> increase is primarily due to the changes in assets and liabilities and the results, as discussed above.</w:t>
      </w:r>
    </w:p>
    <w:p w:rsidR="00000000" w:rsidRDefault="00FF0345">
      <w:pPr>
        <w:ind w:firstLine="450"/>
        <w:divId w:val="1254633478"/>
        <w:rPr>
          <w:rFonts w:eastAsia="Times New Roman"/>
        </w:rPr>
      </w:pPr>
      <w:r>
        <w:rPr>
          <w:rFonts w:eastAsia="Times New Roman"/>
          <w:i/>
          <w:iCs/>
          <w:color w:val="000000"/>
          <w:sz w:val="20"/>
          <w:szCs w:val="20"/>
        </w:rPr>
        <w:t>Investing Activities:</w:t>
      </w:r>
    </w:p>
    <w:p w:rsidR="00000000" w:rsidRDefault="00FF0345">
      <w:pPr>
        <w:ind w:firstLine="495"/>
        <w:divId w:val="1783382158"/>
        <w:rPr>
          <w:rFonts w:eastAsia="Times New Roman"/>
        </w:rPr>
      </w:pPr>
      <w:r>
        <w:rPr>
          <w:rFonts w:eastAsia="Times New Roman"/>
          <w:color w:val="000000"/>
          <w:sz w:val="20"/>
          <w:szCs w:val="20"/>
        </w:rPr>
        <w:t>Cash provided by investing activities increased $378.9 million from 2020 to 2021. The increase in cash provided by investing acti</w:t>
      </w:r>
      <w:r>
        <w:rPr>
          <w:rFonts w:eastAsia="Times New Roman"/>
          <w:color w:val="000000"/>
          <w:sz w:val="20"/>
          <w:szCs w:val="20"/>
        </w:rPr>
        <w:t>vities is primarily attributed to an increase in proceeds from the sale of assets of $306.7 million, proceeds from notes receivable of $1.3 million, a decrease in contributions to unconsolidated joint ventures of $44.0 million and an increase of $42.8 mill</w:t>
      </w:r>
      <w:r>
        <w:rPr>
          <w:rFonts w:eastAsia="Times New Roman"/>
          <w:color w:val="000000"/>
          <w:sz w:val="20"/>
          <w:szCs w:val="20"/>
        </w:rPr>
        <w:t>ion in distributions from unconsolidated joint ventures.</w:t>
      </w:r>
    </w:p>
    <w:p w:rsidR="00000000" w:rsidRDefault="00FF0345">
      <w:pPr>
        <w:jc w:val="center"/>
        <w:divId w:val="342904554"/>
        <w:rPr>
          <w:rFonts w:eastAsia="Times New Roman"/>
        </w:rPr>
      </w:pPr>
    </w:p>
    <w:p w:rsidR="00000000" w:rsidRDefault="00FF0345">
      <w:pPr>
        <w:jc w:val="center"/>
        <w:divId w:val="342904554"/>
        <w:rPr>
          <w:rFonts w:eastAsia="Times New Roman"/>
        </w:rPr>
      </w:pPr>
      <w:r>
        <w:rPr>
          <w:rFonts w:eastAsia="Times New Roman"/>
          <w:color w:val="000000"/>
          <w:sz w:val="20"/>
          <w:szCs w:val="20"/>
        </w:rPr>
        <w:t>37</w:t>
      </w:r>
    </w:p>
    <w:p w:rsidR="00000000" w:rsidRDefault="00FF0345">
      <w:pPr>
        <w:rPr>
          <w:rFonts w:eastAsia="Times New Roman"/>
        </w:rPr>
      </w:pPr>
      <w:r>
        <w:rPr>
          <w:rFonts w:eastAsia="Times New Roman"/>
        </w:rPr>
        <w:pict>
          <v:rect id="_x0000_i1061" style="width:0;height:1.5pt" o:hralign="center" o:hrstd="t" o:hr="t" fillcolor="#a0a0a0" stroked="f"/>
        </w:pict>
      </w:r>
    </w:p>
    <w:p w:rsidR="00000000" w:rsidRDefault="00FF0345">
      <w:pPr>
        <w:divId w:val="1428191140"/>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firstLine="450"/>
        <w:divId w:val="287778937"/>
        <w:rPr>
          <w:rFonts w:eastAsia="Times New Roman"/>
        </w:rPr>
      </w:pPr>
      <w:r>
        <w:rPr>
          <w:rFonts w:eastAsia="Times New Roman"/>
          <w:i/>
          <w:iCs/>
          <w:color w:val="000000"/>
          <w:sz w:val="20"/>
          <w:szCs w:val="20"/>
        </w:rPr>
        <w:t>Financing Activities:</w:t>
      </w:r>
    </w:p>
    <w:p w:rsidR="00000000" w:rsidRDefault="00FF0345">
      <w:pPr>
        <w:ind w:firstLine="495"/>
        <w:divId w:val="761728885"/>
        <w:rPr>
          <w:rFonts w:eastAsia="Times New Roman"/>
        </w:rPr>
      </w:pPr>
      <w:r>
        <w:rPr>
          <w:rFonts w:eastAsia="Times New Roman"/>
          <w:color w:val="000000"/>
          <w:sz w:val="20"/>
          <w:szCs w:val="20"/>
        </w:rPr>
        <w:t>Cash provided by financing activities decreased $1.3 billion</w:t>
      </w:r>
      <w:r>
        <w:rPr>
          <w:rFonts w:eastAsia="Times New Roman"/>
          <w:color w:val="000000"/>
          <w:sz w:val="20"/>
          <w:szCs w:val="20"/>
        </w:rPr>
        <w:t xml:space="preserve"> from 2020 to 2021. The decrease in cash provided by financing activities is primarily due to decreases in proceeds from mortgages, bank and other notes payable of $165.0 million and an increase in payments on mortgages, bank and other notes payable of $2.</w:t>
      </w:r>
      <w:r>
        <w:rPr>
          <w:rFonts w:eastAsia="Times New Roman"/>
          <w:color w:val="000000"/>
          <w:sz w:val="20"/>
          <w:szCs w:val="20"/>
        </w:rPr>
        <w:t>0 billion offset in part by net proceeds from sales of common shares under the ATM Programs of $829.9 million and a decrease in dividends and distributions of $50.7 million.</w:t>
      </w:r>
    </w:p>
    <w:p w:rsidR="00000000" w:rsidRDefault="00FF0345">
      <w:pPr>
        <w:divId w:val="345252021"/>
        <w:rPr>
          <w:rFonts w:eastAsia="Times New Roman"/>
        </w:rPr>
      </w:pPr>
      <w:r>
        <w:rPr>
          <w:rFonts w:eastAsia="Times New Roman"/>
          <w:b/>
          <w:bCs/>
          <w:color w:val="000000"/>
          <w:sz w:val="20"/>
          <w:szCs w:val="20"/>
        </w:rPr>
        <w:t>Liquidity and Capital Resources</w:t>
      </w:r>
    </w:p>
    <w:p w:rsidR="00000000" w:rsidRDefault="00FF0345">
      <w:pPr>
        <w:ind w:firstLine="495"/>
        <w:divId w:val="1489052443"/>
        <w:rPr>
          <w:rFonts w:eastAsia="Times New Roman"/>
        </w:rPr>
      </w:pPr>
      <w:r>
        <w:rPr>
          <w:rFonts w:eastAsia="Times New Roman"/>
          <w:color w:val="000000"/>
          <w:sz w:val="20"/>
          <w:szCs w:val="20"/>
        </w:rPr>
        <w:t>The Company has historically met its liquidity needs for its operating expenses, debt service and dividend requirements for the next twelve months through cash generated from operations, distributions from unconsolidated joint ventures, working capital res</w:t>
      </w:r>
      <w:r>
        <w:rPr>
          <w:rFonts w:eastAsia="Times New Roman"/>
          <w:color w:val="000000"/>
          <w:sz w:val="20"/>
          <w:szCs w:val="20"/>
        </w:rPr>
        <w:t>erves and/or borrowings under its line of credit. Following the uncertain environment brought about by COVID-19, the Company took a number of previously disclosed measures to enhance its liquidity position over the short-term, but currently anticipates mee</w:t>
      </w:r>
      <w:r>
        <w:rPr>
          <w:rFonts w:eastAsia="Times New Roman"/>
          <w:color w:val="000000"/>
          <w:sz w:val="20"/>
          <w:szCs w:val="20"/>
        </w:rPr>
        <w:t>ting its liquidity needs as it has done historically.</w:t>
      </w:r>
    </w:p>
    <w:p w:rsidR="00000000" w:rsidRDefault="00FF0345">
      <w:pPr>
        <w:ind w:firstLine="495"/>
        <w:divId w:val="1425609025"/>
        <w:rPr>
          <w:rFonts w:eastAsia="Times New Roman"/>
        </w:rPr>
      </w:pPr>
    </w:p>
    <w:p w:rsidR="00000000" w:rsidRDefault="00FF0345">
      <w:pPr>
        <w:ind w:firstLine="495"/>
        <w:divId w:val="165101693"/>
        <w:rPr>
          <w:rFonts w:eastAsia="Times New Roman"/>
        </w:rPr>
      </w:pPr>
      <w:r>
        <w:rPr>
          <w:rFonts w:eastAsia="Times New Roman"/>
          <w:color w:val="000000"/>
          <w:sz w:val="20"/>
          <w:szCs w:val="20"/>
        </w:rPr>
        <w:t xml:space="preserve">The following tables summarize capital expenditures incurred at the Centers (at the Company's pro rata share): </w:t>
      </w:r>
    </w:p>
    <w:tbl>
      <w:tblPr>
        <w:tblW w:w="3852" w:type="pct"/>
        <w:tblCellMar>
          <w:top w:w="15" w:type="dxa"/>
          <w:left w:w="15" w:type="dxa"/>
          <w:bottom w:w="15" w:type="dxa"/>
          <w:right w:w="15" w:type="dxa"/>
        </w:tblCellMar>
        <w:tblLook w:val="04A0" w:firstRow="1" w:lastRow="0" w:firstColumn="1" w:lastColumn="0" w:noHBand="0" w:noVBand="1"/>
      </w:tblPr>
      <w:tblGrid>
        <w:gridCol w:w="39"/>
        <w:gridCol w:w="4465"/>
        <w:gridCol w:w="38"/>
        <w:gridCol w:w="120"/>
        <w:gridCol w:w="739"/>
        <w:gridCol w:w="36"/>
        <w:gridCol w:w="36"/>
        <w:gridCol w:w="36"/>
        <w:gridCol w:w="36"/>
        <w:gridCol w:w="120"/>
        <w:gridCol w:w="698"/>
        <w:gridCol w:w="36"/>
      </w:tblGrid>
      <w:tr w:rsidR="00000000">
        <w:trPr>
          <w:divId w:val="938566812"/>
        </w:trPr>
        <w:tc>
          <w:tcPr>
            <w:tcW w:w="50" w:type="pct"/>
            <w:vAlign w:val="center"/>
            <w:hideMark/>
          </w:tcPr>
          <w:p w:rsidR="00000000" w:rsidRDefault="00FF0345">
            <w:pPr>
              <w:ind w:firstLine="495"/>
              <w:rPr>
                <w:rFonts w:eastAsia="Times New Roman"/>
              </w:rPr>
            </w:pPr>
          </w:p>
        </w:tc>
        <w:tc>
          <w:tcPr>
            <w:tcW w:w="355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1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3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1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938566812"/>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938566812"/>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938566812"/>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i/>
                <w:iCs/>
                <w:color w:val="000000"/>
                <w:sz w:val="20"/>
                <w:szCs w:val="20"/>
              </w:rPr>
              <w:t>Consolidated Centers: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938566812"/>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13,092 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8,852 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34,678 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28,120 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13,445 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8,182 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1,956 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2,162 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63,171 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47,316 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i/>
                <w:iCs/>
                <w:color w:val="000000"/>
                <w:sz w:val="20"/>
                <w:szCs w:val="20"/>
              </w:rPr>
              <w:t>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 </w:t>
            </w:r>
          </w:p>
        </w:tc>
      </w:tr>
      <w:tr w:rsidR="00000000">
        <w:trPr>
          <w:divId w:val="938566812"/>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Acquisitions of property, building improvement and equipment</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7,408 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5,866 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Development, redevelopment, expansions and renovations of Centers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41,783 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86,505 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Tenant allowances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6,916 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1,992 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Deferred leasing charges</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2,065 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1,245 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938566812"/>
        </w:trPr>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58,172 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95,608 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1593973070"/>
        <w:rPr>
          <w:rFonts w:eastAsia="Times New Roman"/>
        </w:rPr>
      </w:pPr>
    </w:p>
    <w:p w:rsidR="00000000" w:rsidRDefault="00FF0345">
      <w:pPr>
        <w:ind w:firstLine="495"/>
        <w:divId w:val="1263100379"/>
        <w:rPr>
          <w:rFonts w:eastAsia="Times New Roman"/>
        </w:rPr>
      </w:pPr>
      <w:r>
        <w:rPr>
          <w:rFonts w:eastAsia="Times New Roman"/>
          <w:color w:val="000000"/>
          <w:sz w:val="20"/>
          <w:szCs w:val="20"/>
        </w:rPr>
        <w:t>The Company expects amounts to be incurred during the next twelve months for tenant allowances and deferred leasing charges to be less than or comparable to 2021</w:t>
      </w:r>
      <w:r>
        <w:rPr>
          <w:rFonts w:eastAsia="Times New Roman"/>
          <w:color w:val="000000"/>
          <w:sz w:val="20"/>
          <w:szCs w:val="20"/>
          <w:shd w:val="clear" w:color="auto" w:fill="FFFFFF"/>
        </w:rPr>
        <w:t>. The Company expects to incur less than</w:t>
      </w:r>
      <w:r>
        <w:rPr>
          <w:rFonts w:eastAsia="Times New Roman"/>
          <w:color w:val="000000"/>
          <w:sz w:val="20"/>
          <w:szCs w:val="20"/>
        </w:rPr>
        <w:t xml:space="preserve"> $20.0 million</w:t>
      </w:r>
      <w:r>
        <w:rPr>
          <w:rFonts w:eastAsia="Times New Roman"/>
          <w:color w:val="000000"/>
          <w:sz w:val="20"/>
          <w:szCs w:val="20"/>
          <w:shd w:val="clear" w:color="auto" w:fill="FFFFFF"/>
        </w:rPr>
        <w:t xml:space="preserve"> during the remaining period of 2021 for </w:t>
      </w:r>
      <w:r>
        <w:rPr>
          <w:rFonts w:eastAsia="Times New Roman"/>
          <w:color w:val="000000"/>
          <w:sz w:val="20"/>
          <w:szCs w:val="20"/>
          <w:shd w:val="clear" w:color="auto" w:fill="FFFFFF"/>
        </w:rPr>
        <w:t xml:space="preserve">development, redevelopment, expansion and renovations. This excludes the Company's share </w:t>
      </w:r>
      <w:r>
        <w:rPr>
          <w:rFonts w:eastAsia="Times New Roman"/>
          <w:color w:val="000000"/>
          <w:sz w:val="20"/>
          <w:szCs w:val="20"/>
        </w:rPr>
        <w:t xml:space="preserve">of the remaining development costs associated with One Westside, which is fully funded by a non-recourse construction facility. </w:t>
      </w:r>
      <w:r>
        <w:rPr>
          <w:rFonts w:eastAsia="Times New Roman"/>
          <w:color w:val="000000"/>
          <w:sz w:val="20"/>
          <w:szCs w:val="20"/>
          <w:shd w:val="clear" w:color="auto" w:fill="FFFFFF"/>
        </w:rPr>
        <w:t>Capital for these expenditures, develop</w:t>
      </w:r>
      <w:r>
        <w:rPr>
          <w:rFonts w:eastAsia="Times New Roman"/>
          <w:color w:val="000000"/>
          <w:sz w:val="20"/>
          <w:szCs w:val="20"/>
          <w:shd w:val="clear" w:color="auto" w:fill="FFFFFF"/>
        </w:rPr>
        <w:t xml:space="preserve">ments and/or redevelopments has been, and </w:t>
      </w:r>
      <w:r>
        <w:rPr>
          <w:rFonts w:eastAsia="Times New Roman"/>
          <w:color w:val="000000"/>
          <w:sz w:val="20"/>
          <w:szCs w:val="20"/>
        </w:rPr>
        <w:t>is expected to continue to be, obtained from a combination of cash on hand, debt financings, which are expected to include borrowings under the Company's line of credit, from property financings and construction lo</w:t>
      </w:r>
      <w:r>
        <w:rPr>
          <w:rFonts w:eastAsia="Times New Roman"/>
          <w:color w:val="000000"/>
          <w:sz w:val="20"/>
          <w:szCs w:val="20"/>
        </w:rPr>
        <w:t>ans, each to the extent available.</w:t>
      </w:r>
    </w:p>
    <w:p w:rsidR="00000000" w:rsidRDefault="00FF0345">
      <w:pPr>
        <w:ind w:firstLine="495"/>
        <w:divId w:val="628517758"/>
        <w:rPr>
          <w:rFonts w:eastAsia="Times New Roman"/>
        </w:rPr>
      </w:pPr>
      <w:r>
        <w:rPr>
          <w:rFonts w:eastAsia="Times New Roman"/>
          <w:color w:val="000000"/>
          <w:sz w:val="20"/>
          <w:szCs w:val="20"/>
        </w:rPr>
        <w:t>The Company has also generated liquidity in the past, and may continue to do so in the future, through equity offerings and issuances, property refinancings, joint venture transactions and the sale of non-core assets. Fur</w:t>
      </w:r>
      <w:r>
        <w:rPr>
          <w:rFonts w:eastAsia="Times New Roman"/>
          <w:color w:val="000000"/>
          <w:sz w:val="20"/>
          <w:szCs w:val="20"/>
        </w:rPr>
        <w:t xml:space="preserve">thermore, the Company has filed a shelf registration statement, which registered an unspecified amount of common stock, preferred stock, depositary shares, debt securities, warrants, rights, stock purchase contracts and units that may be sold from time to </w:t>
      </w:r>
      <w:r>
        <w:rPr>
          <w:rFonts w:eastAsia="Times New Roman"/>
          <w:color w:val="000000"/>
          <w:sz w:val="20"/>
          <w:szCs w:val="20"/>
        </w:rPr>
        <w:t>time by the Company.</w:t>
      </w:r>
    </w:p>
    <w:p w:rsidR="00000000" w:rsidRDefault="00FF0345">
      <w:pPr>
        <w:ind w:firstLine="495"/>
        <w:divId w:val="1980960155"/>
        <w:rPr>
          <w:rFonts w:eastAsia="Times New Roman"/>
        </w:rPr>
      </w:pPr>
      <w:r>
        <w:rPr>
          <w:rFonts w:eastAsia="Times New Roman"/>
          <w:color w:val="000000"/>
          <w:sz w:val="20"/>
          <w:szCs w:val="20"/>
        </w:rPr>
        <w:t>On each of February 1, 2021 and March 26, 2021, the Company registered a separate "at the market" offering program, pursuant to which the Company may issue and sell shares of its common stock having an aggregate offering price of up to</w:t>
      </w:r>
      <w:r>
        <w:rPr>
          <w:rFonts w:eastAsia="Times New Roman"/>
          <w:color w:val="000000"/>
          <w:sz w:val="20"/>
          <w:szCs w:val="20"/>
        </w:rPr>
        <w:t xml:space="preserve"> $500 million under each ATM Program, or a total of $1.0 billion under the ATM Programs, in amounts and at times to be determined by the Company. The following table sets forth certain information with respect to issuances made under each of the ATM Progra</w:t>
      </w:r>
      <w:r>
        <w:rPr>
          <w:rFonts w:eastAsia="Times New Roman"/>
          <w:color w:val="000000"/>
          <w:sz w:val="20"/>
          <w:szCs w:val="20"/>
        </w:rPr>
        <w:t>ms as of September 30, 2021.</w:t>
      </w:r>
    </w:p>
    <w:p w:rsidR="00000000" w:rsidRDefault="00FF0345">
      <w:pPr>
        <w:jc w:val="center"/>
        <w:divId w:val="1899784431"/>
        <w:rPr>
          <w:rFonts w:eastAsia="Times New Roman"/>
        </w:rPr>
      </w:pPr>
    </w:p>
    <w:p w:rsidR="00000000" w:rsidRDefault="00FF0345">
      <w:pPr>
        <w:jc w:val="center"/>
        <w:divId w:val="1899784431"/>
        <w:rPr>
          <w:rFonts w:eastAsia="Times New Roman"/>
        </w:rPr>
      </w:pPr>
      <w:r>
        <w:rPr>
          <w:rFonts w:eastAsia="Times New Roman"/>
          <w:color w:val="000000"/>
          <w:sz w:val="20"/>
          <w:szCs w:val="20"/>
        </w:rPr>
        <w:t>38</w:t>
      </w:r>
    </w:p>
    <w:p w:rsidR="00000000" w:rsidRDefault="00FF0345">
      <w:pPr>
        <w:rPr>
          <w:rFonts w:eastAsia="Times New Roman"/>
        </w:rPr>
      </w:pPr>
      <w:r>
        <w:rPr>
          <w:rFonts w:eastAsia="Times New Roman"/>
        </w:rPr>
        <w:pict>
          <v:rect id="_x0000_i1062" style="width:0;height:1.5pt" o:hralign="center" o:hrstd="t" o:hr="t" fillcolor="#a0a0a0" stroked="f"/>
        </w:pict>
      </w:r>
    </w:p>
    <w:p w:rsidR="00000000" w:rsidRDefault="00FF0345">
      <w:pPr>
        <w:divId w:val="573515753"/>
        <w:rPr>
          <w:rFonts w:eastAsia="Times New Roman"/>
        </w:rPr>
      </w:pPr>
      <w:hyperlink w:anchor="ib8d126c41a1f444e81d08813b3ab1f3c_7" w:history="1">
        <w:r>
          <w:rPr>
            <w:rStyle w:val="a3"/>
            <w:rFonts w:eastAsia="Times New Roman"/>
            <w:sz w:val="16"/>
            <w:szCs w:val="16"/>
          </w:rPr>
          <w:t>Table of Contents</w:t>
        </w:r>
      </w:hyperlink>
    </w:p>
    <w:tbl>
      <w:tblPr>
        <w:tblW w:w="4824" w:type="pct"/>
        <w:tblCellMar>
          <w:top w:w="15" w:type="dxa"/>
          <w:left w:w="15" w:type="dxa"/>
          <w:bottom w:w="15" w:type="dxa"/>
          <w:right w:w="15" w:type="dxa"/>
        </w:tblCellMar>
        <w:tblLook w:val="04A0" w:firstRow="1" w:lastRow="0" w:firstColumn="1" w:lastColumn="0" w:noHBand="0" w:noVBand="1"/>
      </w:tblPr>
      <w:tblGrid>
        <w:gridCol w:w="38"/>
        <w:gridCol w:w="2311"/>
        <w:gridCol w:w="37"/>
        <w:gridCol w:w="55"/>
        <w:gridCol w:w="752"/>
        <w:gridCol w:w="36"/>
        <w:gridCol w:w="120"/>
        <w:gridCol w:w="782"/>
        <w:gridCol w:w="36"/>
        <w:gridCol w:w="121"/>
        <w:gridCol w:w="856"/>
        <w:gridCol w:w="36"/>
        <w:gridCol w:w="36"/>
        <w:gridCol w:w="36"/>
        <w:gridCol w:w="36"/>
        <w:gridCol w:w="56"/>
        <w:gridCol w:w="709"/>
        <w:gridCol w:w="36"/>
        <w:gridCol w:w="120"/>
        <w:gridCol w:w="758"/>
        <w:gridCol w:w="36"/>
        <w:gridCol w:w="121"/>
        <w:gridCol w:w="854"/>
        <w:gridCol w:w="36"/>
      </w:tblGrid>
      <w:tr w:rsidR="00000000">
        <w:trPr>
          <w:divId w:val="1591383"/>
        </w:trPr>
        <w:tc>
          <w:tcPr>
            <w:tcW w:w="50" w:type="pct"/>
            <w:vAlign w:val="center"/>
            <w:hideMark/>
          </w:tcPr>
          <w:p w:rsidR="00000000" w:rsidRDefault="00FF0345">
            <w:pPr>
              <w:rPr>
                <w:rFonts w:eastAsia="Times New Roman"/>
              </w:rPr>
            </w:pPr>
          </w:p>
        </w:tc>
        <w:tc>
          <w:tcPr>
            <w:tcW w:w="148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2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2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2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0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591383"/>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(Dollars and shares in thousands)</w:t>
            </w: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February 2021 ATM Program</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March 2021 ATM Program</w:t>
            </w:r>
          </w:p>
        </w:tc>
      </w:tr>
      <w:tr w:rsidR="00000000">
        <w:trPr>
          <w:divId w:val="1591383"/>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For the Three Months Ended:</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Sales Commissions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Number of Shares Issued</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Net Proceeds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Sales Commissions</w:t>
            </w:r>
          </w:p>
        </w:tc>
      </w:tr>
      <w:tr w:rsidR="00000000">
        <w:trPr>
          <w:divId w:val="159138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477,283 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9,991 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119,724 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9138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June 30, 2021</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686 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12,269 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13,229 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182,149 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3,719 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91383"/>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September 30, 2021</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2,122 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38,449 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591383"/>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36,687 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489,552 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25,342 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340,322 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6,955 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firstLine="495"/>
        <w:divId w:val="1477260816"/>
        <w:rPr>
          <w:rFonts w:eastAsia="Times New Roman"/>
        </w:rPr>
      </w:pPr>
      <w:r>
        <w:rPr>
          <w:rFonts w:eastAsia="Times New Roman"/>
          <w:color w:val="000000"/>
          <w:sz w:val="20"/>
          <w:szCs w:val="20"/>
        </w:rPr>
        <w:t xml:space="preserve">As of September 30, 2021, the Company had approximately $152.1 million of gross sales of its common stock available under the March 2021 ATM Program. The February </w:t>
      </w:r>
      <w:r>
        <w:rPr>
          <w:rFonts w:eastAsia="Times New Roman"/>
          <w:color w:val="000000"/>
          <w:sz w:val="20"/>
          <w:szCs w:val="20"/>
        </w:rPr>
        <w:t>2021 ATM Program was fully utilized as of June 30, 2021 and is no longer active.</w:t>
      </w:r>
    </w:p>
    <w:p w:rsidR="00000000" w:rsidRDefault="00FF0345">
      <w:pPr>
        <w:ind w:firstLine="495"/>
        <w:divId w:val="286280154"/>
        <w:rPr>
          <w:rFonts w:eastAsia="Times New Roman"/>
        </w:rPr>
      </w:pPr>
      <w:r>
        <w:rPr>
          <w:rFonts w:eastAsia="Times New Roman"/>
          <w:color w:val="000000"/>
          <w:sz w:val="20"/>
          <w:szCs w:val="20"/>
        </w:rPr>
        <w:t>The capital and credit markets can fluctuate and, at times, limit access to debt and equity financing for companies. The Company has been able to access capital; however, ther</w:t>
      </w:r>
      <w:r>
        <w:rPr>
          <w:rFonts w:eastAsia="Times New Roman"/>
          <w:color w:val="000000"/>
          <w:sz w:val="20"/>
          <w:szCs w:val="20"/>
        </w:rPr>
        <w:t xml:space="preserve">e is no assurance the Company will be able to do so in future periods or on similar terms and conditions as a result of COVID-19 or other factors. Many factors impact the Company's ability to access capital, such as its overall debt level, interest rates, </w:t>
      </w:r>
      <w:r>
        <w:rPr>
          <w:rFonts w:eastAsia="Times New Roman"/>
          <w:color w:val="000000"/>
          <w:sz w:val="20"/>
          <w:szCs w:val="20"/>
        </w:rPr>
        <w:t>interest coverage ratios and prevailing market conditions. Increases in the Company's proportion of floating rate debt will cause it to be subject to interest rate fluctuations in the future.</w:t>
      </w:r>
    </w:p>
    <w:p w:rsidR="00000000" w:rsidRDefault="00FF0345">
      <w:pPr>
        <w:ind w:firstLine="495"/>
        <w:divId w:val="1371808566"/>
        <w:rPr>
          <w:rFonts w:eastAsia="Times New Roman"/>
        </w:rPr>
      </w:pPr>
      <w:r>
        <w:rPr>
          <w:rFonts w:eastAsia="Times New Roman"/>
          <w:color w:val="000000"/>
          <w:sz w:val="20"/>
          <w:szCs w:val="20"/>
        </w:rPr>
        <w:t>The Company's total outstanding loan indebtedness, which include</w:t>
      </w:r>
      <w:r>
        <w:rPr>
          <w:rFonts w:eastAsia="Times New Roman"/>
          <w:color w:val="000000"/>
          <w:sz w:val="20"/>
          <w:szCs w:val="20"/>
        </w:rPr>
        <w:t>s mortgages and other notes payable, at September 30, 2021 was $7.2 billion (consisting of $4.5 billion of consolidated debt, less $456.8 million of noncontrolling interests, plus $3.1 billion of its pro rata share of unconsolidated joint venture debt). Th</w:t>
      </w:r>
      <w:r>
        <w:rPr>
          <w:rFonts w:eastAsia="Times New Roman"/>
          <w:color w:val="000000"/>
          <w:sz w:val="20"/>
          <w:szCs w:val="20"/>
        </w:rPr>
        <w:t>e majority of the Company's debt consists of fixed-rate conventional mortgage notes collateralized by individual properties. The Company expects that all of the maturities during the next twelve months will be refinanced, restructured, extended and/or paid</w:t>
      </w:r>
      <w:r>
        <w:rPr>
          <w:rFonts w:eastAsia="Times New Roman"/>
          <w:color w:val="000000"/>
          <w:sz w:val="20"/>
          <w:szCs w:val="20"/>
        </w:rPr>
        <w:t xml:space="preserve"> off from the Company's line of credit or cash on hand.</w:t>
      </w:r>
    </w:p>
    <w:p w:rsidR="00000000" w:rsidRDefault="00FF0345">
      <w:pPr>
        <w:ind w:firstLine="495"/>
        <w:divId w:val="1678922736"/>
        <w:rPr>
          <w:rFonts w:eastAsia="Times New Roman"/>
        </w:rPr>
      </w:pPr>
      <w:r>
        <w:rPr>
          <w:rFonts w:eastAsia="Times New Roman"/>
          <w:color w:val="000000"/>
          <w:sz w:val="20"/>
          <w:szCs w:val="20"/>
        </w:rPr>
        <w:t>Given the continued disruption and uncertainties from COVID-19 and the related impacts on the capital markets, the Company has secured extensions of term from one to three years of its near-term maturing non-recourse mortgage loans totaling an aggregate of</w:t>
      </w:r>
      <w:r>
        <w:rPr>
          <w:rFonts w:eastAsia="Times New Roman"/>
          <w:color w:val="000000"/>
          <w:sz w:val="20"/>
          <w:szCs w:val="20"/>
        </w:rPr>
        <w:t xml:space="preserve"> approximately $950 million on Danbury Fair Mall, The Shops at Atlas Park, Fashion Outlets of Niagara, FlatIron Crossing, Green Acres Mall and Green Acres Commons. On October 26, 2021, the Company’s joint venture closed a $65 million, five-year loan, inclu</w:t>
      </w:r>
      <w:r>
        <w:rPr>
          <w:rFonts w:eastAsia="Times New Roman"/>
          <w:color w:val="000000"/>
          <w:sz w:val="20"/>
          <w:szCs w:val="20"/>
        </w:rPr>
        <w:t>ding extension options, that bears interest at LIBOR plus 4.15% to refinance The Shops at Atlas Park, which replaced a $67.5 million loan on the property. The Company’s joint venture in FlatIron Crossing is currently negotiating a commitment for a new five</w:t>
      </w:r>
      <w:r>
        <w:rPr>
          <w:rFonts w:eastAsia="Times New Roman"/>
          <w:color w:val="000000"/>
          <w:sz w:val="20"/>
          <w:szCs w:val="20"/>
        </w:rPr>
        <w:t xml:space="preserve">-year $200 million loan to replace the existing $198.2 million loan on the property (See “Financing Activities” in Management’s Overview and Summary). </w:t>
      </w:r>
    </w:p>
    <w:p w:rsidR="00000000" w:rsidRDefault="00FF0345">
      <w:pPr>
        <w:ind w:firstLine="495"/>
        <w:divId w:val="1007900718"/>
        <w:rPr>
          <w:rFonts w:eastAsia="Times New Roman"/>
        </w:rPr>
      </w:pPr>
      <w:r>
        <w:rPr>
          <w:rFonts w:eastAsia="Times New Roman"/>
          <w:color w:val="000000"/>
          <w:sz w:val="20"/>
          <w:szCs w:val="20"/>
        </w:rPr>
        <w:t>The Company believes that the pro rata debt provides useful information to investors regarding its finan</w:t>
      </w:r>
      <w:r>
        <w:rPr>
          <w:rFonts w:eastAsia="Times New Roman"/>
          <w:color w:val="000000"/>
          <w:sz w:val="20"/>
          <w:szCs w:val="20"/>
        </w:rPr>
        <w:t>cial condition because it includes the Company’s share of debt from unconsolidated joint ventures and, for consolidated debt, excludes the Company’s partners’ share from consolidated joint ventures, in each case presented on the same basis. The Company has</w:t>
      </w:r>
      <w:r>
        <w:rPr>
          <w:rFonts w:eastAsia="Times New Roman"/>
          <w:color w:val="000000"/>
          <w:sz w:val="20"/>
          <w:szCs w:val="20"/>
        </w:rPr>
        <w:t xml:space="preserve"> several significant joint ventures and presenting its pro rata share of debt in this manner can help investors better understand the Company’s financial condition after taking into account the Company's economic interest in these joint ventures. The Compa</w:t>
      </w:r>
      <w:r>
        <w:rPr>
          <w:rFonts w:eastAsia="Times New Roman"/>
          <w:color w:val="000000"/>
          <w:sz w:val="20"/>
          <w:szCs w:val="20"/>
        </w:rPr>
        <w:t>ny’s pro rata share of debt should not be considered as a substitute for the Company’s total consolidated debt determined in accordance with GAAP or any other GAAP financial measures and should only be considered together with and as a supplement to the Co</w:t>
      </w:r>
      <w:r>
        <w:rPr>
          <w:rFonts w:eastAsia="Times New Roman"/>
          <w:color w:val="000000"/>
          <w:sz w:val="20"/>
          <w:szCs w:val="20"/>
        </w:rPr>
        <w:t>mpany’s financial information prepared in accordance with GAAP.</w:t>
      </w:r>
    </w:p>
    <w:p w:rsidR="00000000" w:rsidRDefault="00FF0345">
      <w:pPr>
        <w:ind w:firstLine="495"/>
        <w:divId w:val="232006284"/>
        <w:rPr>
          <w:rFonts w:eastAsia="Times New Roman"/>
        </w:rPr>
      </w:pPr>
      <w:r>
        <w:rPr>
          <w:rFonts w:eastAsia="Times New Roman"/>
          <w:color w:val="000000"/>
          <w:sz w:val="20"/>
          <w:szCs w:val="20"/>
        </w:rPr>
        <w:t>On March 29, 2021, the Company sold Paradise Valley Mall to a newly formed joint venture for $100 million. Concurrent with the sale, the Company elected to reinvest into the joint venture at a</w:t>
      </w:r>
      <w:r>
        <w:rPr>
          <w:rFonts w:eastAsia="Times New Roman"/>
          <w:color w:val="000000"/>
          <w:sz w:val="20"/>
          <w:szCs w:val="20"/>
        </w:rPr>
        <w:t xml:space="preserve"> 5% ownership interest. The Company received $95.3 million of net proceeds. On September 17, 2021, the Company sold Tucson La Encantada in Tucson, Arizona for $165.3 million. The Company received $100.1 million of net cash proceeds which was used to repay </w:t>
      </w:r>
      <w:r>
        <w:rPr>
          <w:rFonts w:eastAsia="Times New Roman"/>
          <w:color w:val="000000"/>
          <w:sz w:val="20"/>
          <w:szCs w:val="20"/>
        </w:rPr>
        <w:t>debt (See “Dispositions” in Management’s Overview and Summary).</w:t>
      </w:r>
    </w:p>
    <w:p w:rsidR="00000000" w:rsidRDefault="00FF0345">
      <w:pPr>
        <w:ind w:firstLine="495"/>
        <w:divId w:val="1821968531"/>
        <w:rPr>
          <w:rFonts w:eastAsia="Times New Roman"/>
        </w:rPr>
      </w:pPr>
      <w:r>
        <w:rPr>
          <w:rFonts w:eastAsia="Times New Roman"/>
          <w:color w:val="000000"/>
          <w:sz w:val="20"/>
          <w:szCs w:val="20"/>
        </w:rPr>
        <w:t xml:space="preserve">On April 14, 2021, the Company terminated its existing credit facility and entered into a new credit agreement, which provides for an aggregate $700 million facility, including a $525 million </w:t>
      </w:r>
      <w:r>
        <w:rPr>
          <w:rFonts w:eastAsia="Times New Roman"/>
          <w:color w:val="000000"/>
          <w:sz w:val="20"/>
          <w:szCs w:val="20"/>
        </w:rPr>
        <w:t>revolving loan facility that matures on April 14, 2023, with a one-year extension option, and a $175 million term loan facility that matures on April 14, 2024. The revolving loan facility can be expanded up to $800 million, subject to receipt of lender com</w:t>
      </w:r>
      <w:r>
        <w:rPr>
          <w:rFonts w:eastAsia="Times New Roman"/>
          <w:color w:val="000000"/>
          <w:sz w:val="20"/>
          <w:szCs w:val="20"/>
        </w:rPr>
        <w:t>mitments and other conditions. All obligations under the facility are guaranteed unconditionally by the Company and are secured in the form of mortgages on certain wholly-owned assets and pledges of equity interests held by certain of the Company’s subsidi</w:t>
      </w:r>
      <w:r>
        <w:rPr>
          <w:rFonts w:eastAsia="Times New Roman"/>
          <w:color w:val="000000"/>
          <w:sz w:val="20"/>
          <w:szCs w:val="20"/>
        </w:rPr>
        <w:t>aries. The new credit facility bears interest at LIBOR plus a spread of 2.25% to 3.25% depending on Company’s overall leverage level. As of September 30, 2021, the borrowing rate was LIBOR plus 2.25%. As of September 30, 2021, borrowings under the facility</w:t>
      </w:r>
      <w:r>
        <w:rPr>
          <w:rFonts w:eastAsia="Times New Roman"/>
          <w:color w:val="000000"/>
          <w:sz w:val="20"/>
          <w:szCs w:val="20"/>
        </w:rPr>
        <w:t xml:space="preserve"> were $130 million less unamortized deferred finance costs of $15.7 million for the revolving loan facility at a total interest rate of 3.69%. As of September 30, 2021, the Company's availability under the revolving loan facility for additional borrowings </w:t>
      </w:r>
      <w:r>
        <w:rPr>
          <w:rFonts w:eastAsia="Times New Roman"/>
          <w:color w:val="000000"/>
          <w:sz w:val="20"/>
          <w:szCs w:val="20"/>
        </w:rPr>
        <w:t xml:space="preserve">was $394.7 million. </w:t>
      </w:r>
    </w:p>
    <w:p w:rsidR="00000000" w:rsidRDefault="00FF0345">
      <w:pPr>
        <w:jc w:val="center"/>
        <w:divId w:val="62874078"/>
        <w:rPr>
          <w:rFonts w:eastAsia="Times New Roman"/>
        </w:rPr>
      </w:pPr>
    </w:p>
    <w:p w:rsidR="00000000" w:rsidRDefault="00FF0345">
      <w:pPr>
        <w:jc w:val="center"/>
        <w:divId w:val="62874078"/>
        <w:rPr>
          <w:rFonts w:eastAsia="Times New Roman"/>
        </w:rPr>
      </w:pPr>
      <w:r>
        <w:rPr>
          <w:rFonts w:eastAsia="Times New Roman"/>
          <w:color w:val="000000"/>
          <w:sz w:val="20"/>
          <w:szCs w:val="20"/>
        </w:rPr>
        <w:t>39</w:t>
      </w:r>
    </w:p>
    <w:p w:rsidR="00000000" w:rsidRDefault="00FF0345">
      <w:pPr>
        <w:rPr>
          <w:rFonts w:eastAsia="Times New Roman"/>
        </w:rPr>
      </w:pPr>
      <w:r>
        <w:rPr>
          <w:rFonts w:eastAsia="Times New Roman"/>
        </w:rPr>
        <w:pict>
          <v:rect id="_x0000_i1063" style="width:0;height:1.5pt" o:hralign="center" o:hrstd="t" o:hr="t" fillcolor="#a0a0a0" stroked="f"/>
        </w:pict>
      </w:r>
    </w:p>
    <w:p w:rsidR="00000000" w:rsidRDefault="00FF0345">
      <w:pPr>
        <w:divId w:val="1508399558"/>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1559439482"/>
        <w:rPr>
          <w:rFonts w:eastAsia="Times New Roman"/>
        </w:rPr>
      </w:pPr>
      <w:r>
        <w:rPr>
          <w:rFonts w:eastAsia="Times New Roman"/>
          <w:color w:val="000000"/>
          <w:sz w:val="20"/>
          <w:szCs w:val="20"/>
        </w:rPr>
        <w:t>The Company drew the $175 million term loan facility in its entirety simultaneously with entering into the new credit agreement and subsequently paid off the remaining balance outstanding on the term loan facility with proceeds from the sale of Tucson La E</w:t>
      </w:r>
      <w:r>
        <w:rPr>
          <w:rFonts w:eastAsia="Times New Roman"/>
          <w:color w:val="000000"/>
          <w:sz w:val="20"/>
          <w:szCs w:val="20"/>
        </w:rPr>
        <w:t xml:space="preserve">ncantada. </w:t>
      </w:r>
    </w:p>
    <w:p w:rsidR="00000000" w:rsidRDefault="00FF0345">
      <w:pPr>
        <w:ind w:firstLine="495"/>
        <w:divId w:val="1738044869"/>
        <w:rPr>
          <w:rFonts w:eastAsia="Times New Roman"/>
        </w:rPr>
      </w:pPr>
      <w:r>
        <w:rPr>
          <w:rFonts w:eastAsia="Times New Roman"/>
          <w:color w:val="000000"/>
          <w:sz w:val="20"/>
          <w:szCs w:val="20"/>
        </w:rPr>
        <w:t>Concurrently with entering into the new credit agreement, the Company repaid $985 million of debt, which included terminating and repaying all amounts outstanding under its prior revolving line of credit facility. The Company had four interest r</w:t>
      </w:r>
      <w:r>
        <w:rPr>
          <w:rFonts w:eastAsia="Times New Roman"/>
          <w:color w:val="000000"/>
          <w:sz w:val="20"/>
          <w:szCs w:val="20"/>
        </w:rPr>
        <w:t>ate swap agreements that effectively converted a total of $400 million of the outstanding balance under the prior credit agreement from floating rate debt of LIBOR plus 1.65% to fixed rate debt of 4.50% until September 30, 2021. These swaps were hedged aga</w:t>
      </w:r>
      <w:r>
        <w:rPr>
          <w:rFonts w:eastAsia="Times New Roman"/>
          <w:color w:val="000000"/>
          <w:sz w:val="20"/>
          <w:szCs w:val="20"/>
        </w:rPr>
        <w:t>inst the Santa Monica Place floating rate loan and a portion of the Green Acres Commons floating rate loan and effectively converted the Santa Monica Place loan and a majority of the Green Acres Commons loan to fixed rate debt through September 30, 2021. T</w:t>
      </w:r>
      <w:r>
        <w:rPr>
          <w:rFonts w:eastAsia="Times New Roman"/>
          <w:color w:val="000000"/>
          <w:sz w:val="20"/>
          <w:szCs w:val="20"/>
        </w:rPr>
        <w:t>he Company did not renew the swaps that expired on September 30, 2021 and, as a result, on October 1, 2021, the Santa Monica Place and Green Acres Commons loans reverted back to floating rate loans with an effective interest rate of 1.81% and 3.1%, respect</w:t>
      </w:r>
      <w:r>
        <w:rPr>
          <w:rFonts w:eastAsia="Times New Roman"/>
          <w:color w:val="000000"/>
          <w:sz w:val="20"/>
          <w:szCs w:val="20"/>
        </w:rPr>
        <w:t xml:space="preserve">ively, as of such date (See Note 5 – Derivative Instruments and Hedging Activities and Note 10 – Mortgage Notes Payable in the Company’s Notes to the Consolidated Financial Statements). </w:t>
      </w:r>
    </w:p>
    <w:p w:rsidR="00000000" w:rsidRDefault="00FF0345">
      <w:pPr>
        <w:ind w:firstLine="495"/>
        <w:divId w:val="1096942104"/>
        <w:rPr>
          <w:rFonts w:eastAsia="Times New Roman"/>
        </w:rPr>
      </w:pPr>
      <w:r>
        <w:rPr>
          <w:rFonts w:eastAsia="Times New Roman"/>
          <w:color w:val="000000"/>
          <w:sz w:val="20"/>
          <w:szCs w:val="20"/>
        </w:rPr>
        <w:t>Cash dividends and distributions for the nine months ended September </w:t>
      </w:r>
      <w:r>
        <w:rPr>
          <w:rFonts w:eastAsia="Times New Roman"/>
          <w:color w:val="000000"/>
          <w:sz w:val="20"/>
          <w:szCs w:val="20"/>
        </w:rPr>
        <w:t>30, 2021 were $104.5 million, which were funded by operations.</w:t>
      </w:r>
    </w:p>
    <w:p w:rsidR="00000000" w:rsidRDefault="00FF0345">
      <w:pPr>
        <w:ind w:firstLine="495"/>
        <w:divId w:val="1442342465"/>
        <w:rPr>
          <w:rFonts w:eastAsia="Times New Roman"/>
        </w:rPr>
      </w:pPr>
      <w:r>
        <w:rPr>
          <w:rFonts w:eastAsia="Times New Roman"/>
          <w:color w:val="000000"/>
          <w:sz w:val="20"/>
          <w:szCs w:val="20"/>
        </w:rPr>
        <w:t>At September 30, 2021, the Company was in compliance with all applicable loan covenants under its agreements.</w:t>
      </w:r>
    </w:p>
    <w:p w:rsidR="00000000" w:rsidRDefault="00FF0345">
      <w:pPr>
        <w:ind w:firstLine="495"/>
        <w:divId w:val="1782188017"/>
        <w:rPr>
          <w:rFonts w:eastAsia="Times New Roman"/>
        </w:rPr>
      </w:pPr>
      <w:r>
        <w:rPr>
          <w:rFonts w:eastAsia="Times New Roman"/>
          <w:color w:val="000000"/>
          <w:sz w:val="20"/>
          <w:szCs w:val="20"/>
        </w:rPr>
        <w:t>At September 30, 2021, the Company had cash and cash equivalents of $117.6 million.</w:t>
      </w:r>
    </w:p>
    <w:p w:rsidR="00000000" w:rsidRDefault="00FF0345">
      <w:pPr>
        <w:ind w:firstLine="450"/>
        <w:divId w:val="589583487"/>
        <w:rPr>
          <w:rFonts w:eastAsia="Times New Roman"/>
        </w:rPr>
      </w:pPr>
      <w:r>
        <w:rPr>
          <w:rFonts w:eastAsia="Times New Roman"/>
          <w:i/>
          <w:iCs/>
          <w:color w:val="000000"/>
          <w:sz w:val="20"/>
          <w:szCs w:val="20"/>
        </w:rPr>
        <w:t>Off-Balance Sheet Arrangements:</w:t>
      </w:r>
    </w:p>
    <w:p w:rsidR="00000000" w:rsidRDefault="00FF0345">
      <w:pPr>
        <w:ind w:firstLine="495"/>
        <w:divId w:val="858660939"/>
        <w:rPr>
          <w:rFonts w:eastAsia="Times New Roman"/>
        </w:rPr>
      </w:pPr>
      <w:r>
        <w:rPr>
          <w:rFonts w:eastAsia="Times New Roman"/>
          <w:color w:val="000000"/>
          <w:sz w:val="20"/>
          <w:szCs w:val="20"/>
        </w:rPr>
        <w:t>The Company accounts for its investments in joint ventures that it does not have a controlling interest or is not the primary beneficiary using the equity method of accounting and those investments are reflected on the cons</w:t>
      </w:r>
      <w:r>
        <w:rPr>
          <w:rFonts w:eastAsia="Times New Roman"/>
          <w:color w:val="000000"/>
          <w:sz w:val="20"/>
          <w:szCs w:val="20"/>
        </w:rPr>
        <w:t>olidated balance sheets of the Company as investments in unconsolidated joint ventures.</w:t>
      </w:r>
    </w:p>
    <w:p w:rsidR="00000000" w:rsidRDefault="00FF0345">
      <w:pPr>
        <w:ind w:firstLine="495"/>
        <w:divId w:val="1637636958"/>
        <w:rPr>
          <w:rFonts w:eastAsia="Times New Roman"/>
        </w:rPr>
      </w:pPr>
      <w:r>
        <w:rPr>
          <w:rFonts w:eastAsia="Times New Roman"/>
          <w:color w:val="000000"/>
          <w:sz w:val="20"/>
          <w:szCs w:val="20"/>
        </w:rPr>
        <w:t xml:space="preserve">As of September 30, 2021, one of the Company's joint ventures had $50.0 million of debt that could become recourse to the Company should the joint venture be unable to </w:t>
      </w:r>
      <w:r>
        <w:rPr>
          <w:rFonts w:eastAsia="Times New Roman"/>
          <w:color w:val="000000"/>
          <w:sz w:val="20"/>
          <w:szCs w:val="20"/>
        </w:rPr>
        <w:t>discharge the obligation of the related debt.</w:t>
      </w:r>
    </w:p>
    <w:p w:rsidR="00000000" w:rsidRDefault="00FF0345">
      <w:pPr>
        <w:ind w:firstLine="495"/>
        <w:divId w:val="1163929589"/>
        <w:rPr>
          <w:rFonts w:eastAsia="Times New Roman"/>
        </w:rPr>
      </w:pPr>
      <w:r>
        <w:rPr>
          <w:rFonts w:eastAsia="Times New Roman"/>
          <w:color w:val="000000"/>
          <w:sz w:val="20"/>
          <w:szCs w:val="20"/>
        </w:rPr>
        <w:t>Additionally, as of September 30, 2021, the Company was contingently liable for $40.9 million in letters of credit guaranteeing performance by the Company of certain obligations relating to the Centers. As of S</w:t>
      </w:r>
      <w:r>
        <w:rPr>
          <w:rFonts w:eastAsia="Times New Roman"/>
          <w:color w:val="000000"/>
          <w:sz w:val="20"/>
          <w:szCs w:val="20"/>
        </w:rPr>
        <w:t>eptember 30, 2021, $40.6 million of these letters of credit were secured by restricted cash. The Company does not believe that these letters of credit will result in a liability to the Company.</w:t>
      </w:r>
    </w:p>
    <w:p w:rsidR="00000000" w:rsidRDefault="00FF0345">
      <w:pPr>
        <w:ind w:firstLine="450"/>
        <w:divId w:val="1964730322"/>
        <w:rPr>
          <w:rFonts w:eastAsia="Times New Roman"/>
        </w:rPr>
      </w:pPr>
      <w:r>
        <w:rPr>
          <w:rFonts w:eastAsia="Times New Roman"/>
          <w:i/>
          <w:iCs/>
          <w:color w:val="000000"/>
          <w:sz w:val="20"/>
          <w:szCs w:val="20"/>
        </w:rPr>
        <w:t>Contractual Obligations:</w:t>
      </w:r>
    </w:p>
    <w:p w:rsidR="00000000" w:rsidRDefault="00FF0345">
      <w:pPr>
        <w:ind w:firstLine="495"/>
        <w:divId w:val="1701469157"/>
        <w:rPr>
          <w:rFonts w:eastAsia="Times New Roman"/>
        </w:rPr>
      </w:pPr>
      <w:r>
        <w:rPr>
          <w:rFonts w:eastAsia="Times New Roman"/>
          <w:color w:val="000000"/>
          <w:sz w:val="20"/>
          <w:szCs w:val="20"/>
        </w:rPr>
        <w:t>The following is a schedule of contra</w:t>
      </w:r>
      <w:r>
        <w:rPr>
          <w:rFonts w:eastAsia="Times New Roman"/>
          <w:color w:val="000000"/>
          <w:sz w:val="20"/>
          <w:szCs w:val="20"/>
        </w:rPr>
        <w:t>ctual obligations as of September 30, 2021 for the consolidated Centers over the periods in which they are expected to be paid (in thousands):</w:t>
      </w:r>
    </w:p>
    <w:tbl>
      <w:tblPr>
        <w:tblW w:w="4736" w:type="pct"/>
        <w:tblCellMar>
          <w:top w:w="15" w:type="dxa"/>
          <w:left w:w="15" w:type="dxa"/>
          <w:bottom w:w="15" w:type="dxa"/>
          <w:right w:w="15" w:type="dxa"/>
        </w:tblCellMar>
        <w:tblLook w:val="04A0" w:firstRow="1" w:lastRow="0" w:firstColumn="1" w:lastColumn="0" w:noHBand="0" w:noVBand="1"/>
      </w:tblPr>
      <w:tblGrid>
        <w:gridCol w:w="39"/>
        <w:gridCol w:w="2471"/>
        <w:gridCol w:w="38"/>
        <w:gridCol w:w="120"/>
        <w:gridCol w:w="850"/>
        <w:gridCol w:w="36"/>
        <w:gridCol w:w="36"/>
        <w:gridCol w:w="36"/>
        <w:gridCol w:w="36"/>
        <w:gridCol w:w="120"/>
        <w:gridCol w:w="707"/>
        <w:gridCol w:w="36"/>
        <w:gridCol w:w="36"/>
        <w:gridCol w:w="36"/>
        <w:gridCol w:w="36"/>
        <w:gridCol w:w="120"/>
        <w:gridCol w:w="850"/>
        <w:gridCol w:w="36"/>
        <w:gridCol w:w="36"/>
        <w:gridCol w:w="36"/>
        <w:gridCol w:w="36"/>
        <w:gridCol w:w="120"/>
        <w:gridCol w:w="850"/>
        <w:gridCol w:w="36"/>
        <w:gridCol w:w="36"/>
        <w:gridCol w:w="36"/>
        <w:gridCol w:w="36"/>
        <w:gridCol w:w="120"/>
        <w:gridCol w:w="850"/>
        <w:gridCol w:w="36"/>
      </w:tblGrid>
      <w:tr w:rsidR="00000000">
        <w:trPr>
          <w:divId w:val="1701469157"/>
        </w:trPr>
        <w:tc>
          <w:tcPr>
            <w:tcW w:w="50" w:type="pct"/>
            <w:vAlign w:val="center"/>
            <w:hideMark/>
          </w:tcPr>
          <w:p w:rsidR="00000000" w:rsidRDefault="00FF0345">
            <w:pPr>
              <w:ind w:firstLine="495"/>
              <w:rPr>
                <w:rFonts w:eastAsia="Times New Roman"/>
              </w:rPr>
            </w:pPr>
          </w:p>
        </w:tc>
        <w:tc>
          <w:tcPr>
            <w:tcW w:w="166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7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70146915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27"/>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Payment Due by Period</w:t>
            </w:r>
          </w:p>
        </w:tc>
      </w:tr>
      <w:tr w:rsidR="00000000">
        <w:trPr>
          <w:divId w:val="1701469157"/>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Contractual Obligations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1 - 3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3 - 5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five years</w:t>
            </w:r>
          </w:p>
        </w:tc>
      </w:tr>
      <w:tr w:rsidR="00000000">
        <w:trPr>
          <w:divId w:val="170146915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Long-term debt obligations (includes expected interest payments)(1)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5,377,989 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657,110 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1,750,045 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981,389 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1,989,445 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0146915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Lease liabilities(2)</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173,529 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6,387 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29,258 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22,056 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115,828 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01469157"/>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Purchase obligations(3)</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2,920 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2,920 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01469157"/>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193,053 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121,061 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28,199 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13,744 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30,049 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701469157"/>
        </w:trPr>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5,747,491 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787,478 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1,807,502 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1,017,189 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2,135,322 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divId w:val="373967996"/>
        <w:rPr>
          <w:rFonts w:eastAsia="Times New Roman"/>
        </w:rPr>
      </w:pPr>
      <w:r>
        <w:rPr>
          <w:rFonts w:eastAsia="Times New Roman"/>
          <w:color w:val="000000"/>
          <w:sz w:val="16"/>
          <w:szCs w:val="16"/>
        </w:rPr>
        <w:t>__________________________________________________________</w:t>
      </w:r>
    </w:p>
    <w:p w:rsidR="00000000" w:rsidRDefault="00FF0345">
      <w:pPr>
        <w:ind w:hanging="360"/>
        <w:divId w:val="1541630974"/>
        <w:rPr>
          <w:rFonts w:eastAsia="Times New Roman"/>
        </w:rPr>
      </w:pPr>
      <w:r>
        <w:rPr>
          <w:rFonts w:eastAsia="Times New Roman"/>
          <w:color w:val="000000"/>
          <w:sz w:val="18"/>
          <w:szCs w:val="18"/>
        </w:rPr>
        <w:t>(1)</w:t>
      </w:r>
      <w:r>
        <w:rPr>
          <w:rFonts w:eastAsia="Times New Roman"/>
          <w:color w:val="000000"/>
          <w:sz w:val="18"/>
          <w:szCs w:val="18"/>
        </w:rPr>
        <w:t>Interest payments on floating rate debt were based on rates in effect at September 30, 2021.</w:t>
      </w:r>
    </w:p>
    <w:p w:rsidR="00000000" w:rsidRDefault="00FF0345">
      <w:pPr>
        <w:ind w:hanging="360"/>
        <w:divId w:val="172498985"/>
        <w:rPr>
          <w:rFonts w:eastAsia="Times New Roman"/>
        </w:rPr>
      </w:pPr>
      <w:r>
        <w:rPr>
          <w:rFonts w:eastAsia="Times New Roman"/>
          <w:color w:val="000000"/>
          <w:sz w:val="18"/>
          <w:szCs w:val="18"/>
        </w:rPr>
        <w:t>(2)See Note 8—Leases in the Company's Notes to the Consolidated Financial Statements.</w:t>
      </w:r>
    </w:p>
    <w:p w:rsidR="00000000" w:rsidRDefault="00FF0345">
      <w:pPr>
        <w:ind w:hanging="360"/>
        <w:divId w:val="1513907750"/>
        <w:rPr>
          <w:rFonts w:eastAsia="Times New Roman"/>
        </w:rPr>
      </w:pPr>
      <w:r>
        <w:rPr>
          <w:rFonts w:eastAsia="Times New Roman"/>
          <w:color w:val="000000"/>
          <w:sz w:val="18"/>
          <w:szCs w:val="18"/>
        </w:rPr>
        <w:t>(3)See Note 16—Commitments and Contingencies in the Company's Notes to the Co</w:t>
      </w:r>
      <w:r>
        <w:rPr>
          <w:rFonts w:eastAsia="Times New Roman"/>
          <w:color w:val="000000"/>
          <w:sz w:val="18"/>
          <w:szCs w:val="18"/>
        </w:rPr>
        <w:t>nsolidated Financial Statements.</w:t>
      </w:r>
    </w:p>
    <w:p w:rsidR="00000000" w:rsidRDefault="00FF0345">
      <w:pPr>
        <w:divId w:val="1469395365"/>
        <w:rPr>
          <w:rFonts w:eastAsia="Times New Roman"/>
        </w:rPr>
      </w:pPr>
    </w:p>
    <w:p w:rsidR="00000000" w:rsidRDefault="00FF0345">
      <w:pPr>
        <w:divId w:val="632293236"/>
        <w:rPr>
          <w:rFonts w:eastAsia="Times New Roman"/>
        </w:rPr>
      </w:pPr>
    </w:p>
    <w:p w:rsidR="00000000" w:rsidRDefault="00FF0345">
      <w:pPr>
        <w:divId w:val="1776900794"/>
        <w:rPr>
          <w:rFonts w:eastAsia="Times New Roman"/>
        </w:rPr>
      </w:pPr>
    </w:p>
    <w:p w:rsidR="00000000" w:rsidRDefault="00FF0345">
      <w:pPr>
        <w:divId w:val="582955010"/>
        <w:rPr>
          <w:rFonts w:eastAsia="Times New Roman"/>
        </w:rPr>
      </w:pPr>
    </w:p>
    <w:p w:rsidR="00000000" w:rsidRDefault="00FF0345">
      <w:pPr>
        <w:jc w:val="center"/>
        <w:divId w:val="1352683454"/>
        <w:rPr>
          <w:rFonts w:eastAsia="Times New Roman"/>
        </w:rPr>
      </w:pPr>
    </w:p>
    <w:p w:rsidR="00000000" w:rsidRDefault="00FF0345">
      <w:pPr>
        <w:jc w:val="center"/>
        <w:divId w:val="1352683454"/>
        <w:rPr>
          <w:rFonts w:eastAsia="Times New Roman"/>
        </w:rPr>
      </w:pPr>
      <w:r>
        <w:rPr>
          <w:rFonts w:eastAsia="Times New Roman"/>
          <w:color w:val="000000"/>
          <w:sz w:val="20"/>
          <w:szCs w:val="20"/>
        </w:rPr>
        <w:t>40</w:t>
      </w:r>
    </w:p>
    <w:p w:rsidR="00000000" w:rsidRDefault="00FF0345">
      <w:pPr>
        <w:rPr>
          <w:rFonts w:eastAsia="Times New Roman"/>
        </w:rPr>
      </w:pPr>
      <w:r>
        <w:rPr>
          <w:rFonts w:eastAsia="Times New Roman"/>
        </w:rPr>
        <w:pict>
          <v:rect id="_x0000_i1064" style="width:0;height:1.5pt" o:hralign="center" o:hrstd="t" o:hr="t" fillcolor="#a0a0a0" stroked="f"/>
        </w:pict>
      </w:r>
    </w:p>
    <w:p w:rsidR="00000000" w:rsidRDefault="00FF0345">
      <w:pPr>
        <w:divId w:val="2134252365"/>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1836023498"/>
        <w:rPr>
          <w:rFonts w:eastAsia="Times New Roman"/>
        </w:rPr>
      </w:pPr>
      <w:r>
        <w:rPr>
          <w:rFonts w:eastAsia="Times New Roman"/>
          <w:b/>
          <w:bCs/>
          <w:color w:val="000000"/>
          <w:sz w:val="20"/>
          <w:szCs w:val="20"/>
        </w:rPr>
        <w:t>Funds From Operations ("FFO")</w:t>
      </w:r>
    </w:p>
    <w:p w:rsidR="00000000" w:rsidRDefault="00FF0345">
      <w:pPr>
        <w:ind w:firstLine="495"/>
        <w:divId w:val="1199049732"/>
        <w:rPr>
          <w:rFonts w:eastAsia="Times New Roman"/>
        </w:rPr>
      </w:pPr>
      <w:r>
        <w:rPr>
          <w:rFonts w:eastAsia="Times New Roman"/>
          <w:color w:val="000000"/>
          <w:sz w:val="20"/>
          <w:szCs w:val="20"/>
        </w:rPr>
        <w:t>The Company uses FFO in addition to net income to report its operati</w:t>
      </w:r>
      <w:r>
        <w:rPr>
          <w:rFonts w:eastAsia="Times New Roman"/>
          <w:color w:val="000000"/>
          <w:sz w:val="20"/>
          <w:szCs w:val="20"/>
        </w:rPr>
        <w:t xml:space="preserve">ng and financial results and considers FFO and FFO </w:t>
      </w:r>
      <w:r>
        <w:rPr>
          <w:rFonts w:eastAsia="Times New Roman"/>
          <w:color w:val="000000"/>
          <w:sz w:val="18"/>
          <w:szCs w:val="18"/>
        </w:rPr>
        <w:t>—</w:t>
      </w:r>
      <w:r>
        <w:rPr>
          <w:rFonts w:eastAsia="Times New Roman"/>
          <w:color w:val="000000"/>
          <w:sz w:val="20"/>
          <w:szCs w:val="20"/>
        </w:rPr>
        <w:t>diluted as supplemental measures for the real estate industry and a supplement to GAAP measures. The National Association of Real Estate Investment Trusts defines FFO as net income (loss) (computed in acc</w:t>
      </w:r>
      <w:r>
        <w:rPr>
          <w:rFonts w:eastAsia="Times New Roman"/>
          <w:color w:val="000000"/>
          <w:sz w:val="20"/>
          <w:szCs w:val="20"/>
        </w:rPr>
        <w:t>ordance with GAAP), excluding gains (or losses) from sales of properties, plus real estate related depreciation and amortization, impairment write-downs of real estate and write-downs of investments in an affiliate where the write-downs have been driven by</w:t>
      </w:r>
      <w:r>
        <w:rPr>
          <w:rFonts w:eastAsia="Times New Roman"/>
          <w:color w:val="000000"/>
          <w:sz w:val="20"/>
          <w:szCs w:val="20"/>
        </w:rPr>
        <w:t xml:space="preserve"> a decrease in the value of real estate held by the affiliate and after adjustments for unconsolidated joint ventures. Adjustments for unconsolidated joint ventures are calculated to reflect FFO on the same basis.</w:t>
      </w:r>
    </w:p>
    <w:p w:rsidR="00000000" w:rsidRDefault="00FF0345">
      <w:pPr>
        <w:ind w:firstLine="495"/>
        <w:divId w:val="254049984"/>
        <w:rPr>
          <w:rFonts w:eastAsia="Times New Roman"/>
        </w:rPr>
      </w:pPr>
      <w:r>
        <w:rPr>
          <w:rFonts w:eastAsia="Times New Roman"/>
          <w:color w:val="000000"/>
          <w:sz w:val="20"/>
          <w:szCs w:val="20"/>
        </w:rPr>
        <w:t>The Company accounts for its joint venture</w:t>
      </w:r>
      <w:r>
        <w:rPr>
          <w:rFonts w:eastAsia="Times New Roman"/>
          <w:color w:val="000000"/>
          <w:sz w:val="20"/>
          <w:szCs w:val="20"/>
        </w:rPr>
        <w:t xml:space="preserve"> in Chandler Freehold as a financing arrangement. In connection with this treatment, the Company recognizes financing expense on (i) the changes in fair value of the financing arrangement obligation, (ii) any payments to the joint venture partner equal to </w:t>
      </w:r>
      <w:r>
        <w:rPr>
          <w:rFonts w:eastAsia="Times New Roman"/>
          <w:color w:val="000000"/>
          <w:sz w:val="20"/>
          <w:szCs w:val="20"/>
        </w:rPr>
        <w:t>their pro rata share of net income and (iii) any payments to the joint venture partner less than or in excess of their pro rata share of net income. The Company excludes from its definition of FFO the noted expenses related to the changes in fair value and</w:t>
      </w:r>
      <w:r>
        <w:rPr>
          <w:rFonts w:eastAsia="Times New Roman"/>
          <w:color w:val="000000"/>
          <w:sz w:val="20"/>
          <w:szCs w:val="20"/>
        </w:rPr>
        <w:t xml:space="preserve"> for the payments to the joint venture partner less than or in excess of their pro rata share of net income. </w:t>
      </w:r>
    </w:p>
    <w:p w:rsidR="00000000" w:rsidRDefault="00FF0345">
      <w:pPr>
        <w:ind w:firstLine="495"/>
        <w:divId w:val="1028915567"/>
        <w:rPr>
          <w:rFonts w:eastAsia="Times New Roman"/>
        </w:rPr>
      </w:pPr>
      <w:r>
        <w:rPr>
          <w:rFonts w:eastAsia="Times New Roman"/>
          <w:color w:val="000000"/>
          <w:sz w:val="20"/>
          <w:szCs w:val="20"/>
        </w:rPr>
        <w:t>The Company also presents FFO excluding financing expense in connection with Chandler Freehold and loss on extinguishment of debt.</w:t>
      </w:r>
    </w:p>
    <w:p w:rsidR="00000000" w:rsidRDefault="00FF0345">
      <w:pPr>
        <w:ind w:firstLine="495"/>
        <w:divId w:val="393704731"/>
        <w:rPr>
          <w:rFonts w:eastAsia="Times New Roman"/>
        </w:rPr>
      </w:pPr>
      <w:r>
        <w:rPr>
          <w:rFonts w:eastAsia="Times New Roman"/>
          <w:color w:val="000000"/>
          <w:sz w:val="20"/>
          <w:szCs w:val="20"/>
        </w:rPr>
        <w:t xml:space="preserve">FFO and FFO on </w:t>
      </w:r>
      <w:r>
        <w:rPr>
          <w:rFonts w:eastAsia="Times New Roman"/>
          <w:color w:val="000000"/>
          <w:sz w:val="20"/>
          <w:szCs w:val="20"/>
        </w:rPr>
        <w:t>a diluted basis are useful to investors in comparing operating and financial results between periods. This is especially true since FFO excludes real estate depreciation and amortization, as the Company believes real estate values fluctuate based on market</w:t>
      </w:r>
      <w:r>
        <w:rPr>
          <w:rFonts w:eastAsia="Times New Roman"/>
          <w:color w:val="000000"/>
          <w:sz w:val="20"/>
          <w:szCs w:val="20"/>
        </w:rPr>
        <w:t xml:space="preserve"> conditions rather than depreciating in value ratably on a straight-line basis over time. The Company believes that such a presentation also provides investors with a meaningful measure of its operating results in comparison to the operating results of oth</w:t>
      </w:r>
      <w:r>
        <w:rPr>
          <w:rFonts w:eastAsia="Times New Roman"/>
          <w:color w:val="000000"/>
          <w:sz w:val="20"/>
          <w:szCs w:val="20"/>
        </w:rPr>
        <w:t>er REITs. In addition, the Company believes that FFO excluding financing expense in connection with Chandler Freehold and non-routine costs associated with extinguishment of debt provide useful supplemental information regarding the Company’s performance a</w:t>
      </w:r>
      <w:r>
        <w:rPr>
          <w:rFonts w:eastAsia="Times New Roman"/>
          <w:color w:val="000000"/>
          <w:sz w:val="20"/>
          <w:szCs w:val="20"/>
        </w:rPr>
        <w:t>s they show a more meaningful and consistent comparison of the Company’s operating performance and allows investors to more easily compare the Company’s results. The Company further believes that FFO on a diluted basis is a measure investors find most usef</w:t>
      </w:r>
      <w:r>
        <w:rPr>
          <w:rFonts w:eastAsia="Times New Roman"/>
          <w:color w:val="000000"/>
          <w:sz w:val="20"/>
          <w:szCs w:val="20"/>
        </w:rPr>
        <w:t>ul in measuring the dilutive impact of outstanding convertible securities.</w:t>
      </w:r>
    </w:p>
    <w:p w:rsidR="00000000" w:rsidRDefault="00FF0345">
      <w:pPr>
        <w:ind w:firstLine="495"/>
        <w:divId w:val="812020346"/>
        <w:rPr>
          <w:rFonts w:eastAsia="Times New Roman"/>
        </w:rPr>
      </w:pPr>
      <w:r>
        <w:rPr>
          <w:rFonts w:eastAsia="Times New Roman"/>
          <w:color w:val="000000"/>
          <w:sz w:val="20"/>
          <w:szCs w:val="20"/>
        </w:rPr>
        <w:t>The Company believes that FFO does not represent cash flow from operations as defined by GAAP, should not be considered as an alternative to net income as defined by GAAP, and is no</w:t>
      </w:r>
      <w:r>
        <w:rPr>
          <w:rFonts w:eastAsia="Times New Roman"/>
          <w:color w:val="000000"/>
          <w:sz w:val="20"/>
          <w:szCs w:val="20"/>
        </w:rPr>
        <w:t>t indicative of cash available to fund all cash flow needs. The Company also cautions that FFO, as presented, may not be comparable to similarly titled measures reported by other real estate investment trusts.</w:t>
      </w:r>
    </w:p>
    <w:p w:rsidR="00000000" w:rsidRDefault="00FF0345">
      <w:pPr>
        <w:ind w:firstLine="495"/>
        <w:divId w:val="1239054246"/>
        <w:rPr>
          <w:rFonts w:eastAsia="Times New Roman"/>
        </w:rPr>
      </w:pPr>
      <w:r>
        <w:rPr>
          <w:rFonts w:eastAsia="Times New Roman"/>
          <w:color w:val="000000"/>
          <w:sz w:val="20"/>
          <w:szCs w:val="20"/>
        </w:rPr>
        <w:t>Management compensates for the limitations of FFO by providing investors with financial statements prepared according to GAAP, along with this detailed discussion of FFO and a reconciliation of net (loss) income to FFO and FFO</w:t>
      </w:r>
      <w:r>
        <w:rPr>
          <w:rFonts w:eastAsia="Times New Roman"/>
          <w:color w:val="000000"/>
          <w:sz w:val="18"/>
          <w:szCs w:val="18"/>
        </w:rPr>
        <w:t>—</w:t>
      </w:r>
      <w:r>
        <w:rPr>
          <w:rFonts w:eastAsia="Times New Roman"/>
          <w:color w:val="000000"/>
          <w:sz w:val="20"/>
          <w:szCs w:val="20"/>
        </w:rPr>
        <w:t xml:space="preserve">diluted. Management believes </w:t>
      </w:r>
      <w:r>
        <w:rPr>
          <w:rFonts w:eastAsia="Times New Roman"/>
          <w:color w:val="000000"/>
          <w:sz w:val="20"/>
          <w:szCs w:val="20"/>
        </w:rPr>
        <w:t>that to further understand the Company's performance, FFO should be compared with the Company's reported net (loss) income and considered in addition to cash flows in accordance with GAAP, as presented in the Company's consolidated financial statements.</w:t>
      </w:r>
    </w:p>
    <w:p w:rsidR="00000000" w:rsidRDefault="00FF0345">
      <w:pPr>
        <w:ind w:firstLine="495"/>
        <w:divId w:val="1145199915"/>
        <w:rPr>
          <w:rFonts w:eastAsia="Times New Roman"/>
        </w:rPr>
      </w:pPr>
    </w:p>
    <w:p w:rsidR="00000000" w:rsidRDefault="00FF0345">
      <w:pPr>
        <w:ind w:firstLine="495"/>
        <w:divId w:val="1453480620"/>
        <w:rPr>
          <w:rFonts w:eastAsia="Times New Roman"/>
        </w:rPr>
      </w:pPr>
    </w:p>
    <w:p w:rsidR="00000000" w:rsidRDefault="00FF0345">
      <w:pPr>
        <w:ind w:firstLine="495"/>
        <w:divId w:val="327024942"/>
        <w:rPr>
          <w:rFonts w:eastAsia="Times New Roman"/>
        </w:rPr>
      </w:pPr>
    </w:p>
    <w:p w:rsidR="00000000" w:rsidRDefault="00FF0345">
      <w:pPr>
        <w:ind w:firstLine="495"/>
        <w:divId w:val="1333022991"/>
        <w:rPr>
          <w:rFonts w:eastAsia="Times New Roman"/>
        </w:rPr>
      </w:pPr>
    </w:p>
    <w:p w:rsidR="00000000" w:rsidRDefault="00FF0345">
      <w:pPr>
        <w:ind w:firstLine="495"/>
        <w:divId w:val="1022705393"/>
        <w:rPr>
          <w:rFonts w:eastAsia="Times New Roman"/>
        </w:rPr>
      </w:pPr>
    </w:p>
    <w:p w:rsidR="00000000" w:rsidRDefault="00FF0345">
      <w:pPr>
        <w:ind w:firstLine="495"/>
        <w:divId w:val="1272011646"/>
        <w:rPr>
          <w:rFonts w:eastAsia="Times New Roman"/>
        </w:rPr>
      </w:pPr>
    </w:p>
    <w:p w:rsidR="00000000" w:rsidRDefault="00FF0345">
      <w:pPr>
        <w:ind w:firstLine="495"/>
        <w:divId w:val="155195335"/>
        <w:rPr>
          <w:rFonts w:eastAsia="Times New Roman"/>
        </w:rPr>
      </w:pPr>
    </w:p>
    <w:p w:rsidR="00000000" w:rsidRDefault="00FF0345">
      <w:pPr>
        <w:ind w:firstLine="495"/>
        <w:divId w:val="1105999477"/>
        <w:rPr>
          <w:rFonts w:eastAsia="Times New Roman"/>
        </w:rPr>
      </w:pPr>
    </w:p>
    <w:p w:rsidR="00000000" w:rsidRDefault="00FF0345">
      <w:pPr>
        <w:ind w:firstLine="495"/>
        <w:divId w:val="893389066"/>
        <w:rPr>
          <w:rFonts w:eastAsia="Times New Roman"/>
        </w:rPr>
      </w:pPr>
    </w:p>
    <w:p w:rsidR="00000000" w:rsidRDefault="00FF0345">
      <w:pPr>
        <w:ind w:firstLine="495"/>
        <w:divId w:val="1135564081"/>
        <w:rPr>
          <w:rFonts w:eastAsia="Times New Roman"/>
        </w:rPr>
      </w:pPr>
    </w:p>
    <w:p w:rsidR="00000000" w:rsidRDefault="00FF0345">
      <w:pPr>
        <w:ind w:firstLine="495"/>
        <w:divId w:val="1520775630"/>
        <w:rPr>
          <w:rFonts w:eastAsia="Times New Roman"/>
        </w:rPr>
      </w:pPr>
    </w:p>
    <w:p w:rsidR="00000000" w:rsidRDefault="00FF0345">
      <w:pPr>
        <w:jc w:val="center"/>
        <w:divId w:val="823006893"/>
        <w:rPr>
          <w:rFonts w:eastAsia="Times New Roman"/>
        </w:rPr>
      </w:pPr>
    </w:p>
    <w:p w:rsidR="00000000" w:rsidRDefault="00FF0345">
      <w:pPr>
        <w:jc w:val="center"/>
        <w:divId w:val="823006893"/>
        <w:rPr>
          <w:rFonts w:eastAsia="Times New Roman"/>
        </w:rPr>
      </w:pPr>
      <w:r>
        <w:rPr>
          <w:rFonts w:eastAsia="Times New Roman"/>
          <w:color w:val="000000"/>
          <w:sz w:val="20"/>
          <w:szCs w:val="20"/>
        </w:rPr>
        <w:t>41</w:t>
      </w:r>
    </w:p>
    <w:p w:rsidR="00000000" w:rsidRDefault="00FF0345">
      <w:pPr>
        <w:rPr>
          <w:rFonts w:eastAsia="Times New Roman"/>
        </w:rPr>
      </w:pPr>
      <w:r>
        <w:rPr>
          <w:rFonts w:eastAsia="Times New Roman"/>
        </w:rPr>
        <w:pict>
          <v:rect id="_x0000_i1065" style="width:0;height:1.5pt" o:hralign="center" o:hrstd="t" o:hr="t" fillcolor="#a0a0a0" stroked="f"/>
        </w:pict>
      </w:r>
    </w:p>
    <w:p w:rsidR="00000000" w:rsidRDefault="00FF0345">
      <w:pPr>
        <w:divId w:val="1140073526"/>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firstLine="495"/>
        <w:divId w:val="292056582"/>
        <w:rPr>
          <w:rFonts w:eastAsia="Times New Roman"/>
        </w:rPr>
      </w:pPr>
      <w:r>
        <w:rPr>
          <w:rFonts w:eastAsia="Times New Roman"/>
          <w:color w:val="000000"/>
          <w:sz w:val="20"/>
          <w:szCs w:val="20"/>
        </w:rPr>
        <w:t>The following reconciles net income (loss) attributable to the Company to FFO and FFO</w:t>
      </w:r>
      <w:r>
        <w:rPr>
          <w:rFonts w:eastAsia="Times New Roman"/>
          <w:color w:val="000000"/>
          <w:sz w:val="18"/>
          <w:szCs w:val="18"/>
        </w:rPr>
        <w:t>—</w:t>
      </w:r>
      <w:r>
        <w:rPr>
          <w:rFonts w:eastAsia="Times New Roman"/>
          <w:color w:val="000000"/>
          <w:sz w:val="20"/>
          <w:szCs w:val="20"/>
        </w:rPr>
        <w:t>diluted attributable to common stockholders and unit holde</w:t>
      </w:r>
      <w:r>
        <w:rPr>
          <w:rFonts w:eastAsia="Times New Roman"/>
          <w:color w:val="000000"/>
          <w:sz w:val="20"/>
          <w:szCs w:val="20"/>
        </w:rPr>
        <w:t>rs-basic and diluted, excluding financing expense in connection with Chandler Freehold and loss on extinguishment of debt for the nine months ended September 30, 2021 and 2020 (dollars and shares in thousands):</w:t>
      </w:r>
    </w:p>
    <w:tbl>
      <w:tblPr>
        <w:tblW w:w="4985" w:type="pct"/>
        <w:tblCellMar>
          <w:top w:w="15" w:type="dxa"/>
          <w:left w:w="15" w:type="dxa"/>
          <w:bottom w:w="15" w:type="dxa"/>
          <w:right w:w="15" w:type="dxa"/>
        </w:tblCellMar>
        <w:tblLook w:val="04A0" w:firstRow="1" w:lastRow="0" w:firstColumn="1" w:lastColumn="0" w:noHBand="0" w:noVBand="1"/>
      </w:tblPr>
      <w:tblGrid>
        <w:gridCol w:w="39"/>
        <w:gridCol w:w="4533"/>
        <w:gridCol w:w="38"/>
        <w:gridCol w:w="36"/>
        <w:gridCol w:w="36"/>
        <w:gridCol w:w="36"/>
        <w:gridCol w:w="110"/>
        <w:gridCol w:w="667"/>
        <w:gridCol w:w="36"/>
        <w:gridCol w:w="36"/>
        <w:gridCol w:w="39"/>
        <w:gridCol w:w="36"/>
        <w:gridCol w:w="110"/>
        <w:gridCol w:w="682"/>
        <w:gridCol w:w="36"/>
        <w:gridCol w:w="36"/>
        <w:gridCol w:w="39"/>
        <w:gridCol w:w="36"/>
        <w:gridCol w:w="110"/>
        <w:gridCol w:w="670"/>
        <w:gridCol w:w="36"/>
        <w:gridCol w:w="36"/>
        <w:gridCol w:w="36"/>
        <w:gridCol w:w="36"/>
        <w:gridCol w:w="110"/>
        <w:gridCol w:w="630"/>
        <w:gridCol w:w="36"/>
      </w:tblGrid>
      <w:tr w:rsidR="00000000">
        <w:trPr>
          <w:divId w:val="1916624396"/>
        </w:trPr>
        <w:tc>
          <w:tcPr>
            <w:tcW w:w="50" w:type="pct"/>
            <w:vAlign w:val="center"/>
            <w:hideMark/>
          </w:tcPr>
          <w:p w:rsidR="00000000" w:rsidRDefault="00FF0345">
            <w:pPr>
              <w:ind w:firstLine="495"/>
              <w:rPr>
                <w:rFonts w:eastAsia="Times New Roman"/>
              </w:rPr>
            </w:pPr>
          </w:p>
        </w:tc>
        <w:tc>
          <w:tcPr>
            <w:tcW w:w="276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4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3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14"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916624396"/>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Three Months Ended September 30,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Nine Months Ended September 30,</w:t>
            </w:r>
          </w:p>
        </w:tc>
      </w:tr>
      <w:tr w:rsidR="00000000">
        <w:trPr>
          <w:divId w:val="1916624396"/>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2020</w:t>
            </w:r>
          </w:p>
        </w:tc>
      </w:tr>
      <w:tr w:rsidR="00000000">
        <w:trPr>
          <w:divId w:val="191662439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Net income (loss) attributable to the Company</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106,702 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(22,191)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31,333 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(39,785)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Adjustments to reconcile net income (loss) attributable to the Company to FFO attributable to common stockholders and unit holders—basic and diluted:</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r>
      <w:tr w:rsidR="00000000">
        <w:trPr>
          <w:divId w:val="191662439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Noncontrolling interests in the Operating Partnership</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5,922 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(1,618)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1,653 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(2,912)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(Gain) loss on sale or write down of assets, net—consolidated assets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(118,566)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(11,786)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(93,356)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28,784 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91662439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Add: noncontrolling interests share of (loss) gain on sale or write down of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929 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5,853 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929 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Add: gain on sale of undepreciated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12,362 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19,913 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12,402 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Less: noncontrolling interests share of gain of undepreciated assets—consolidated assets</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(6,089)</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Loss on write-down of non-real estate assets—consolidated assets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(1,361)</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(2,200)</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(4,154)</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(Gain) loss on sale or write down of assets—unconsolidated joint ventures, net(1)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Add: gain on sale of undepreciated assets—</w:t>
            </w:r>
            <w:r>
              <w:rPr>
                <w:rFonts w:eastAsia="Times New Roman"/>
                <w:color w:val="000000"/>
                <w:sz w:val="18"/>
                <w:szCs w:val="18"/>
              </w:rPr>
              <w:t>unconsolidated joint ventures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Depreciation and amortization—consolidated assets</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75,465 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78,605 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231,491 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241,112 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Less: noncontrolling interests in depreciation and amortization—consolidated assets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(4,173)</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(3,855)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(13,333)</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(11,472)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Depreciation and amortization—unconsolidated joint ventures(1)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44,905 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50,775 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138,137 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146,702 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Less: depreciation on personal property</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(3,246)</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(3,460)</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(9,933)</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(11,662)</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FFO attributable to common stockholders and unit holders—basic and diluted</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107,098 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98,471 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303,548 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360,021 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Financing expense in connection with Chandler Freehold</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(6,723)</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(15,104)</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(93,437)</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91662439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Freehold—basic and diluted</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100,375 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83,367 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303,523 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266,584 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Loss on extinguishment of debt—consolidated assets</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1,007 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vAlign w:val="center"/>
            <w:hideMark/>
          </w:tcPr>
          <w:p w:rsidR="00000000" w:rsidRDefault="00FF0345">
            <w:pPr>
              <w:spacing w:after="100"/>
              <w:jc w:val="right"/>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916624396"/>
        </w:trPr>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c>
          <w:tcPr>
            <w:tcW w:w="0" w:type="auto"/>
            <w:gridSpan w:val="3"/>
            <w:vAlign w:val="center"/>
            <w:hideMark/>
          </w:tcPr>
          <w:p w:rsidR="00000000" w:rsidRDefault="00FF0345">
            <w:pPr>
              <w:spacing w:after="100"/>
              <w:rPr>
                <w:rFonts w:eastAsia="Times New Roman"/>
                <w:sz w:val="20"/>
                <w:szCs w:val="20"/>
              </w:rPr>
            </w:pPr>
          </w:p>
        </w:tc>
      </w:tr>
      <w:tr w:rsidR="00000000">
        <w:trPr>
          <w:divId w:val="191662439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FFO attributable to common stockholders and unit holders, excluding financing expense in connection with Chandler Freehold and loss on extinguishment of debt—basic and diluted</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101,382 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83,367 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304,530 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266,584 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Weighted average number of FFO shares outstanding for:</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w:t>
            </w:r>
          </w:p>
        </w:tc>
      </w:tr>
      <w:tr w:rsidR="00000000">
        <w:trPr>
          <w:divId w:val="191662439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FFO attributable to common stockholders and unit holders—basic(2)</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223,033 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160,509 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202,877 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155,694 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Adjustments for impact of dilutive securities in computing FFO—diluted:</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191662439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   Share and unit based compensation plans</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1916624396"/>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Weighted average number of FFO shares outstanding for FFO attributable to common stockholders and unit holders—basic and diluted(2)</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223,033 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160,509 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202,877 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155,694 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hanging="450"/>
        <w:divId w:val="494928040"/>
        <w:rPr>
          <w:rFonts w:eastAsia="Times New Roman"/>
        </w:rPr>
      </w:pPr>
      <w:r>
        <w:rPr>
          <w:rFonts w:eastAsia="Times New Roman"/>
          <w:color w:val="000000"/>
          <w:sz w:val="18"/>
          <w:szCs w:val="18"/>
        </w:rPr>
        <w:t>(1)     Unconsolidated joint ventures are presented at the Compan</w:t>
      </w:r>
      <w:r>
        <w:rPr>
          <w:rFonts w:eastAsia="Times New Roman"/>
          <w:color w:val="000000"/>
          <w:sz w:val="18"/>
          <w:szCs w:val="18"/>
        </w:rPr>
        <w:t>y's pro rata share.</w:t>
      </w:r>
    </w:p>
    <w:p w:rsidR="00000000" w:rsidRDefault="00FF0345">
      <w:pPr>
        <w:ind w:hanging="450"/>
        <w:divId w:val="671223005"/>
        <w:rPr>
          <w:rFonts w:eastAsia="Times New Roman"/>
        </w:rPr>
      </w:pPr>
      <w:r>
        <w:rPr>
          <w:rFonts w:eastAsia="Times New Roman"/>
          <w:color w:val="000000"/>
          <w:sz w:val="18"/>
          <w:szCs w:val="18"/>
        </w:rPr>
        <w:t>(2)     Calculated based upon basic net income as adjusted to reach basic FFO. Includes 9.8 million and 10.9 million OP Units for the three months ended September 30, 2021 and 2020, respectively, and 10.2 million and 10.6 million for th</w:t>
      </w:r>
      <w:r>
        <w:rPr>
          <w:rFonts w:eastAsia="Times New Roman"/>
          <w:color w:val="000000"/>
          <w:sz w:val="18"/>
          <w:szCs w:val="18"/>
        </w:rPr>
        <w:t>e nine months ended</w:t>
      </w:r>
      <w:r>
        <w:rPr>
          <w:rFonts w:eastAsia="Times New Roman"/>
          <w:color w:val="000000"/>
          <w:sz w:val="20"/>
          <w:szCs w:val="20"/>
        </w:rPr>
        <w:t xml:space="preserve"> </w:t>
      </w:r>
      <w:r>
        <w:rPr>
          <w:rFonts w:eastAsia="Times New Roman"/>
          <w:color w:val="000000"/>
          <w:sz w:val="18"/>
          <w:szCs w:val="18"/>
        </w:rPr>
        <w:t xml:space="preserve">September 30, 2021 and 2020, respectively. </w:t>
      </w:r>
    </w:p>
    <w:p w:rsidR="00000000" w:rsidRDefault="00FF0345">
      <w:pPr>
        <w:divId w:val="1991713996"/>
        <w:rPr>
          <w:rFonts w:eastAsia="Times New Roman"/>
        </w:rPr>
      </w:pPr>
      <w:r>
        <w:rPr>
          <w:rFonts w:eastAsia="Times New Roman"/>
          <w:color w:val="000000"/>
          <w:sz w:val="18"/>
          <w:szCs w:val="18"/>
        </w:rPr>
        <w:t>The computation of FFO—diluted shares outstanding includes the effect of share and unit-based compensation plans using the treasury stock method. It also assumes the conversion of MACWH, LP co</w:t>
      </w:r>
      <w:r>
        <w:rPr>
          <w:rFonts w:eastAsia="Times New Roman"/>
          <w:color w:val="000000"/>
          <w:sz w:val="18"/>
          <w:szCs w:val="18"/>
        </w:rPr>
        <w:t>mmon and preferred units to the extent that they are dilutive to the FFO—diluted computation.</w:t>
      </w:r>
    </w:p>
    <w:p w:rsidR="00000000" w:rsidRDefault="00FF0345">
      <w:pPr>
        <w:jc w:val="center"/>
        <w:divId w:val="871964551"/>
        <w:rPr>
          <w:rFonts w:eastAsia="Times New Roman"/>
        </w:rPr>
      </w:pPr>
    </w:p>
    <w:p w:rsidR="00000000" w:rsidRDefault="00FF0345">
      <w:pPr>
        <w:jc w:val="center"/>
        <w:divId w:val="871964551"/>
        <w:rPr>
          <w:rFonts w:eastAsia="Times New Roman"/>
        </w:rPr>
      </w:pPr>
      <w:r>
        <w:rPr>
          <w:rFonts w:eastAsia="Times New Roman"/>
          <w:color w:val="000000"/>
          <w:sz w:val="20"/>
          <w:szCs w:val="20"/>
        </w:rPr>
        <w:t>42</w:t>
      </w:r>
    </w:p>
    <w:p w:rsidR="00000000" w:rsidRDefault="00FF0345">
      <w:pPr>
        <w:rPr>
          <w:rFonts w:eastAsia="Times New Roman"/>
        </w:rPr>
      </w:pPr>
      <w:r>
        <w:rPr>
          <w:rFonts w:eastAsia="Times New Roman"/>
        </w:rPr>
        <w:pict>
          <v:rect id="_x0000_i1066" style="width:0;height:1.5pt" o:hralign="center" o:hrstd="t" o:hr="t" fillcolor="#a0a0a0" stroked="f"/>
        </w:pict>
      </w:r>
    </w:p>
    <w:p w:rsidR="00000000" w:rsidRDefault="00FF0345">
      <w:pPr>
        <w:divId w:val="1002510890"/>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166021457"/>
        <w:rPr>
          <w:rFonts w:eastAsia="Times New Roman"/>
        </w:rPr>
      </w:pPr>
      <w:r>
        <w:rPr>
          <w:rFonts w:eastAsia="Times New Roman"/>
          <w:b/>
          <w:bCs/>
          <w:color w:val="000000"/>
          <w:sz w:val="20"/>
          <w:szCs w:val="20"/>
        </w:rPr>
        <w:t>Item 3.    </w:t>
      </w:r>
      <w:r>
        <w:rPr>
          <w:rFonts w:eastAsia="Times New Roman"/>
          <w:b/>
          <w:bCs/>
          <w:color w:val="000000"/>
          <w:sz w:val="20"/>
          <w:szCs w:val="20"/>
        </w:rPr>
        <w:t>Quantitative and Qualitative Disclosures About Market Risk</w:t>
      </w:r>
    </w:p>
    <w:p w:rsidR="00000000" w:rsidRDefault="00FF0345">
      <w:pPr>
        <w:ind w:firstLine="495"/>
        <w:divId w:val="1303386412"/>
        <w:rPr>
          <w:rFonts w:eastAsia="Times New Roman"/>
        </w:rPr>
      </w:pPr>
      <w:r>
        <w:rPr>
          <w:rFonts w:eastAsia="Times New Roman"/>
          <w:color w:val="000000"/>
          <w:sz w:val="20"/>
          <w:szCs w:val="20"/>
        </w:rPr>
        <w:t xml:space="preserve">The Company's primary market risk exposure is interest rate risk. The Company has managed and will continue to manage interest rate risk by (1) maintaining a ratio of fixed rate, long-term debt to </w:t>
      </w:r>
      <w:r>
        <w:rPr>
          <w:rFonts w:eastAsia="Times New Roman"/>
          <w:color w:val="000000"/>
          <w:sz w:val="20"/>
          <w:szCs w:val="20"/>
        </w:rPr>
        <w:t>total debt such that floating rate exposure is kept at an acceptable level, (2) reducing interest rate exposure on certain long-term floating rate debt through the use of interest rate caps and/or swaps with matching maturities where appropriate, (3) using</w:t>
      </w:r>
      <w:r>
        <w:rPr>
          <w:rFonts w:eastAsia="Times New Roman"/>
          <w:color w:val="000000"/>
          <w:sz w:val="20"/>
          <w:szCs w:val="20"/>
        </w:rPr>
        <w:t xml:space="preserve"> treasury rate locks where appropriate to fix rates on anticipated debt transactions, and (4) taking advantage of favorable market conditions for long-term debt and/or equity.</w:t>
      </w:r>
    </w:p>
    <w:p w:rsidR="00000000" w:rsidRDefault="00FF0345">
      <w:pPr>
        <w:ind w:firstLine="495"/>
        <w:divId w:val="842815616"/>
        <w:rPr>
          <w:rFonts w:eastAsia="Times New Roman"/>
        </w:rPr>
      </w:pPr>
      <w:r>
        <w:rPr>
          <w:rFonts w:eastAsia="Times New Roman"/>
          <w:color w:val="000000"/>
          <w:sz w:val="20"/>
          <w:szCs w:val="20"/>
        </w:rPr>
        <w:t>The following table sets forth information as of September 30, 2021 concerning the Company's long-term debt obligations, including principal cash flows by scheduled maturity, weighted average interest rates and estimated fair value (dollars in thousands):</w:t>
      </w:r>
    </w:p>
    <w:tbl>
      <w:tblPr>
        <w:tblW w:w="4912" w:type="pct"/>
        <w:tblCellMar>
          <w:top w:w="15" w:type="dxa"/>
          <w:left w:w="15" w:type="dxa"/>
          <w:bottom w:w="15" w:type="dxa"/>
          <w:right w:w="15" w:type="dxa"/>
        </w:tblCellMar>
        <w:tblLook w:val="04A0" w:firstRow="1" w:lastRow="0" w:firstColumn="1" w:lastColumn="0" w:noHBand="0" w:noVBand="1"/>
      </w:tblPr>
      <w:tblGrid>
        <w:gridCol w:w="95"/>
        <w:gridCol w:w="1467"/>
        <w:gridCol w:w="37"/>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560"/>
        <w:gridCol w:w="154"/>
        <w:gridCol w:w="36"/>
        <w:gridCol w:w="36"/>
        <w:gridCol w:w="36"/>
        <w:gridCol w:w="100"/>
        <w:gridCol w:w="680"/>
        <w:gridCol w:w="154"/>
        <w:gridCol w:w="36"/>
        <w:gridCol w:w="36"/>
        <w:gridCol w:w="36"/>
        <w:gridCol w:w="100"/>
        <w:gridCol w:w="680"/>
        <w:gridCol w:w="154"/>
        <w:gridCol w:w="36"/>
        <w:gridCol w:w="36"/>
        <w:gridCol w:w="36"/>
        <w:gridCol w:w="100"/>
        <w:gridCol w:w="680"/>
        <w:gridCol w:w="36"/>
      </w:tblGrid>
      <w:tr w:rsidR="00000000">
        <w:trPr>
          <w:divId w:val="842815616"/>
        </w:trPr>
        <w:tc>
          <w:tcPr>
            <w:tcW w:w="50" w:type="pct"/>
            <w:vAlign w:val="center"/>
            <w:hideMark/>
          </w:tcPr>
          <w:p w:rsidR="00000000" w:rsidRDefault="00FF0345">
            <w:pPr>
              <w:ind w:firstLine="495"/>
              <w:rPr>
                <w:rFonts w:eastAsia="Times New Roman"/>
              </w:rPr>
            </w:pPr>
          </w:p>
        </w:tc>
        <w:tc>
          <w:tcPr>
            <w:tcW w:w="77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2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842815616"/>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Expected Maturity Date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r w:rsidR="00000000">
        <w:trPr>
          <w:divId w:val="842815616"/>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For the twelve months ending September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r>
      <w:tr w:rsidR="00000000">
        <w:trPr>
          <w:divId w:val="842815616"/>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2026</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Total</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Fair Value</w:t>
            </w:r>
          </w:p>
        </w:tc>
      </w:tr>
      <w:tr w:rsidR="00000000">
        <w:trPr>
          <w:divId w:val="842815616"/>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CONSOLIDATED CENTERS: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000000">
        <w:trPr>
          <w:divId w:val="84281561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Long-term debt:</w:t>
            </w: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FF0345">
        <w:trPr>
          <w:divId w:val="84281561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Fixed rate(1)</w:t>
            </w: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479,813 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663,318 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471,219 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607,334 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214,621 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1,785,000 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4,221,305 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4,124,283 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4281561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4.57 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4.19 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4.41 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3.92 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4.01 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r>
      <w:tr w:rsidR="00000000">
        <w:trPr>
          <w:divId w:val="84281561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Floating rate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37,820 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317,102 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354,922 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354,892 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4281561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Average interest rate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3.07 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3.39 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3.35 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r>
      <w:tr w:rsidR="00FF0345">
        <w:trPr>
          <w:divId w:val="842815616"/>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Total debt—Consolidated Centers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479,813 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701,138 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788,321 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607,334 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214,621 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1,785,000 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4,576,227 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4,479,175 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4281561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6"/>
                <w:szCs w:val="16"/>
              </w:rPr>
              <w:t>UNCONSOLIDATED JOINT VENTURE CENTERS: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000000">
        <w:trPr>
          <w:divId w:val="842815616"/>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Long-term debt (at Company's pro rata share):</w:t>
            </w: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 </w:t>
            </w:r>
          </w:p>
        </w:tc>
      </w:tr>
      <w:tr w:rsidR="00FF0345">
        <w:trPr>
          <w:divId w:val="84281561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Fixed rate</w:t>
            </w: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152,530 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673,865 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372,033 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34,504 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551,102 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1,224,921 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3,008,955 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2,963,119 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4281561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3.52 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4.08 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3.84 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3.83 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3.88 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3.82 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r>
      <w:tr w:rsidR="00000000">
        <w:trPr>
          <w:divId w:val="842815616"/>
        </w:trPr>
        <w:tc>
          <w:tcPr>
            <w:tcW w:w="0" w:type="auto"/>
            <w:gridSpan w:val="3"/>
            <w:shd w:val="clear" w:color="auto" w:fill="CCEE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Floating rate</w:t>
            </w: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33,907 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10,802 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55,060 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99,769 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95,855 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r w:rsidR="00000000">
        <w:trPr>
          <w:divId w:val="842815616"/>
        </w:trPr>
        <w:tc>
          <w:tcPr>
            <w:tcW w:w="0" w:type="auto"/>
            <w:gridSpan w:val="3"/>
            <w:shd w:val="clear" w:color="auto" w:fill="FFFFFF"/>
            <w:tcMar>
              <w:top w:w="30" w:type="dxa"/>
              <w:left w:w="155"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Average interest rate</w:t>
            </w: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2.09 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1.79 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1.91 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jc w:val="right"/>
              <w:rPr>
                <w:rFonts w:eastAsia="Times New Roman"/>
              </w:rPr>
            </w:pPr>
            <w:r>
              <w:rPr>
                <w:rFonts w:eastAsia="Times New Roman"/>
                <w:color w:val="000000"/>
                <w:sz w:val="16"/>
                <w:szCs w:val="16"/>
              </w:rPr>
              <w:t> </w:t>
            </w:r>
          </w:p>
        </w:tc>
      </w:tr>
      <w:tr w:rsidR="00FF0345">
        <w:trPr>
          <w:divId w:val="842815616"/>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6"/>
                <w:szCs w:val="16"/>
              </w:rPr>
              <w:t>Total debt—Unconsolidated Joint Venture Centers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186,437 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673,865 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382,835 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89,564 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551,102 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1,224,921 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3,108,724 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6"/>
                <w:szCs w:val="16"/>
              </w:rPr>
              <w:t>3,058,974 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r>
    </w:tbl>
    <w:p w:rsidR="00000000" w:rsidRDefault="00FF0345">
      <w:pPr>
        <w:ind w:hanging="450"/>
        <w:divId w:val="1401096584"/>
        <w:rPr>
          <w:rFonts w:eastAsia="Times New Roman"/>
        </w:rPr>
      </w:pPr>
      <w:r>
        <w:rPr>
          <w:rFonts w:eastAsia="Times New Roman"/>
          <w:color w:val="000000"/>
          <w:sz w:val="16"/>
          <w:szCs w:val="16"/>
        </w:rPr>
        <w:t>(1)    The notional amount of the swaps that were previously hedged against the Company's prior revolving line of credit are now hedged against the Santa Monica Place floati</w:t>
      </w:r>
      <w:r>
        <w:rPr>
          <w:rFonts w:eastAsia="Times New Roman"/>
          <w:color w:val="000000"/>
          <w:sz w:val="16"/>
          <w:szCs w:val="16"/>
        </w:rPr>
        <w:t>ng rate debt and a portion of Green Acres Commons floating rate debt effectively converting the Santa Monica Place loan and a majority of the Green Acres Commons loan to fixed rate debt through September 30, 2021. The Company did not renew the swaps and, a</w:t>
      </w:r>
      <w:r>
        <w:rPr>
          <w:rFonts w:eastAsia="Times New Roman"/>
          <w:color w:val="000000"/>
          <w:sz w:val="16"/>
          <w:szCs w:val="16"/>
        </w:rPr>
        <w:t>s a result, on October 1, 2021, these loans reverted back to floating interest rate loans (See Note 5—Derivative Instruments and Hedging Activities in the Company's Notes to the Consolidated Financial Statements).</w:t>
      </w:r>
    </w:p>
    <w:p w:rsidR="00000000" w:rsidRDefault="00FF0345">
      <w:pPr>
        <w:ind w:firstLine="495"/>
        <w:divId w:val="635914634"/>
        <w:rPr>
          <w:rFonts w:eastAsia="Times New Roman"/>
        </w:rPr>
      </w:pPr>
      <w:r>
        <w:rPr>
          <w:rFonts w:eastAsia="Times New Roman"/>
          <w:color w:val="000000"/>
          <w:sz w:val="20"/>
          <w:szCs w:val="20"/>
        </w:rPr>
        <w:t>The Consolidated Centers' total fixed rate</w:t>
      </w:r>
      <w:r>
        <w:rPr>
          <w:rFonts w:eastAsia="Times New Roman"/>
          <w:color w:val="000000"/>
          <w:sz w:val="20"/>
          <w:szCs w:val="20"/>
        </w:rPr>
        <w:t xml:space="preserve"> debt at each of September 30, 2021 and December 31, 2020 was $4.2 billion. The average interest rate on the fixed rate debt at September 30, 2021 and December 31, 2020 was 4.01% and 3.98%, respectively. The Consolidated Centers' total floating rate debt a</w:t>
      </w:r>
      <w:r>
        <w:rPr>
          <w:rFonts w:eastAsia="Times New Roman"/>
          <w:color w:val="000000"/>
          <w:sz w:val="20"/>
          <w:szCs w:val="20"/>
        </w:rPr>
        <w:t>t each of September 30, 2021 and December 31, 2020 was $0.4 billion and $1.7 billion, respectively. The average interest rate on the floating rate debt at September 30, 2021 and December 31, 2020 was 3.35% and 2.08%, respectively.</w:t>
      </w:r>
    </w:p>
    <w:p w:rsidR="00000000" w:rsidRDefault="00FF0345">
      <w:pPr>
        <w:ind w:firstLine="495"/>
        <w:divId w:val="1062943349"/>
        <w:rPr>
          <w:rFonts w:eastAsia="Times New Roman"/>
        </w:rPr>
      </w:pPr>
      <w:r>
        <w:rPr>
          <w:rFonts w:eastAsia="Times New Roman"/>
          <w:color w:val="000000"/>
          <w:sz w:val="20"/>
          <w:szCs w:val="20"/>
        </w:rPr>
        <w:t>The Company's pro rata sh</w:t>
      </w:r>
      <w:r>
        <w:rPr>
          <w:rFonts w:eastAsia="Times New Roman"/>
          <w:color w:val="000000"/>
          <w:sz w:val="20"/>
          <w:szCs w:val="20"/>
        </w:rPr>
        <w:t>are of the unconsolidated joint venture Centers' fixed rate debt at each of September 30, 2021 and December 31, 2020 was $3.0 billion. The average interest rate on the fixed rate debt at September 30, 2021 and December 31, 2020 was 3.82%. The Company's pro</w:t>
      </w:r>
      <w:r>
        <w:rPr>
          <w:rFonts w:eastAsia="Times New Roman"/>
          <w:color w:val="000000"/>
          <w:sz w:val="20"/>
          <w:szCs w:val="20"/>
        </w:rPr>
        <w:t xml:space="preserve"> rata share of the unconsolidated joint venture Centers' floating rate debt at September 30, 2021 and December 31, 2020 was $99.8 million and $70.5 million, respectively. The average interest rate on the floating rate debt at September 30, 2021 and Decembe</w:t>
      </w:r>
      <w:r>
        <w:rPr>
          <w:rFonts w:eastAsia="Times New Roman"/>
          <w:color w:val="000000"/>
          <w:sz w:val="20"/>
          <w:szCs w:val="20"/>
        </w:rPr>
        <w:t>r 31, 2020 was 1.91% and 2.02%, respectively.</w:t>
      </w:r>
    </w:p>
    <w:p w:rsidR="00000000" w:rsidRDefault="00FF0345">
      <w:pPr>
        <w:ind w:firstLine="495"/>
        <w:divId w:val="1124151633"/>
        <w:rPr>
          <w:rFonts w:eastAsia="Times New Roman"/>
        </w:rPr>
      </w:pPr>
      <w:r>
        <w:rPr>
          <w:rFonts w:eastAsia="Times New Roman"/>
          <w:color w:val="000000"/>
          <w:sz w:val="20"/>
          <w:szCs w:val="20"/>
        </w:rPr>
        <w:t>The Company uses derivative financial instruments in the normal course of business to manage or hedge interest rate risk and records all derivatives on the balance sheet at fair value. Interest rate cap agreeme</w:t>
      </w:r>
      <w:r>
        <w:rPr>
          <w:rFonts w:eastAsia="Times New Roman"/>
          <w:color w:val="000000"/>
          <w:sz w:val="20"/>
          <w:szCs w:val="20"/>
        </w:rPr>
        <w:t>nts offer protection against floating rates on the notional amount from exceeding the rates noted in the above schedule, and interest rate swap agreements effectively replace a floating rate on the notional amount with a fixed rate as noted above. These sw</w:t>
      </w:r>
      <w:r>
        <w:rPr>
          <w:rFonts w:eastAsia="Times New Roman"/>
          <w:color w:val="000000"/>
          <w:sz w:val="20"/>
          <w:szCs w:val="20"/>
        </w:rPr>
        <w:t>ap agreements expired on September 30, 2021 and have not been renewed by the Company. As of September 30, 2021, the Company has one interest rate cap agreement and four interest rate swap agreements in place (See Note 5—Derivative Instruments and Hedging A</w:t>
      </w:r>
      <w:r>
        <w:rPr>
          <w:rFonts w:eastAsia="Times New Roman"/>
          <w:color w:val="000000"/>
          <w:sz w:val="20"/>
          <w:szCs w:val="20"/>
        </w:rPr>
        <w:t>ctivities in the Company's Notes to the Consolidated Financial Statements).</w:t>
      </w:r>
    </w:p>
    <w:p w:rsidR="00000000" w:rsidRDefault="00FF0345">
      <w:pPr>
        <w:jc w:val="center"/>
        <w:divId w:val="2108692796"/>
        <w:rPr>
          <w:rFonts w:eastAsia="Times New Roman"/>
        </w:rPr>
      </w:pPr>
    </w:p>
    <w:p w:rsidR="00000000" w:rsidRDefault="00FF0345">
      <w:pPr>
        <w:jc w:val="center"/>
        <w:divId w:val="2108692796"/>
        <w:rPr>
          <w:rFonts w:eastAsia="Times New Roman"/>
        </w:rPr>
      </w:pPr>
      <w:r>
        <w:rPr>
          <w:rFonts w:eastAsia="Times New Roman"/>
          <w:color w:val="000000"/>
          <w:sz w:val="20"/>
          <w:szCs w:val="20"/>
        </w:rPr>
        <w:t>43</w:t>
      </w:r>
    </w:p>
    <w:p w:rsidR="00000000" w:rsidRDefault="00FF0345">
      <w:pPr>
        <w:rPr>
          <w:rFonts w:eastAsia="Times New Roman"/>
        </w:rPr>
      </w:pPr>
      <w:r>
        <w:rPr>
          <w:rFonts w:eastAsia="Times New Roman"/>
        </w:rPr>
        <w:pict>
          <v:rect id="_x0000_i1067" style="width:0;height:1.5pt" o:hralign="center" o:hrstd="t" o:hr="t" fillcolor="#a0a0a0" stroked="f"/>
        </w:pict>
      </w:r>
    </w:p>
    <w:p w:rsidR="00000000" w:rsidRDefault="00FF0345">
      <w:pPr>
        <w:divId w:val="918490295"/>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ind w:firstLine="495"/>
        <w:divId w:val="1303266421"/>
        <w:rPr>
          <w:rFonts w:eastAsia="Times New Roman"/>
        </w:rPr>
      </w:pPr>
      <w:r>
        <w:rPr>
          <w:rFonts w:eastAsia="Times New Roman"/>
          <w:color w:val="000000"/>
          <w:sz w:val="20"/>
          <w:szCs w:val="20"/>
        </w:rPr>
        <w:t>In addition, the Company has assessed the market risk for its floating rate debt and believes that a 1% increase in interest rates would decrease future earnings and cash flows by approximately $4.5 million per year based on $0.5 billion of floating rate d</w:t>
      </w:r>
      <w:r>
        <w:rPr>
          <w:rFonts w:eastAsia="Times New Roman"/>
          <w:color w:val="000000"/>
          <w:sz w:val="20"/>
          <w:szCs w:val="20"/>
        </w:rPr>
        <w:t>ebt outstanding at September 30, 2021.</w:t>
      </w:r>
    </w:p>
    <w:p w:rsidR="00000000" w:rsidRDefault="00FF0345">
      <w:pPr>
        <w:ind w:firstLine="495"/>
        <w:divId w:val="1763798182"/>
        <w:rPr>
          <w:rFonts w:eastAsia="Times New Roman"/>
        </w:rPr>
      </w:pPr>
      <w:r>
        <w:rPr>
          <w:rFonts w:eastAsia="Times New Roman"/>
          <w:color w:val="000000"/>
          <w:sz w:val="20"/>
          <w:szCs w:val="20"/>
        </w:rPr>
        <w:t xml:space="preserve">The fair value of the Company's long-term debt is estimated based on a present value model utilizing interest rates that reflect the risks associated with long-term debt of similar risk and duration. In addition, the </w:t>
      </w:r>
      <w:r>
        <w:rPr>
          <w:rFonts w:eastAsia="Times New Roman"/>
          <w:color w:val="000000"/>
          <w:sz w:val="20"/>
          <w:szCs w:val="20"/>
        </w:rPr>
        <w:t>method of computing fair value for mortgage notes payable included a credit value adjustment based on the estimated value of the property that serves as collateral for the underlying debt (See Note 10—Mortgage Notes Payable and Note 11—Bank and Other Notes</w:t>
      </w:r>
      <w:r>
        <w:rPr>
          <w:rFonts w:eastAsia="Times New Roman"/>
          <w:color w:val="000000"/>
          <w:sz w:val="20"/>
          <w:szCs w:val="20"/>
        </w:rPr>
        <w:t xml:space="preserve"> Payable in the Company's Notes to the Consolidated Financial Statements). </w:t>
      </w:r>
    </w:p>
    <w:p w:rsidR="00000000" w:rsidRDefault="00FF0345">
      <w:pPr>
        <w:ind w:firstLine="495"/>
        <w:divId w:val="911351224"/>
        <w:rPr>
          <w:rFonts w:eastAsia="Times New Roman"/>
        </w:rPr>
      </w:pPr>
      <w:r>
        <w:rPr>
          <w:rFonts w:eastAsia="Times New Roman"/>
          <w:color w:val="000000"/>
          <w:sz w:val="20"/>
          <w:szCs w:val="20"/>
        </w:rPr>
        <w:t>In July 2017, the Financial Conduct Authority (the “FCA”), the authority that regulates LIBOR, announced that it intends to stop compelling banks to submit rates for the calculatio</w:t>
      </w:r>
      <w:r>
        <w:rPr>
          <w:rFonts w:eastAsia="Times New Roman"/>
          <w:color w:val="000000"/>
          <w:sz w:val="20"/>
          <w:szCs w:val="20"/>
        </w:rPr>
        <w:t>n of LIBOR after 2021, and, on March 5, 2021, the FCA announced that USD-LIBOR will no longer be published after June 30, 2023. In the event that LIBOR is discontinued after June 30, 2023, the interest rate for the variable rate debt of the Company and its</w:t>
      </w:r>
      <w:r>
        <w:rPr>
          <w:rFonts w:eastAsia="Times New Roman"/>
          <w:color w:val="000000"/>
          <w:sz w:val="20"/>
          <w:szCs w:val="20"/>
        </w:rPr>
        <w:t xml:space="preserve"> joint ventures and the swap rate for the Company’s interest rate swaps following such event will be based on an alternative variable rate as specified in the applicable documentation governing such debt or swaps or as otherwise agreed upon. Such an event </w:t>
      </w:r>
      <w:r>
        <w:rPr>
          <w:rFonts w:eastAsia="Times New Roman"/>
          <w:color w:val="000000"/>
          <w:sz w:val="20"/>
          <w:szCs w:val="20"/>
        </w:rPr>
        <w:t>would not affect the Company’s ability to borrow or maintain already outstanding borrowings or swaps, but the alternative variable rate could be higher and more volatile than LIBOR prior to its discontinuance.</w:t>
      </w:r>
    </w:p>
    <w:p w:rsidR="00000000" w:rsidRDefault="00FF0345">
      <w:pPr>
        <w:ind w:hanging="360"/>
        <w:divId w:val="787507878"/>
        <w:rPr>
          <w:rFonts w:eastAsia="Times New Roman"/>
        </w:rPr>
      </w:pPr>
      <w:r>
        <w:rPr>
          <w:rFonts w:eastAsia="Times New Roman"/>
          <w:b/>
          <w:bCs/>
          <w:color w:val="000000"/>
          <w:sz w:val="20"/>
          <w:szCs w:val="20"/>
        </w:rPr>
        <w:t>Item 4.    Controls and Procedures</w:t>
      </w:r>
    </w:p>
    <w:p w:rsidR="00000000" w:rsidRDefault="00FF0345">
      <w:pPr>
        <w:ind w:firstLine="495"/>
        <w:divId w:val="2130199702"/>
        <w:rPr>
          <w:rFonts w:eastAsia="Times New Roman"/>
        </w:rPr>
      </w:pPr>
      <w:r>
        <w:rPr>
          <w:rFonts w:eastAsia="Times New Roman"/>
          <w:color w:val="000000"/>
          <w:sz w:val="20"/>
          <w:szCs w:val="20"/>
        </w:rPr>
        <w:t>As required</w:t>
      </w:r>
      <w:r>
        <w:rPr>
          <w:rFonts w:eastAsia="Times New Roman"/>
          <w:color w:val="000000"/>
          <w:sz w:val="20"/>
          <w:szCs w:val="20"/>
        </w:rPr>
        <w:t xml:space="preserve"> by Rule 13a-15(b) under the Securities Exchange Act of 1934, management carried out an evaluation, under the supervision and with the participation of the Company's Chief Executive Officer and Chief Financial Officer, of the effectiveness of the Company's</w:t>
      </w:r>
      <w:r>
        <w:rPr>
          <w:rFonts w:eastAsia="Times New Roman"/>
          <w:color w:val="000000"/>
          <w:sz w:val="20"/>
          <w:szCs w:val="20"/>
        </w:rPr>
        <w:t xml:space="preserve"> disclosure controls and procedures as of the end of the period covered by this Quarterly Report on Form 10-Q. Based on their evaluation as of September 30, 2021, the Company's Chief Executive Officer and Chief Financial Officer have concluded that the Com</w:t>
      </w:r>
      <w:r>
        <w:rPr>
          <w:rFonts w:eastAsia="Times New Roman"/>
          <w:color w:val="000000"/>
          <w:sz w:val="20"/>
          <w:szCs w:val="20"/>
        </w:rPr>
        <w:t xml:space="preserve">pany's disclosure controls and procedures (as defined in Rule 13a-15(e) and 15d-15(e) under the Securities Exchange Act of 1934, as amended) were effective to ensure that the information required to be disclosed by the Company in the reports that it files </w:t>
      </w:r>
      <w:r>
        <w:rPr>
          <w:rFonts w:eastAsia="Times New Roman"/>
          <w:color w:val="000000"/>
          <w:sz w:val="20"/>
          <w:szCs w:val="20"/>
        </w:rPr>
        <w:t>or submits under the Securities Exchange Act of 1934 is (a) recorded, processed, summarized, and reported within the time periods specified in the SEC's rules and forms and (b) accumulated and communicated to the Company's management, including its Chief E</w:t>
      </w:r>
      <w:r>
        <w:rPr>
          <w:rFonts w:eastAsia="Times New Roman"/>
          <w:color w:val="000000"/>
          <w:sz w:val="20"/>
          <w:szCs w:val="20"/>
        </w:rPr>
        <w:t>xecutive Officer and Chief Financial Officer, or persons performing similar functions, as appropriate to allow timely decisions regarding required disclosure.</w:t>
      </w:r>
    </w:p>
    <w:p w:rsidR="00000000" w:rsidRDefault="00FF0345">
      <w:pPr>
        <w:ind w:firstLine="495"/>
        <w:divId w:val="1277248834"/>
        <w:rPr>
          <w:rFonts w:eastAsia="Times New Roman"/>
        </w:rPr>
      </w:pPr>
      <w:r>
        <w:rPr>
          <w:rFonts w:eastAsia="Times New Roman"/>
          <w:color w:val="000000"/>
          <w:sz w:val="20"/>
          <w:szCs w:val="20"/>
        </w:rPr>
        <w:t>In addition, there has been no change in the Company's internal control over financial reporting (as such term is defined in Rules 13a-15(f) and 15(d)-15(f) under the Securities Exchange Act of 1934) that occurred during the Company's most recent fiscal qu</w:t>
      </w:r>
      <w:r>
        <w:rPr>
          <w:rFonts w:eastAsia="Times New Roman"/>
          <w:color w:val="000000"/>
          <w:sz w:val="20"/>
          <w:szCs w:val="20"/>
        </w:rPr>
        <w:t>arter that has materially affected, or is reasonably likely to materially affect, the Company's internal control over financial reporting.</w:t>
      </w:r>
    </w:p>
    <w:p w:rsidR="00000000" w:rsidRDefault="00FF0345">
      <w:pPr>
        <w:ind w:firstLine="495"/>
        <w:divId w:val="419718660"/>
        <w:rPr>
          <w:rFonts w:eastAsia="Times New Roman"/>
        </w:rPr>
      </w:pPr>
    </w:p>
    <w:p w:rsidR="00000000" w:rsidRDefault="00FF0345">
      <w:pPr>
        <w:jc w:val="center"/>
        <w:divId w:val="1157458999"/>
        <w:rPr>
          <w:rFonts w:eastAsia="Times New Roman"/>
        </w:rPr>
      </w:pPr>
      <w:r>
        <w:rPr>
          <w:rFonts w:eastAsia="Times New Roman"/>
          <w:b/>
          <w:bCs/>
          <w:color w:val="000000"/>
          <w:sz w:val="20"/>
          <w:szCs w:val="20"/>
        </w:rPr>
        <w:t>PART II OTHER INFORMATION</w:t>
      </w:r>
    </w:p>
    <w:p w:rsidR="00000000" w:rsidRDefault="00FF0345">
      <w:pPr>
        <w:divId w:val="722170318"/>
        <w:rPr>
          <w:rFonts w:eastAsia="Times New Roman"/>
        </w:rPr>
      </w:pPr>
      <w:r>
        <w:rPr>
          <w:rFonts w:eastAsia="Times New Roman"/>
          <w:b/>
          <w:bCs/>
          <w:color w:val="000000"/>
          <w:sz w:val="20"/>
          <w:szCs w:val="20"/>
        </w:rPr>
        <w:t>Item 1.   Legal Proceedings</w:t>
      </w:r>
    </w:p>
    <w:p w:rsidR="00000000" w:rsidRDefault="00FF0345">
      <w:pPr>
        <w:ind w:firstLine="495"/>
        <w:divId w:val="489174332"/>
        <w:rPr>
          <w:rFonts w:eastAsia="Times New Roman"/>
        </w:rPr>
      </w:pPr>
      <w:r>
        <w:rPr>
          <w:rFonts w:eastAsia="Times New Roman"/>
          <w:color w:val="000000"/>
          <w:sz w:val="20"/>
          <w:szCs w:val="20"/>
        </w:rPr>
        <w:t>None of the Company, the Operating Partnership, the Managemen</w:t>
      </w:r>
      <w:r>
        <w:rPr>
          <w:rFonts w:eastAsia="Times New Roman"/>
          <w:color w:val="000000"/>
          <w:sz w:val="20"/>
          <w:szCs w:val="20"/>
        </w:rPr>
        <w:t>t Companies or their respective affiliates are currently involved in any material legal proceedings, although from time-to-time they are involved in various legal proceedings that arise in the ordinary course of business.</w:t>
      </w:r>
    </w:p>
    <w:p w:rsidR="00000000" w:rsidRDefault="00FF0345">
      <w:pPr>
        <w:divId w:val="1346058463"/>
        <w:rPr>
          <w:rFonts w:eastAsia="Times New Roman"/>
        </w:rPr>
      </w:pPr>
      <w:r>
        <w:rPr>
          <w:rFonts w:eastAsia="Times New Roman"/>
          <w:b/>
          <w:bCs/>
          <w:color w:val="000000"/>
          <w:sz w:val="20"/>
          <w:szCs w:val="20"/>
        </w:rPr>
        <w:t>Item 1A.  Risk Factors</w:t>
      </w:r>
    </w:p>
    <w:p w:rsidR="00000000" w:rsidRDefault="00FF0345">
      <w:pPr>
        <w:ind w:firstLine="495"/>
        <w:divId w:val="1701274066"/>
        <w:rPr>
          <w:rFonts w:eastAsia="Times New Roman"/>
        </w:rPr>
      </w:pPr>
      <w:r>
        <w:rPr>
          <w:rFonts w:eastAsia="Times New Roman"/>
          <w:color w:val="000000"/>
          <w:sz w:val="20"/>
          <w:szCs w:val="20"/>
        </w:rPr>
        <w:t xml:space="preserve">There have </w:t>
      </w:r>
      <w:r>
        <w:rPr>
          <w:rFonts w:eastAsia="Times New Roman"/>
          <w:color w:val="000000"/>
          <w:sz w:val="20"/>
          <w:szCs w:val="20"/>
        </w:rPr>
        <w:t>been no material changes to the risk factors relating to the Company set forth under the caption "Item 1A. Risk Factors" in the Company's Annual Report on Form 10-K for the year ended December 31, 2020.</w:t>
      </w:r>
    </w:p>
    <w:p w:rsidR="00000000" w:rsidRDefault="00FF0345">
      <w:pPr>
        <w:ind w:firstLine="495"/>
        <w:divId w:val="1423258673"/>
        <w:rPr>
          <w:rFonts w:eastAsia="Times New Roman"/>
        </w:rPr>
      </w:pPr>
    </w:p>
    <w:p w:rsidR="00000000" w:rsidRDefault="00FF0345">
      <w:pPr>
        <w:ind w:firstLine="495"/>
        <w:divId w:val="1434131694"/>
        <w:rPr>
          <w:rFonts w:eastAsia="Times New Roman"/>
        </w:rPr>
      </w:pPr>
    </w:p>
    <w:p w:rsidR="00000000" w:rsidRDefault="00FF0345">
      <w:pPr>
        <w:ind w:firstLine="495"/>
        <w:divId w:val="1939022396"/>
        <w:rPr>
          <w:rFonts w:eastAsia="Times New Roman"/>
        </w:rPr>
      </w:pPr>
    </w:p>
    <w:p w:rsidR="00000000" w:rsidRDefault="00FF0345">
      <w:pPr>
        <w:ind w:firstLine="495"/>
        <w:divId w:val="1513452583"/>
        <w:rPr>
          <w:rFonts w:eastAsia="Times New Roman"/>
        </w:rPr>
      </w:pPr>
    </w:p>
    <w:p w:rsidR="00000000" w:rsidRDefault="00FF0345">
      <w:pPr>
        <w:ind w:firstLine="495"/>
        <w:divId w:val="401563208"/>
        <w:rPr>
          <w:rFonts w:eastAsia="Times New Roman"/>
        </w:rPr>
      </w:pPr>
    </w:p>
    <w:p w:rsidR="00000000" w:rsidRDefault="00FF0345">
      <w:pPr>
        <w:ind w:firstLine="495"/>
        <w:divId w:val="640382694"/>
        <w:rPr>
          <w:rFonts w:eastAsia="Times New Roman"/>
        </w:rPr>
      </w:pPr>
    </w:p>
    <w:p w:rsidR="00000000" w:rsidRDefault="00FF0345">
      <w:pPr>
        <w:ind w:firstLine="495"/>
        <w:divId w:val="158889619"/>
        <w:rPr>
          <w:rFonts w:eastAsia="Times New Roman"/>
        </w:rPr>
      </w:pPr>
    </w:p>
    <w:p w:rsidR="00000000" w:rsidRDefault="00FF0345">
      <w:pPr>
        <w:jc w:val="center"/>
        <w:divId w:val="210970356"/>
        <w:rPr>
          <w:rFonts w:eastAsia="Times New Roman"/>
        </w:rPr>
      </w:pPr>
    </w:p>
    <w:p w:rsidR="00000000" w:rsidRDefault="00FF0345">
      <w:pPr>
        <w:jc w:val="center"/>
        <w:divId w:val="210970356"/>
        <w:rPr>
          <w:rFonts w:eastAsia="Times New Roman"/>
        </w:rPr>
      </w:pPr>
      <w:r>
        <w:rPr>
          <w:rFonts w:eastAsia="Times New Roman"/>
          <w:color w:val="000000"/>
          <w:sz w:val="20"/>
          <w:szCs w:val="20"/>
        </w:rPr>
        <w:t>44</w:t>
      </w:r>
    </w:p>
    <w:p w:rsidR="00000000" w:rsidRDefault="00FF0345">
      <w:pPr>
        <w:rPr>
          <w:rFonts w:eastAsia="Times New Roman"/>
        </w:rPr>
      </w:pPr>
      <w:r>
        <w:rPr>
          <w:rFonts w:eastAsia="Times New Roman"/>
        </w:rPr>
        <w:pict>
          <v:rect id="_x0000_i1068" style="width:0;height:1.5pt" o:hralign="center" o:hrstd="t" o:hr="t" fillcolor="#a0a0a0" stroked="f"/>
        </w:pict>
      </w:r>
    </w:p>
    <w:p w:rsidR="00000000" w:rsidRDefault="00FF0345">
      <w:pPr>
        <w:divId w:val="1241715659"/>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1911499492"/>
        <w:rPr>
          <w:rFonts w:eastAsia="Times New Roman"/>
        </w:rPr>
      </w:pPr>
      <w:r>
        <w:rPr>
          <w:rFonts w:eastAsia="Times New Roman"/>
          <w:b/>
          <w:bCs/>
          <w:color w:val="000000"/>
          <w:sz w:val="20"/>
          <w:szCs w:val="20"/>
        </w:rPr>
        <w:t>Item 2.  Unregistered Sales of Equity Securities and Use of Proceeds</w:t>
      </w:r>
    </w:p>
    <w:p w:rsidR="00000000" w:rsidRDefault="00FF0345">
      <w:pPr>
        <w:ind w:firstLine="495"/>
        <w:divId w:val="2013756241"/>
        <w:rPr>
          <w:rFonts w:eastAsia="Times New Roman"/>
        </w:rPr>
      </w:pPr>
      <w:r>
        <w:rPr>
          <w:rFonts w:eastAsia="Times New Roman"/>
          <w:color w:val="000000"/>
          <w:sz w:val="20"/>
          <w:szCs w:val="20"/>
        </w:rPr>
        <w:t>None</w:t>
      </w:r>
    </w:p>
    <w:p w:rsidR="00000000" w:rsidRDefault="00FF0345">
      <w:pPr>
        <w:divId w:val="1845390128"/>
        <w:rPr>
          <w:rFonts w:eastAsia="Times New Roman"/>
        </w:rPr>
      </w:pPr>
      <w:r>
        <w:rPr>
          <w:rFonts w:eastAsia="Times New Roman"/>
          <w:b/>
          <w:bCs/>
          <w:color w:val="000000"/>
          <w:sz w:val="20"/>
          <w:szCs w:val="20"/>
        </w:rPr>
        <w:t>Issuer Purchases of Equity Securities</w:t>
      </w:r>
    </w:p>
    <w:tbl>
      <w:tblPr>
        <w:tblW w:w="4919" w:type="pct"/>
        <w:tblCellMar>
          <w:top w:w="15" w:type="dxa"/>
          <w:left w:w="15" w:type="dxa"/>
          <w:bottom w:w="15" w:type="dxa"/>
          <w:right w:w="15" w:type="dxa"/>
        </w:tblCellMar>
        <w:tblLook w:val="04A0" w:firstRow="1" w:lastRow="0" w:firstColumn="1" w:lastColumn="0" w:noHBand="0" w:noVBand="1"/>
      </w:tblPr>
      <w:tblGrid>
        <w:gridCol w:w="50"/>
        <w:gridCol w:w="2442"/>
        <w:gridCol w:w="37"/>
        <w:gridCol w:w="36"/>
        <w:gridCol w:w="36"/>
        <w:gridCol w:w="36"/>
        <w:gridCol w:w="62"/>
        <w:gridCol w:w="971"/>
        <w:gridCol w:w="36"/>
        <w:gridCol w:w="50"/>
        <w:gridCol w:w="169"/>
        <w:gridCol w:w="36"/>
        <w:gridCol w:w="36"/>
        <w:gridCol w:w="36"/>
        <w:gridCol w:w="36"/>
        <w:gridCol w:w="121"/>
        <w:gridCol w:w="838"/>
        <w:gridCol w:w="36"/>
        <w:gridCol w:w="36"/>
        <w:gridCol w:w="36"/>
        <w:gridCol w:w="36"/>
        <w:gridCol w:w="61"/>
        <w:gridCol w:w="1095"/>
        <w:gridCol w:w="36"/>
        <w:gridCol w:w="50"/>
        <w:gridCol w:w="169"/>
        <w:gridCol w:w="36"/>
        <w:gridCol w:w="36"/>
        <w:gridCol w:w="36"/>
        <w:gridCol w:w="36"/>
        <w:gridCol w:w="110"/>
        <w:gridCol w:w="1117"/>
        <w:gridCol w:w="36"/>
        <w:gridCol w:w="36"/>
        <w:gridCol w:w="109"/>
        <w:gridCol w:w="36"/>
      </w:tblGrid>
      <w:tr w:rsidR="00000000">
        <w:trPr>
          <w:divId w:val="1845390128"/>
        </w:trPr>
        <w:tc>
          <w:tcPr>
            <w:tcW w:w="50" w:type="pct"/>
            <w:vAlign w:val="center"/>
            <w:hideMark/>
          </w:tcPr>
          <w:p w:rsidR="00000000" w:rsidRDefault="00FF0345">
            <w:pPr>
              <w:rPr>
                <w:rFonts w:eastAsia="Times New Roman"/>
              </w:rPr>
            </w:pPr>
          </w:p>
        </w:tc>
        <w:tc>
          <w:tcPr>
            <w:tcW w:w="151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3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2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54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10"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23"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71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8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1845390128"/>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b/>
                <w:bCs/>
                <w:color w:val="000000"/>
                <w:sz w:val="18"/>
                <w:szCs w:val="18"/>
              </w:rPr>
              <w:t>Period</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8"/>
                <w:szCs w:val="18"/>
              </w:rPr>
              <w:t>Approximate Dollar Value of Shares That May Yet Be Purchased Under the Plans or Programs (1)</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r>
      <w:tr w:rsidR="00000000">
        <w:trPr>
          <w:divId w:val="18453901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July 1, 2021 to July 31, 2021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278,707,048 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r>
      <w:tr w:rsidR="00000000">
        <w:trPr>
          <w:divId w:val="1845390128"/>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August 1, 2021 to August 31, 2021</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278,707,048 </w:t>
            </w:r>
          </w:p>
        </w:tc>
        <w:tc>
          <w:tcPr>
            <w:tcW w:w="0" w:type="auto"/>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r>
      <w:tr w:rsidR="00000000">
        <w:trPr>
          <w:divId w:val="1845390128"/>
        </w:trPr>
        <w:tc>
          <w:tcPr>
            <w:tcW w:w="0" w:type="auto"/>
            <w:gridSpan w:val="3"/>
            <w:shd w:val="clear" w:color="auto" w:fill="CCEE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September 1, 2021 to September 30, 2021</w:t>
            </w: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278,707,048 </w:t>
            </w:r>
          </w:p>
        </w:tc>
        <w:tc>
          <w:tcPr>
            <w:tcW w:w="0" w:type="auto"/>
            <w:shd w:val="clear" w:color="auto" w:fill="CCEE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r>
      <w:tr w:rsidR="00000000">
        <w:trPr>
          <w:divId w:val="1845390128"/>
        </w:trPr>
        <w:tc>
          <w:tcPr>
            <w:tcW w:w="0" w:type="auto"/>
            <w:gridSpan w:val="3"/>
            <w:shd w:val="clear" w:color="auto" w:fill="FFFFFF"/>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FF0345">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F0345">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F034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ind w:hanging="630"/>
        <w:divId w:val="691414305"/>
        <w:rPr>
          <w:rFonts w:eastAsia="Times New Roman"/>
        </w:rPr>
      </w:pPr>
      <w:r>
        <w:rPr>
          <w:rFonts w:eastAsia="Times New Roman"/>
          <w:color w:val="000000"/>
          <w:sz w:val="18"/>
          <w:szCs w:val="18"/>
        </w:rPr>
        <w:t>(1)On February 12, 2017, the Company's Board of Directors authorized the repurchase of up to $500.0 million </w:t>
      </w:r>
      <w:r>
        <w:rPr>
          <w:rFonts w:eastAsia="Times New Roman"/>
          <w:color w:val="000000"/>
          <w:sz w:val="18"/>
          <w:szCs w:val="18"/>
        </w:rPr>
        <w:t xml:space="preserve">of the Company's outstanding common shares from time to time as market conditions warrant. </w:t>
      </w:r>
    </w:p>
    <w:p w:rsidR="00000000" w:rsidRDefault="00FF0345">
      <w:pPr>
        <w:divId w:val="1800996609"/>
        <w:rPr>
          <w:rFonts w:eastAsia="Times New Roman"/>
        </w:rPr>
      </w:pPr>
      <w:r>
        <w:rPr>
          <w:rFonts w:eastAsia="Times New Roman"/>
          <w:b/>
          <w:bCs/>
          <w:color w:val="000000"/>
          <w:sz w:val="20"/>
          <w:szCs w:val="20"/>
        </w:rPr>
        <w:t>Item 3.  Defaults Upon Senior Securities</w:t>
      </w:r>
    </w:p>
    <w:p w:rsidR="00000000" w:rsidRDefault="00FF0345">
      <w:pPr>
        <w:ind w:firstLine="495"/>
        <w:divId w:val="907493260"/>
        <w:rPr>
          <w:rFonts w:eastAsia="Times New Roman"/>
        </w:rPr>
      </w:pPr>
      <w:r>
        <w:rPr>
          <w:rFonts w:eastAsia="Times New Roman"/>
          <w:color w:val="000000"/>
          <w:sz w:val="20"/>
          <w:szCs w:val="20"/>
        </w:rPr>
        <w:t>Not Applicable</w:t>
      </w:r>
    </w:p>
    <w:p w:rsidR="00000000" w:rsidRDefault="00FF0345">
      <w:pPr>
        <w:divId w:val="1880434305"/>
        <w:rPr>
          <w:rFonts w:eastAsia="Times New Roman"/>
        </w:rPr>
      </w:pPr>
      <w:r>
        <w:rPr>
          <w:rFonts w:eastAsia="Times New Roman"/>
          <w:b/>
          <w:bCs/>
          <w:color w:val="000000"/>
          <w:sz w:val="20"/>
          <w:szCs w:val="20"/>
        </w:rPr>
        <w:t>Item 4.  Mine Safety Disclosures</w:t>
      </w:r>
    </w:p>
    <w:p w:rsidR="00000000" w:rsidRDefault="00FF0345">
      <w:pPr>
        <w:ind w:firstLine="495"/>
        <w:divId w:val="839661826"/>
        <w:rPr>
          <w:rFonts w:eastAsia="Times New Roman"/>
        </w:rPr>
      </w:pPr>
      <w:r>
        <w:rPr>
          <w:rFonts w:eastAsia="Times New Roman"/>
          <w:color w:val="000000"/>
          <w:sz w:val="20"/>
          <w:szCs w:val="20"/>
        </w:rPr>
        <w:t>Not Applicable</w:t>
      </w:r>
    </w:p>
    <w:p w:rsidR="00000000" w:rsidRDefault="00FF0345">
      <w:pPr>
        <w:divId w:val="421724532"/>
        <w:rPr>
          <w:rFonts w:eastAsia="Times New Roman"/>
        </w:rPr>
      </w:pPr>
      <w:r>
        <w:rPr>
          <w:rFonts w:eastAsia="Times New Roman"/>
          <w:b/>
          <w:bCs/>
          <w:color w:val="000000"/>
          <w:sz w:val="20"/>
          <w:szCs w:val="20"/>
        </w:rPr>
        <w:t>Item 5.  Other Information</w:t>
      </w:r>
    </w:p>
    <w:p w:rsidR="00000000" w:rsidRDefault="00FF0345">
      <w:pPr>
        <w:ind w:firstLine="495"/>
        <w:divId w:val="1287735006"/>
        <w:rPr>
          <w:rFonts w:eastAsia="Times New Roman"/>
        </w:rPr>
      </w:pPr>
      <w:r>
        <w:rPr>
          <w:rFonts w:eastAsia="Times New Roman"/>
          <w:color w:val="000000"/>
          <w:sz w:val="20"/>
          <w:szCs w:val="20"/>
        </w:rPr>
        <w:t>Not Applicable</w:t>
      </w:r>
    </w:p>
    <w:p w:rsidR="00000000" w:rsidRDefault="00FF0345">
      <w:pPr>
        <w:jc w:val="center"/>
        <w:divId w:val="1580553847"/>
        <w:rPr>
          <w:rFonts w:eastAsia="Times New Roman"/>
        </w:rPr>
      </w:pPr>
    </w:p>
    <w:p w:rsidR="00000000" w:rsidRDefault="00FF0345">
      <w:pPr>
        <w:jc w:val="center"/>
        <w:divId w:val="1580553847"/>
        <w:rPr>
          <w:rFonts w:eastAsia="Times New Roman"/>
        </w:rPr>
      </w:pPr>
      <w:r>
        <w:rPr>
          <w:rFonts w:eastAsia="Times New Roman"/>
          <w:color w:val="000000"/>
          <w:sz w:val="20"/>
          <w:szCs w:val="20"/>
        </w:rPr>
        <w:t>45</w:t>
      </w:r>
    </w:p>
    <w:p w:rsidR="00000000" w:rsidRDefault="00FF0345">
      <w:pPr>
        <w:rPr>
          <w:rFonts w:eastAsia="Times New Roman"/>
        </w:rPr>
      </w:pPr>
      <w:r>
        <w:rPr>
          <w:rFonts w:eastAsia="Times New Roman"/>
        </w:rPr>
        <w:pict>
          <v:rect id="_x0000_i1069" style="width:0;height:1.5pt" o:hralign="center" o:hrstd="t" o:hr="t" fillcolor="#a0a0a0" stroked="f"/>
        </w:pict>
      </w:r>
    </w:p>
    <w:p w:rsidR="00000000" w:rsidRDefault="00FF0345">
      <w:pPr>
        <w:divId w:val="897279607"/>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640118616"/>
        <w:rPr>
          <w:rFonts w:eastAsia="Times New Roman"/>
        </w:rPr>
      </w:pPr>
      <w:r>
        <w:rPr>
          <w:rFonts w:eastAsia="Times New Roman"/>
          <w:b/>
          <w:bCs/>
          <w:color w:val="000000"/>
          <w:sz w:val="20"/>
          <w:szCs w:val="20"/>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69"/>
        <w:gridCol w:w="617"/>
        <w:gridCol w:w="36"/>
        <w:gridCol w:w="36"/>
        <w:gridCol w:w="36"/>
        <w:gridCol w:w="36"/>
        <w:gridCol w:w="45"/>
        <w:gridCol w:w="7368"/>
        <w:gridCol w:w="38"/>
      </w:tblGrid>
      <w:tr w:rsidR="00000000">
        <w:trPr>
          <w:divId w:val="640118616"/>
        </w:trPr>
        <w:tc>
          <w:tcPr>
            <w:tcW w:w="50" w:type="pct"/>
            <w:vAlign w:val="center"/>
            <w:hideMark/>
          </w:tcPr>
          <w:p w:rsidR="00000000" w:rsidRDefault="00FF0345">
            <w:pPr>
              <w:rPr>
                <w:rFonts w:eastAsia="Times New Roman"/>
              </w:rPr>
            </w:pPr>
          </w:p>
        </w:tc>
        <w:tc>
          <w:tcPr>
            <w:tcW w:w="39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6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640118616"/>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Description</w:t>
            </w:r>
          </w:p>
        </w:tc>
      </w:tr>
      <w:tr w:rsidR="00000000">
        <w:trPr>
          <w:divId w:val="640118616"/>
        </w:trPr>
        <w:tc>
          <w:tcPr>
            <w:tcW w:w="0" w:type="auto"/>
            <w:gridSpan w:val="3"/>
            <w:tcBorders>
              <w:top w:val="single" w:sz="8" w:space="0" w:color="000000"/>
            </w:tcBorders>
            <w:tcMar>
              <w:top w:w="30" w:type="dxa"/>
              <w:left w:w="20" w:type="dxa"/>
              <w:bottom w:w="30" w:type="dxa"/>
              <w:right w:w="20" w:type="dxa"/>
            </w:tcMar>
            <w:hideMark/>
          </w:tcPr>
          <w:p w:rsidR="00000000" w:rsidRDefault="00FF0345">
            <w:pPr>
              <w:spacing w:after="100"/>
              <w:jc w:val="right"/>
              <w:rPr>
                <w:rFonts w:eastAsia="Times New Roman"/>
              </w:rPr>
            </w:pPr>
            <w:hyperlink r:id="rId4" w:history="1">
              <w:r>
                <w:rPr>
                  <w:rStyle w:val="a3"/>
                  <w:rFonts w:eastAsia="Times New Roman"/>
                  <w:sz w:val="20"/>
                  <w:szCs w:val="20"/>
                </w:rPr>
                <w:t>2.1</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F0345">
            <w:pPr>
              <w:spacing w:after="100"/>
              <w:divId w:val="1821193287"/>
              <w:rPr>
                <w:rFonts w:eastAsia="Times New Roman"/>
              </w:rPr>
            </w:pPr>
            <w:hyperlink r:id="rId5" w:history="1">
              <w:r>
                <w:rPr>
                  <w:rStyle w:val="a3"/>
                  <w:rFonts w:eastAsia="Times New Roman"/>
                  <w:sz w:val="20"/>
                  <w:szCs w:val="20"/>
                </w:rPr>
                <w:t xml:space="preserve">Master Agreement, dated November 14, 2014, </w:t>
              </w:r>
              <w:r>
                <w:rPr>
                  <w:rStyle w:val="a3"/>
                  <w:rFonts w:eastAsia="Times New Roman"/>
                  <w:sz w:val="20"/>
                  <w:szCs w:val="20"/>
                </w:rPr>
                <w:t xml:space="preserve">by and among Pacific Premier Retail LP, MACPT LLC, Macerich PPR GP LLC, Queens JV LP, Macerich Queens JV LP, Queens JV GP LLC, 1700480 Ontario Inc. and the Company (incorporated by reference as an exhibit to the Company’s Current Report on Form 8-K, event </w:t>
              </w:r>
              <w:r>
                <w:rPr>
                  <w:rStyle w:val="a3"/>
                  <w:rFonts w:eastAsia="Times New Roman"/>
                  <w:sz w:val="20"/>
                  <w:szCs w:val="20"/>
                </w:rPr>
                <w:t>date November 14, 2014).</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Articles of Amendment and Restatement of the Company (incorporated by reference as an exhibit to the Company's Registration Statement on Form S-11, as amended (No. 33-68964)) (Filed in paper - hyperlink is not required pursuant to Rule 105 of Regulation S-</w:t>
            </w:r>
            <w:r>
              <w:rPr>
                <w:rFonts w:eastAsia="Times New Roman"/>
                <w:color w:val="000000"/>
                <w:sz w:val="20"/>
                <w:szCs w:val="20"/>
              </w:rPr>
              <w:t>T).</w:t>
            </w:r>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Articles Supplementary of the Company (incorporated by reference as an exhibit to the Company's Current Report on Form 8-K, event date May 30, 1995) (Filed in paper - hyperlink is not required pursuant to Rule 105 of Regulation S-T).</w:t>
            </w:r>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6"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529493364"/>
              <w:rPr>
                <w:rFonts w:eastAsia="Times New Roman"/>
              </w:rPr>
            </w:pPr>
            <w:hyperlink r:id="rId7" w:history="1">
              <w:r>
                <w:rPr>
                  <w:rStyle w:val="a3"/>
                  <w:rFonts w:eastAsia="Times New Roman"/>
                  <w:sz w:val="20"/>
                  <w:szCs w:val="20"/>
                </w:rPr>
                <w:t>Articles Supplementary of the Company (with respect to the first paragraph) (incorporated by reference as an exhibit to the Company's 1998 Form 10-K).</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8" w:history="1">
              <w:r>
                <w:rPr>
                  <w:rStyle w:val="a3"/>
                  <w:rFonts w:eastAsia="Times New Roman"/>
                  <w:sz w:val="20"/>
                  <w:szCs w:val="20"/>
                </w:rPr>
                <w:t>3.1.3</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803349862"/>
              <w:rPr>
                <w:rFonts w:eastAsia="Times New Roman"/>
              </w:rPr>
            </w:pPr>
            <w:hyperlink r:id="rId9" w:history="1">
              <w:r>
                <w:rPr>
                  <w:rStyle w:val="a3"/>
                  <w:rFonts w:eastAsia="Times New Roman"/>
                  <w:sz w:val="20"/>
                  <w:szCs w:val="20"/>
                </w:rPr>
                <w:t xml:space="preserve">Articles Supplementary of the Company (Series D Preferred </w:t>
              </w:r>
              <w:r>
                <w:rPr>
                  <w:rStyle w:val="a3"/>
                  <w:rFonts w:eastAsia="Times New Roman"/>
                  <w:sz w:val="20"/>
                  <w:szCs w:val="20"/>
                </w:rPr>
                <w:t>Stock) (incorporated by reference as an exhibit to the Company's Current Report on Form 8-K, event date July 26, 2002).</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10" w:history="1">
              <w:r>
                <w:rPr>
                  <w:rStyle w:val="a3"/>
                  <w:rFonts w:eastAsia="Times New Roman"/>
                  <w:sz w:val="20"/>
                  <w:szCs w:val="20"/>
                </w:rPr>
                <w:t>3.1.4</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013456401"/>
              <w:rPr>
                <w:rFonts w:eastAsia="Times New Roman"/>
              </w:rPr>
            </w:pPr>
            <w:hyperlink r:id="rId11" w:history="1">
              <w:r>
                <w:rPr>
                  <w:rStyle w:val="a3"/>
                  <w:rFonts w:eastAsia="Times New Roman"/>
                  <w:sz w:val="20"/>
                  <w:szCs w:val="20"/>
                </w:rPr>
                <w:t>Articles Supplementary of the Company (incorporated by reference as an exhibit to the Company's Registration Statement on Form S-3, as amended (No. 333-88718)).</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12" w:history="1">
              <w:r>
                <w:rPr>
                  <w:rStyle w:val="a3"/>
                  <w:rFonts w:eastAsia="Times New Roman"/>
                  <w:sz w:val="20"/>
                  <w:szCs w:val="20"/>
                </w:rPr>
                <w:t>3.1.5</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2022470143"/>
              <w:rPr>
                <w:rFonts w:eastAsia="Times New Roman"/>
              </w:rPr>
            </w:pPr>
            <w:hyperlink r:id="rId13" w:history="1">
              <w:r>
                <w:rPr>
                  <w:rStyle w:val="a3"/>
                  <w:rFonts w:eastAsia="Times New Roman"/>
                  <w:sz w:val="20"/>
                  <w:szCs w:val="20"/>
                </w:rPr>
                <w:t>Articles of Amendment of the Company (dec</w:t>
              </w:r>
              <w:r>
                <w:rPr>
                  <w:rStyle w:val="a3"/>
                  <w:rFonts w:eastAsia="Times New Roman"/>
                  <w:sz w:val="20"/>
                  <w:szCs w:val="20"/>
                </w:rPr>
                <w:t>lassification of Board) (incorporated by reference as an exhibit to the Company's 2008 Form 10-K).</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14" w:history="1">
              <w:r>
                <w:rPr>
                  <w:rStyle w:val="a3"/>
                  <w:rFonts w:eastAsia="Times New Roman"/>
                  <w:sz w:val="20"/>
                  <w:szCs w:val="20"/>
                </w:rPr>
                <w:t>3.1.6</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970698877"/>
              <w:rPr>
                <w:rFonts w:eastAsia="Times New Roman"/>
              </w:rPr>
            </w:pPr>
            <w:hyperlink r:id="rId15" w:history="1">
              <w:r>
                <w:rPr>
                  <w:rStyle w:val="a3"/>
                  <w:rFonts w:eastAsia="Times New Roman"/>
                  <w:sz w:val="20"/>
                  <w:szCs w:val="20"/>
                </w:rPr>
                <w:t>Articles Supplementary of the Company (incorporated by reference as an exhibit to the Company's Current Report on Form 8-K, event date February 5, 2009).</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16" w:history="1">
              <w:r>
                <w:rPr>
                  <w:rStyle w:val="a3"/>
                  <w:rFonts w:eastAsia="Times New Roman"/>
                  <w:sz w:val="20"/>
                  <w:szCs w:val="20"/>
                </w:rPr>
                <w:t>3.1.7</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788356461"/>
              <w:rPr>
                <w:rFonts w:eastAsia="Times New Roman"/>
              </w:rPr>
            </w:pPr>
            <w:hyperlink r:id="rId17" w:history="1">
              <w:r>
                <w:rPr>
                  <w:rStyle w:val="a3"/>
                  <w:rFonts w:eastAsia="Times New Roman"/>
                  <w:sz w:val="20"/>
                  <w:szCs w:val="20"/>
                </w:rPr>
                <w:t>Articles of Amendment of the Company (increased authorized shares) (incorporated by reference as an exhibit to the Company's Quarterly Report on Form 10-Q</w:t>
              </w:r>
              <w:r>
                <w:rPr>
                  <w:rStyle w:val="a3"/>
                  <w:rFonts w:eastAsia="Times New Roman"/>
                  <w:sz w:val="20"/>
                  <w:szCs w:val="20"/>
                </w:rPr>
                <w:t xml:space="preserve"> for the quarter ended June 30, 2009).</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18" w:history="1">
              <w:r>
                <w:rPr>
                  <w:rStyle w:val="a3"/>
                  <w:rFonts w:eastAsia="Times New Roman"/>
                  <w:sz w:val="20"/>
                  <w:szCs w:val="20"/>
                </w:rPr>
                <w:t>3.1.8</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079399811"/>
              <w:rPr>
                <w:rFonts w:eastAsia="Times New Roman"/>
              </w:rPr>
            </w:pPr>
            <w:hyperlink r:id="rId19" w:history="1">
              <w:r>
                <w:rPr>
                  <w:rStyle w:val="a3"/>
                  <w:rFonts w:eastAsia="Times New Roman"/>
                  <w:sz w:val="20"/>
                  <w:szCs w:val="20"/>
                </w:rPr>
                <w:t>Articles of Amendment of the Company (to eliminate the supermajority vote requirement to amend the charter and to clarify a reference in Article NINTH) (i</w:t>
              </w:r>
              <w:r>
                <w:rPr>
                  <w:rStyle w:val="a3"/>
                  <w:rFonts w:eastAsia="Times New Roman"/>
                  <w:sz w:val="20"/>
                  <w:szCs w:val="20"/>
                </w:rPr>
                <w:t>ncorporated by reference as an exhibit to the Company’s Current Report on Form 8-K, event date May 30, 2014).</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20" w:history="1">
              <w:r>
                <w:rPr>
                  <w:rStyle w:val="a3"/>
                  <w:rFonts w:eastAsia="Times New Roman"/>
                  <w:sz w:val="20"/>
                  <w:szCs w:val="20"/>
                </w:rPr>
                <w:t>3.1.9</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522519925"/>
              <w:rPr>
                <w:rFonts w:eastAsia="Times New Roman"/>
              </w:rPr>
            </w:pPr>
            <w:hyperlink r:id="rId21" w:history="1">
              <w:r>
                <w:rPr>
                  <w:rStyle w:val="a3"/>
                  <w:rFonts w:eastAsia="Times New Roman"/>
                  <w:sz w:val="20"/>
                  <w:szCs w:val="20"/>
                </w:rPr>
                <w:t>Articles Supplementary of the Company (election to be subject to Section 3-803 of the Maryland General Corporation Law) (incorporated by reference as an ex</w:t>
              </w:r>
              <w:r>
                <w:rPr>
                  <w:rStyle w:val="a3"/>
                  <w:rFonts w:eastAsia="Times New Roman"/>
                  <w:sz w:val="20"/>
                  <w:szCs w:val="20"/>
                </w:rPr>
                <w:t>hibit to the Company’s Current Report on Form 8-K, event date March 17, 2015).</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22" w:history="1">
              <w:r>
                <w:rPr>
                  <w:rStyle w:val="a3"/>
                  <w:rFonts w:eastAsia="Times New Roman"/>
                  <w:sz w:val="20"/>
                  <w:szCs w:val="20"/>
                </w:rPr>
                <w:t>3.1.10</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937056907"/>
              <w:rPr>
                <w:rFonts w:eastAsia="Times New Roman"/>
              </w:rPr>
            </w:pPr>
            <w:hyperlink r:id="rId23" w:history="1">
              <w:r>
                <w:rPr>
                  <w:rStyle w:val="a3"/>
                  <w:rFonts w:eastAsia="Times New Roman"/>
                  <w:sz w:val="20"/>
                  <w:szCs w:val="20"/>
                </w:rPr>
                <w:t>Articles Supplementary of the Company (Series E Preferred Stock) (incorporated by reference as an exhibit to the Company’s Current Report on Form 8-K, event date March 18, 2015).</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24" w:history="1">
              <w:r>
                <w:rPr>
                  <w:rStyle w:val="a3"/>
                  <w:rFonts w:eastAsia="Times New Roman"/>
                  <w:sz w:val="20"/>
                  <w:szCs w:val="20"/>
                </w:rPr>
                <w:t>3.1.11</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divId w:val="2132046731"/>
              <w:rPr>
                <w:rFonts w:eastAsia="Times New Roman"/>
              </w:rPr>
            </w:pPr>
            <w:hyperlink r:id="rId25" w:history="1">
              <w:r>
                <w:rPr>
                  <w:rStyle w:val="a3"/>
                  <w:rFonts w:eastAsia="Times New Roman"/>
                  <w:sz w:val="20"/>
                  <w:szCs w:val="20"/>
                </w:rPr>
                <w:t>Articles Supplementary of the Company (reclassification of Series E Prefer</w:t>
              </w:r>
              <w:r>
                <w:rPr>
                  <w:rStyle w:val="a3"/>
                  <w:rFonts w:eastAsia="Times New Roman"/>
                  <w:sz w:val="20"/>
                  <w:szCs w:val="20"/>
                </w:rPr>
                <w:t>red Stock to Preferred Stock) (incorporated by reference as an exhibit to the Company’s Current Report on Form 8-K, event date May 7, 2015).</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26" w:history="1">
              <w:r>
                <w:rPr>
                  <w:rStyle w:val="a3"/>
                  <w:rFonts w:eastAsia="Times New Roman"/>
                  <w:sz w:val="20"/>
                  <w:szCs w:val="20"/>
                </w:rPr>
                <w:t>3.1.12</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divId w:val="1051421593"/>
              <w:rPr>
                <w:rFonts w:eastAsia="Times New Roman"/>
              </w:rPr>
            </w:pPr>
            <w:hyperlink r:id="rId27" w:history="1">
              <w:r>
                <w:rPr>
                  <w:rStyle w:val="a3"/>
                  <w:rFonts w:eastAsia="Times New Roman"/>
                  <w:sz w:val="20"/>
                  <w:szCs w:val="20"/>
                </w:rPr>
                <w:t>Articles Supplementary of the Company (r</w:t>
              </w:r>
              <w:r>
                <w:rPr>
                  <w:rStyle w:val="a3"/>
                  <w:rFonts w:eastAsia="Times New Roman"/>
                  <w:sz w:val="20"/>
                  <w:szCs w:val="20"/>
                </w:rPr>
                <w:t>epeal of election to be subject to Section 3-803 of the Maryland General Corporation Law) (incorporated by reference as an exhibit to the Company’s Current Report on Form 8-K, event date May 28, 2015).</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28" w:history="1">
              <w:r>
                <w:rPr>
                  <w:rStyle w:val="a3"/>
                  <w:rFonts w:eastAsia="Times New Roman"/>
                  <w:sz w:val="20"/>
                  <w:szCs w:val="20"/>
                </w:rPr>
                <w:t>3.1.13</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divId w:val="1970356984"/>
              <w:rPr>
                <w:rFonts w:eastAsia="Times New Roman"/>
              </w:rPr>
            </w:pPr>
            <w:hyperlink r:id="rId29" w:history="1">
              <w:r>
                <w:rPr>
                  <w:rStyle w:val="a3"/>
                  <w:rFonts w:eastAsia="Times New Roman"/>
                  <w:sz w:val="20"/>
                  <w:szCs w:val="20"/>
                </w:rPr>
                <w:t>Articles Supplementary of the Company (opting out of provisions of Subtitle 8 of Title 3 of the Mar</w:t>
              </w:r>
              <w:r>
                <w:rPr>
                  <w:rStyle w:val="a3"/>
                  <w:rFonts w:eastAsia="Times New Roman"/>
                  <w:sz w:val="20"/>
                  <w:szCs w:val="20"/>
                </w:rPr>
                <w:t>yland General Corporate Law (MUTA provisions)) (incorporated by reference as an exhibit to the Company’s Current Report on Form 8-K, event date April 24, 2019).</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30" w:history="1">
              <w:r>
                <w:rPr>
                  <w:rStyle w:val="a3"/>
                  <w:rFonts w:eastAsia="Times New Roman"/>
                  <w:sz w:val="20"/>
                  <w:szCs w:val="20"/>
                </w:rPr>
                <w:t>3.1.14</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950936024"/>
              <w:rPr>
                <w:rFonts w:eastAsia="Times New Roman"/>
              </w:rPr>
            </w:pPr>
            <w:hyperlink r:id="rId31" w:history="1">
              <w:r>
                <w:rPr>
                  <w:rStyle w:val="a3"/>
                  <w:rFonts w:eastAsia="Times New Roman"/>
                  <w:sz w:val="20"/>
                  <w:szCs w:val="20"/>
                </w:rPr>
                <w:t>Articles of Amendment of the Company (increased authorized shares) (incorporated by reference as an exhibit to the Company's current Report on Form 8-K, event date May 28, 2021).</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32"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1598520461"/>
              <w:rPr>
                <w:rFonts w:eastAsia="Times New Roman"/>
              </w:rPr>
            </w:pPr>
            <w:hyperlink r:id="rId33" w:history="1">
              <w:r>
                <w:rPr>
                  <w:rStyle w:val="a3"/>
                  <w:rFonts w:eastAsia="Times New Roman"/>
                  <w:sz w:val="20"/>
                  <w:szCs w:val="20"/>
                </w:rPr>
                <w:t>Amended and Restated Bylaws of the Company (incorporated by reference as an exhibit to the Company's Current Report on Form 8</w:t>
              </w:r>
              <w:r>
                <w:rPr>
                  <w:rStyle w:val="a3"/>
                  <w:rFonts w:eastAsia="Times New Roman"/>
                  <w:sz w:val="20"/>
                  <w:szCs w:val="20"/>
                </w:rPr>
                <w:t>-K, event date April 24, 2019).</w:t>
              </w:r>
            </w:hyperlink>
          </w:p>
        </w:tc>
      </w:tr>
      <w:tr w:rsidR="00000000">
        <w:trPr>
          <w:divId w:val="640118616"/>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34"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divId w:val="1787650861"/>
              <w:rPr>
                <w:rFonts w:eastAsia="Times New Roman"/>
              </w:rPr>
            </w:pPr>
            <w:hyperlink r:id="rId35" w:history="1">
              <w:r>
                <w:rPr>
                  <w:rStyle w:val="a3"/>
                  <w:rFonts w:eastAsia="Times New Roman"/>
                  <w:sz w:val="20"/>
                  <w:szCs w:val="20"/>
                </w:rPr>
                <w:t>First Amendment to Credit Agreement, dated as of July 27, 2021, by and among the Company, as guarantor, the Partnership, as borrower, certain subsidiary guarantors, and Deutsche Bank AG New York Branch, as administrative agent for the lend</w:t>
              </w:r>
              <w:r>
                <w:rPr>
                  <w:rStyle w:val="a3"/>
                  <w:rFonts w:eastAsia="Times New Roman"/>
                  <w:sz w:val="20"/>
                  <w:szCs w:val="20"/>
                </w:rPr>
                <w:t>ers (incorporated by reference as an exhibit to the Company's Quarterly Report on Form 10-Q for the quarter ended June 30, 2021).</w:t>
              </w:r>
            </w:hyperlink>
          </w:p>
        </w:tc>
      </w:tr>
    </w:tbl>
    <w:p w:rsidR="00000000" w:rsidRDefault="00FF0345">
      <w:pPr>
        <w:divId w:val="462119397"/>
        <w:rPr>
          <w:rFonts w:eastAsia="Times New Roman"/>
        </w:rPr>
      </w:pPr>
    </w:p>
    <w:p w:rsidR="00000000" w:rsidRDefault="00FF0345">
      <w:pPr>
        <w:jc w:val="center"/>
        <w:divId w:val="1128552667"/>
        <w:rPr>
          <w:rFonts w:eastAsia="Times New Roman"/>
        </w:rPr>
      </w:pPr>
    </w:p>
    <w:p w:rsidR="00000000" w:rsidRDefault="00FF0345">
      <w:pPr>
        <w:jc w:val="center"/>
        <w:divId w:val="1128552667"/>
        <w:rPr>
          <w:rFonts w:eastAsia="Times New Roman"/>
        </w:rPr>
      </w:pPr>
      <w:r>
        <w:rPr>
          <w:rFonts w:eastAsia="Times New Roman"/>
          <w:color w:val="000000"/>
          <w:sz w:val="20"/>
          <w:szCs w:val="20"/>
        </w:rPr>
        <w:t>46</w:t>
      </w:r>
    </w:p>
    <w:p w:rsidR="00000000" w:rsidRDefault="00FF0345">
      <w:pPr>
        <w:rPr>
          <w:rFonts w:eastAsia="Times New Roman"/>
        </w:rPr>
      </w:pPr>
      <w:r>
        <w:rPr>
          <w:rFonts w:eastAsia="Times New Roman"/>
        </w:rPr>
        <w:pict>
          <v:rect id="_x0000_i1070" style="width:0;height:1.5pt" o:hralign="center" o:hrstd="t" o:hr="t" fillcolor="#a0a0a0" stroked="f"/>
        </w:pict>
      </w:r>
    </w:p>
    <w:p w:rsidR="00000000" w:rsidRDefault="00FF0345">
      <w:pPr>
        <w:divId w:val="130952225"/>
        <w:rPr>
          <w:rFonts w:eastAsia="Times New Roman"/>
        </w:rPr>
      </w:pPr>
      <w:hyperlink w:anchor="ib8d126c41a1f444e81d08813b3ab1f3c_7" w:history="1">
        <w:r>
          <w:rPr>
            <w:rStyle w:val="a3"/>
            <w:rFonts w:eastAsia="Times New Roman"/>
            <w:sz w:val="16"/>
            <w:szCs w:val="16"/>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9"/>
        <w:gridCol w:w="7289"/>
        <w:gridCol w:w="37"/>
      </w:tblGrid>
      <w:tr w:rsidR="00000000">
        <w:trPr>
          <w:divId w:val="797407850"/>
        </w:trPr>
        <w:tc>
          <w:tcPr>
            <w:tcW w:w="50" w:type="pct"/>
            <w:vAlign w:val="center"/>
            <w:hideMark/>
          </w:tcPr>
          <w:p w:rsidR="00000000" w:rsidRDefault="00FF0345">
            <w:pPr>
              <w:rPr>
                <w:rFonts w:eastAsia="Times New Roman"/>
              </w:rPr>
            </w:pPr>
          </w:p>
        </w:tc>
        <w:tc>
          <w:tcPr>
            <w:tcW w:w="392"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26"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4461"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797407850"/>
        </w:trPr>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b/>
                <w:bCs/>
                <w:color w:val="000000"/>
                <w:sz w:val="16"/>
                <w:szCs w:val="16"/>
              </w:rPr>
              <w:t>Description</w:t>
            </w:r>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36"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774862344"/>
              <w:rPr>
                <w:rFonts w:eastAsia="Times New Roman"/>
              </w:rPr>
            </w:pPr>
            <w:hyperlink r:id="rId37" w:history="1">
              <w:r>
                <w:rPr>
                  <w:rStyle w:val="a3"/>
                  <w:rFonts w:eastAsia="Times New Roman"/>
                  <w:sz w:val="20"/>
                  <w:szCs w:val="20"/>
                </w:rPr>
                <w:t>Section 302 Certification of Thomas O'Hern, Chief Executive Officer</w:t>
              </w:r>
            </w:hyperlink>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38"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735397066"/>
              <w:rPr>
                <w:rFonts w:eastAsia="Times New Roman"/>
              </w:rPr>
            </w:pPr>
            <w:hyperlink r:id="rId39" w:history="1">
              <w:r>
                <w:rPr>
                  <w:rStyle w:val="a3"/>
                  <w:rFonts w:eastAsia="Times New Roman"/>
                  <w:sz w:val="20"/>
                  <w:szCs w:val="20"/>
                </w:rPr>
                <w:t>Section 302 Certification of Scott</w:t>
              </w:r>
              <w:r>
                <w:rPr>
                  <w:rStyle w:val="a3"/>
                  <w:rFonts w:eastAsia="Times New Roman"/>
                  <w:sz w:val="20"/>
                  <w:szCs w:val="20"/>
                </w:rPr>
                <w:t xml:space="preserve"> Kingsmore, Chief Financial Officer</w:t>
              </w:r>
            </w:hyperlink>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hyperlink r:id="rId40"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divId w:val="381057737"/>
              <w:rPr>
                <w:rFonts w:eastAsia="Times New Roman"/>
              </w:rPr>
            </w:pPr>
            <w:hyperlink r:id="rId41" w:history="1">
              <w:r>
                <w:rPr>
                  <w:rStyle w:val="a3"/>
                  <w:rFonts w:eastAsia="Times New Roman"/>
                  <w:sz w:val="20"/>
                  <w:szCs w:val="20"/>
                </w:rPr>
                <w:t>Section 906 Certifications of Thomas O'Hern and Scott Kingsmore</w:t>
              </w:r>
            </w:hyperlink>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Inline XBRL Taxonomy Extension Schema Document</w:t>
            </w:r>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Inline XBRL Taxonomy Extension Calculation Linkbase Document</w:t>
            </w:r>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Inline XBRL Taxonomy Extension Label Linkbase Document</w:t>
            </w:r>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Inline XBRL Taxonomy Extension Presentation Linkbase Document</w:t>
            </w:r>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Inline XBRL Taxonomy Extension Definition Linkbase Document</w:t>
            </w:r>
          </w:p>
        </w:tc>
      </w:tr>
      <w:tr w:rsidR="00000000">
        <w:trPr>
          <w:divId w:val="797407850"/>
        </w:trPr>
        <w:tc>
          <w:tcPr>
            <w:tcW w:w="0" w:type="auto"/>
            <w:gridSpan w:val="3"/>
            <w:tcMar>
              <w:top w:w="30" w:type="dxa"/>
              <w:left w:w="20" w:type="dxa"/>
              <w:bottom w:w="30" w:type="dxa"/>
              <w:right w:w="20" w:type="dxa"/>
            </w:tcMar>
            <w:hideMark/>
          </w:tcPr>
          <w:p w:rsidR="00000000" w:rsidRDefault="00FF0345">
            <w:pPr>
              <w:spacing w:after="100"/>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FF0345">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p>
        </w:tc>
      </w:tr>
      <w:tr w:rsidR="00000000">
        <w:trPr>
          <w:divId w:val="797407850"/>
          <w:trHeight w:val="300"/>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r>
    </w:tbl>
    <w:p w:rsidR="00000000" w:rsidRDefault="00FF0345">
      <w:pPr>
        <w:divId w:val="1392658703"/>
        <w:rPr>
          <w:rFonts w:eastAsia="Times New Roman"/>
        </w:rPr>
      </w:pPr>
      <w:r>
        <w:rPr>
          <w:rFonts w:eastAsia="Times New Roman"/>
          <w:color w:val="000000"/>
          <w:sz w:val="20"/>
          <w:szCs w:val="20"/>
        </w:rPr>
        <w:t>** Furnished herewith.</w:t>
      </w:r>
    </w:p>
    <w:p w:rsidR="00000000" w:rsidRDefault="00FF0345">
      <w:pPr>
        <w:jc w:val="center"/>
        <w:divId w:val="1722631050"/>
        <w:rPr>
          <w:rFonts w:eastAsia="Times New Roman"/>
        </w:rPr>
      </w:pPr>
    </w:p>
    <w:p w:rsidR="00000000" w:rsidRDefault="00FF0345">
      <w:pPr>
        <w:jc w:val="center"/>
        <w:divId w:val="1722631050"/>
        <w:rPr>
          <w:rFonts w:eastAsia="Times New Roman"/>
        </w:rPr>
      </w:pPr>
      <w:r>
        <w:rPr>
          <w:rFonts w:eastAsia="Times New Roman"/>
          <w:color w:val="000000"/>
          <w:sz w:val="20"/>
          <w:szCs w:val="20"/>
        </w:rPr>
        <w:t>47</w:t>
      </w:r>
    </w:p>
    <w:p w:rsidR="00000000" w:rsidRDefault="00FF0345">
      <w:pPr>
        <w:rPr>
          <w:rFonts w:eastAsia="Times New Roman"/>
        </w:rPr>
      </w:pPr>
      <w:r>
        <w:rPr>
          <w:rFonts w:eastAsia="Times New Roman"/>
        </w:rPr>
        <w:pict>
          <v:rect id="_x0000_i1071" style="width:0;height:1.5pt" o:hralign="center" o:hrstd="t" o:hr="t" fillcolor="#a0a0a0" stroked="f"/>
        </w:pict>
      </w:r>
    </w:p>
    <w:p w:rsidR="00000000" w:rsidRDefault="00FF0345">
      <w:pPr>
        <w:divId w:val="2088455112"/>
        <w:rPr>
          <w:rFonts w:eastAsia="Times New Roman"/>
        </w:rPr>
      </w:pPr>
      <w:hyperlink w:anchor="ib8d126c41a1f444e81d08813b3ab1f3c_7" w:history="1">
        <w:r>
          <w:rPr>
            <w:rStyle w:val="a3"/>
            <w:rFonts w:eastAsia="Times New Roman"/>
            <w:sz w:val="16"/>
            <w:szCs w:val="16"/>
          </w:rPr>
          <w:t>Table of Contents</w:t>
        </w:r>
      </w:hyperlink>
    </w:p>
    <w:p w:rsidR="00000000" w:rsidRDefault="00FF0345">
      <w:pPr>
        <w:divId w:val="856232816"/>
        <w:rPr>
          <w:rFonts w:eastAsia="Times New Roman"/>
        </w:rPr>
      </w:pPr>
      <w:r>
        <w:rPr>
          <w:rFonts w:eastAsia="Times New Roman"/>
          <w:b/>
          <w:bCs/>
          <w:color w:val="000000"/>
          <w:sz w:val="20"/>
          <w:szCs w:val="20"/>
        </w:rPr>
        <w:t>Signature</w:t>
      </w:r>
    </w:p>
    <w:p w:rsidR="00000000" w:rsidRDefault="00FF0345">
      <w:pPr>
        <w:ind w:firstLine="495"/>
        <w:divId w:val="797338176"/>
        <w:rPr>
          <w:rFonts w:eastAsia="Times New Roman"/>
        </w:rPr>
      </w:pPr>
      <w:r>
        <w:rPr>
          <w:rFonts w:eastAsia="Times New Roman"/>
          <w:color w:val="000000"/>
          <w:sz w:val="20"/>
          <w:szCs w:val="20"/>
        </w:rPr>
        <w:t>Pursuant to the requirements of the Securities Exchange Act of 1934, the registrant has duly caused this report to be signed on its be</w:t>
      </w:r>
      <w:r>
        <w:rPr>
          <w:rFonts w:eastAsia="Times New Roman"/>
          <w:color w:val="000000"/>
          <w:sz w:val="20"/>
          <w:szCs w:val="20"/>
        </w:rPr>
        <w:t>half by the undersigned thereunto duly authorized.</w:t>
      </w:r>
    </w:p>
    <w:tbl>
      <w:tblPr>
        <w:tblW w:w="4853" w:type="pct"/>
        <w:tblCellMar>
          <w:top w:w="15" w:type="dxa"/>
          <w:left w:w="15" w:type="dxa"/>
          <w:bottom w:w="15" w:type="dxa"/>
          <w:right w:w="15" w:type="dxa"/>
        </w:tblCellMar>
        <w:tblLook w:val="04A0" w:firstRow="1" w:lastRow="0" w:firstColumn="1" w:lastColumn="0" w:noHBand="0" w:noVBand="1"/>
      </w:tblPr>
      <w:tblGrid>
        <w:gridCol w:w="81"/>
        <w:gridCol w:w="385"/>
        <w:gridCol w:w="36"/>
        <w:gridCol w:w="62"/>
        <w:gridCol w:w="960"/>
        <w:gridCol w:w="37"/>
        <w:gridCol w:w="63"/>
        <w:gridCol w:w="1849"/>
        <w:gridCol w:w="36"/>
        <w:gridCol w:w="79"/>
        <w:gridCol w:w="243"/>
        <w:gridCol w:w="37"/>
        <w:gridCol w:w="37"/>
        <w:gridCol w:w="4120"/>
        <w:gridCol w:w="37"/>
      </w:tblGrid>
      <w:tr w:rsidR="00000000">
        <w:trPr>
          <w:divId w:val="797338176"/>
        </w:trPr>
        <w:tc>
          <w:tcPr>
            <w:tcW w:w="50" w:type="pct"/>
            <w:vAlign w:val="center"/>
            <w:hideMark/>
          </w:tcPr>
          <w:p w:rsidR="00000000" w:rsidRDefault="00FF0345">
            <w:pPr>
              <w:ind w:firstLine="495"/>
              <w:rPr>
                <w:rFonts w:eastAsia="Times New Roman"/>
              </w:rPr>
            </w:pPr>
          </w:p>
        </w:tc>
        <w:tc>
          <w:tcPr>
            <w:tcW w:w="238"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60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157"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15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c>
          <w:tcPr>
            <w:tcW w:w="50" w:type="pct"/>
            <w:vAlign w:val="center"/>
            <w:hideMark/>
          </w:tcPr>
          <w:p w:rsidR="00000000" w:rsidRDefault="00FF0345">
            <w:pPr>
              <w:spacing w:after="100"/>
              <w:rPr>
                <w:rFonts w:eastAsia="Times New Roman"/>
                <w:sz w:val="20"/>
                <w:szCs w:val="20"/>
              </w:rPr>
            </w:pPr>
          </w:p>
        </w:tc>
        <w:tc>
          <w:tcPr>
            <w:tcW w:w="2565" w:type="pct"/>
            <w:vAlign w:val="center"/>
            <w:hideMark/>
          </w:tcPr>
          <w:p w:rsidR="00000000" w:rsidRDefault="00FF0345">
            <w:pPr>
              <w:spacing w:after="100"/>
              <w:rPr>
                <w:rFonts w:eastAsia="Times New Roman"/>
                <w:sz w:val="20"/>
                <w:szCs w:val="20"/>
              </w:rPr>
            </w:pPr>
          </w:p>
        </w:tc>
        <w:tc>
          <w:tcPr>
            <w:tcW w:w="5" w:type="pct"/>
            <w:vAlign w:val="center"/>
            <w:hideMark/>
          </w:tcPr>
          <w:p w:rsidR="00000000" w:rsidRDefault="00FF0345">
            <w:pPr>
              <w:spacing w:after="100"/>
              <w:rPr>
                <w:rFonts w:eastAsia="Times New Roman"/>
                <w:sz w:val="20"/>
                <w:szCs w:val="20"/>
              </w:rPr>
            </w:pPr>
          </w:p>
        </w:tc>
      </w:tr>
      <w:tr w:rsidR="00000000">
        <w:trPr>
          <w:divId w:val="797338176"/>
        </w:trPr>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6"/>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THE MACERICH COMPANY</w:t>
            </w:r>
          </w:p>
        </w:tc>
      </w:tr>
      <w:tr w:rsidR="00000000">
        <w:trPr>
          <w:divId w:val="797338176"/>
        </w:trPr>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color w:val="000000"/>
                <w:sz w:val="20"/>
                <w:szCs w:val="20"/>
              </w:rPr>
              <w:t>/s/ SCOTT W. KINGSMORE</w:t>
            </w:r>
          </w:p>
        </w:tc>
      </w:tr>
      <w:tr w:rsidR="00000000">
        <w:trPr>
          <w:divId w:val="797338176"/>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FF0345">
            <w:pPr>
              <w:spacing w:after="100"/>
              <w:jc w:val="center"/>
              <w:rPr>
                <w:rFonts w:eastAsia="Times New Roman"/>
              </w:rPr>
            </w:pPr>
            <w:r>
              <w:rPr>
                <w:rFonts w:eastAsia="Times New Roman"/>
                <w:color w:val="000000"/>
                <w:sz w:val="20"/>
                <w:szCs w:val="20"/>
              </w:rPr>
              <w:t>Scott W. Kingsmore</w:t>
            </w:r>
          </w:p>
        </w:tc>
      </w:tr>
      <w:tr w:rsidR="00000000">
        <w:trPr>
          <w:divId w:val="797338176"/>
        </w:trPr>
        <w:tc>
          <w:tcPr>
            <w:tcW w:w="0" w:type="auto"/>
            <w:gridSpan w:val="3"/>
            <w:tcMar>
              <w:top w:w="0" w:type="dxa"/>
              <w:left w:w="20" w:type="dxa"/>
              <w:bottom w:w="0" w:type="dxa"/>
              <w:right w:w="20" w:type="dxa"/>
            </w:tcMar>
            <w:vAlign w:val="center"/>
            <w:hideMark/>
          </w:tcPr>
          <w:p w:rsidR="00000000" w:rsidRDefault="00FF0345">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i/>
                <w:iCs/>
                <w:color w:val="000000"/>
                <w:sz w:val="20"/>
                <w:szCs w:val="20"/>
              </w:rPr>
              <w:t> </w:t>
            </w:r>
            <w:r>
              <w:rPr>
                <w:rFonts w:eastAsia="Times New Roman"/>
                <w:i/>
                <w:iCs/>
                <w:color w:val="000000"/>
                <w:sz w:val="20"/>
                <w:szCs w:val="20"/>
              </w:rPr>
              <w:t>Senior Executive Vice President, Treasurer and Chief Financial Officer</w:t>
            </w:r>
          </w:p>
        </w:tc>
      </w:tr>
      <w:tr w:rsidR="00000000">
        <w:trPr>
          <w:divId w:val="797338176"/>
        </w:trPr>
        <w:tc>
          <w:tcPr>
            <w:tcW w:w="0" w:type="auto"/>
            <w:gridSpan w:val="3"/>
            <w:tcMar>
              <w:top w:w="30" w:type="dxa"/>
              <w:left w:w="20" w:type="dxa"/>
              <w:bottom w:w="30" w:type="dxa"/>
              <w:right w:w="20" w:type="dxa"/>
            </w:tcMar>
            <w:vAlign w:val="bottom"/>
            <w:hideMark/>
          </w:tcPr>
          <w:p w:rsidR="00000000" w:rsidRDefault="00FF0345">
            <w:pPr>
              <w:spacing w:after="100"/>
              <w:rPr>
                <w:rFonts w:eastAsia="Times New Roman"/>
              </w:rPr>
            </w:pPr>
            <w:r>
              <w:rPr>
                <w:rFonts w:eastAsia="Times New Roman"/>
                <w:color w:val="000000"/>
                <w:sz w:val="20"/>
                <w:szCs w:val="20"/>
              </w:rPr>
              <w:t>Date:</w:t>
            </w:r>
          </w:p>
        </w:tc>
        <w:tc>
          <w:tcPr>
            <w:tcW w:w="0" w:type="auto"/>
            <w:gridSpan w:val="6"/>
            <w:tcMar>
              <w:top w:w="30" w:type="dxa"/>
              <w:left w:w="20" w:type="dxa"/>
              <w:bottom w:w="30" w:type="dxa"/>
              <w:right w:w="20" w:type="dxa"/>
            </w:tcMar>
            <w:hideMark/>
          </w:tcPr>
          <w:p w:rsidR="00000000" w:rsidRDefault="00FF0345">
            <w:pPr>
              <w:spacing w:after="100"/>
              <w:rPr>
                <w:rFonts w:eastAsia="Times New Roman"/>
              </w:rPr>
            </w:pPr>
            <w:r>
              <w:rPr>
                <w:rFonts w:eastAsia="Times New Roman"/>
                <w:color w:val="000000"/>
                <w:sz w:val="20"/>
                <w:szCs w:val="20"/>
              </w:rPr>
              <w:t>November 8, 2021</w:t>
            </w:r>
          </w:p>
        </w:tc>
        <w:tc>
          <w:tcPr>
            <w:tcW w:w="0" w:type="auto"/>
            <w:gridSpan w:val="3"/>
            <w:tcMar>
              <w:top w:w="0" w:type="dxa"/>
              <w:left w:w="20" w:type="dxa"/>
              <w:bottom w:w="0" w:type="dxa"/>
              <w:right w:w="20" w:type="dxa"/>
            </w:tcMar>
            <w:vAlign w:val="center"/>
            <w:hideMark/>
          </w:tcPr>
          <w:p w:rsidR="00000000" w:rsidRDefault="00FF0345">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F0345">
            <w:pPr>
              <w:spacing w:after="100"/>
              <w:jc w:val="center"/>
              <w:rPr>
                <w:rFonts w:eastAsia="Times New Roman"/>
              </w:rPr>
            </w:pPr>
            <w:r>
              <w:rPr>
                <w:rFonts w:eastAsia="Times New Roman"/>
                <w:i/>
                <w:iCs/>
                <w:color w:val="000000"/>
                <w:sz w:val="20"/>
                <w:szCs w:val="20"/>
              </w:rPr>
              <w:t>(Principal Financial Officer)</w:t>
            </w:r>
          </w:p>
        </w:tc>
      </w:tr>
    </w:tbl>
    <w:p w:rsidR="00000000" w:rsidRDefault="00FF0345">
      <w:pPr>
        <w:divId w:val="984044209"/>
        <w:rPr>
          <w:rFonts w:eastAsia="Times New Roman"/>
        </w:rPr>
      </w:pPr>
    </w:p>
    <w:p w:rsidR="00000000" w:rsidRDefault="00FF0345">
      <w:pPr>
        <w:jc w:val="center"/>
        <w:divId w:val="1962498030"/>
        <w:rPr>
          <w:rFonts w:eastAsia="Times New Roman"/>
        </w:rPr>
      </w:pPr>
    </w:p>
    <w:p w:rsidR="00FF0345" w:rsidRDefault="00FF0345">
      <w:pPr>
        <w:jc w:val="center"/>
        <w:divId w:val="1962498030"/>
        <w:rPr>
          <w:rFonts w:eastAsia="Times New Roman"/>
        </w:rPr>
      </w:pPr>
      <w:r>
        <w:rPr>
          <w:rFonts w:eastAsia="Times New Roman"/>
          <w:color w:val="000000"/>
          <w:sz w:val="20"/>
          <w:szCs w:val="20"/>
        </w:rPr>
        <w:t>48</w:t>
      </w:r>
    </w:p>
    <w:sectPr w:rsidR="00FF034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0345"/>
    <w:rsid w:val="00FF0345"/>
  </w:rsids>
  <m:mathPr>
    <m:mathFont m:val="Cambria Math"/>
    <m:brkBin m:val="before"/>
    <m:brkBinSub m:val="--"/>
    <m:smallFrac m:val="0"/>
    <m:dispDef/>
    <m:lMargin m:val="0"/>
    <m:rMargin m:val="0"/>
    <m:defJc m:val="centerGroup"/>
    <m:wrapIndent m:val="1440"/>
    <m:intLim m:val="subSup"/>
    <m:naryLim m:val="undOvr"/>
  </m:mathPr>
  <w:attachedSchema w:val="http://xbrl.sec.gov/dei/2021"/>
  <w:attachedSchema w:val="http://www.sec.gov/inlineXBRL/transformation/2015-08-31"/>
  <w:attachedSchema w:val="http://www.xbrl.org/2003/iso4217"/>
  <w:attachedSchema w:val="http://xbrl.org/2006/xbrldi"/>
  <w:attachedSchema w:val="http://www.xbrl.org/2013/inlineXBRL"/>
  <w:attachedSchema w:val="http://www.macerich.com/20210930"/>
  <w:attachedSchema w:val="http://fasb.org/us-gaap/2021-01-31"/>
  <w:attachedSchema w:val="http://www.w3.org/1999/xlink"/>
  <w:attachedSchema w:val="http://www.xbrl.org/inlineXBRL/transformation/2020-02-12"/>
  <w:attachedSchema w:val="http://www.xbrl.org/2009/utr"/>
  <w:attachedSchema w:val="http://www.xbrl.org/2003/linkbase"/>
  <w:attachedSchema w:val="http://fasb.org/srt/2021-01-3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
      <w:marLeft w:val="0"/>
      <w:marRight w:val="0"/>
      <w:marTop w:val="160"/>
      <w:marBottom w:val="160"/>
      <w:divBdr>
        <w:top w:val="none" w:sz="0" w:space="0" w:color="auto"/>
        <w:left w:val="none" w:sz="0" w:space="0" w:color="auto"/>
        <w:bottom w:val="none" w:sz="0" w:space="0" w:color="auto"/>
        <w:right w:val="none" w:sz="0" w:space="0" w:color="auto"/>
      </w:divBdr>
    </w:div>
    <w:div w:id="594130">
      <w:marLeft w:val="0"/>
      <w:marRight w:val="0"/>
      <w:marTop w:val="0"/>
      <w:marBottom w:val="0"/>
      <w:divBdr>
        <w:top w:val="none" w:sz="0" w:space="0" w:color="auto"/>
        <w:left w:val="none" w:sz="0" w:space="0" w:color="auto"/>
        <w:bottom w:val="none" w:sz="0" w:space="0" w:color="auto"/>
        <w:right w:val="none" w:sz="0" w:space="0" w:color="auto"/>
      </w:divBdr>
    </w:div>
    <w:div w:id="1591383">
      <w:marLeft w:val="0"/>
      <w:marRight w:val="0"/>
      <w:marTop w:val="160"/>
      <w:marBottom w:val="160"/>
      <w:divBdr>
        <w:top w:val="none" w:sz="0" w:space="0" w:color="auto"/>
        <w:left w:val="none" w:sz="0" w:space="0" w:color="auto"/>
        <w:bottom w:val="none" w:sz="0" w:space="0" w:color="auto"/>
        <w:right w:val="none" w:sz="0" w:space="0" w:color="auto"/>
      </w:divBdr>
    </w:div>
    <w:div w:id="5595230">
      <w:marLeft w:val="0"/>
      <w:marRight w:val="0"/>
      <w:marTop w:val="0"/>
      <w:marBottom w:val="0"/>
      <w:divBdr>
        <w:top w:val="none" w:sz="0" w:space="0" w:color="auto"/>
        <w:left w:val="none" w:sz="0" w:space="0" w:color="auto"/>
        <w:bottom w:val="none" w:sz="0" w:space="0" w:color="auto"/>
        <w:right w:val="none" w:sz="0" w:space="0" w:color="auto"/>
      </w:divBdr>
      <w:divsChild>
        <w:div w:id="1428191140">
          <w:marLeft w:val="0"/>
          <w:marRight w:val="0"/>
          <w:marTop w:val="0"/>
          <w:marBottom w:val="0"/>
          <w:divBdr>
            <w:top w:val="none" w:sz="0" w:space="0" w:color="auto"/>
            <w:left w:val="none" w:sz="0" w:space="0" w:color="auto"/>
            <w:bottom w:val="none" w:sz="0" w:space="0" w:color="auto"/>
            <w:right w:val="none" w:sz="0" w:space="0" w:color="auto"/>
          </w:divBdr>
        </w:div>
      </w:divsChild>
    </w:div>
    <w:div w:id="6369084">
      <w:marLeft w:val="0"/>
      <w:marRight w:val="0"/>
      <w:marTop w:val="160"/>
      <w:marBottom w:val="160"/>
      <w:divBdr>
        <w:top w:val="none" w:sz="0" w:space="0" w:color="auto"/>
        <w:left w:val="none" w:sz="0" w:space="0" w:color="auto"/>
        <w:bottom w:val="none" w:sz="0" w:space="0" w:color="auto"/>
        <w:right w:val="none" w:sz="0" w:space="0" w:color="auto"/>
      </w:divBdr>
      <w:divsChild>
        <w:div w:id="1856265551">
          <w:marLeft w:val="0"/>
          <w:marRight w:val="0"/>
          <w:marTop w:val="0"/>
          <w:marBottom w:val="0"/>
          <w:divBdr>
            <w:top w:val="none" w:sz="0" w:space="0" w:color="auto"/>
            <w:left w:val="none" w:sz="0" w:space="0" w:color="auto"/>
            <w:bottom w:val="none" w:sz="0" w:space="0" w:color="auto"/>
            <w:right w:val="none" w:sz="0" w:space="0" w:color="auto"/>
          </w:divBdr>
        </w:div>
      </w:divsChild>
    </w:div>
    <w:div w:id="7485163">
      <w:marLeft w:val="0"/>
      <w:marRight w:val="0"/>
      <w:marTop w:val="160"/>
      <w:marBottom w:val="160"/>
      <w:divBdr>
        <w:top w:val="none" w:sz="0" w:space="0" w:color="auto"/>
        <w:left w:val="none" w:sz="0" w:space="0" w:color="auto"/>
        <w:bottom w:val="none" w:sz="0" w:space="0" w:color="auto"/>
        <w:right w:val="none" w:sz="0" w:space="0" w:color="auto"/>
      </w:divBdr>
    </w:div>
    <w:div w:id="9651690">
      <w:marLeft w:val="0"/>
      <w:marRight w:val="0"/>
      <w:marTop w:val="160"/>
      <w:marBottom w:val="160"/>
      <w:divBdr>
        <w:top w:val="none" w:sz="0" w:space="0" w:color="auto"/>
        <w:left w:val="none" w:sz="0" w:space="0" w:color="auto"/>
        <w:bottom w:val="none" w:sz="0" w:space="0" w:color="auto"/>
        <w:right w:val="none" w:sz="0" w:space="0" w:color="auto"/>
      </w:divBdr>
    </w:div>
    <w:div w:id="10572161">
      <w:marLeft w:val="0"/>
      <w:marRight w:val="0"/>
      <w:marTop w:val="160"/>
      <w:marBottom w:val="160"/>
      <w:divBdr>
        <w:top w:val="none" w:sz="0" w:space="0" w:color="auto"/>
        <w:left w:val="none" w:sz="0" w:space="0" w:color="auto"/>
        <w:bottom w:val="none" w:sz="0" w:space="0" w:color="auto"/>
        <w:right w:val="none" w:sz="0" w:space="0" w:color="auto"/>
      </w:divBdr>
    </w:div>
    <w:div w:id="13457621">
      <w:marLeft w:val="0"/>
      <w:marRight w:val="0"/>
      <w:marTop w:val="0"/>
      <w:marBottom w:val="0"/>
      <w:divBdr>
        <w:top w:val="none" w:sz="0" w:space="0" w:color="auto"/>
        <w:left w:val="none" w:sz="0" w:space="0" w:color="auto"/>
        <w:bottom w:val="none" w:sz="0" w:space="0" w:color="auto"/>
        <w:right w:val="none" w:sz="0" w:space="0" w:color="auto"/>
      </w:divBdr>
      <w:divsChild>
        <w:div w:id="931670527">
          <w:marLeft w:val="0"/>
          <w:marRight w:val="0"/>
          <w:marTop w:val="160"/>
          <w:marBottom w:val="160"/>
          <w:divBdr>
            <w:top w:val="none" w:sz="0" w:space="0" w:color="auto"/>
            <w:left w:val="none" w:sz="0" w:space="0" w:color="auto"/>
            <w:bottom w:val="none" w:sz="0" w:space="0" w:color="auto"/>
            <w:right w:val="none" w:sz="0" w:space="0" w:color="auto"/>
          </w:divBdr>
        </w:div>
        <w:div w:id="1026440357">
          <w:marLeft w:val="0"/>
          <w:marRight w:val="0"/>
          <w:marTop w:val="160"/>
          <w:marBottom w:val="160"/>
          <w:divBdr>
            <w:top w:val="none" w:sz="0" w:space="0" w:color="auto"/>
            <w:left w:val="none" w:sz="0" w:space="0" w:color="auto"/>
            <w:bottom w:val="none" w:sz="0" w:space="0" w:color="auto"/>
            <w:right w:val="none" w:sz="0" w:space="0" w:color="auto"/>
          </w:divBdr>
        </w:div>
        <w:div w:id="787815655">
          <w:marLeft w:val="0"/>
          <w:marRight w:val="0"/>
          <w:marTop w:val="160"/>
          <w:marBottom w:val="160"/>
          <w:divBdr>
            <w:top w:val="none" w:sz="0" w:space="0" w:color="auto"/>
            <w:left w:val="none" w:sz="0" w:space="0" w:color="auto"/>
            <w:bottom w:val="none" w:sz="0" w:space="0" w:color="auto"/>
            <w:right w:val="none" w:sz="0" w:space="0" w:color="auto"/>
          </w:divBdr>
        </w:div>
        <w:div w:id="1205944494">
          <w:marLeft w:val="0"/>
          <w:marRight w:val="0"/>
          <w:marTop w:val="160"/>
          <w:marBottom w:val="160"/>
          <w:divBdr>
            <w:top w:val="none" w:sz="0" w:space="0" w:color="auto"/>
            <w:left w:val="none" w:sz="0" w:space="0" w:color="auto"/>
            <w:bottom w:val="none" w:sz="0" w:space="0" w:color="auto"/>
            <w:right w:val="none" w:sz="0" w:space="0" w:color="auto"/>
          </w:divBdr>
        </w:div>
        <w:div w:id="2030141400">
          <w:marLeft w:val="0"/>
          <w:marRight w:val="0"/>
          <w:marTop w:val="160"/>
          <w:marBottom w:val="160"/>
          <w:divBdr>
            <w:top w:val="none" w:sz="0" w:space="0" w:color="auto"/>
            <w:left w:val="none" w:sz="0" w:space="0" w:color="auto"/>
            <w:bottom w:val="none" w:sz="0" w:space="0" w:color="auto"/>
            <w:right w:val="none" w:sz="0" w:space="0" w:color="auto"/>
          </w:divBdr>
        </w:div>
        <w:div w:id="685715830">
          <w:marLeft w:val="0"/>
          <w:marRight w:val="0"/>
          <w:marTop w:val="160"/>
          <w:marBottom w:val="160"/>
          <w:divBdr>
            <w:top w:val="none" w:sz="0" w:space="0" w:color="auto"/>
            <w:left w:val="none" w:sz="0" w:space="0" w:color="auto"/>
            <w:bottom w:val="none" w:sz="0" w:space="0" w:color="auto"/>
            <w:right w:val="none" w:sz="0" w:space="0" w:color="auto"/>
          </w:divBdr>
        </w:div>
      </w:divsChild>
    </w:div>
    <w:div w:id="15425271">
      <w:marLeft w:val="0"/>
      <w:marRight w:val="0"/>
      <w:marTop w:val="160"/>
      <w:marBottom w:val="160"/>
      <w:divBdr>
        <w:top w:val="none" w:sz="0" w:space="0" w:color="auto"/>
        <w:left w:val="none" w:sz="0" w:space="0" w:color="auto"/>
        <w:bottom w:val="none" w:sz="0" w:space="0" w:color="auto"/>
        <w:right w:val="none" w:sz="0" w:space="0" w:color="auto"/>
      </w:divBdr>
    </w:div>
    <w:div w:id="19547804">
      <w:marLeft w:val="0"/>
      <w:marRight w:val="0"/>
      <w:marTop w:val="160"/>
      <w:marBottom w:val="160"/>
      <w:divBdr>
        <w:top w:val="none" w:sz="0" w:space="0" w:color="auto"/>
        <w:left w:val="none" w:sz="0" w:space="0" w:color="auto"/>
        <w:bottom w:val="none" w:sz="0" w:space="0" w:color="auto"/>
        <w:right w:val="none" w:sz="0" w:space="0" w:color="auto"/>
      </w:divBdr>
    </w:div>
    <w:div w:id="19669339">
      <w:marLeft w:val="0"/>
      <w:marRight w:val="0"/>
      <w:marTop w:val="160"/>
      <w:marBottom w:val="160"/>
      <w:divBdr>
        <w:top w:val="none" w:sz="0" w:space="0" w:color="auto"/>
        <w:left w:val="none" w:sz="0" w:space="0" w:color="auto"/>
        <w:bottom w:val="none" w:sz="0" w:space="0" w:color="auto"/>
        <w:right w:val="none" w:sz="0" w:space="0" w:color="auto"/>
      </w:divBdr>
    </w:div>
    <w:div w:id="28066295">
      <w:marLeft w:val="0"/>
      <w:marRight w:val="0"/>
      <w:marTop w:val="160"/>
      <w:marBottom w:val="160"/>
      <w:divBdr>
        <w:top w:val="none" w:sz="0" w:space="0" w:color="auto"/>
        <w:left w:val="none" w:sz="0" w:space="0" w:color="auto"/>
        <w:bottom w:val="none" w:sz="0" w:space="0" w:color="auto"/>
        <w:right w:val="none" w:sz="0" w:space="0" w:color="auto"/>
      </w:divBdr>
    </w:div>
    <w:div w:id="29962410">
      <w:marLeft w:val="0"/>
      <w:marRight w:val="0"/>
      <w:marTop w:val="100"/>
      <w:marBottom w:val="160"/>
      <w:divBdr>
        <w:top w:val="none" w:sz="0" w:space="0" w:color="auto"/>
        <w:left w:val="none" w:sz="0" w:space="0" w:color="auto"/>
        <w:bottom w:val="none" w:sz="0" w:space="0" w:color="auto"/>
        <w:right w:val="none" w:sz="0" w:space="0" w:color="auto"/>
      </w:divBdr>
    </w:div>
    <w:div w:id="30153026">
      <w:marLeft w:val="0"/>
      <w:marRight w:val="0"/>
      <w:marTop w:val="160"/>
      <w:marBottom w:val="160"/>
      <w:divBdr>
        <w:top w:val="none" w:sz="0" w:space="0" w:color="auto"/>
        <w:left w:val="none" w:sz="0" w:space="0" w:color="auto"/>
        <w:bottom w:val="none" w:sz="0" w:space="0" w:color="auto"/>
        <w:right w:val="none" w:sz="0" w:space="0" w:color="auto"/>
      </w:divBdr>
    </w:div>
    <w:div w:id="30736824">
      <w:marLeft w:val="0"/>
      <w:marRight w:val="0"/>
      <w:marTop w:val="60"/>
      <w:marBottom w:val="0"/>
      <w:divBdr>
        <w:top w:val="none" w:sz="0" w:space="0" w:color="auto"/>
        <w:left w:val="none" w:sz="0" w:space="0" w:color="auto"/>
        <w:bottom w:val="none" w:sz="0" w:space="0" w:color="auto"/>
        <w:right w:val="none" w:sz="0" w:space="0" w:color="auto"/>
      </w:divBdr>
    </w:div>
    <w:div w:id="32315667">
      <w:marLeft w:val="0"/>
      <w:marRight w:val="0"/>
      <w:marTop w:val="160"/>
      <w:marBottom w:val="160"/>
      <w:divBdr>
        <w:top w:val="none" w:sz="0" w:space="0" w:color="auto"/>
        <w:left w:val="none" w:sz="0" w:space="0" w:color="auto"/>
        <w:bottom w:val="none" w:sz="0" w:space="0" w:color="auto"/>
        <w:right w:val="none" w:sz="0" w:space="0" w:color="auto"/>
      </w:divBdr>
    </w:div>
    <w:div w:id="33433594">
      <w:marLeft w:val="0"/>
      <w:marRight w:val="0"/>
      <w:marTop w:val="0"/>
      <w:marBottom w:val="60"/>
      <w:divBdr>
        <w:top w:val="none" w:sz="0" w:space="0" w:color="auto"/>
        <w:left w:val="none" w:sz="0" w:space="0" w:color="auto"/>
        <w:bottom w:val="none" w:sz="0" w:space="0" w:color="auto"/>
        <w:right w:val="none" w:sz="0" w:space="0" w:color="auto"/>
      </w:divBdr>
    </w:div>
    <w:div w:id="36468418">
      <w:marLeft w:val="0"/>
      <w:marRight w:val="0"/>
      <w:marTop w:val="160"/>
      <w:marBottom w:val="160"/>
      <w:divBdr>
        <w:top w:val="none" w:sz="0" w:space="0" w:color="auto"/>
        <w:left w:val="none" w:sz="0" w:space="0" w:color="auto"/>
        <w:bottom w:val="none" w:sz="0" w:space="0" w:color="auto"/>
        <w:right w:val="none" w:sz="0" w:space="0" w:color="auto"/>
      </w:divBdr>
    </w:div>
    <w:div w:id="36664855">
      <w:marLeft w:val="0"/>
      <w:marRight w:val="0"/>
      <w:marTop w:val="160"/>
      <w:marBottom w:val="40"/>
      <w:divBdr>
        <w:top w:val="none" w:sz="0" w:space="0" w:color="auto"/>
        <w:left w:val="none" w:sz="0" w:space="0" w:color="auto"/>
        <w:bottom w:val="none" w:sz="0" w:space="0" w:color="auto"/>
        <w:right w:val="none" w:sz="0" w:space="0" w:color="auto"/>
      </w:divBdr>
    </w:div>
    <w:div w:id="61105250">
      <w:marLeft w:val="0"/>
      <w:marRight w:val="0"/>
      <w:marTop w:val="0"/>
      <w:marBottom w:val="0"/>
      <w:divBdr>
        <w:top w:val="none" w:sz="0" w:space="0" w:color="auto"/>
        <w:left w:val="none" w:sz="0" w:space="0" w:color="auto"/>
        <w:bottom w:val="none" w:sz="0" w:space="0" w:color="auto"/>
        <w:right w:val="none" w:sz="0" w:space="0" w:color="auto"/>
      </w:divBdr>
    </w:div>
    <w:div w:id="69741190">
      <w:marLeft w:val="0"/>
      <w:marRight w:val="0"/>
      <w:marTop w:val="60"/>
      <w:marBottom w:val="0"/>
      <w:divBdr>
        <w:top w:val="none" w:sz="0" w:space="0" w:color="auto"/>
        <w:left w:val="none" w:sz="0" w:space="0" w:color="auto"/>
        <w:bottom w:val="none" w:sz="0" w:space="0" w:color="auto"/>
        <w:right w:val="none" w:sz="0" w:space="0" w:color="auto"/>
      </w:divBdr>
    </w:div>
    <w:div w:id="74791181">
      <w:marLeft w:val="0"/>
      <w:marRight w:val="0"/>
      <w:marTop w:val="0"/>
      <w:marBottom w:val="0"/>
      <w:divBdr>
        <w:top w:val="none" w:sz="0" w:space="0" w:color="auto"/>
        <w:left w:val="none" w:sz="0" w:space="0" w:color="auto"/>
        <w:bottom w:val="none" w:sz="0" w:space="0" w:color="auto"/>
        <w:right w:val="none" w:sz="0" w:space="0" w:color="auto"/>
      </w:divBdr>
      <w:divsChild>
        <w:div w:id="1401442143">
          <w:marLeft w:val="0"/>
          <w:marRight w:val="0"/>
          <w:marTop w:val="0"/>
          <w:marBottom w:val="0"/>
          <w:divBdr>
            <w:top w:val="none" w:sz="0" w:space="0" w:color="auto"/>
            <w:left w:val="none" w:sz="0" w:space="0" w:color="auto"/>
            <w:bottom w:val="none" w:sz="0" w:space="0" w:color="auto"/>
            <w:right w:val="none" w:sz="0" w:space="0" w:color="auto"/>
          </w:divBdr>
        </w:div>
      </w:divsChild>
    </w:div>
    <w:div w:id="76832618">
      <w:marLeft w:val="0"/>
      <w:marRight w:val="0"/>
      <w:marTop w:val="60"/>
      <w:marBottom w:val="0"/>
      <w:divBdr>
        <w:top w:val="none" w:sz="0" w:space="0" w:color="auto"/>
        <w:left w:val="none" w:sz="0" w:space="0" w:color="auto"/>
        <w:bottom w:val="none" w:sz="0" w:space="0" w:color="auto"/>
        <w:right w:val="none" w:sz="0" w:space="0" w:color="auto"/>
      </w:divBdr>
    </w:div>
    <w:div w:id="83458617">
      <w:marLeft w:val="0"/>
      <w:marRight w:val="0"/>
      <w:marTop w:val="60"/>
      <w:marBottom w:val="60"/>
      <w:divBdr>
        <w:top w:val="none" w:sz="0" w:space="0" w:color="auto"/>
        <w:left w:val="none" w:sz="0" w:space="0" w:color="auto"/>
        <w:bottom w:val="none" w:sz="0" w:space="0" w:color="auto"/>
        <w:right w:val="none" w:sz="0" w:space="0" w:color="auto"/>
      </w:divBdr>
    </w:div>
    <w:div w:id="89200968">
      <w:marLeft w:val="0"/>
      <w:marRight w:val="0"/>
      <w:marTop w:val="160"/>
      <w:marBottom w:val="160"/>
      <w:divBdr>
        <w:top w:val="none" w:sz="0" w:space="0" w:color="auto"/>
        <w:left w:val="none" w:sz="0" w:space="0" w:color="auto"/>
        <w:bottom w:val="none" w:sz="0" w:space="0" w:color="auto"/>
        <w:right w:val="none" w:sz="0" w:space="0" w:color="auto"/>
      </w:divBdr>
    </w:div>
    <w:div w:id="89594491">
      <w:marLeft w:val="0"/>
      <w:marRight w:val="0"/>
      <w:marTop w:val="160"/>
      <w:marBottom w:val="160"/>
      <w:divBdr>
        <w:top w:val="none" w:sz="0" w:space="0" w:color="auto"/>
        <w:left w:val="none" w:sz="0" w:space="0" w:color="auto"/>
        <w:bottom w:val="none" w:sz="0" w:space="0" w:color="auto"/>
        <w:right w:val="none" w:sz="0" w:space="0" w:color="auto"/>
      </w:divBdr>
    </w:div>
    <w:div w:id="90393026">
      <w:marLeft w:val="0"/>
      <w:marRight w:val="0"/>
      <w:marTop w:val="160"/>
      <w:marBottom w:val="160"/>
      <w:divBdr>
        <w:top w:val="none" w:sz="0" w:space="0" w:color="auto"/>
        <w:left w:val="none" w:sz="0" w:space="0" w:color="auto"/>
        <w:bottom w:val="none" w:sz="0" w:space="0" w:color="auto"/>
        <w:right w:val="none" w:sz="0" w:space="0" w:color="auto"/>
      </w:divBdr>
    </w:div>
    <w:div w:id="99568666">
      <w:marLeft w:val="0"/>
      <w:marRight w:val="0"/>
      <w:marTop w:val="160"/>
      <w:marBottom w:val="160"/>
      <w:divBdr>
        <w:top w:val="none" w:sz="0" w:space="0" w:color="auto"/>
        <w:left w:val="none" w:sz="0" w:space="0" w:color="auto"/>
        <w:bottom w:val="none" w:sz="0" w:space="0" w:color="auto"/>
        <w:right w:val="none" w:sz="0" w:space="0" w:color="auto"/>
      </w:divBdr>
    </w:div>
    <w:div w:id="99882608">
      <w:marLeft w:val="0"/>
      <w:marRight w:val="0"/>
      <w:marTop w:val="160"/>
      <w:marBottom w:val="160"/>
      <w:divBdr>
        <w:top w:val="none" w:sz="0" w:space="0" w:color="auto"/>
        <w:left w:val="none" w:sz="0" w:space="0" w:color="auto"/>
        <w:bottom w:val="none" w:sz="0" w:space="0" w:color="auto"/>
        <w:right w:val="none" w:sz="0" w:space="0" w:color="auto"/>
      </w:divBdr>
    </w:div>
    <w:div w:id="110367712">
      <w:marLeft w:val="0"/>
      <w:marRight w:val="0"/>
      <w:marTop w:val="160"/>
      <w:marBottom w:val="160"/>
      <w:divBdr>
        <w:top w:val="none" w:sz="0" w:space="0" w:color="auto"/>
        <w:left w:val="none" w:sz="0" w:space="0" w:color="auto"/>
        <w:bottom w:val="none" w:sz="0" w:space="0" w:color="auto"/>
        <w:right w:val="none" w:sz="0" w:space="0" w:color="auto"/>
      </w:divBdr>
    </w:div>
    <w:div w:id="114032738">
      <w:marLeft w:val="0"/>
      <w:marRight w:val="0"/>
      <w:marTop w:val="160"/>
      <w:marBottom w:val="160"/>
      <w:divBdr>
        <w:top w:val="none" w:sz="0" w:space="0" w:color="auto"/>
        <w:left w:val="none" w:sz="0" w:space="0" w:color="auto"/>
        <w:bottom w:val="none" w:sz="0" w:space="0" w:color="auto"/>
        <w:right w:val="none" w:sz="0" w:space="0" w:color="auto"/>
      </w:divBdr>
    </w:div>
    <w:div w:id="131752462">
      <w:marLeft w:val="0"/>
      <w:marRight w:val="0"/>
      <w:marTop w:val="160"/>
      <w:marBottom w:val="160"/>
      <w:divBdr>
        <w:top w:val="none" w:sz="0" w:space="0" w:color="auto"/>
        <w:left w:val="none" w:sz="0" w:space="0" w:color="auto"/>
        <w:bottom w:val="none" w:sz="0" w:space="0" w:color="auto"/>
        <w:right w:val="none" w:sz="0" w:space="0" w:color="auto"/>
      </w:divBdr>
    </w:div>
    <w:div w:id="134298212">
      <w:marLeft w:val="0"/>
      <w:marRight w:val="0"/>
      <w:marTop w:val="0"/>
      <w:marBottom w:val="0"/>
      <w:divBdr>
        <w:top w:val="none" w:sz="0" w:space="0" w:color="auto"/>
        <w:left w:val="none" w:sz="0" w:space="0" w:color="auto"/>
        <w:bottom w:val="none" w:sz="0" w:space="0" w:color="auto"/>
        <w:right w:val="none" w:sz="0" w:space="0" w:color="auto"/>
      </w:divBdr>
      <w:divsChild>
        <w:div w:id="180583890">
          <w:marLeft w:val="0"/>
          <w:marRight w:val="0"/>
          <w:marTop w:val="0"/>
          <w:marBottom w:val="0"/>
          <w:divBdr>
            <w:top w:val="none" w:sz="0" w:space="0" w:color="auto"/>
            <w:left w:val="none" w:sz="0" w:space="0" w:color="auto"/>
            <w:bottom w:val="none" w:sz="0" w:space="0" w:color="auto"/>
            <w:right w:val="none" w:sz="0" w:space="0" w:color="auto"/>
          </w:divBdr>
        </w:div>
      </w:divsChild>
    </w:div>
    <w:div w:id="135953097">
      <w:marLeft w:val="0"/>
      <w:marRight w:val="0"/>
      <w:marTop w:val="160"/>
      <w:marBottom w:val="160"/>
      <w:divBdr>
        <w:top w:val="none" w:sz="0" w:space="0" w:color="auto"/>
        <w:left w:val="none" w:sz="0" w:space="0" w:color="auto"/>
        <w:bottom w:val="none" w:sz="0" w:space="0" w:color="auto"/>
        <w:right w:val="none" w:sz="0" w:space="0" w:color="auto"/>
      </w:divBdr>
    </w:div>
    <w:div w:id="148375443">
      <w:marLeft w:val="0"/>
      <w:marRight w:val="0"/>
      <w:marTop w:val="160"/>
      <w:marBottom w:val="160"/>
      <w:divBdr>
        <w:top w:val="none" w:sz="0" w:space="0" w:color="auto"/>
        <w:left w:val="none" w:sz="0" w:space="0" w:color="auto"/>
        <w:bottom w:val="none" w:sz="0" w:space="0" w:color="auto"/>
        <w:right w:val="none" w:sz="0" w:space="0" w:color="auto"/>
      </w:divBdr>
    </w:div>
    <w:div w:id="151143519">
      <w:marLeft w:val="0"/>
      <w:marRight w:val="0"/>
      <w:marTop w:val="160"/>
      <w:marBottom w:val="160"/>
      <w:divBdr>
        <w:top w:val="none" w:sz="0" w:space="0" w:color="auto"/>
        <w:left w:val="none" w:sz="0" w:space="0" w:color="auto"/>
        <w:bottom w:val="none" w:sz="0" w:space="0" w:color="auto"/>
        <w:right w:val="none" w:sz="0" w:space="0" w:color="auto"/>
      </w:divBdr>
    </w:div>
    <w:div w:id="152961292">
      <w:marLeft w:val="0"/>
      <w:marRight w:val="0"/>
      <w:marTop w:val="160"/>
      <w:marBottom w:val="160"/>
      <w:divBdr>
        <w:top w:val="none" w:sz="0" w:space="0" w:color="auto"/>
        <w:left w:val="none" w:sz="0" w:space="0" w:color="auto"/>
        <w:bottom w:val="none" w:sz="0" w:space="0" w:color="auto"/>
        <w:right w:val="none" w:sz="0" w:space="0" w:color="auto"/>
      </w:divBdr>
    </w:div>
    <w:div w:id="154495758">
      <w:marLeft w:val="0"/>
      <w:marRight w:val="0"/>
      <w:marTop w:val="0"/>
      <w:marBottom w:val="0"/>
      <w:divBdr>
        <w:top w:val="none" w:sz="0" w:space="0" w:color="auto"/>
        <w:left w:val="none" w:sz="0" w:space="0" w:color="auto"/>
        <w:bottom w:val="none" w:sz="0" w:space="0" w:color="auto"/>
        <w:right w:val="none" w:sz="0" w:space="0" w:color="auto"/>
      </w:divBdr>
      <w:divsChild>
        <w:div w:id="1095591359">
          <w:marLeft w:val="0"/>
          <w:marRight w:val="0"/>
          <w:marTop w:val="0"/>
          <w:marBottom w:val="0"/>
          <w:divBdr>
            <w:top w:val="none" w:sz="0" w:space="0" w:color="auto"/>
            <w:left w:val="none" w:sz="0" w:space="0" w:color="auto"/>
            <w:bottom w:val="none" w:sz="0" w:space="0" w:color="auto"/>
            <w:right w:val="none" w:sz="0" w:space="0" w:color="auto"/>
          </w:divBdr>
        </w:div>
      </w:divsChild>
    </w:div>
    <w:div w:id="155195335">
      <w:marLeft w:val="0"/>
      <w:marRight w:val="0"/>
      <w:marTop w:val="160"/>
      <w:marBottom w:val="160"/>
      <w:divBdr>
        <w:top w:val="none" w:sz="0" w:space="0" w:color="auto"/>
        <w:left w:val="none" w:sz="0" w:space="0" w:color="auto"/>
        <w:bottom w:val="none" w:sz="0" w:space="0" w:color="auto"/>
        <w:right w:val="none" w:sz="0" w:space="0" w:color="auto"/>
      </w:divBdr>
    </w:div>
    <w:div w:id="158889619">
      <w:marLeft w:val="0"/>
      <w:marRight w:val="0"/>
      <w:marTop w:val="160"/>
      <w:marBottom w:val="160"/>
      <w:divBdr>
        <w:top w:val="none" w:sz="0" w:space="0" w:color="auto"/>
        <w:left w:val="none" w:sz="0" w:space="0" w:color="auto"/>
        <w:bottom w:val="none" w:sz="0" w:space="0" w:color="auto"/>
        <w:right w:val="none" w:sz="0" w:space="0" w:color="auto"/>
      </w:divBdr>
    </w:div>
    <w:div w:id="158931661">
      <w:marLeft w:val="0"/>
      <w:marRight w:val="0"/>
      <w:marTop w:val="160"/>
      <w:marBottom w:val="160"/>
      <w:divBdr>
        <w:top w:val="none" w:sz="0" w:space="0" w:color="auto"/>
        <w:left w:val="none" w:sz="0" w:space="0" w:color="auto"/>
        <w:bottom w:val="none" w:sz="0" w:space="0" w:color="auto"/>
        <w:right w:val="none" w:sz="0" w:space="0" w:color="auto"/>
      </w:divBdr>
    </w:div>
    <w:div w:id="160853988">
      <w:marLeft w:val="0"/>
      <w:marRight w:val="0"/>
      <w:marTop w:val="160"/>
      <w:marBottom w:val="160"/>
      <w:divBdr>
        <w:top w:val="none" w:sz="0" w:space="0" w:color="auto"/>
        <w:left w:val="none" w:sz="0" w:space="0" w:color="auto"/>
        <w:bottom w:val="none" w:sz="0" w:space="0" w:color="auto"/>
        <w:right w:val="none" w:sz="0" w:space="0" w:color="auto"/>
      </w:divBdr>
    </w:div>
    <w:div w:id="165101693">
      <w:marLeft w:val="0"/>
      <w:marRight w:val="0"/>
      <w:marTop w:val="160"/>
      <w:marBottom w:val="160"/>
      <w:divBdr>
        <w:top w:val="none" w:sz="0" w:space="0" w:color="auto"/>
        <w:left w:val="none" w:sz="0" w:space="0" w:color="auto"/>
        <w:bottom w:val="none" w:sz="0" w:space="0" w:color="auto"/>
        <w:right w:val="none" w:sz="0" w:space="0" w:color="auto"/>
      </w:divBdr>
    </w:div>
    <w:div w:id="166021457">
      <w:marLeft w:val="0"/>
      <w:marRight w:val="0"/>
      <w:marTop w:val="160"/>
      <w:marBottom w:val="160"/>
      <w:divBdr>
        <w:top w:val="none" w:sz="0" w:space="0" w:color="auto"/>
        <w:left w:val="none" w:sz="0" w:space="0" w:color="auto"/>
        <w:bottom w:val="none" w:sz="0" w:space="0" w:color="auto"/>
        <w:right w:val="none" w:sz="0" w:space="0" w:color="auto"/>
      </w:divBdr>
    </w:div>
    <w:div w:id="172498985">
      <w:marLeft w:val="0"/>
      <w:marRight w:val="0"/>
      <w:marTop w:val="0"/>
      <w:marBottom w:val="0"/>
      <w:divBdr>
        <w:top w:val="none" w:sz="0" w:space="0" w:color="auto"/>
        <w:left w:val="none" w:sz="0" w:space="0" w:color="auto"/>
        <w:bottom w:val="none" w:sz="0" w:space="0" w:color="auto"/>
        <w:right w:val="none" w:sz="0" w:space="0" w:color="auto"/>
      </w:divBdr>
    </w:div>
    <w:div w:id="175312260">
      <w:marLeft w:val="0"/>
      <w:marRight w:val="0"/>
      <w:marTop w:val="160"/>
      <w:marBottom w:val="160"/>
      <w:divBdr>
        <w:top w:val="none" w:sz="0" w:space="0" w:color="auto"/>
        <w:left w:val="none" w:sz="0" w:space="0" w:color="auto"/>
        <w:bottom w:val="none" w:sz="0" w:space="0" w:color="auto"/>
        <w:right w:val="none" w:sz="0" w:space="0" w:color="auto"/>
      </w:divBdr>
    </w:div>
    <w:div w:id="175847836">
      <w:marLeft w:val="0"/>
      <w:marRight w:val="0"/>
      <w:marTop w:val="0"/>
      <w:marBottom w:val="0"/>
      <w:divBdr>
        <w:top w:val="none" w:sz="0" w:space="0" w:color="auto"/>
        <w:left w:val="none" w:sz="0" w:space="0" w:color="auto"/>
        <w:bottom w:val="none" w:sz="0" w:space="0" w:color="auto"/>
        <w:right w:val="none" w:sz="0" w:space="0" w:color="auto"/>
      </w:divBdr>
      <w:divsChild>
        <w:div w:id="1912344050">
          <w:marLeft w:val="0"/>
          <w:marRight w:val="0"/>
          <w:marTop w:val="160"/>
          <w:marBottom w:val="160"/>
          <w:divBdr>
            <w:top w:val="none" w:sz="0" w:space="0" w:color="auto"/>
            <w:left w:val="none" w:sz="0" w:space="0" w:color="auto"/>
            <w:bottom w:val="none" w:sz="0" w:space="0" w:color="auto"/>
            <w:right w:val="none" w:sz="0" w:space="0" w:color="auto"/>
          </w:divBdr>
        </w:div>
        <w:div w:id="274674234">
          <w:marLeft w:val="0"/>
          <w:marRight w:val="0"/>
          <w:marTop w:val="160"/>
          <w:marBottom w:val="160"/>
          <w:divBdr>
            <w:top w:val="none" w:sz="0" w:space="0" w:color="auto"/>
            <w:left w:val="none" w:sz="0" w:space="0" w:color="auto"/>
            <w:bottom w:val="none" w:sz="0" w:space="0" w:color="auto"/>
            <w:right w:val="none" w:sz="0" w:space="0" w:color="auto"/>
          </w:divBdr>
        </w:div>
        <w:div w:id="1961036177">
          <w:marLeft w:val="0"/>
          <w:marRight w:val="0"/>
          <w:marTop w:val="160"/>
          <w:marBottom w:val="160"/>
          <w:divBdr>
            <w:top w:val="none" w:sz="0" w:space="0" w:color="auto"/>
            <w:left w:val="none" w:sz="0" w:space="0" w:color="auto"/>
            <w:bottom w:val="none" w:sz="0" w:space="0" w:color="auto"/>
            <w:right w:val="none" w:sz="0" w:space="0" w:color="auto"/>
          </w:divBdr>
        </w:div>
        <w:div w:id="2033189779">
          <w:marLeft w:val="0"/>
          <w:marRight w:val="0"/>
          <w:marTop w:val="160"/>
          <w:marBottom w:val="160"/>
          <w:divBdr>
            <w:top w:val="none" w:sz="0" w:space="0" w:color="auto"/>
            <w:left w:val="none" w:sz="0" w:space="0" w:color="auto"/>
            <w:bottom w:val="none" w:sz="0" w:space="0" w:color="auto"/>
            <w:right w:val="none" w:sz="0" w:space="0" w:color="auto"/>
          </w:divBdr>
        </w:div>
        <w:div w:id="343168236">
          <w:marLeft w:val="0"/>
          <w:marRight w:val="0"/>
          <w:marTop w:val="160"/>
          <w:marBottom w:val="160"/>
          <w:divBdr>
            <w:top w:val="none" w:sz="0" w:space="0" w:color="auto"/>
            <w:left w:val="none" w:sz="0" w:space="0" w:color="auto"/>
            <w:bottom w:val="none" w:sz="0" w:space="0" w:color="auto"/>
            <w:right w:val="none" w:sz="0" w:space="0" w:color="auto"/>
          </w:divBdr>
        </w:div>
        <w:div w:id="1998797498">
          <w:marLeft w:val="0"/>
          <w:marRight w:val="0"/>
          <w:marTop w:val="160"/>
          <w:marBottom w:val="160"/>
          <w:divBdr>
            <w:top w:val="none" w:sz="0" w:space="0" w:color="auto"/>
            <w:left w:val="none" w:sz="0" w:space="0" w:color="auto"/>
            <w:bottom w:val="none" w:sz="0" w:space="0" w:color="auto"/>
            <w:right w:val="none" w:sz="0" w:space="0" w:color="auto"/>
          </w:divBdr>
        </w:div>
      </w:divsChild>
    </w:div>
    <w:div w:id="183372699">
      <w:marLeft w:val="0"/>
      <w:marRight w:val="0"/>
      <w:marTop w:val="160"/>
      <w:marBottom w:val="160"/>
      <w:divBdr>
        <w:top w:val="none" w:sz="0" w:space="0" w:color="auto"/>
        <w:left w:val="none" w:sz="0" w:space="0" w:color="auto"/>
        <w:bottom w:val="none" w:sz="0" w:space="0" w:color="auto"/>
        <w:right w:val="none" w:sz="0" w:space="0" w:color="auto"/>
      </w:divBdr>
    </w:div>
    <w:div w:id="190534114">
      <w:marLeft w:val="0"/>
      <w:marRight w:val="0"/>
      <w:marTop w:val="160"/>
      <w:marBottom w:val="160"/>
      <w:divBdr>
        <w:top w:val="none" w:sz="0" w:space="0" w:color="auto"/>
        <w:left w:val="none" w:sz="0" w:space="0" w:color="auto"/>
        <w:bottom w:val="none" w:sz="0" w:space="0" w:color="auto"/>
        <w:right w:val="none" w:sz="0" w:space="0" w:color="auto"/>
      </w:divBdr>
    </w:div>
    <w:div w:id="198124280">
      <w:marLeft w:val="0"/>
      <w:marRight w:val="0"/>
      <w:marTop w:val="160"/>
      <w:marBottom w:val="160"/>
      <w:divBdr>
        <w:top w:val="none" w:sz="0" w:space="0" w:color="auto"/>
        <w:left w:val="none" w:sz="0" w:space="0" w:color="auto"/>
        <w:bottom w:val="none" w:sz="0" w:space="0" w:color="auto"/>
        <w:right w:val="none" w:sz="0" w:space="0" w:color="auto"/>
      </w:divBdr>
    </w:div>
    <w:div w:id="201090491">
      <w:marLeft w:val="0"/>
      <w:marRight w:val="0"/>
      <w:marTop w:val="160"/>
      <w:marBottom w:val="160"/>
      <w:divBdr>
        <w:top w:val="none" w:sz="0" w:space="0" w:color="auto"/>
        <w:left w:val="none" w:sz="0" w:space="0" w:color="auto"/>
        <w:bottom w:val="none" w:sz="0" w:space="0" w:color="auto"/>
        <w:right w:val="none" w:sz="0" w:space="0" w:color="auto"/>
      </w:divBdr>
    </w:div>
    <w:div w:id="203179091">
      <w:marLeft w:val="0"/>
      <w:marRight w:val="0"/>
      <w:marTop w:val="160"/>
      <w:marBottom w:val="160"/>
      <w:divBdr>
        <w:top w:val="none" w:sz="0" w:space="0" w:color="auto"/>
        <w:left w:val="none" w:sz="0" w:space="0" w:color="auto"/>
        <w:bottom w:val="none" w:sz="0" w:space="0" w:color="auto"/>
        <w:right w:val="none" w:sz="0" w:space="0" w:color="auto"/>
      </w:divBdr>
    </w:div>
    <w:div w:id="203373631">
      <w:marLeft w:val="0"/>
      <w:marRight w:val="0"/>
      <w:marTop w:val="160"/>
      <w:marBottom w:val="160"/>
      <w:divBdr>
        <w:top w:val="none" w:sz="0" w:space="0" w:color="auto"/>
        <w:left w:val="none" w:sz="0" w:space="0" w:color="auto"/>
        <w:bottom w:val="none" w:sz="0" w:space="0" w:color="auto"/>
        <w:right w:val="none" w:sz="0" w:space="0" w:color="auto"/>
      </w:divBdr>
    </w:div>
    <w:div w:id="205987934">
      <w:marLeft w:val="0"/>
      <w:marRight w:val="0"/>
      <w:marTop w:val="160"/>
      <w:marBottom w:val="160"/>
      <w:divBdr>
        <w:top w:val="none" w:sz="0" w:space="0" w:color="auto"/>
        <w:left w:val="none" w:sz="0" w:space="0" w:color="auto"/>
        <w:bottom w:val="none" w:sz="0" w:space="0" w:color="auto"/>
        <w:right w:val="none" w:sz="0" w:space="0" w:color="auto"/>
      </w:divBdr>
    </w:div>
    <w:div w:id="209221595">
      <w:marLeft w:val="0"/>
      <w:marRight w:val="0"/>
      <w:marTop w:val="160"/>
      <w:marBottom w:val="160"/>
      <w:divBdr>
        <w:top w:val="none" w:sz="0" w:space="0" w:color="auto"/>
        <w:left w:val="none" w:sz="0" w:space="0" w:color="auto"/>
        <w:bottom w:val="none" w:sz="0" w:space="0" w:color="auto"/>
        <w:right w:val="none" w:sz="0" w:space="0" w:color="auto"/>
      </w:divBdr>
    </w:div>
    <w:div w:id="212817753">
      <w:marLeft w:val="0"/>
      <w:marRight w:val="0"/>
      <w:marTop w:val="160"/>
      <w:marBottom w:val="160"/>
      <w:divBdr>
        <w:top w:val="none" w:sz="0" w:space="0" w:color="auto"/>
        <w:left w:val="none" w:sz="0" w:space="0" w:color="auto"/>
        <w:bottom w:val="none" w:sz="0" w:space="0" w:color="auto"/>
        <w:right w:val="none" w:sz="0" w:space="0" w:color="auto"/>
      </w:divBdr>
    </w:div>
    <w:div w:id="213279512">
      <w:marLeft w:val="0"/>
      <w:marRight w:val="0"/>
      <w:marTop w:val="0"/>
      <w:marBottom w:val="160"/>
      <w:divBdr>
        <w:top w:val="none" w:sz="0" w:space="0" w:color="auto"/>
        <w:left w:val="none" w:sz="0" w:space="0" w:color="auto"/>
        <w:bottom w:val="none" w:sz="0" w:space="0" w:color="auto"/>
        <w:right w:val="none" w:sz="0" w:space="0" w:color="auto"/>
      </w:divBdr>
    </w:div>
    <w:div w:id="228347831">
      <w:marLeft w:val="0"/>
      <w:marRight w:val="0"/>
      <w:marTop w:val="0"/>
      <w:marBottom w:val="0"/>
      <w:divBdr>
        <w:top w:val="none" w:sz="0" w:space="0" w:color="auto"/>
        <w:left w:val="none" w:sz="0" w:space="0" w:color="auto"/>
        <w:bottom w:val="none" w:sz="0" w:space="0" w:color="auto"/>
        <w:right w:val="none" w:sz="0" w:space="0" w:color="auto"/>
      </w:divBdr>
      <w:divsChild>
        <w:div w:id="508102333">
          <w:marLeft w:val="0"/>
          <w:marRight w:val="0"/>
          <w:marTop w:val="0"/>
          <w:marBottom w:val="0"/>
          <w:divBdr>
            <w:top w:val="none" w:sz="0" w:space="0" w:color="auto"/>
            <w:left w:val="none" w:sz="0" w:space="0" w:color="auto"/>
            <w:bottom w:val="none" w:sz="0" w:space="0" w:color="auto"/>
            <w:right w:val="none" w:sz="0" w:space="0" w:color="auto"/>
          </w:divBdr>
        </w:div>
      </w:divsChild>
    </w:div>
    <w:div w:id="232006284">
      <w:marLeft w:val="0"/>
      <w:marRight w:val="0"/>
      <w:marTop w:val="160"/>
      <w:marBottom w:val="160"/>
      <w:divBdr>
        <w:top w:val="none" w:sz="0" w:space="0" w:color="auto"/>
        <w:left w:val="none" w:sz="0" w:space="0" w:color="auto"/>
        <w:bottom w:val="none" w:sz="0" w:space="0" w:color="auto"/>
        <w:right w:val="none" w:sz="0" w:space="0" w:color="auto"/>
      </w:divBdr>
    </w:div>
    <w:div w:id="234823897">
      <w:marLeft w:val="0"/>
      <w:marRight w:val="0"/>
      <w:marTop w:val="0"/>
      <w:marBottom w:val="0"/>
      <w:divBdr>
        <w:top w:val="none" w:sz="0" w:space="0" w:color="auto"/>
        <w:left w:val="none" w:sz="0" w:space="0" w:color="auto"/>
        <w:bottom w:val="none" w:sz="0" w:space="0" w:color="auto"/>
        <w:right w:val="none" w:sz="0" w:space="0" w:color="auto"/>
      </w:divBdr>
      <w:divsChild>
        <w:div w:id="1831867771">
          <w:marLeft w:val="0"/>
          <w:marRight w:val="0"/>
          <w:marTop w:val="0"/>
          <w:marBottom w:val="0"/>
          <w:divBdr>
            <w:top w:val="none" w:sz="0" w:space="0" w:color="auto"/>
            <w:left w:val="none" w:sz="0" w:space="0" w:color="auto"/>
            <w:bottom w:val="none" w:sz="0" w:space="0" w:color="auto"/>
            <w:right w:val="none" w:sz="0" w:space="0" w:color="auto"/>
          </w:divBdr>
        </w:div>
      </w:divsChild>
    </w:div>
    <w:div w:id="254049984">
      <w:marLeft w:val="0"/>
      <w:marRight w:val="0"/>
      <w:marTop w:val="160"/>
      <w:marBottom w:val="160"/>
      <w:divBdr>
        <w:top w:val="none" w:sz="0" w:space="0" w:color="auto"/>
        <w:left w:val="none" w:sz="0" w:space="0" w:color="auto"/>
        <w:bottom w:val="none" w:sz="0" w:space="0" w:color="auto"/>
        <w:right w:val="none" w:sz="0" w:space="0" w:color="auto"/>
      </w:divBdr>
    </w:div>
    <w:div w:id="259801542">
      <w:marLeft w:val="0"/>
      <w:marRight w:val="0"/>
      <w:marTop w:val="160"/>
      <w:marBottom w:val="160"/>
      <w:divBdr>
        <w:top w:val="none" w:sz="0" w:space="0" w:color="auto"/>
        <w:left w:val="none" w:sz="0" w:space="0" w:color="auto"/>
        <w:bottom w:val="none" w:sz="0" w:space="0" w:color="auto"/>
        <w:right w:val="none" w:sz="0" w:space="0" w:color="auto"/>
      </w:divBdr>
    </w:div>
    <w:div w:id="262104826">
      <w:marLeft w:val="0"/>
      <w:marRight w:val="0"/>
      <w:marTop w:val="160"/>
      <w:marBottom w:val="160"/>
      <w:divBdr>
        <w:top w:val="none" w:sz="0" w:space="0" w:color="auto"/>
        <w:left w:val="none" w:sz="0" w:space="0" w:color="auto"/>
        <w:bottom w:val="none" w:sz="0" w:space="0" w:color="auto"/>
        <w:right w:val="none" w:sz="0" w:space="0" w:color="auto"/>
      </w:divBdr>
    </w:div>
    <w:div w:id="265115887">
      <w:marLeft w:val="0"/>
      <w:marRight w:val="0"/>
      <w:marTop w:val="0"/>
      <w:marBottom w:val="0"/>
      <w:divBdr>
        <w:top w:val="none" w:sz="0" w:space="0" w:color="auto"/>
        <w:left w:val="none" w:sz="0" w:space="0" w:color="auto"/>
        <w:bottom w:val="none" w:sz="0" w:space="0" w:color="auto"/>
        <w:right w:val="none" w:sz="0" w:space="0" w:color="auto"/>
      </w:divBdr>
      <w:divsChild>
        <w:div w:id="144277436">
          <w:marLeft w:val="0"/>
          <w:marRight w:val="0"/>
          <w:marTop w:val="0"/>
          <w:marBottom w:val="0"/>
          <w:divBdr>
            <w:top w:val="none" w:sz="0" w:space="0" w:color="auto"/>
            <w:left w:val="none" w:sz="0" w:space="0" w:color="auto"/>
            <w:bottom w:val="none" w:sz="0" w:space="0" w:color="auto"/>
            <w:right w:val="none" w:sz="0" w:space="0" w:color="auto"/>
          </w:divBdr>
        </w:div>
      </w:divsChild>
    </w:div>
    <w:div w:id="268271539">
      <w:marLeft w:val="0"/>
      <w:marRight w:val="0"/>
      <w:marTop w:val="160"/>
      <w:marBottom w:val="160"/>
      <w:divBdr>
        <w:top w:val="none" w:sz="0" w:space="0" w:color="auto"/>
        <w:left w:val="none" w:sz="0" w:space="0" w:color="auto"/>
        <w:bottom w:val="none" w:sz="0" w:space="0" w:color="auto"/>
        <w:right w:val="none" w:sz="0" w:space="0" w:color="auto"/>
      </w:divBdr>
    </w:div>
    <w:div w:id="270287334">
      <w:marLeft w:val="0"/>
      <w:marRight w:val="0"/>
      <w:marTop w:val="0"/>
      <w:marBottom w:val="0"/>
      <w:divBdr>
        <w:top w:val="none" w:sz="0" w:space="0" w:color="auto"/>
        <w:left w:val="none" w:sz="0" w:space="0" w:color="auto"/>
        <w:bottom w:val="none" w:sz="0" w:space="0" w:color="auto"/>
        <w:right w:val="none" w:sz="0" w:space="0" w:color="auto"/>
      </w:divBdr>
      <w:divsChild>
        <w:div w:id="1406024289">
          <w:marLeft w:val="0"/>
          <w:marRight w:val="0"/>
          <w:marTop w:val="160"/>
          <w:marBottom w:val="160"/>
          <w:divBdr>
            <w:top w:val="none" w:sz="0" w:space="0" w:color="auto"/>
            <w:left w:val="none" w:sz="0" w:space="0" w:color="auto"/>
            <w:bottom w:val="none" w:sz="0" w:space="0" w:color="auto"/>
            <w:right w:val="none" w:sz="0" w:space="0" w:color="auto"/>
          </w:divBdr>
        </w:div>
        <w:div w:id="658533973">
          <w:marLeft w:val="0"/>
          <w:marRight w:val="0"/>
          <w:marTop w:val="160"/>
          <w:marBottom w:val="160"/>
          <w:divBdr>
            <w:top w:val="none" w:sz="0" w:space="0" w:color="auto"/>
            <w:left w:val="none" w:sz="0" w:space="0" w:color="auto"/>
            <w:bottom w:val="none" w:sz="0" w:space="0" w:color="auto"/>
            <w:right w:val="none" w:sz="0" w:space="0" w:color="auto"/>
          </w:divBdr>
        </w:div>
        <w:div w:id="1663655914">
          <w:marLeft w:val="0"/>
          <w:marRight w:val="0"/>
          <w:marTop w:val="160"/>
          <w:marBottom w:val="160"/>
          <w:divBdr>
            <w:top w:val="none" w:sz="0" w:space="0" w:color="auto"/>
            <w:left w:val="none" w:sz="0" w:space="0" w:color="auto"/>
            <w:bottom w:val="none" w:sz="0" w:space="0" w:color="auto"/>
            <w:right w:val="none" w:sz="0" w:space="0" w:color="auto"/>
          </w:divBdr>
        </w:div>
        <w:div w:id="1021205440">
          <w:marLeft w:val="0"/>
          <w:marRight w:val="0"/>
          <w:marTop w:val="160"/>
          <w:marBottom w:val="160"/>
          <w:divBdr>
            <w:top w:val="none" w:sz="0" w:space="0" w:color="auto"/>
            <w:left w:val="none" w:sz="0" w:space="0" w:color="auto"/>
            <w:bottom w:val="none" w:sz="0" w:space="0" w:color="auto"/>
            <w:right w:val="none" w:sz="0" w:space="0" w:color="auto"/>
          </w:divBdr>
        </w:div>
        <w:div w:id="1993169646">
          <w:marLeft w:val="0"/>
          <w:marRight w:val="0"/>
          <w:marTop w:val="160"/>
          <w:marBottom w:val="160"/>
          <w:divBdr>
            <w:top w:val="none" w:sz="0" w:space="0" w:color="auto"/>
            <w:left w:val="none" w:sz="0" w:space="0" w:color="auto"/>
            <w:bottom w:val="none" w:sz="0" w:space="0" w:color="auto"/>
            <w:right w:val="none" w:sz="0" w:space="0" w:color="auto"/>
          </w:divBdr>
        </w:div>
      </w:divsChild>
    </w:div>
    <w:div w:id="276104203">
      <w:marLeft w:val="0"/>
      <w:marRight w:val="0"/>
      <w:marTop w:val="160"/>
      <w:marBottom w:val="160"/>
      <w:divBdr>
        <w:top w:val="none" w:sz="0" w:space="0" w:color="auto"/>
        <w:left w:val="none" w:sz="0" w:space="0" w:color="auto"/>
        <w:bottom w:val="none" w:sz="0" w:space="0" w:color="auto"/>
        <w:right w:val="none" w:sz="0" w:space="0" w:color="auto"/>
      </w:divBdr>
    </w:div>
    <w:div w:id="278997146">
      <w:marLeft w:val="0"/>
      <w:marRight w:val="0"/>
      <w:marTop w:val="160"/>
      <w:marBottom w:val="160"/>
      <w:divBdr>
        <w:top w:val="none" w:sz="0" w:space="0" w:color="auto"/>
        <w:left w:val="none" w:sz="0" w:space="0" w:color="auto"/>
        <w:bottom w:val="none" w:sz="0" w:space="0" w:color="auto"/>
        <w:right w:val="none" w:sz="0" w:space="0" w:color="auto"/>
      </w:divBdr>
    </w:div>
    <w:div w:id="279990400">
      <w:marLeft w:val="0"/>
      <w:marRight w:val="0"/>
      <w:marTop w:val="0"/>
      <w:marBottom w:val="0"/>
      <w:divBdr>
        <w:top w:val="none" w:sz="0" w:space="0" w:color="auto"/>
        <w:left w:val="none" w:sz="0" w:space="0" w:color="auto"/>
        <w:bottom w:val="none" w:sz="0" w:space="0" w:color="auto"/>
        <w:right w:val="none" w:sz="0" w:space="0" w:color="auto"/>
      </w:divBdr>
      <w:divsChild>
        <w:div w:id="891622752">
          <w:marLeft w:val="0"/>
          <w:marRight w:val="0"/>
          <w:marTop w:val="0"/>
          <w:marBottom w:val="0"/>
          <w:divBdr>
            <w:top w:val="none" w:sz="0" w:space="0" w:color="auto"/>
            <w:left w:val="none" w:sz="0" w:space="0" w:color="auto"/>
            <w:bottom w:val="none" w:sz="0" w:space="0" w:color="auto"/>
            <w:right w:val="none" w:sz="0" w:space="0" w:color="auto"/>
          </w:divBdr>
        </w:div>
      </w:divsChild>
    </w:div>
    <w:div w:id="285083776">
      <w:marLeft w:val="0"/>
      <w:marRight w:val="0"/>
      <w:marTop w:val="160"/>
      <w:marBottom w:val="160"/>
      <w:divBdr>
        <w:top w:val="none" w:sz="0" w:space="0" w:color="auto"/>
        <w:left w:val="none" w:sz="0" w:space="0" w:color="auto"/>
        <w:bottom w:val="none" w:sz="0" w:space="0" w:color="auto"/>
        <w:right w:val="none" w:sz="0" w:space="0" w:color="auto"/>
      </w:divBdr>
    </w:div>
    <w:div w:id="286280154">
      <w:marLeft w:val="0"/>
      <w:marRight w:val="0"/>
      <w:marTop w:val="160"/>
      <w:marBottom w:val="160"/>
      <w:divBdr>
        <w:top w:val="none" w:sz="0" w:space="0" w:color="auto"/>
        <w:left w:val="none" w:sz="0" w:space="0" w:color="auto"/>
        <w:bottom w:val="none" w:sz="0" w:space="0" w:color="auto"/>
        <w:right w:val="none" w:sz="0" w:space="0" w:color="auto"/>
      </w:divBdr>
    </w:div>
    <w:div w:id="287778937">
      <w:marLeft w:val="0"/>
      <w:marRight w:val="0"/>
      <w:marTop w:val="160"/>
      <w:marBottom w:val="160"/>
      <w:divBdr>
        <w:top w:val="none" w:sz="0" w:space="0" w:color="auto"/>
        <w:left w:val="none" w:sz="0" w:space="0" w:color="auto"/>
        <w:bottom w:val="none" w:sz="0" w:space="0" w:color="auto"/>
        <w:right w:val="none" w:sz="0" w:space="0" w:color="auto"/>
      </w:divBdr>
    </w:div>
    <w:div w:id="289478372">
      <w:marLeft w:val="0"/>
      <w:marRight w:val="0"/>
      <w:marTop w:val="100"/>
      <w:marBottom w:val="160"/>
      <w:divBdr>
        <w:top w:val="none" w:sz="0" w:space="0" w:color="auto"/>
        <w:left w:val="none" w:sz="0" w:space="0" w:color="auto"/>
        <w:bottom w:val="none" w:sz="0" w:space="0" w:color="auto"/>
        <w:right w:val="none" w:sz="0" w:space="0" w:color="auto"/>
      </w:divBdr>
    </w:div>
    <w:div w:id="290404341">
      <w:marLeft w:val="0"/>
      <w:marRight w:val="0"/>
      <w:marTop w:val="160"/>
      <w:marBottom w:val="160"/>
      <w:divBdr>
        <w:top w:val="none" w:sz="0" w:space="0" w:color="auto"/>
        <w:left w:val="none" w:sz="0" w:space="0" w:color="auto"/>
        <w:bottom w:val="none" w:sz="0" w:space="0" w:color="auto"/>
        <w:right w:val="none" w:sz="0" w:space="0" w:color="auto"/>
      </w:divBdr>
    </w:div>
    <w:div w:id="291209083">
      <w:marLeft w:val="0"/>
      <w:marRight w:val="0"/>
      <w:marTop w:val="0"/>
      <w:marBottom w:val="0"/>
      <w:divBdr>
        <w:top w:val="none" w:sz="0" w:space="0" w:color="auto"/>
        <w:left w:val="none" w:sz="0" w:space="0" w:color="auto"/>
        <w:bottom w:val="none" w:sz="0" w:space="0" w:color="auto"/>
        <w:right w:val="none" w:sz="0" w:space="0" w:color="auto"/>
      </w:divBdr>
      <w:divsChild>
        <w:div w:id="1139492192">
          <w:marLeft w:val="0"/>
          <w:marRight w:val="0"/>
          <w:marTop w:val="0"/>
          <w:marBottom w:val="0"/>
          <w:divBdr>
            <w:top w:val="none" w:sz="0" w:space="0" w:color="auto"/>
            <w:left w:val="none" w:sz="0" w:space="0" w:color="auto"/>
            <w:bottom w:val="none" w:sz="0" w:space="0" w:color="auto"/>
            <w:right w:val="none" w:sz="0" w:space="0" w:color="auto"/>
          </w:divBdr>
        </w:div>
      </w:divsChild>
    </w:div>
    <w:div w:id="291911616">
      <w:marLeft w:val="0"/>
      <w:marRight w:val="0"/>
      <w:marTop w:val="180"/>
      <w:marBottom w:val="0"/>
      <w:divBdr>
        <w:top w:val="none" w:sz="0" w:space="0" w:color="auto"/>
        <w:left w:val="none" w:sz="0" w:space="0" w:color="auto"/>
        <w:bottom w:val="none" w:sz="0" w:space="0" w:color="auto"/>
        <w:right w:val="none" w:sz="0" w:space="0" w:color="auto"/>
      </w:divBdr>
      <w:divsChild>
        <w:div w:id="727145916">
          <w:marLeft w:val="0"/>
          <w:marRight w:val="0"/>
          <w:marTop w:val="0"/>
          <w:marBottom w:val="60"/>
          <w:divBdr>
            <w:top w:val="none" w:sz="0" w:space="0" w:color="auto"/>
            <w:left w:val="none" w:sz="0" w:space="0" w:color="auto"/>
            <w:bottom w:val="none" w:sz="0" w:space="0" w:color="auto"/>
            <w:right w:val="none" w:sz="0" w:space="0" w:color="auto"/>
          </w:divBdr>
        </w:div>
        <w:div w:id="201481775">
          <w:marLeft w:val="0"/>
          <w:marRight w:val="0"/>
          <w:marTop w:val="0"/>
          <w:marBottom w:val="60"/>
          <w:divBdr>
            <w:top w:val="none" w:sz="0" w:space="0" w:color="auto"/>
            <w:left w:val="none" w:sz="0" w:space="0" w:color="auto"/>
            <w:bottom w:val="none" w:sz="0" w:space="0" w:color="auto"/>
            <w:right w:val="none" w:sz="0" w:space="0" w:color="auto"/>
          </w:divBdr>
        </w:div>
        <w:div w:id="1119909103">
          <w:marLeft w:val="0"/>
          <w:marRight w:val="0"/>
          <w:marTop w:val="0"/>
          <w:marBottom w:val="60"/>
          <w:divBdr>
            <w:top w:val="none" w:sz="0" w:space="0" w:color="auto"/>
            <w:left w:val="none" w:sz="0" w:space="0" w:color="auto"/>
            <w:bottom w:val="none" w:sz="0" w:space="0" w:color="auto"/>
            <w:right w:val="none" w:sz="0" w:space="0" w:color="auto"/>
          </w:divBdr>
        </w:div>
        <w:div w:id="476066857">
          <w:marLeft w:val="0"/>
          <w:marRight w:val="0"/>
          <w:marTop w:val="140"/>
          <w:marBottom w:val="0"/>
          <w:divBdr>
            <w:top w:val="none" w:sz="0" w:space="0" w:color="auto"/>
            <w:left w:val="none" w:sz="0" w:space="0" w:color="auto"/>
            <w:bottom w:val="none" w:sz="0" w:space="0" w:color="auto"/>
            <w:right w:val="none" w:sz="0" w:space="0" w:color="auto"/>
          </w:divBdr>
        </w:div>
      </w:divsChild>
    </w:div>
    <w:div w:id="292056582">
      <w:marLeft w:val="0"/>
      <w:marRight w:val="0"/>
      <w:marTop w:val="160"/>
      <w:marBottom w:val="160"/>
      <w:divBdr>
        <w:top w:val="none" w:sz="0" w:space="0" w:color="auto"/>
        <w:left w:val="none" w:sz="0" w:space="0" w:color="auto"/>
        <w:bottom w:val="none" w:sz="0" w:space="0" w:color="auto"/>
        <w:right w:val="none" w:sz="0" w:space="0" w:color="auto"/>
      </w:divBdr>
    </w:div>
    <w:div w:id="301545459">
      <w:marLeft w:val="0"/>
      <w:marRight w:val="0"/>
      <w:marTop w:val="160"/>
      <w:marBottom w:val="160"/>
      <w:divBdr>
        <w:top w:val="none" w:sz="0" w:space="0" w:color="auto"/>
        <w:left w:val="none" w:sz="0" w:space="0" w:color="auto"/>
        <w:bottom w:val="none" w:sz="0" w:space="0" w:color="auto"/>
        <w:right w:val="none" w:sz="0" w:space="0" w:color="auto"/>
      </w:divBdr>
    </w:div>
    <w:div w:id="302590250">
      <w:marLeft w:val="0"/>
      <w:marRight w:val="0"/>
      <w:marTop w:val="0"/>
      <w:marBottom w:val="0"/>
      <w:divBdr>
        <w:top w:val="none" w:sz="0" w:space="0" w:color="auto"/>
        <w:left w:val="none" w:sz="0" w:space="0" w:color="auto"/>
        <w:bottom w:val="none" w:sz="0" w:space="0" w:color="auto"/>
        <w:right w:val="none" w:sz="0" w:space="0" w:color="auto"/>
      </w:divBdr>
    </w:div>
    <w:div w:id="302857553">
      <w:marLeft w:val="0"/>
      <w:marRight w:val="0"/>
      <w:marTop w:val="160"/>
      <w:marBottom w:val="160"/>
      <w:divBdr>
        <w:top w:val="none" w:sz="0" w:space="0" w:color="auto"/>
        <w:left w:val="none" w:sz="0" w:space="0" w:color="auto"/>
        <w:bottom w:val="none" w:sz="0" w:space="0" w:color="auto"/>
        <w:right w:val="none" w:sz="0" w:space="0" w:color="auto"/>
      </w:divBdr>
    </w:div>
    <w:div w:id="304745501">
      <w:marLeft w:val="0"/>
      <w:marRight w:val="0"/>
      <w:marTop w:val="160"/>
      <w:marBottom w:val="160"/>
      <w:divBdr>
        <w:top w:val="none" w:sz="0" w:space="0" w:color="auto"/>
        <w:left w:val="none" w:sz="0" w:space="0" w:color="auto"/>
        <w:bottom w:val="none" w:sz="0" w:space="0" w:color="auto"/>
        <w:right w:val="none" w:sz="0" w:space="0" w:color="auto"/>
      </w:divBdr>
    </w:div>
    <w:div w:id="307125586">
      <w:marLeft w:val="0"/>
      <w:marRight w:val="0"/>
      <w:marTop w:val="0"/>
      <w:marBottom w:val="0"/>
      <w:divBdr>
        <w:top w:val="none" w:sz="0" w:space="0" w:color="auto"/>
        <w:left w:val="none" w:sz="0" w:space="0" w:color="auto"/>
        <w:bottom w:val="none" w:sz="0" w:space="0" w:color="auto"/>
        <w:right w:val="none" w:sz="0" w:space="0" w:color="auto"/>
      </w:divBdr>
      <w:divsChild>
        <w:div w:id="1323122206">
          <w:marLeft w:val="0"/>
          <w:marRight w:val="0"/>
          <w:marTop w:val="0"/>
          <w:marBottom w:val="0"/>
          <w:divBdr>
            <w:top w:val="none" w:sz="0" w:space="0" w:color="auto"/>
            <w:left w:val="none" w:sz="0" w:space="0" w:color="auto"/>
            <w:bottom w:val="none" w:sz="0" w:space="0" w:color="auto"/>
            <w:right w:val="none" w:sz="0" w:space="0" w:color="auto"/>
          </w:divBdr>
        </w:div>
      </w:divsChild>
    </w:div>
    <w:div w:id="308559939">
      <w:marLeft w:val="0"/>
      <w:marRight w:val="0"/>
      <w:marTop w:val="160"/>
      <w:marBottom w:val="160"/>
      <w:divBdr>
        <w:top w:val="none" w:sz="0" w:space="0" w:color="auto"/>
        <w:left w:val="none" w:sz="0" w:space="0" w:color="auto"/>
        <w:bottom w:val="none" w:sz="0" w:space="0" w:color="auto"/>
        <w:right w:val="none" w:sz="0" w:space="0" w:color="auto"/>
      </w:divBdr>
    </w:div>
    <w:div w:id="309091174">
      <w:marLeft w:val="0"/>
      <w:marRight w:val="0"/>
      <w:marTop w:val="160"/>
      <w:marBottom w:val="160"/>
      <w:divBdr>
        <w:top w:val="none" w:sz="0" w:space="0" w:color="auto"/>
        <w:left w:val="none" w:sz="0" w:space="0" w:color="auto"/>
        <w:bottom w:val="none" w:sz="0" w:space="0" w:color="auto"/>
        <w:right w:val="none" w:sz="0" w:space="0" w:color="auto"/>
      </w:divBdr>
    </w:div>
    <w:div w:id="318505833">
      <w:marLeft w:val="0"/>
      <w:marRight w:val="0"/>
      <w:marTop w:val="0"/>
      <w:marBottom w:val="0"/>
      <w:divBdr>
        <w:top w:val="none" w:sz="0" w:space="0" w:color="auto"/>
        <w:left w:val="none" w:sz="0" w:space="0" w:color="auto"/>
        <w:bottom w:val="none" w:sz="0" w:space="0" w:color="auto"/>
        <w:right w:val="none" w:sz="0" w:space="0" w:color="auto"/>
      </w:divBdr>
    </w:div>
    <w:div w:id="322391212">
      <w:marLeft w:val="0"/>
      <w:marRight w:val="0"/>
      <w:marTop w:val="0"/>
      <w:marBottom w:val="0"/>
      <w:divBdr>
        <w:top w:val="none" w:sz="0" w:space="0" w:color="auto"/>
        <w:left w:val="none" w:sz="0" w:space="0" w:color="auto"/>
        <w:bottom w:val="none" w:sz="0" w:space="0" w:color="auto"/>
        <w:right w:val="none" w:sz="0" w:space="0" w:color="auto"/>
      </w:divBdr>
      <w:divsChild>
        <w:div w:id="1773163496">
          <w:marLeft w:val="0"/>
          <w:marRight w:val="0"/>
          <w:marTop w:val="0"/>
          <w:marBottom w:val="0"/>
          <w:divBdr>
            <w:top w:val="none" w:sz="0" w:space="0" w:color="auto"/>
            <w:left w:val="none" w:sz="0" w:space="0" w:color="auto"/>
            <w:bottom w:val="none" w:sz="0" w:space="0" w:color="auto"/>
            <w:right w:val="none" w:sz="0" w:space="0" w:color="auto"/>
          </w:divBdr>
        </w:div>
      </w:divsChild>
    </w:div>
    <w:div w:id="327024942">
      <w:marLeft w:val="0"/>
      <w:marRight w:val="0"/>
      <w:marTop w:val="160"/>
      <w:marBottom w:val="160"/>
      <w:divBdr>
        <w:top w:val="none" w:sz="0" w:space="0" w:color="auto"/>
        <w:left w:val="none" w:sz="0" w:space="0" w:color="auto"/>
        <w:bottom w:val="none" w:sz="0" w:space="0" w:color="auto"/>
        <w:right w:val="none" w:sz="0" w:space="0" w:color="auto"/>
      </w:divBdr>
    </w:div>
    <w:div w:id="329531194">
      <w:marLeft w:val="0"/>
      <w:marRight w:val="0"/>
      <w:marTop w:val="160"/>
      <w:marBottom w:val="160"/>
      <w:divBdr>
        <w:top w:val="none" w:sz="0" w:space="0" w:color="auto"/>
        <w:left w:val="none" w:sz="0" w:space="0" w:color="auto"/>
        <w:bottom w:val="none" w:sz="0" w:space="0" w:color="auto"/>
        <w:right w:val="none" w:sz="0" w:space="0" w:color="auto"/>
      </w:divBdr>
    </w:div>
    <w:div w:id="329873076">
      <w:marLeft w:val="0"/>
      <w:marRight w:val="0"/>
      <w:marTop w:val="160"/>
      <w:marBottom w:val="160"/>
      <w:divBdr>
        <w:top w:val="none" w:sz="0" w:space="0" w:color="auto"/>
        <w:left w:val="none" w:sz="0" w:space="0" w:color="auto"/>
        <w:bottom w:val="none" w:sz="0" w:space="0" w:color="auto"/>
        <w:right w:val="none" w:sz="0" w:space="0" w:color="auto"/>
      </w:divBdr>
    </w:div>
    <w:div w:id="330526362">
      <w:marLeft w:val="0"/>
      <w:marRight w:val="0"/>
      <w:marTop w:val="160"/>
      <w:marBottom w:val="160"/>
      <w:divBdr>
        <w:top w:val="none" w:sz="0" w:space="0" w:color="auto"/>
        <w:left w:val="none" w:sz="0" w:space="0" w:color="auto"/>
        <w:bottom w:val="none" w:sz="0" w:space="0" w:color="auto"/>
        <w:right w:val="none" w:sz="0" w:space="0" w:color="auto"/>
      </w:divBdr>
    </w:div>
    <w:div w:id="338578144">
      <w:marLeft w:val="0"/>
      <w:marRight w:val="0"/>
      <w:marTop w:val="160"/>
      <w:marBottom w:val="160"/>
      <w:divBdr>
        <w:top w:val="none" w:sz="0" w:space="0" w:color="auto"/>
        <w:left w:val="none" w:sz="0" w:space="0" w:color="auto"/>
        <w:bottom w:val="none" w:sz="0" w:space="0" w:color="auto"/>
        <w:right w:val="none" w:sz="0" w:space="0" w:color="auto"/>
      </w:divBdr>
    </w:div>
    <w:div w:id="341591940">
      <w:marLeft w:val="0"/>
      <w:marRight w:val="0"/>
      <w:marTop w:val="0"/>
      <w:marBottom w:val="0"/>
      <w:divBdr>
        <w:top w:val="none" w:sz="0" w:space="0" w:color="auto"/>
        <w:left w:val="none" w:sz="0" w:space="0" w:color="auto"/>
        <w:bottom w:val="none" w:sz="0" w:space="0" w:color="auto"/>
        <w:right w:val="none" w:sz="0" w:space="0" w:color="auto"/>
      </w:divBdr>
      <w:divsChild>
        <w:div w:id="1306617553">
          <w:marLeft w:val="0"/>
          <w:marRight w:val="0"/>
          <w:marTop w:val="0"/>
          <w:marBottom w:val="0"/>
          <w:divBdr>
            <w:top w:val="none" w:sz="0" w:space="0" w:color="auto"/>
            <w:left w:val="none" w:sz="0" w:space="0" w:color="auto"/>
            <w:bottom w:val="none" w:sz="0" w:space="0" w:color="auto"/>
            <w:right w:val="none" w:sz="0" w:space="0" w:color="auto"/>
          </w:divBdr>
        </w:div>
      </w:divsChild>
    </w:div>
    <w:div w:id="341593133">
      <w:marLeft w:val="0"/>
      <w:marRight w:val="0"/>
      <w:marTop w:val="0"/>
      <w:marBottom w:val="0"/>
      <w:divBdr>
        <w:top w:val="none" w:sz="0" w:space="0" w:color="auto"/>
        <w:left w:val="none" w:sz="0" w:space="0" w:color="auto"/>
        <w:bottom w:val="none" w:sz="0" w:space="0" w:color="auto"/>
        <w:right w:val="none" w:sz="0" w:space="0" w:color="auto"/>
      </w:divBdr>
    </w:div>
    <w:div w:id="344092000">
      <w:marLeft w:val="0"/>
      <w:marRight w:val="0"/>
      <w:marTop w:val="0"/>
      <w:marBottom w:val="0"/>
      <w:divBdr>
        <w:top w:val="none" w:sz="0" w:space="0" w:color="auto"/>
        <w:left w:val="none" w:sz="0" w:space="0" w:color="auto"/>
        <w:bottom w:val="none" w:sz="0" w:space="0" w:color="auto"/>
        <w:right w:val="none" w:sz="0" w:space="0" w:color="auto"/>
      </w:divBdr>
      <w:divsChild>
        <w:div w:id="130952225">
          <w:marLeft w:val="0"/>
          <w:marRight w:val="0"/>
          <w:marTop w:val="0"/>
          <w:marBottom w:val="0"/>
          <w:divBdr>
            <w:top w:val="none" w:sz="0" w:space="0" w:color="auto"/>
            <w:left w:val="none" w:sz="0" w:space="0" w:color="auto"/>
            <w:bottom w:val="none" w:sz="0" w:space="0" w:color="auto"/>
            <w:right w:val="none" w:sz="0" w:space="0" w:color="auto"/>
          </w:divBdr>
        </w:div>
      </w:divsChild>
    </w:div>
    <w:div w:id="345252021">
      <w:marLeft w:val="0"/>
      <w:marRight w:val="0"/>
      <w:marTop w:val="160"/>
      <w:marBottom w:val="160"/>
      <w:divBdr>
        <w:top w:val="none" w:sz="0" w:space="0" w:color="auto"/>
        <w:left w:val="none" w:sz="0" w:space="0" w:color="auto"/>
        <w:bottom w:val="none" w:sz="0" w:space="0" w:color="auto"/>
        <w:right w:val="none" w:sz="0" w:space="0" w:color="auto"/>
      </w:divBdr>
    </w:div>
    <w:div w:id="350692076">
      <w:marLeft w:val="0"/>
      <w:marRight w:val="0"/>
      <w:marTop w:val="160"/>
      <w:marBottom w:val="160"/>
      <w:divBdr>
        <w:top w:val="none" w:sz="0" w:space="0" w:color="auto"/>
        <w:left w:val="none" w:sz="0" w:space="0" w:color="auto"/>
        <w:bottom w:val="none" w:sz="0" w:space="0" w:color="auto"/>
        <w:right w:val="none" w:sz="0" w:space="0" w:color="auto"/>
      </w:divBdr>
    </w:div>
    <w:div w:id="361706799">
      <w:marLeft w:val="0"/>
      <w:marRight w:val="0"/>
      <w:marTop w:val="160"/>
      <w:marBottom w:val="160"/>
      <w:divBdr>
        <w:top w:val="none" w:sz="0" w:space="0" w:color="auto"/>
        <w:left w:val="none" w:sz="0" w:space="0" w:color="auto"/>
        <w:bottom w:val="none" w:sz="0" w:space="0" w:color="auto"/>
        <w:right w:val="none" w:sz="0" w:space="0" w:color="auto"/>
      </w:divBdr>
    </w:div>
    <w:div w:id="362824591">
      <w:marLeft w:val="0"/>
      <w:marRight w:val="0"/>
      <w:marTop w:val="160"/>
      <w:marBottom w:val="160"/>
      <w:divBdr>
        <w:top w:val="none" w:sz="0" w:space="0" w:color="auto"/>
        <w:left w:val="none" w:sz="0" w:space="0" w:color="auto"/>
        <w:bottom w:val="none" w:sz="0" w:space="0" w:color="auto"/>
        <w:right w:val="none" w:sz="0" w:space="0" w:color="auto"/>
      </w:divBdr>
    </w:div>
    <w:div w:id="364526157">
      <w:marLeft w:val="0"/>
      <w:marRight w:val="0"/>
      <w:marTop w:val="160"/>
      <w:marBottom w:val="160"/>
      <w:divBdr>
        <w:top w:val="none" w:sz="0" w:space="0" w:color="auto"/>
        <w:left w:val="none" w:sz="0" w:space="0" w:color="auto"/>
        <w:bottom w:val="none" w:sz="0" w:space="0" w:color="auto"/>
        <w:right w:val="none" w:sz="0" w:space="0" w:color="auto"/>
      </w:divBdr>
    </w:div>
    <w:div w:id="364990192">
      <w:marLeft w:val="0"/>
      <w:marRight w:val="0"/>
      <w:marTop w:val="0"/>
      <w:marBottom w:val="0"/>
      <w:divBdr>
        <w:top w:val="none" w:sz="0" w:space="0" w:color="auto"/>
        <w:left w:val="none" w:sz="0" w:space="0" w:color="auto"/>
        <w:bottom w:val="none" w:sz="0" w:space="0" w:color="auto"/>
        <w:right w:val="none" w:sz="0" w:space="0" w:color="auto"/>
      </w:divBdr>
      <w:divsChild>
        <w:div w:id="897279607">
          <w:marLeft w:val="0"/>
          <w:marRight w:val="0"/>
          <w:marTop w:val="0"/>
          <w:marBottom w:val="0"/>
          <w:divBdr>
            <w:top w:val="none" w:sz="0" w:space="0" w:color="auto"/>
            <w:left w:val="none" w:sz="0" w:space="0" w:color="auto"/>
            <w:bottom w:val="none" w:sz="0" w:space="0" w:color="auto"/>
            <w:right w:val="none" w:sz="0" w:space="0" w:color="auto"/>
          </w:divBdr>
        </w:div>
      </w:divsChild>
    </w:div>
    <w:div w:id="366182393">
      <w:marLeft w:val="0"/>
      <w:marRight w:val="0"/>
      <w:marTop w:val="0"/>
      <w:marBottom w:val="0"/>
      <w:divBdr>
        <w:top w:val="none" w:sz="0" w:space="0" w:color="auto"/>
        <w:left w:val="none" w:sz="0" w:space="0" w:color="auto"/>
        <w:bottom w:val="none" w:sz="0" w:space="0" w:color="auto"/>
        <w:right w:val="none" w:sz="0" w:space="0" w:color="auto"/>
      </w:divBdr>
      <w:divsChild>
        <w:div w:id="1666590093">
          <w:marLeft w:val="0"/>
          <w:marRight w:val="0"/>
          <w:marTop w:val="0"/>
          <w:marBottom w:val="0"/>
          <w:divBdr>
            <w:top w:val="none" w:sz="0" w:space="0" w:color="auto"/>
            <w:left w:val="none" w:sz="0" w:space="0" w:color="auto"/>
            <w:bottom w:val="none" w:sz="0" w:space="0" w:color="auto"/>
            <w:right w:val="none" w:sz="0" w:space="0" w:color="auto"/>
          </w:divBdr>
        </w:div>
      </w:divsChild>
    </w:div>
    <w:div w:id="369690522">
      <w:marLeft w:val="0"/>
      <w:marRight w:val="0"/>
      <w:marTop w:val="160"/>
      <w:marBottom w:val="160"/>
      <w:divBdr>
        <w:top w:val="none" w:sz="0" w:space="0" w:color="auto"/>
        <w:left w:val="none" w:sz="0" w:space="0" w:color="auto"/>
        <w:bottom w:val="none" w:sz="0" w:space="0" w:color="auto"/>
        <w:right w:val="none" w:sz="0" w:space="0" w:color="auto"/>
      </w:divBdr>
    </w:div>
    <w:div w:id="370611712">
      <w:marLeft w:val="0"/>
      <w:marRight w:val="0"/>
      <w:marTop w:val="0"/>
      <w:marBottom w:val="0"/>
      <w:divBdr>
        <w:top w:val="none" w:sz="0" w:space="0" w:color="auto"/>
        <w:left w:val="none" w:sz="0" w:space="0" w:color="auto"/>
        <w:bottom w:val="none" w:sz="0" w:space="0" w:color="auto"/>
        <w:right w:val="none" w:sz="0" w:space="0" w:color="auto"/>
      </w:divBdr>
    </w:div>
    <w:div w:id="372586127">
      <w:marLeft w:val="0"/>
      <w:marRight w:val="0"/>
      <w:marTop w:val="160"/>
      <w:marBottom w:val="160"/>
      <w:divBdr>
        <w:top w:val="none" w:sz="0" w:space="0" w:color="auto"/>
        <w:left w:val="none" w:sz="0" w:space="0" w:color="auto"/>
        <w:bottom w:val="none" w:sz="0" w:space="0" w:color="auto"/>
        <w:right w:val="none" w:sz="0" w:space="0" w:color="auto"/>
      </w:divBdr>
    </w:div>
    <w:div w:id="373967996">
      <w:marLeft w:val="0"/>
      <w:marRight w:val="0"/>
      <w:marTop w:val="0"/>
      <w:marBottom w:val="0"/>
      <w:divBdr>
        <w:top w:val="none" w:sz="0" w:space="0" w:color="auto"/>
        <w:left w:val="none" w:sz="0" w:space="0" w:color="auto"/>
        <w:bottom w:val="none" w:sz="0" w:space="0" w:color="auto"/>
        <w:right w:val="none" w:sz="0" w:space="0" w:color="auto"/>
      </w:divBdr>
    </w:div>
    <w:div w:id="374046323">
      <w:marLeft w:val="0"/>
      <w:marRight w:val="0"/>
      <w:marTop w:val="0"/>
      <w:marBottom w:val="0"/>
      <w:divBdr>
        <w:top w:val="none" w:sz="0" w:space="0" w:color="auto"/>
        <w:left w:val="none" w:sz="0" w:space="0" w:color="auto"/>
        <w:bottom w:val="none" w:sz="0" w:space="0" w:color="auto"/>
        <w:right w:val="none" w:sz="0" w:space="0" w:color="auto"/>
      </w:divBdr>
    </w:div>
    <w:div w:id="378670804">
      <w:marLeft w:val="0"/>
      <w:marRight w:val="0"/>
      <w:marTop w:val="0"/>
      <w:marBottom w:val="160"/>
      <w:divBdr>
        <w:top w:val="none" w:sz="0" w:space="0" w:color="auto"/>
        <w:left w:val="none" w:sz="0" w:space="0" w:color="auto"/>
        <w:bottom w:val="none" w:sz="0" w:space="0" w:color="auto"/>
        <w:right w:val="none" w:sz="0" w:space="0" w:color="auto"/>
      </w:divBdr>
    </w:div>
    <w:div w:id="380442777">
      <w:marLeft w:val="0"/>
      <w:marRight w:val="0"/>
      <w:marTop w:val="160"/>
      <w:marBottom w:val="160"/>
      <w:divBdr>
        <w:top w:val="none" w:sz="0" w:space="0" w:color="auto"/>
        <w:left w:val="none" w:sz="0" w:space="0" w:color="auto"/>
        <w:bottom w:val="none" w:sz="0" w:space="0" w:color="auto"/>
        <w:right w:val="none" w:sz="0" w:space="0" w:color="auto"/>
      </w:divBdr>
      <w:divsChild>
        <w:div w:id="43675996">
          <w:marLeft w:val="0"/>
          <w:marRight w:val="0"/>
          <w:marTop w:val="0"/>
          <w:marBottom w:val="0"/>
          <w:divBdr>
            <w:top w:val="none" w:sz="0" w:space="0" w:color="auto"/>
            <w:left w:val="none" w:sz="0" w:space="0" w:color="auto"/>
            <w:bottom w:val="none" w:sz="0" w:space="0" w:color="auto"/>
            <w:right w:val="none" w:sz="0" w:space="0" w:color="auto"/>
          </w:divBdr>
        </w:div>
      </w:divsChild>
    </w:div>
    <w:div w:id="393704731">
      <w:marLeft w:val="0"/>
      <w:marRight w:val="0"/>
      <w:marTop w:val="160"/>
      <w:marBottom w:val="160"/>
      <w:divBdr>
        <w:top w:val="none" w:sz="0" w:space="0" w:color="auto"/>
        <w:left w:val="none" w:sz="0" w:space="0" w:color="auto"/>
        <w:bottom w:val="none" w:sz="0" w:space="0" w:color="auto"/>
        <w:right w:val="none" w:sz="0" w:space="0" w:color="auto"/>
      </w:divBdr>
    </w:div>
    <w:div w:id="397284685">
      <w:marLeft w:val="0"/>
      <w:marRight w:val="0"/>
      <w:marTop w:val="160"/>
      <w:marBottom w:val="160"/>
      <w:divBdr>
        <w:top w:val="none" w:sz="0" w:space="0" w:color="auto"/>
        <w:left w:val="none" w:sz="0" w:space="0" w:color="auto"/>
        <w:bottom w:val="none" w:sz="0" w:space="0" w:color="auto"/>
        <w:right w:val="none" w:sz="0" w:space="0" w:color="auto"/>
      </w:divBdr>
    </w:div>
    <w:div w:id="401563208">
      <w:marLeft w:val="0"/>
      <w:marRight w:val="0"/>
      <w:marTop w:val="160"/>
      <w:marBottom w:val="160"/>
      <w:divBdr>
        <w:top w:val="none" w:sz="0" w:space="0" w:color="auto"/>
        <w:left w:val="none" w:sz="0" w:space="0" w:color="auto"/>
        <w:bottom w:val="none" w:sz="0" w:space="0" w:color="auto"/>
        <w:right w:val="none" w:sz="0" w:space="0" w:color="auto"/>
      </w:divBdr>
    </w:div>
    <w:div w:id="403842877">
      <w:marLeft w:val="0"/>
      <w:marRight w:val="0"/>
      <w:marTop w:val="0"/>
      <w:marBottom w:val="0"/>
      <w:divBdr>
        <w:top w:val="none" w:sz="0" w:space="0" w:color="auto"/>
        <w:left w:val="none" w:sz="0" w:space="0" w:color="auto"/>
        <w:bottom w:val="none" w:sz="0" w:space="0" w:color="auto"/>
        <w:right w:val="none" w:sz="0" w:space="0" w:color="auto"/>
      </w:divBdr>
    </w:div>
    <w:div w:id="410272017">
      <w:marLeft w:val="0"/>
      <w:marRight w:val="0"/>
      <w:marTop w:val="0"/>
      <w:marBottom w:val="0"/>
      <w:divBdr>
        <w:top w:val="none" w:sz="0" w:space="0" w:color="auto"/>
        <w:left w:val="none" w:sz="0" w:space="0" w:color="auto"/>
        <w:bottom w:val="none" w:sz="0" w:space="0" w:color="auto"/>
        <w:right w:val="none" w:sz="0" w:space="0" w:color="auto"/>
      </w:divBdr>
      <w:divsChild>
        <w:div w:id="1640264215">
          <w:marLeft w:val="0"/>
          <w:marRight w:val="0"/>
          <w:marTop w:val="0"/>
          <w:marBottom w:val="0"/>
          <w:divBdr>
            <w:top w:val="none" w:sz="0" w:space="0" w:color="auto"/>
            <w:left w:val="none" w:sz="0" w:space="0" w:color="auto"/>
            <w:bottom w:val="none" w:sz="0" w:space="0" w:color="auto"/>
            <w:right w:val="none" w:sz="0" w:space="0" w:color="auto"/>
          </w:divBdr>
        </w:div>
      </w:divsChild>
    </w:div>
    <w:div w:id="411439132">
      <w:marLeft w:val="0"/>
      <w:marRight w:val="0"/>
      <w:marTop w:val="160"/>
      <w:marBottom w:val="160"/>
      <w:divBdr>
        <w:top w:val="none" w:sz="0" w:space="0" w:color="auto"/>
        <w:left w:val="none" w:sz="0" w:space="0" w:color="auto"/>
        <w:bottom w:val="none" w:sz="0" w:space="0" w:color="auto"/>
        <w:right w:val="none" w:sz="0" w:space="0" w:color="auto"/>
      </w:divBdr>
    </w:div>
    <w:div w:id="414013765">
      <w:marLeft w:val="0"/>
      <w:marRight w:val="0"/>
      <w:marTop w:val="160"/>
      <w:marBottom w:val="160"/>
      <w:divBdr>
        <w:top w:val="none" w:sz="0" w:space="0" w:color="auto"/>
        <w:left w:val="none" w:sz="0" w:space="0" w:color="auto"/>
        <w:bottom w:val="none" w:sz="0" w:space="0" w:color="auto"/>
        <w:right w:val="none" w:sz="0" w:space="0" w:color="auto"/>
      </w:divBdr>
    </w:div>
    <w:div w:id="419718660">
      <w:marLeft w:val="0"/>
      <w:marRight w:val="0"/>
      <w:marTop w:val="160"/>
      <w:marBottom w:val="160"/>
      <w:divBdr>
        <w:top w:val="none" w:sz="0" w:space="0" w:color="auto"/>
        <w:left w:val="none" w:sz="0" w:space="0" w:color="auto"/>
        <w:bottom w:val="none" w:sz="0" w:space="0" w:color="auto"/>
        <w:right w:val="none" w:sz="0" w:space="0" w:color="auto"/>
      </w:divBdr>
    </w:div>
    <w:div w:id="420222145">
      <w:marLeft w:val="0"/>
      <w:marRight w:val="0"/>
      <w:marTop w:val="160"/>
      <w:marBottom w:val="160"/>
      <w:divBdr>
        <w:top w:val="none" w:sz="0" w:space="0" w:color="auto"/>
        <w:left w:val="none" w:sz="0" w:space="0" w:color="auto"/>
        <w:bottom w:val="none" w:sz="0" w:space="0" w:color="auto"/>
        <w:right w:val="none" w:sz="0" w:space="0" w:color="auto"/>
      </w:divBdr>
    </w:div>
    <w:div w:id="421528953">
      <w:marLeft w:val="0"/>
      <w:marRight w:val="0"/>
      <w:marTop w:val="0"/>
      <w:marBottom w:val="0"/>
      <w:divBdr>
        <w:top w:val="none" w:sz="0" w:space="0" w:color="auto"/>
        <w:left w:val="none" w:sz="0" w:space="0" w:color="auto"/>
        <w:bottom w:val="none" w:sz="0" w:space="0" w:color="auto"/>
        <w:right w:val="none" w:sz="0" w:space="0" w:color="auto"/>
      </w:divBdr>
      <w:divsChild>
        <w:div w:id="1407462270">
          <w:marLeft w:val="0"/>
          <w:marRight w:val="0"/>
          <w:marTop w:val="0"/>
          <w:marBottom w:val="0"/>
          <w:divBdr>
            <w:top w:val="none" w:sz="0" w:space="0" w:color="auto"/>
            <w:left w:val="none" w:sz="0" w:space="0" w:color="auto"/>
            <w:bottom w:val="none" w:sz="0" w:space="0" w:color="auto"/>
            <w:right w:val="none" w:sz="0" w:space="0" w:color="auto"/>
          </w:divBdr>
        </w:div>
      </w:divsChild>
    </w:div>
    <w:div w:id="421724532">
      <w:marLeft w:val="0"/>
      <w:marRight w:val="0"/>
      <w:marTop w:val="160"/>
      <w:marBottom w:val="160"/>
      <w:divBdr>
        <w:top w:val="none" w:sz="0" w:space="0" w:color="auto"/>
        <w:left w:val="none" w:sz="0" w:space="0" w:color="auto"/>
        <w:bottom w:val="none" w:sz="0" w:space="0" w:color="auto"/>
        <w:right w:val="none" w:sz="0" w:space="0" w:color="auto"/>
      </w:divBdr>
    </w:div>
    <w:div w:id="435056956">
      <w:marLeft w:val="0"/>
      <w:marRight w:val="0"/>
      <w:marTop w:val="0"/>
      <w:marBottom w:val="0"/>
      <w:divBdr>
        <w:top w:val="none" w:sz="0" w:space="0" w:color="auto"/>
        <w:left w:val="none" w:sz="0" w:space="0" w:color="auto"/>
        <w:bottom w:val="none" w:sz="0" w:space="0" w:color="auto"/>
        <w:right w:val="none" w:sz="0" w:space="0" w:color="auto"/>
      </w:divBdr>
      <w:divsChild>
        <w:div w:id="2108692796">
          <w:marLeft w:val="0"/>
          <w:marRight w:val="0"/>
          <w:marTop w:val="0"/>
          <w:marBottom w:val="0"/>
          <w:divBdr>
            <w:top w:val="none" w:sz="0" w:space="0" w:color="auto"/>
            <w:left w:val="none" w:sz="0" w:space="0" w:color="auto"/>
            <w:bottom w:val="none" w:sz="0" w:space="0" w:color="auto"/>
            <w:right w:val="none" w:sz="0" w:space="0" w:color="auto"/>
          </w:divBdr>
        </w:div>
      </w:divsChild>
    </w:div>
    <w:div w:id="441803237">
      <w:marLeft w:val="0"/>
      <w:marRight w:val="0"/>
      <w:marTop w:val="160"/>
      <w:marBottom w:val="160"/>
      <w:divBdr>
        <w:top w:val="none" w:sz="0" w:space="0" w:color="auto"/>
        <w:left w:val="none" w:sz="0" w:space="0" w:color="auto"/>
        <w:bottom w:val="none" w:sz="0" w:space="0" w:color="auto"/>
        <w:right w:val="none" w:sz="0" w:space="0" w:color="auto"/>
      </w:divBdr>
    </w:div>
    <w:div w:id="451631589">
      <w:marLeft w:val="0"/>
      <w:marRight w:val="0"/>
      <w:marTop w:val="0"/>
      <w:marBottom w:val="0"/>
      <w:divBdr>
        <w:top w:val="none" w:sz="0" w:space="0" w:color="auto"/>
        <w:left w:val="none" w:sz="0" w:space="0" w:color="auto"/>
        <w:bottom w:val="none" w:sz="0" w:space="0" w:color="auto"/>
        <w:right w:val="none" w:sz="0" w:space="0" w:color="auto"/>
      </w:divBdr>
      <w:divsChild>
        <w:div w:id="871964551">
          <w:marLeft w:val="0"/>
          <w:marRight w:val="0"/>
          <w:marTop w:val="0"/>
          <w:marBottom w:val="0"/>
          <w:divBdr>
            <w:top w:val="none" w:sz="0" w:space="0" w:color="auto"/>
            <w:left w:val="none" w:sz="0" w:space="0" w:color="auto"/>
            <w:bottom w:val="none" w:sz="0" w:space="0" w:color="auto"/>
            <w:right w:val="none" w:sz="0" w:space="0" w:color="auto"/>
          </w:divBdr>
        </w:div>
      </w:divsChild>
    </w:div>
    <w:div w:id="456949246">
      <w:marLeft w:val="0"/>
      <w:marRight w:val="0"/>
      <w:marTop w:val="160"/>
      <w:marBottom w:val="160"/>
      <w:divBdr>
        <w:top w:val="none" w:sz="0" w:space="0" w:color="auto"/>
        <w:left w:val="none" w:sz="0" w:space="0" w:color="auto"/>
        <w:bottom w:val="none" w:sz="0" w:space="0" w:color="auto"/>
        <w:right w:val="none" w:sz="0" w:space="0" w:color="auto"/>
      </w:divBdr>
    </w:div>
    <w:div w:id="458500860">
      <w:marLeft w:val="0"/>
      <w:marRight w:val="0"/>
      <w:marTop w:val="160"/>
      <w:marBottom w:val="160"/>
      <w:divBdr>
        <w:top w:val="none" w:sz="0" w:space="0" w:color="auto"/>
        <w:left w:val="none" w:sz="0" w:space="0" w:color="auto"/>
        <w:bottom w:val="none" w:sz="0" w:space="0" w:color="auto"/>
        <w:right w:val="none" w:sz="0" w:space="0" w:color="auto"/>
      </w:divBdr>
    </w:div>
    <w:div w:id="462119397">
      <w:marLeft w:val="0"/>
      <w:marRight w:val="0"/>
      <w:marTop w:val="0"/>
      <w:marBottom w:val="0"/>
      <w:divBdr>
        <w:top w:val="none" w:sz="0" w:space="0" w:color="auto"/>
        <w:left w:val="none" w:sz="0" w:space="0" w:color="auto"/>
        <w:bottom w:val="none" w:sz="0" w:space="0" w:color="auto"/>
        <w:right w:val="none" w:sz="0" w:space="0" w:color="auto"/>
      </w:divBdr>
    </w:div>
    <w:div w:id="468594873">
      <w:marLeft w:val="0"/>
      <w:marRight w:val="0"/>
      <w:marTop w:val="160"/>
      <w:marBottom w:val="160"/>
      <w:divBdr>
        <w:top w:val="none" w:sz="0" w:space="0" w:color="auto"/>
        <w:left w:val="none" w:sz="0" w:space="0" w:color="auto"/>
        <w:bottom w:val="none" w:sz="0" w:space="0" w:color="auto"/>
        <w:right w:val="none" w:sz="0" w:space="0" w:color="auto"/>
      </w:divBdr>
    </w:div>
    <w:div w:id="468673727">
      <w:marLeft w:val="0"/>
      <w:marRight w:val="0"/>
      <w:marTop w:val="160"/>
      <w:marBottom w:val="160"/>
      <w:divBdr>
        <w:top w:val="none" w:sz="0" w:space="0" w:color="auto"/>
        <w:left w:val="none" w:sz="0" w:space="0" w:color="auto"/>
        <w:bottom w:val="none" w:sz="0" w:space="0" w:color="auto"/>
        <w:right w:val="none" w:sz="0" w:space="0" w:color="auto"/>
      </w:divBdr>
    </w:div>
    <w:div w:id="484392099">
      <w:marLeft w:val="0"/>
      <w:marRight w:val="0"/>
      <w:marTop w:val="160"/>
      <w:marBottom w:val="160"/>
      <w:divBdr>
        <w:top w:val="none" w:sz="0" w:space="0" w:color="auto"/>
        <w:left w:val="none" w:sz="0" w:space="0" w:color="auto"/>
        <w:bottom w:val="none" w:sz="0" w:space="0" w:color="auto"/>
        <w:right w:val="none" w:sz="0" w:space="0" w:color="auto"/>
      </w:divBdr>
    </w:div>
    <w:div w:id="488209256">
      <w:marLeft w:val="0"/>
      <w:marRight w:val="0"/>
      <w:marTop w:val="160"/>
      <w:marBottom w:val="160"/>
      <w:divBdr>
        <w:top w:val="none" w:sz="0" w:space="0" w:color="auto"/>
        <w:left w:val="none" w:sz="0" w:space="0" w:color="auto"/>
        <w:bottom w:val="none" w:sz="0" w:space="0" w:color="auto"/>
        <w:right w:val="none" w:sz="0" w:space="0" w:color="auto"/>
      </w:divBdr>
    </w:div>
    <w:div w:id="488598793">
      <w:marLeft w:val="0"/>
      <w:marRight w:val="0"/>
      <w:marTop w:val="160"/>
      <w:marBottom w:val="160"/>
      <w:divBdr>
        <w:top w:val="none" w:sz="0" w:space="0" w:color="auto"/>
        <w:left w:val="none" w:sz="0" w:space="0" w:color="auto"/>
        <w:bottom w:val="none" w:sz="0" w:space="0" w:color="auto"/>
        <w:right w:val="none" w:sz="0" w:space="0" w:color="auto"/>
      </w:divBdr>
    </w:div>
    <w:div w:id="489174332">
      <w:marLeft w:val="0"/>
      <w:marRight w:val="0"/>
      <w:marTop w:val="160"/>
      <w:marBottom w:val="160"/>
      <w:divBdr>
        <w:top w:val="none" w:sz="0" w:space="0" w:color="auto"/>
        <w:left w:val="none" w:sz="0" w:space="0" w:color="auto"/>
        <w:bottom w:val="none" w:sz="0" w:space="0" w:color="auto"/>
        <w:right w:val="none" w:sz="0" w:space="0" w:color="auto"/>
      </w:divBdr>
    </w:div>
    <w:div w:id="490413721">
      <w:marLeft w:val="0"/>
      <w:marRight w:val="0"/>
      <w:marTop w:val="160"/>
      <w:marBottom w:val="160"/>
      <w:divBdr>
        <w:top w:val="none" w:sz="0" w:space="0" w:color="auto"/>
        <w:left w:val="none" w:sz="0" w:space="0" w:color="auto"/>
        <w:bottom w:val="none" w:sz="0" w:space="0" w:color="auto"/>
        <w:right w:val="none" w:sz="0" w:space="0" w:color="auto"/>
      </w:divBdr>
    </w:div>
    <w:div w:id="490831855">
      <w:marLeft w:val="0"/>
      <w:marRight w:val="0"/>
      <w:marTop w:val="160"/>
      <w:marBottom w:val="160"/>
      <w:divBdr>
        <w:top w:val="none" w:sz="0" w:space="0" w:color="auto"/>
        <w:left w:val="none" w:sz="0" w:space="0" w:color="auto"/>
        <w:bottom w:val="none" w:sz="0" w:space="0" w:color="auto"/>
        <w:right w:val="none" w:sz="0" w:space="0" w:color="auto"/>
      </w:divBdr>
    </w:div>
    <w:div w:id="492835967">
      <w:marLeft w:val="0"/>
      <w:marRight w:val="0"/>
      <w:marTop w:val="100"/>
      <w:marBottom w:val="160"/>
      <w:divBdr>
        <w:top w:val="none" w:sz="0" w:space="0" w:color="auto"/>
        <w:left w:val="none" w:sz="0" w:space="0" w:color="auto"/>
        <w:bottom w:val="none" w:sz="0" w:space="0" w:color="auto"/>
        <w:right w:val="none" w:sz="0" w:space="0" w:color="auto"/>
      </w:divBdr>
    </w:div>
    <w:div w:id="494928040">
      <w:marLeft w:val="0"/>
      <w:marRight w:val="0"/>
      <w:marTop w:val="160"/>
      <w:marBottom w:val="160"/>
      <w:divBdr>
        <w:top w:val="none" w:sz="0" w:space="0" w:color="auto"/>
        <w:left w:val="none" w:sz="0" w:space="0" w:color="auto"/>
        <w:bottom w:val="none" w:sz="0" w:space="0" w:color="auto"/>
        <w:right w:val="none" w:sz="0" w:space="0" w:color="auto"/>
      </w:divBdr>
    </w:div>
    <w:div w:id="503932237">
      <w:marLeft w:val="0"/>
      <w:marRight w:val="0"/>
      <w:marTop w:val="0"/>
      <w:marBottom w:val="0"/>
      <w:divBdr>
        <w:top w:val="none" w:sz="0" w:space="0" w:color="auto"/>
        <w:left w:val="none" w:sz="0" w:space="0" w:color="auto"/>
        <w:bottom w:val="none" w:sz="0" w:space="0" w:color="auto"/>
        <w:right w:val="none" w:sz="0" w:space="0" w:color="auto"/>
      </w:divBdr>
      <w:divsChild>
        <w:div w:id="1219319057">
          <w:marLeft w:val="0"/>
          <w:marRight w:val="0"/>
          <w:marTop w:val="0"/>
          <w:marBottom w:val="0"/>
          <w:divBdr>
            <w:top w:val="none" w:sz="0" w:space="0" w:color="auto"/>
            <w:left w:val="none" w:sz="0" w:space="0" w:color="auto"/>
            <w:bottom w:val="none" w:sz="0" w:space="0" w:color="auto"/>
            <w:right w:val="none" w:sz="0" w:space="0" w:color="auto"/>
          </w:divBdr>
        </w:div>
      </w:divsChild>
    </w:div>
    <w:div w:id="508833535">
      <w:marLeft w:val="0"/>
      <w:marRight w:val="0"/>
      <w:marTop w:val="160"/>
      <w:marBottom w:val="160"/>
      <w:divBdr>
        <w:top w:val="none" w:sz="0" w:space="0" w:color="auto"/>
        <w:left w:val="none" w:sz="0" w:space="0" w:color="auto"/>
        <w:bottom w:val="none" w:sz="0" w:space="0" w:color="auto"/>
        <w:right w:val="none" w:sz="0" w:space="0" w:color="auto"/>
      </w:divBdr>
    </w:div>
    <w:div w:id="509877316">
      <w:marLeft w:val="0"/>
      <w:marRight w:val="0"/>
      <w:marTop w:val="160"/>
      <w:marBottom w:val="160"/>
      <w:divBdr>
        <w:top w:val="none" w:sz="0" w:space="0" w:color="auto"/>
        <w:left w:val="none" w:sz="0" w:space="0" w:color="auto"/>
        <w:bottom w:val="none" w:sz="0" w:space="0" w:color="auto"/>
        <w:right w:val="none" w:sz="0" w:space="0" w:color="auto"/>
      </w:divBdr>
    </w:div>
    <w:div w:id="516309479">
      <w:marLeft w:val="0"/>
      <w:marRight w:val="0"/>
      <w:marTop w:val="160"/>
      <w:marBottom w:val="160"/>
      <w:divBdr>
        <w:top w:val="none" w:sz="0" w:space="0" w:color="auto"/>
        <w:left w:val="none" w:sz="0" w:space="0" w:color="auto"/>
        <w:bottom w:val="none" w:sz="0" w:space="0" w:color="auto"/>
        <w:right w:val="none" w:sz="0" w:space="0" w:color="auto"/>
      </w:divBdr>
    </w:div>
    <w:div w:id="517501779">
      <w:marLeft w:val="0"/>
      <w:marRight w:val="0"/>
      <w:marTop w:val="0"/>
      <w:marBottom w:val="0"/>
      <w:divBdr>
        <w:top w:val="none" w:sz="0" w:space="0" w:color="auto"/>
        <w:left w:val="none" w:sz="0" w:space="0" w:color="auto"/>
        <w:bottom w:val="none" w:sz="0" w:space="0" w:color="auto"/>
        <w:right w:val="none" w:sz="0" w:space="0" w:color="auto"/>
      </w:divBdr>
    </w:div>
    <w:div w:id="517934026">
      <w:marLeft w:val="0"/>
      <w:marRight w:val="0"/>
      <w:marTop w:val="160"/>
      <w:marBottom w:val="160"/>
      <w:divBdr>
        <w:top w:val="none" w:sz="0" w:space="0" w:color="auto"/>
        <w:left w:val="none" w:sz="0" w:space="0" w:color="auto"/>
        <w:bottom w:val="none" w:sz="0" w:space="0" w:color="auto"/>
        <w:right w:val="none" w:sz="0" w:space="0" w:color="auto"/>
      </w:divBdr>
    </w:div>
    <w:div w:id="523596213">
      <w:marLeft w:val="0"/>
      <w:marRight w:val="0"/>
      <w:marTop w:val="160"/>
      <w:marBottom w:val="160"/>
      <w:divBdr>
        <w:top w:val="none" w:sz="0" w:space="0" w:color="auto"/>
        <w:left w:val="none" w:sz="0" w:space="0" w:color="auto"/>
        <w:bottom w:val="none" w:sz="0" w:space="0" w:color="auto"/>
        <w:right w:val="none" w:sz="0" w:space="0" w:color="auto"/>
      </w:divBdr>
    </w:div>
    <w:div w:id="535852105">
      <w:marLeft w:val="0"/>
      <w:marRight w:val="0"/>
      <w:marTop w:val="160"/>
      <w:marBottom w:val="160"/>
      <w:divBdr>
        <w:top w:val="none" w:sz="0" w:space="0" w:color="auto"/>
        <w:left w:val="none" w:sz="0" w:space="0" w:color="auto"/>
        <w:bottom w:val="none" w:sz="0" w:space="0" w:color="auto"/>
        <w:right w:val="none" w:sz="0" w:space="0" w:color="auto"/>
      </w:divBdr>
    </w:div>
    <w:div w:id="536312197">
      <w:marLeft w:val="0"/>
      <w:marRight w:val="0"/>
      <w:marTop w:val="160"/>
      <w:marBottom w:val="160"/>
      <w:divBdr>
        <w:top w:val="none" w:sz="0" w:space="0" w:color="auto"/>
        <w:left w:val="none" w:sz="0" w:space="0" w:color="auto"/>
        <w:bottom w:val="none" w:sz="0" w:space="0" w:color="auto"/>
        <w:right w:val="none" w:sz="0" w:space="0" w:color="auto"/>
      </w:divBdr>
    </w:div>
    <w:div w:id="537158550">
      <w:marLeft w:val="0"/>
      <w:marRight w:val="0"/>
      <w:marTop w:val="160"/>
      <w:marBottom w:val="160"/>
      <w:divBdr>
        <w:top w:val="none" w:sz="0" w:space="0" w:color="auto"/>
        <w:left w:val="none" w:sz="0" w:space="0" w:color="auto"/>
        <w:bottom w:val="none" w:sz="0" w:space="0" w:color="auto"/>
        <w:right w:val="none" w:sz="0" w:space="0" w:color="auto"/>
      </w:divBdr>
    </w:div>
    <w:div w:id="543251016">
      <w:marLeft w:val="0"/>
      <w:marRight w:val="0"/>
      <w:marTop w:val="0"/>
      <w:marBottom w:val="0"/>
      <w:divBdr>
        <w:top w:val="none" w:sz="0" w:space="0" w:color="auto"/>
        <w:left w:val="none" w:sz="0" w:space="0" w:color="auto"/>
        <w:bottom w:val="none" w:sz="0" w:space="0" w:color="auto"/>
        <w:right w:val="none" w:sz="0" w:space="0" w:color="auto"/>
      </w:divBdr>
      <w:divsChild>
        <w:div w:id="1978994868">
          <w:marLeft w:val="0"/>
          <w:marRight w:val="0"/>
          <w:marTop w:val="160"/>
          <w:marBottom w:val="0"/>
          <w:divBdr>
            <w:top w:val="none" w:sz="0" w:space="0" w:color="auto"/>
            <w:left w:val="none" w:sz="0" w:space="0" w:color="auto"/>
            <w:bottom w:val="none" w:sz="0" w:space="0" w:color="auto"/>
            <w:right w:val="none" w:sz="0" w:space="0" w:color="auto"/>
          </w:divBdr>
        </w:div>
        <w:div w:id="1368023924">
          <w:marLeft w:val="0"/>
          <w:marRight w:val="0"/>
          <w:marTop w:val="160"/>
          <w:marBottom w:val="0"/>
          <w:divBdr>
            <w:top w:val="none" w:sz="0" w:space="0" w:color="auto"/>
            <w:left w:val="none" w:sz="0" w:space="0" w:color="auto"/>
            <w:bottom w:val="none" w:sz="0" w:space="0" w:color="auto"/>
            <w:right w:val="none" w:sz="0" w:space="0" w:color="auto"/>
          </w:divBdr>
        </w:div>
        <w:div w:id="2057049650">
          <w:marLeft w:val="0"/>
          <w:marRight w:val="0"/>
          <w:marTop w:val="160"/>
          <w:marBottom w:val="160"/>
          <w:divBdr>
            <w:top w:val="none" w:sz="0" w:space="0" w:color="auto"/>
            <w:left w:val="none" w:sz="0" w:space="0" w:color="auto"/>
            <w:bottom w:val="none" w:sz="0" w:space="0" w:color="auto"/>
            <w:right w:val="none" w:sz="0" w:space="0" w:color="auto"/>
          </w:divBdr>
        </w:div>
        <w:div w:id="255597909">
          <w:marLeft w:val="0"/>
          <w:marRight w:val="0"/>
          <w:marTop w:val="160"/>
          <w:marBottom w:val="160"/>
          <w:divBdr>
            <w:top w:val="none" w:sz="0" w:space="0" w:color="auto"/>
            <w:left w:val="none" w:sz="0" w:space="0" w:color="auto"/>
            <w:bottom w:val="none" w:sz="0" w:space="0" w:color="auto"/>
            <w:right w:val="none" w:sz="0" w:space="0" w:color="auto"/>
          </w:divBdr>
        </w:div>
        <w:div w:id="1648439534">
          <w:marLeft w:val="0"/>
          <w:marRight w:val="0"/>
          <w:marTop w:val="160"/>
          <w:marBottom w:val="160"/>
          <w:divBdr>
            <w:top w:val="none" w:sz="0" w:space="0" w:color="auto"/>
            <w:left w:val="none" w:sz="0" w:space="0" w:color="auto"/>
            <w:bottom w:val="none" w:sz="0" w:space="0" w:color="auto"/>
            <w:right w:val="none" w:sz="0" w:space="0" w:color="auto"/>
          </w:divBdr>
        </w:div>
      </w:divsChild>
    </w:div>
    <w:div w:id="546527543">
      <w:marLeft w:val="0"/>
      <w:marRight w:val="0"/>
      <w:marTop w:val="160"/>
      <w:marBottom w:val="160"/>
      <w:divBdr>
        <w:top w:val="none" w:sz="0" w:space="0" w:color="auto"/>
        <w:left w:val="none" w:sz="0" w:space="0" w:color="auto"/>
        <w:bottom w:val="none" w:sz="0" w:space="0" w:color="auto"/>
        <w:right w:val="none" w:sz="0" w:space="0" w:color="auto"/>
      </w:divBdr>
    </w:div>
    <w:div w:id="546724497">
      <w:marLeft w:val="0"/>
      <w:marRight w:val="0"/>
      <w:marTop w:val="60"/>
      <w:marBottom w:val="60"/>
      <w:divBdr>
        <w:top w:val="none" w:sz="0" w:space="0" w:color="auto"/>
        <w:left w:val="none" w:sz="0" w:space="0" w:color="auto"/>
        <w:bottom w:val="none" w:sz="0" w:space="0" w:color="auto"/>
        <w:right w:val="none" w:sz="0" w:space="0" w:color="auto"/>
      </w:divBdr>
    </w:div>
    <w:div w:id="547644004">
      <w:marLeft w:val="0"/>
      <w:marRight w:val="0"/>
      <w:marTop w:val="160"/>
      <w:marBottom w:val="160"/>
      <w:divBdr>
        <w:top w:val="none" w:sz="0" w:space="0" w:color="auto"/>
        <w:left w:val="none" w:sz="0" w:space="0" w:color="auto"/>
        <w:bottom w:val="none" w:sz="0" w:space="0" w:color="auto"/>
        <w:right w:val="none" w:sz="0" w:space="0" w:color="auto"/>
      </w:divBdr>
    </w:div>
    <w:div w:id="554661477">
      <w:marLeft w:val="0"/>
      <w:marRight w:val="0"/>
      <w:marTop w:val="160"/>
      <w:marBottom w:val="160"/>
      <w:divBdr>
        <w:top w:val="none" w:sz="0" w:space="0" w:color="auto"/>
        <w:left w:val="none" w:sz="0" w:space="0" w:color="auto"/>
        <w:bottom w:val="none" w:sz="0" w:space="0" w:color="auto"/>
        <w:right w:val="none" w:sz="0" w:space="0" w:color="auto"/>
      </w:divBdr>
    </w:div>
    <w:div w:id="559632613">
      <w:marLeft w:val="0"/>
      <w:marRight w:val="0"/>
      <w:marTop w:val="160"/>
      <w:marBottom w:val="160"/>
      <w:divBdr>
        <w:top w:val="none" w:sz="0" w:space="0" w:color="auto"/>
        <w:left w:val="none" w:sz="0" w:space="0" w:color="auto"/>
        <w:bottom w:val="none" w:sz="0" w:space="0" w:color="auto"/>
        <w:right w:val="none" w:sz="0" w:space="0" w:color="auto"/>
      </w:divBdr>
    </w:div>
    <w:div w:id="563873718">
      <w:marLeft w:val="0"/>
      <w:marRight w:val="0"/>
      <w:marTop w:val="160"/>
      <w:marBottom w:val="160"/>
      <w:divBdr>
        <w:top w:val="none" w:sz="0" w:space="0" w:color="auto"/>
        <w:left w:val="none" w:sz="0" w:space="0" w:color="auto"/>
        <w:bottom w:val="none" w:sz="0" w:space="0" w:color="auto"/>
        <w:right w:val="none" w:sz="0" w:space="0" w:color="auto"/>
      </w:divBdr>
    </w:div>
    <w:div w:id="565920534">
      <w:marLeft w:val="0"/>
      <w:marRight w:val="0"/>
      <w:marTop w:val="160"/>
      <w:marBottom w:val="160"/>
      <w:divBdr>
        <w:top w:val="none" w:sz="0" w:space="0" w:color="auto"/>
        <w:left w:val="none" w:sz="0" w:space="0" w:color="auto"/>
        <w:bottom w:val="none" w:sz="0" w:space="0" w:color="auto"/>
        <w:right w:val="none" w:sz="0" w:space="0" w:color="auto"/>
      </w:divBdr>
    </w:div>
    <w:div w:id="568809137">
      <w:marLeft w:val="0"/>
      <w:marRight w:val="0"/>
      <w:marTop w:val="160"/>
      <w:marBottom w:val="160"/>
      <w:divBdr>
        <w:top w:val="none" w:sz="0" w:space="0" w:color="auto"/>
        <w:left w:val="none" w:sz="0" w:space="0" w:color="auto"/>
        <w:bottom w:val="none" w:sz="0" w:space="0" w:color="auto"/>
        <w:right w:val="none" w:sz="0" w:space="0" w:color="auto"/>
      </w:divBdr>
    </w:div>
    <w:div w:id="576860190">
      <w:marLeft w:val="0"/>
      <w:marRight w:val="0"/>
      <w:marTop w:val="160"/>
      <w:marBottom w:val="160"/>
      <w:divBdr>
        <w:top w:val="none" w:sz="0" w:space="0" w:color="auto"/>
        <w:left w:val="none" w:sz="0" w:space="0" w:color="auto"/>
        <w:bottom w:val="none" w:sz="0" w:space="0" w:color="auto"/>
        <w:right w:val="none" w:sz="0" w:space="0" w:color="auto"/>
      </w:divBdr>
    </w:div>
    <w:div w:id="579678888">
      <w:marLeft w:val="0"/>
      <w:marRight w:val="0"/>
      <w:marTop w:val="160"/>
      <w:marBottom w:val="160"/>
      <w:divBdr>
        <w:top w:val="none" w:sz="0" w:space="0" w:color="auto"/>
        <w:left w:val="none" w:sz="0" w:space="0" w:color="auto"/>
        <w:bottom w:val="none" w:sz="0" w:space="0" w:color="auto"/>
        <w:right w:val="none" w:sz="0" w:space="0" w:color="auto"/>
      </w:divBdr>
    </w:div>
    <w:div w:id="579943932">
      <w:marLeft w:val="0"/>
      <w:marRight w:val="0"/>
      <w:marTop w:val="160"/>
      <w:marBottom w:val="160"/>
      <w:divBdr>
        <w:top w:val="none" w:sz="0" w:space="0" w:color="auto"/>
        <w:left w:val="none" w:sz="0" w:space="0" w:color="auto"/>
        <w:bottom w:val="none" w:sz="0" w:space="0" w:color="auto"/>
        <w:right w:val="none" w:sz="0" w:space="0" w:color="auto"/>
      </w:divBdr>
    </w:div>
    <w:div w:id="580331019">
      <w:marLeft w:val="0"/>
      <w:marRight w:val="0"/>
      <w:marTop w:val="60"/>
      <w:marBottom w:val="60"/>
      <w:divBdr>
        <w:top w:val="none" w:sz="0" w:space="0" w:color="auto"/>
        <w:left w:val="none" w:sz="0" w:space="0" w:color="auto"/>
        <w:bottom w:val="none" w:sz="0" w:space="0" w:color="auto"/>
        <w:right w:val="none" w:sz="0" w:space="0" w:color="auto"/>
      </w:divBdr>
    </w:div>
    <w:div w:id="582955010">
      <w:marLeft w:val="0"/>
      <w:marRight w:val="0"/>
      <w:marTop w:val="160"/>
      <w:marBottom w:val="160"/>
      <w:divBdr>
        <w:top w:val="none" w:sz="0" w:space="0" w:color="auto"/>
        <w:left w:val="none" w:sz="0" w:space="0" w:color="auto"/>
        <w:bottom w:val="none" w:sz="0" w:space="0" w:color="auto"/>
        <w:right w:val="none" w:sz="0" w:space="0" w:color="auto"/>
      </w:divBdr>
    </w:div>
    <w:div w:id="588469909">
      <w:marLeft w:val="0"/>
      <w:marRight w:val="0"/>
      <w:marTop w:val="160"/>
      <w:marBottom w:val="160"/>
      <w:divBdr>
        <w:top w:val="none" w:sz="0" w:space="0" w:color="auto"/>
        <w:left w:val="none" w:sz="0" w:space="0" w:color="auto"/>
        <w:bottom w:val="none" w:sz="0" w:space="0" w:color="auto"/>
        <w:right w:val="none" w:sz="0" w:space="0" w:color="auto"/>
      </w:divBdr>
    </w:div>
    <w:div w:id="588658405">
      <w:marLeft w:val="0"/>
      <w:marRight w:val="0"/>
      <w:marTop w:val="160"/>
      <w:marBottom w:val="160"/>
      <w:divBdr>
        <w:top w:val="none" w:sz="0" w:space="0" w:color="auto"/>
        <w:left w:val="none" w:sz="0" w:space="0" w:color="auto"/>
        <w:bottom w:val="none" w:sz="0" w:space="0" w:color="auto"/>
        <w:right w:val="none" w:sz="0" w:space="0" w:color="auto"/>
      </w:divBdr>
    </w:div>
    <w:div w:id="589583487">
      <w:marLeft w:val="0"/>
      <w:marRight w:val="0"/>
      <w:marTop w:val="160"/>
      <w:marBottom w:val="160"/>
      <w:divBdr>
        <w:top w:val="none" w:sz="0" w:space="0" w:color="auto"/>
        <w:left w:val="none" w:sz="0" w:space="0" w:color="auto"/>
        <w:bottom w:val="none" w:sz="0" w:space="0" w:color="auto"/>
        <w:right w:val="none" w:sz="0" w:space="0" w:color="auto"/>
      </w:divBdr>
    </w:div>
    <w:div w:id="591084959">
      <w:marLeft w:val="0"/>
      <w:marRight w:val="0"/>
      <w:marTop w:val="160"/>
      <w:marBottom w:val="160"/>
      <w:divBdr>
        <w:top w:val="none" w:sz="0" w:space="0" w:color="auto"/>
        <w:left w:val="none" w:sz="0" w:space="0" w:color="auto"/>
        <w:bottom w:val="none" w:sz="0" w:space="0" w:color="auto"/>
        <w:right w:val="none" w:sz="0" w:space="0" w:color="auto"/>
      </w:divBdr>
    </w:div>
    <w:div w:id="600456440">
      <w:marLeft w:val="0"/>
      <w:marRight w:val="0"/>
      <w:marTop w:val="160"/>
      <w:marBottom w:val="160"/>
      <w:divBdr>
        <w:top w:val="none" w:sz="0" w:space="0" w:color="auto"/>
        <w:left w:val="none" w:sz="0" w:space="0" w:color="auto"/>
        <w:bottom w:val="none" w:sz="0" w:space="0" w:color="auto"/>
        <w:right w:val="none" w:sz="0" w:space="0" w:color="auto"/>
      </w:divBdr>
    </w:div>
    <w:div w:id="611985381">
      <w:marLeft w:val="0"/>
      <w:marRight w:val="0"/>
      <w:marTop w:val="0"/>
      <w:marBottom w:val="0"/>
      <w:divBdr>
        <w:top w:val="none" w:sz="0" w:space="0" w:color="auto"/>
        <w:left w:val="none" w:sz="0" w:space="0" w:color="auto"/>
        <w:bottom w:val="none" w:sz="0" w:space="0" w:color="auto"/>
        <w:right w:val="none" w:sz="0" w:space="0" w:color="auto"/>
      </w:divBdr>
      <w:divsChild>
        <w:div w:id="1341154912">
          <w:marLeft w:val="0"/>
          <w:marRight w:val="0"/>
          <w:marTop w:val="0"/>
          <w:marBottom w:val="0"/>
          <w:divBdr>
            <w:top w:val="none" w:sz="0" w:space="0" w:color="auto"/>
            <w:left w:val="none" w:sz="0" w:space="0" w:color="auto"/>
            <w:bottom w:val="none" w:sz="0" w:space="0" w:color="auto"/>
            <w:right w:val="none" w:sz="0" w:space="0" w:color="auto"/>
          </w:divBdr>
        </w:div>
      </w:divsChild>
    </w:div>
    <w:div w:id="614680261">
      <w:marLeft w:val="0"/>
      <w:marRight w:val="0"/>
      <w:marTop w:val="160"/>
      <w:marBottom w:val="160"/>
      <w:divBdr>
        <w:top w:val="none" w:sz="0" w:space="0" w:color="auto"/>
        <w:left w:val="none" w:sz="0" w:space="0" w:color="auto"/>
        <w:bottom w:val="none" w:sz="0" w:space="0" w:color="auto"/>
        <w:right w:val="none" w:sz="0" w:space="0" w:color="auto"/>
      </w:divBdr>
    </w:div>
    <w:div w:id="619191231">
      <w:marLeft w:val="0"/>
      <w:marRight w:val="0"/>
      <w:marTop w:val="160"/>
      <w:marBottom w:val="160"/>
      <w:divBdr>
        <w:top w:val="none" w:sz="0" w:space="0" w:color="auto"/>
        <w:left w:val="none" w:sz="0" w:space="0" w:color="auto"/>
        <w:bottom w:val="none" w:sz="0" w:space="0" w:color="auto"/>
        <w:right w:val="none" w:sz="0" w:space="0" w:color="auto"/>
      </w:divBdr>
    </w:div>
    <w:div w:id="619454176">
      <w:marLeft w:val="0"/>
      <w:marRight w:val="0"/>
      <w:marTop w:val="0"/>
      <w:marBottom w:val="0"/>
      <w:divBdr>
        <w:top w:val="none" w:sz="0" w:space="0" w:color="auto"/>
        <w:left w:val="none" w:sz="0" w:space="0" w:color="auto"/>
        <w:bottom w:val="none" w:sz="0" w:space="0" w:color="auto"/>
        <w:right w:val="none" w:sz="0" w:space="0" w:color="auto"/>
      </w:divBdr>
      <w:divsChild>
        <w:div w:id="1561280781">
          <w:marLeft w:val="0"/>
          <w:marRight w:val="0"/>
          <w:marTop w:val="0"/>
          <w:marBottom w:val="0"/>
          <w:divBdr>
            <w:top w:val="none" w:sz="0" w:space="0" w:color="auto"/>
            <w:left w:val="none" w:sz="0" w:space="0" w:color="auto"/>
            <w:bottom w:val="none" w:sz="0" w:space="0" w:color="auto"/>
            <w:right w:val="none" w:sz="0" w:space="0" w:color="auto"/>
          </w:divBdr>
        </w:div>
      </w:divsChild>
    </w:div>
    <w:div w:id="621153716">
      <w:marLeft w:val="0"/>
      <w:marRight w:val="0"/>
      <w:marTop w:val="160"/>
      <w:marBottom w:val="160"/>
      <w:divBdr>
        <w:top w:val="none" w:sz="0" w:space="0" w:color="auto"/>
        <w:left w:val="none" w:sz="0" w:space="0" w:color="auto"/>
        <w:bottom w:val="none" w:sz="0" w:space="0" w:color="auto"/>
        <w:right w:val="none" w:sz="0" w:space="0" w:color="auto"/>
      </w:divBdr>
    </w:div>
    <w:div w:id="623193921">
      <w:marLeft w:val="0"/>
      <w:marRight w:val="0"/>
      <w:marTop w:val="160"/>
      <w:marBottom w:val="160"/>
      <w:divBdr>
        <w:top w:val="none" w:sz="0" w:space="0" w:color="auto"/>
        <w:left w:val="none" w:sz="0" w:space="0" w:color="auto"/>
        <w:bottom w:val="none" w:sz="0" w:space="0" w:color="auto"/>
        <w:right w:val="none" w:sz="0" w:space="0" w:color="auto"/>
      </w:divBdr>
    </w:div>
    <w:div w:id="627130810">
      <w:marLeft w:val="0"/>
      <w:marRight w:val="0"/>
      <w:marTop w:val="160"/>
      <w:marBottom w:val="160"/>
      <w:divBdr>
        <w:top w:val="none" w:sz="0" w:space="0" w:color="auto"/>
        <w:left w:val="none" w:sz="0" w:space="0" w:color="auto"/>
        <w:bottom w:val="none" w:sz="0" w:space="0" w:color="auto"/>
        <w:right w:val="none" w:sz="0" w:space="0" w:color="auto"/>
      </w:divBdr>
    </w:div>
    <w:div w:id="628517758">
      <w:marLeft w:val="0"/>
      <w:marRight w:val="0"/>
      <w:marTop w:val="160"/>
      <w:marBottom w:val="160"/>
      <w:divBdr>
        <w:top w:val="none" w:sz="0" w:space="0" w:color="auto"/>
        <w:left w:val="none" w:sz="0" w:space="0" w:color="auto"/>
        <w:bottom w:val="none" w:sz="0" w:space="0" w:color="auto"/>
        <w:right w:val="none" w:sz="0" w:space="0" w:color="auto"/>
      </w:divBdr>
    </w:div>
    <w:div w:id="631986255">
      <w:marLeft w:val="0"/>
      <w:marRight w:val="0"/>
      <w:marTop w:val="160"/>
      <w:marBottom w:val="160"/>
      <w:divBdr>
        <w:top w:val="none" w:sz="0" w:space="0" w:color="auto"/>
        <w:left w:val="none" w:sz="0" w:space="0" w:color="auto"/>
        <w:bottom w:val="none" w:sz="0" w:space="0" w:color="auto"/>
        <w:right w:val="none" w:sz="0" w:space="0" w:color="auto"/>
      </w:divBdr>
    </w:div>
    <w:div w:id="632293236">
      <w:marLeft w:val="0"/>
      <w:marRight w:val="0"/>
      <w:marTop w:val="160"/>
      <w:marBottom w:val="160"/>
      <w:divBdr>
        <w:top w:val="none" w:sz="0" w:space="0" w:color="auto"/>
        <w:left w:val="none" w:sz="0" w:space="0" w:color="auto"/>
        <w:bottom w:val="none" w:sz="0" w:space="0" w:color="auto"/>
        <w:right w:val="none" w:sz="0" w:space="0" w:color="auto"/>
      </w:divBdr>
    </w:div>
    <w:div w:id="635914634">
      <w:marLeft w:val="0"/>
      <w:marRight w:val="0"/>
      <w:marTop w:val="160"/>
      <w:marBottom w:val="160"/>
      <w:divBdr>
        <w:top w:val="none" w:sz="0" w:space="0" w:color="auto"/>
        <w:left w:val="none" w:sz="0" w:space="0" w:color="auto"/>
        <w:bottom w:val="none" w:sz="0" w:space="0" w:color="auto"/>
        <w:right w:val="none" w:sz="0" w:space="0" w:color="auto"/>
      </w:divBdr>
    </w:div>
    <w:div w:id="640118616">
      <w:marLeft w:val="0"/>
      <w:marRight w:val="0"/>
      <w:marTop w:val="160"/>
      <w:marBottom w:val="160"/>
      <w:divBdr>
        <w:top w:val="none" w:sz="0" w:space="0" w:color="auto"/>
        <w:left w:val="none" w:sz="0" w:space="0" w:color="auto"/>
        <w:bottom w:val="none" w:sz="0" w:space="0" w:color="auto"/>
        <w:right w:val="none" w:sz="0" w:space="0" w:color="auto"/>
      </w:divBdr>
      <w:divsChild>
        <w:div w:id="1821193287">
          <w:marLeft w:val="0"/>
          <w:marRight w:val="0"/>
          <w:marTop w:val="0"/>
          <w:marBottom w:val="0"/>
          <w:divBdr>
            <w:top w:val="none" w:sz="0" w:space="0" w:color="auto"/>
            <w:left w:val="none" w:sz="0" w:space="0" w:color="auto"/>
            <w:bottom w:val="none" w:sz="0" w:space="0" w:color="auto"/>
            <w:right w:val="none" w:sz="0" w:space="0" w:color="auto"/>
          </w:divBdr>
        </w:div>
        <w:div w:id="529493364">
          <w:marLeft w:val="0"/>
          <w:marRight w:val="0"/>
          <w:marTop w:val="0"/>
          <w:marBottom w:val="0"/>
          <w:divBdr>
            <w:top w:val="none" w:sz="0" w:space="0" w:color="auto"/>
            <w:left w:val="none" w:sz="0" w:space="0" w:color="auto"/>
            <w:bottom w:val="none" w:sz="0" w:space="0" w:color="auto"/>
            <w:right w:val="none" w:sz="0" w:space="0" w:color="auto"/>
          </w:divBdr>
        </w:div>
        <w:div w:id="803349862">
          <w:marLeft w:val="0"/>
          <w:marRight w:val="0"/>
          <w:marTop w:val="0"/>
          <w:marBottom w:val="0"/>
          <w:divBdr>
            <w:top w:val="none" w:sz="0" w:space="0" w:color="auto"/>
            <w:left w:val="none" w:sz="0" w:space="0" w:color="auto"/>
            <w:bottom w:val="none" w:sz="0" w:space="0" w:color="auto"/>
            <w:right w:val="none" w:sz="0" w:space="0" w:color="auto"/>
          </w:divBdr>
        </w:div>
        <w:div w:id="1013456401">
          <w:marLeft w:val="0"/>
          <w:marRight w:val="0"/>
          <w:marTop w:val="0"/>
          <w:marBottom w:val="0"/>
          <w:divBdr>
            <w:top w:val="none" w:sz="0" w:space="0" w:color="auto"/>
            <w:left w:val="none" w:sz="0" w:space="0" w:color="auto"/>
            <w:bottom w:val="none" w:sz="0" w:space="0" w:color="auto"/>
            <w:right w:val="none" w:sz="0" w:space="0" w:color="auto"/>
          </w:divBdr>
        </w:div>
        <w:div w:id="2022470143">
          <w:marLeft w:val="0"/>
          <w:marRight w:val="0"/>
          <w:marTop w:val="0"/>
          <w:marBottom w:val="0"/>
          <w:divBdr>
            <w:top w:val="none" w:sz="0" w:space="0" w:color="auto"/>
            <w:left w:val="none" w:sz="0" w:space="0" w:color="auto"/>
            <w:bottom w:val="none" w:sz="0" w:space="0" w:color="auto"/>
            <w:right w:val="none" w:sz="0" w:space="0" w:color="auto"/>
          </w:divBdr>
        </w:div>
        <w:div w:id="1970698877">
          <w:marLeft w:val="0"/>
          <w:marRight w:val="0"/>
          <w:marTop w:val="0"/>
          <w:marBottom w:val="0"/>
          <w:divBdr>
            <w:top w:val="none" w:sz="0" w:space="0" w:color="auto"/>
            <w:left w:val="none" w:sz="0" w:space="0" w:color="auto"/>
            <w:bottom w:val="none" w:sz="0" w:space="0" w:color="auto"/>
            <w:right w:val="none" w:sz="0" w:space="0" w:color="auto"/>
          </w:divBdr>
        </w:div>
        <w:div w:id="788356461">
          <w:marLeft w:val="0"/>
          <w:marRight w:val="0"/>
          <w:marTop w:val="0"/>
          <w:marBottom w:val="0"/>
          <w:divBdr>
            <w:top w:val="none" w:sz="0" w:space="0" w:color="auto"/>
            <w:left w:val="none" w:sz="0" w:space="0" w:color="auto"/>
            <w:bottom w:val="none" w:sz="0" w:space="0" w:color="auto"/>
            <w:right w:val="none" w:sz="0" w:space="0" w:color="auto"/>
          </w:divBdr>
        </w:div>
        <w:div w:id="1079399811">
          <w:marLeft w:val="0"/>
          <w:marRight w:val="0"/>
          <w:marTop w:val="0"/>
          <w:marBottom w:val="0"/>
          <w:divBdr>
            <w:top w:val="none" w:sz="0" w:space="0" w:color="auto"/>
            <w:left w:val="none" w:sz="0" w:space="0" w:color="auto"/>
            <w:bottom w:val="none" w:sz="0" w:space="0" w:color="auto"/>
            <w:right w:val="none" w:sz="0" w:space="0" w:color="auto"/>
          </w:divBdr>
        </w:div>
        <w:div w:id="522519925">
          <w:marLeft w:val="0"/>
          <w:marRight w:val="0"/>
          <w:marTop w:val="0"/>
          <w:marBottom w:val="0"/>
          <w:divBdr>
            <w:top w:val="none" w:sz="0" w:space="0" w:color="auto"/>
            <w:left w:val="none" w:sz="0" w:space="0" w:color="auto"/>
            <w:bottom w:val="none" w:sz="0" w:space="0" w:color="auto"/>
            <w:right w:val="none" w:sz="0" w:space="0" w:color="auto"/>
          </w:divBdr>
        </w:div>
        <w:div w:id="1937056907">
          <w:marLeft w:val="0"/>
          <w:marRight w:val="0"/>
          <w:marTop w:val="0"/>
          <w:marBottom w:val="0"/>
          <w:divBdr>
            <w:top w:val="none" w:sz="0" w:space="0" w:color="auto"/>
            <w:left w:val="none" w:sz="0" w:space="0" w:color="auto"/>
            <w:bottom w:val="none" w:sz="0" w:space="0" w:color="auto"/>
            <w:right w:val="none" w:sz="0" w:space="0" w:color="auto"/>
          </w:divBdr>
        </w:div>
        <w:div w:id="2132046731">
          <w:marLeft w:val="0"/>
          <w:marRight w:val="0"/>
          <w:marTop w:val="0"/>
          <w:marBottom w:val="0"/>
          <w:divBdr>
            <w:top w:val="none" w:sz="0" w:space="0" w:color="auto"/>
            <w:left w:val="none" w:sz="0" w:space="0" w:color="auto"/>
            <w:bottom w:val="none" w:sz="0" w:space="0" w:color="auto"/>
            <w:right w:val="none" w:sz="0" w:space="0" w:color="auto"/>
          </w:divBdr>
        </w:div>
        <w:div w:id="1051421593">
          <w:marLeft w:val="0"/>
          <w:marRight w:val="0"/>
          <w:marTop w:val="0"/>
          <w:marBottom w:val="0"/>
          <w:divBdr>
            <w:top w:val="none" w:sz="0" w:space="0" w:color="auto"/>
            <w:left w:val="none" w:sz="0" w:space="0" w:color="auto"/>
            <w:bottom w:val="none" w:sz="0" w:space="0" w:color="auto"/>
            <w:right w:val="none" w:sz="0" w:space="0" w:color="auto"/>
          </w:divBdr>
        </w:div>
        <w:div w:id="1970356984">
          <w:marLeft w:val="0"/>
          <w:marRight w:val="0"/>
          <w:marTop w:val="0"/>
          <w:marBottom w:val="0"/>
          <w:divBdr>
            <w:top w:val="none" w:sz="0" w:space="0" w:color="auto"/>
            <w:left w:val="none" w:sz="0" w:space="0" w:color="auto"/>
            <w:bottom w:val="none" w:sz="0" w:space="0" w:color="auto"/>
            <w:right w:val="none" w:sz="0" w:space="0" w:color="auto"/>
          </w:divBdr>
        </w:div>
        <w:div w:id="950936024">
          <w:marLeft w:val="0"/>
          <w:marRight w:val="0"/>
          <w:marTop w:val="0"/>
          <w:marBottom w:val="0"/>
          <w:divBdr>
            <w:top w:val="none" w:sz="0" w:space="0" w:color="auto"/>
            <w:left w:val="none" w:sz="0" w:space="0" w:color="auto"/>
            <w:bottom w:val="none" w:sz="0" w:space="0" w:color="auto"/>
            <w:right w:val="none" w:sz="0" w:space="0" w:color="auto"/>
          </w:divBdr>
        </w:div>
        <w:div w:id="1598520461">
          <w:marLeft w:val="0"/>
          <w:marRight w:val="0"/>
          <w:marTop w:val="0"/>
          <w:marBottom w:val="0"/>
          <w:divBdr>
            <w:top w:val="none" w:sz="0" w:space="0" w:color="auto"/>
            <w:left w:val="none" w:sz="0" w:space="0" w:color="auto"/>
            <w:bottom w:val="none" w:sz="0" w:space="0" w:color="auto"/>
            <w:right w:val="none" w:sz="0" w:space="0" w:color="auto"/>
          </w:divBdr>
        </w:div>
        <w:div w:id="1787650861">
          <w:marLeft w:val="0"/>
          <w:marRight w:val="0"/>
          <w:marTop w:val="0"/>
          <w:marBottom w:val="0"/>
          <w:divBdr>
            <w:top w:val="none" w:sz="0" w:space="0" w:color="auto"/>
            <w:left w:val="none" w:sz="0" w:space="0" w:color="auto"/>
            <w:bottom w:val="none" w:sz="0" w:space="0" w:color="auto"/>
            <w:right w:val="none" w:sz="0" w:space="0" w:color="auto"/>
          </w:divBdr>
        </w:div>
      </w:divsChild>
    </w:div>
    <w:div w:id="640382694">
      <w:marLeft w:val="0"/>
      <w:marRight w:val="0"/>
      <w:marTop w:val="160"/>
      <w:marBottom w:val="160"/>
      <w:divBdr>
        <w:top w:val="none" w:sz="0" w:space="0" w:color="auto"/>
        <w:left w:val="none" w:sz="0" w:space="0" w:color="auto"/>
        <w:bottom w:val="none" w:sz="0" w:space="0" w:color="auto"/>
        <w:right w:val="none" w:sz="0" w:space="0" w:color="auto"/>
      </w:divBdr>
    </w:div>
    <w:div w:id="645474061">
      <w:marLeft w:val="0"/>
      <w:marRight w:val="0"/>
      <w:marTop w:val="160"/>
      <w:marBottom w:val="160"/>
      <w:divBdr>
        <w:top w:val="none" w:sz="0" w:space="0" w:color="auto"/>
        <w:left w:val="none" w:sz="0" w:space="0" w:color="auto"/>
        <w:bottom w:val="none" w:sz="0" w:space="0" w:color="auto"/>
        <w:right w:val="none" w:sz="0" w:space="0" w:color="auto"/>
      </w:divBdr>
    </w:div>
    <w:div w:id="657654566">
      <w:marLeft w:val="0"/>
      <w:marRight w:val="0"/>
      <w:marTop w:val="160"/>
      <w:marBottom w:val="160"/>
      <w:divBdr>
        <w:top w:val="none" w:sz="0" w:space="0" w:color="auto"/>
        <w:left w:val="none" w:sz="0" w:space="0" w:color="auto"/>
        <w:bottom w:val="none" w:sz="0" w:space="0" w:color="auto"/>
        <w:right w:val="none" w:sz="0" w:space="0" w:color="auto"/>
      </w:divBdr>
    </w:div>
    <w:div w:id="658310244">
      <w:marLeft w:val="0"/>
      <w:marRight w:val="0"/>
      <w:marTop w:val="160"/>
      <w:marBottom w:val="160"/>
      <w:divBdr>
        <w:top w:val="none" w:sz="0" w:space="0" w:color="auto"/>
        <w:left w:val="none" w:sz="0" w:space="0" w:color="auto"/>
        <w:bottom w:val="none" w:sz="0" w:space="0" w:color="auto"/>
        <w:right w:val="none" w:sz="0" w:space="0" w:color="auto"/>
      </w:divBdr>
    </w:div>
    <w:div w:id="659044930">
      <w:marLeft w:val="0"/>
      <w:marRight w:val="0"/>
      <w:marTop w:val="0"/>
      <w:marBottom w:val="0"/>
      <w:divBdr>
        <w:top w:val="none" w:sz="0" w:space="0" w:color="auto"/>
        <w:left w:val="none" w:sz="0" w:space="0" w:color="auto"/>
        <w:bottom w:val="none" w:sz="0" w:space="0" w:color="auto"/>
        <w:right w:val="none" w:sz="0" w:space="0" w:color="auto"/>
      </w:divBdr>
    </w:div>
    <w:div w:id="659819059">
      <w:marLeft w:val="0"/>
      <w:marRight w:val="0"/>
      <w:marTop w:val="160"/>
      <w:marBottom w:val="160"/>
      <w:divBdr>
        <w:top w:val="none" w:sz="0" w:space="0" w:color="auto"/>
        <w:left w:val="none" w:sz="0" w:space="0" w:color="auto"/>
        <w:bottom w:val="none" w:sz="0" w:space="0" w:color="auto"/>
        <w:right w:val="none" w:sz="0" w:space="0" w:color="auto"/>
      </w:divBdr>
    </w:div>
    <w:div w:id="660699464">
      <w:marLeft w:val="0"/>
      <w:marRight w:val="0"/>
      <w:marTop w:val="160"/>
      <w:marBottom w:val="160"/>
      <w:divBdr>
        <w:top w:val="none" w:sz="0" w:space="0" w:color="auto"/>
        <w:left w:val="none" w:sz="0" w:space="0" w:color="auto"/>
        <w:bottom w:val="none" w:sz="0" w:space="0" w:color="auto"/>
        <w:right w:val="none" w:sz="0" w:space="0" w:color="auto"/>
      </w:divBdr>
    </w:div>
    <w:div w:id="661158889">
      <w:marLeft w:val="0"/>
      <w:marRight w:val="0"/>
      <w:marTop w:val="160"/>
      <w:marBottom w:val="160"/>
      <w:divBdr>
        <w:top w:val="none" w:sz="0" w:space="0" w:color="auto"/>
        <w:left w:val="none" w:sz="0" w:space="0" w:color="auto"/>
        <w:bottom w:val="none" w:sz="0" w:space="0" w:color="auto"/>
        <w:right w:val="none" w:sz="0" w:space="0" w:color="auto"/>
      </w:divBdr>
    </w:div>
    <w:div w:id="662273135">
      <w:marLeft w:val="0"/>
      <w:marRight w:val="0"/>
      <w:marTop w:val="0"/>
      <w:marBottom w:val="0"/>
      <w:divBdr>
        <w:top w:val="none" w:sz="0" w:space="0" w:color="auto"/>
        <w:left w:val="none" w:sz="0" w:space="0" w:color="auto"/>
        <w:bottom w:val="none" w:sz="0" w:space="0" w:color="auto"/>
        <w:right w:val="none" w:sz="0" w:space="0" w:color="auto"/>
      </w:divBdr>
    </w:div>
    <w:div w:id="662314641">
      <w:marLeft w:val="0"/>
      <w:marRight w:val="0"/>
      <w:marTop w:val="0"/>
      <w:marBottom w:val="0"/>
      <w:divBdr>
        <w:top w:val="none" w:sz="0" w:space="0" w:color="auto"/>
        <w:left w:val="none" w:sz="0" w:space="0" w:color="auto"/>
        <w:bottom w:val="none" w:sz="0" w:space="0" w:color="auto"/>
        <w:right w:val="none" w:sz="0" w:space="0" w:color="auto"/>
      </w:divBdr>
    </w:div>
    <w:div w:id="662969440">
      <w:marLeft w:val="0"/>
      <w:marRight w:val="0"/>
      <w:marTop w:val="100"/>
      <w:marBottom w:val="160"/>
      <w:divBdr>
        <w:top w:val="none" w:sz="0" w:space="0" w:color="auto"/>
        <w:left w:val="none" w:sz="0" w:space="0" w:color="auto"/>
        <w:bottom w:val="none" w:sz="0" w:space="0" w:color="auto"/>
        <w:right w:val="none" w:sz="0" w:space="0" w:color="auto"/>
      </w:divBdr>
    </w:div>
    <w:div w:id="671223005">
      <w:marLeft w:val="0"/>
      <w:marRight w:val="0"/>
      <w:marTop w:val="160"/>
      <w:marBottom w:val="160"/>
      <w:divBdr>
        <w:top w:val="none" w:sz="0" w:space="0" w:color="auto"/>
        <w:left w:val="none" w:sz="0" w:space="0" w:color="auto"/>
        <w:bottom w:val="none" w:sz="0" w:space="0" w:color="auto"/>
        <w:right w:val="none" w:sz="0" w:space="0" w:color="auto"/>
      </w:divBdr>
    </w:div>
    <w:div w:id="675108719">
      <w:marLeft w:val="0"/>
      <w:marRight w:val="0"/>
      <w:marTop w:val="0"/>
      <w:marBottom w:val="0"/>
      <w:divBdr>
        <w:top w:val="none" w:sz="0" w:space="0" w:color="auto"/>
        <w:left w:val="none" w:sz="0" w:space="0" w:color="auto"/>
        <w:bottom w:val="none" w:sz="0" w:space="0" w:color="auto"/>
        <w:right w:val="none" w:sz="0" w:space="0" w:color="auto"/>
      </w:divBdr>
      <w:divsChild>
        <w:div w:id="2015103868">
          <w:marLeft w:val="0"/>
          <w:marRight w:val="0"/>
          <w:marTop w:val="0"/>
          <w:marBottom w:val="0"/>
          <w:divBdr>
            <w:top w:val="none" w:sz="0" w:space="0" w:color="auto"/>
            <w:left w:val="none" w:sz="0" w:space="0" w:color="auto"/>
            <w:bottom w:val="none" w:sz="0" w:space="0" w:color="auto"/>
            <w:right w:val="none" w:sz="0" w:space="0" w:color="auto"/>
          </w:divBdr>
        </w:div>
      </w:divsChild>
    </w:div>
    <w:div w:id="691414305">
      <w:marLeft w:val="0"/>
      <w:marRight w:val="0"/>
      <w:marTop w:val="160"/>
      <w:marBottom w:val="160"/>
      <w:divBdr>
        <w:top w:val="none" w:sz="0" w:space="0" w:color="auto"/>
        <w:left w:val="none" w:sz="0" w:space="0" w:color="auto"/>
        <w:bottom w:val="none" w:sz="0" w:space="0" w:color="auto"/>
        <w:right w:val="none" w:sz="0" w:space="0" w:color="auto"/>
      </w:divBdr>
    </w:div>
    <w:div w:id="692879182">
      <w:marLeft w:val="0"/>
      <w:marRight w:val="0"/>
      <w:marTop w:val="0"/>
      <w:marBottom w:val="0"/>
      <w:divBdr>
        <w:top w:val="none" w:sz="0" w:space="0" w:color="auto"/>
        <w:left w:val="none" w:sz="0" w:space="0" w:color="auto"/>
        <w:bottom w:val="none" w:sz="0" w:space="0" w:color="auto"/>
        <w:right w:val="none" w:sz="0" w:space="0" w:color="auto"/>
      </w:divBdr>
      <w:divsChild>
        <w:div w:id="1705713087">
          <w:marLeft w:val="0"/>
          <w:marRight w:val="0"/>
          <w:marTop w:val="160"/>
          <w:marBottom w:val="160"/>
          <w:divBdr>
            <w:top w:val="none" w:sz="0" w:space="0" w:color="auto"/>
            <w:left w:val="none" w:sz="0" w:space="0" w:color="auto"/>
            <w:bottom w:val="none" w:sz="0" w:space="0" w:color="auto"/>
            <w:right w:val="none" w:sz="0" w:space="0" w:color="auto"/>
          </w:divBdr>
        </w:div>
        <w:div w:id="980037058">
          <w:marLeft w:val="0"/>
          <w:marRight w:val="0"/>
          <w:marTop w:val="160"/>
          <w:marBottom w:val="160"/>
          <w:divBdr>
            <w:top w:val="none" w:sz="0" w:space="0" w:color="auto"/>
            <w:left w:val="none" w:sz="0" w:space="0" w:color="auto"/>
            <w:bottom w:val="none" w:sz="0" w:space="0" w:color="auto"/>
            <w:right w:val="none" w:sz="0" w:space="0" w:color="auto"/>
          </w:divBdr>
        </w:div>
        <w:div w:id="2130392122">
          <w:marLeft w:val="0"/>
          <w:marRight w:val="0"/>
          <w:marTop w:val="160"/>
          <w:marBottom w:val="160"/>
          <w:divBdr>
            <w:top w:val="none" w:sz="0" w:space="0" w:color="auto"/>
            <w:left w:val="none" w:sz="0" w:space="0" w:color="auto"/>
            <w:bottom w:val="none" w:sz="0" w:space="0" w:color="auto"/>
            <w:right w:val="none" w:sz="0" w:space="0" w:color="auto"/>
          </w:divBdr>
        </w:div>
        <w:div w:id="843783294">
          <w:marLeft w:val="0"/>
          <w:marRight w:val="0"/>
          <w:marTop w:val="160"/>
          <w:marBottom w:val="160"/>
          <w:divBdr>
            <w:top w:val="none" w:sz="0" w:space="0" w:color="auto"/>
            <w:left w:val="none" w:sz="0" w:space="0" w:color="auto"/>
            <w:bottom w:val="none" w:sz="0" w:space="0" w:color="auto"/>
            <w:right w:val="none" w:sz="0" w:space="0" w:color="auto"/>
          </w:divBdr>
        </w:div>
        <w:div w:id="543911369">
          <w:marLeft w:val="0"/>
          <w:marRight w:val="0"/>
          <w:marTop w:val="160"/>
          <w:marBottom w:val="160"/>
          <w:divBdr>
            <w:top w:val="none" w:sz="0" w:space="0" w:color="auto"/>
            <w:left w:val="none" w:sz="0" w:space="0" w:color="auto"/>
            <w:bottom w:val="none" w:sz="0" w:space="0" w:color="auto"/>
            <w:right w:val="none" w:sz="0" w:space="0" w:color="auto"/>
          </w:divBdr>
        </w:div>
        <w:div w:id="1922174841">
          <w:marLeft w:val="0"/>
          <w:marRight w:val="0"/>
          <w:marTop w:val="0"/>
          <w:marBottom w:val="0"/>
          <w:divBdr>
            <w:top w:val="none" w:sz="0" w:space="0" w:color="auto"/>
            <w:left w:val="none" w:sz="0" w:space="0" w:color="auto"/>
            <w:bottom w:val="none" w:sz="0" w:space="0" w:color="auto"/>
            <w:right w:val="none" w:sz="0" w:space="0" w:color="auto"/>
          </w:divBdr>
        </w:div>
      </w:divsChild>
    </w:div>
    <w:div w:id="693307701">
      <w:marLeft w:val="0"/>
      <w:marRight w:val="0"/>
      <w:marTop w:val="160"/>
      <w:marBottom w:val="160"/>
      <w:divBdr>
        <w:top w:val="none" w:sz="0" w:space="0" w:color="auto"/>
        <w:left w:val="none" w:sz="0" w:space="0" w:color="auto"/>
        <w:bottom w:val="none" w:sz="0" w:space="0" w:color="auto"/>
        <w:right w:val="none" w:sz="0" w:space="0" w:color="auto"/>
      </w:divBdr>
    </w:div>
    <w:div w:id="695278697">
      <w:marLeft w:val="0"/>
      <w:marRight w:val="0"/>
      <w:marTop w:val="0"/>
      <w:marBottom w:val="0"/>
      <w:divBdr>
        <w:top w:val="none" w:sz="0" w:space="0" w:color="auto"/>
        <w:left w:val="none" w:sz="0" w:space="0" w:color="auto"/>
        <w:bottom w:val="none" w:sz="0" w:space="0" w:color="auto"/>
        <w:right w:val="none" w:sz="0" w:space="0" w:color="auto"/>
      </w:divBdr>
      <w:divsChild>
        <w:div w:id="482039475">
          <w:marLeft w:val="0"/>
          <w:marRight w:val="0"/>
          <w:marTop w:val="0"/>
          <w:marBottom w:val="0"/>
          <w:divBdr>
            <w:top w:val="none" w:sz="0" w:space="0" w:color="auto"/>
            <w:left w:val="none" w:sz="0" w:space="0" w:color="auto"/>
            <w:bottom w:val="none" w:sz="0" w:space="0" w:color="auto"/>
            <w:right w:val="none" w:sz="0" w:space="0" w:color="auto"/>
          </w:divBdr>
        </w:div>
      </w:divsChild>
    </w:div>
    <w:div w:id="695934151">
      <w:marLeft w:val="0"/>
      <w:marRight w:val="0"/>
      <w:marTop w:val="160"/>
      <w:marBottom w:val="160"/>
      <w:divBdr>
        <w:top w:val="none" w:sz="0" w:space="0" w:color="auto"/>
        <w:left w:val="none" w:sz="0" w:space="0" w:color="auto"/>
        <w:bottom w:val="none" w:sz="0" w:space="0" w:color="auto"/>
        <w:right w:val="none" w:sz="0" w:space="0" w:color="auto"/>
      </w:divBdr>
    </w:div>
    <w:div w:id="704410753">
      <w:marLeft w:val="0"/>
      <w:marRight w:val="0"/>
      <w:marTop w:val="160"/>
      <w:marBottom w:val="160"/>
      <w:divBdr>
        <w:top w:val="none" w:sz="0" w:space="0" w:color="auto"/>
        <w:left w:val="none" w:sz="0" w:space="0" w:color="auto"/>
        <w:bottom w:val="none" w:sz="0" w:space="0" w:color="auto"/>
        <w:right w:val="none" w:sz="0" w:space="0" w:color="auto"/>
      </w:divBdr>
    </w:div>
    <w:div w:id="706761417">
      <w:marLeft w:val="0"/>
      <w:marRight w:val="0"/>
      <w:marTop w:val="60"/>
      <w:marBottom w:val="0"/>
      <w:divBdr>
        <w:top w:val="none" w:sz="0" w:space="0" w:color="auto"/>
        <w:left w:val="none" w:sz="0" w:space="0" w:color="auto"/>
        <w:bottom w:val="none" w:sz="0" w:space="0" w:color="auto"/>
        <w:right w:val="none" w:sz="0" w:space="0" w:color="auto"/>
      </w:divBdr>
    </w:div>
    <w:div w:id="710614624">
      <w:marLeft w:val="0"/>
      <w:marRight w:val="0"/>
      <w:marTop w:val="160"/>
      <w:marBottom w:val="0"/>
      <w:divBdr>
        <w:top w:val="none" w:sz="0" w:space="0" w:color="auto"/>
        <w:left w:val="none" w:sz="0" w:space="0" w:color="auto"/>
        <w:bottom w:val="none" w:sz="0" w:space="0" w:color="auto"/>
        <w:right w:val="none" w:sz="0" w:space="0" w:color="auto"/>
      </w:divBdr>
    </w:div>
    <w:div w:id="711618638">
      <w:marLeft w:val="0"/>
      <w:marRight w:val="0"/>
      <w:marTop w:val="100"/>
      <w:marBottom w:val="160"/>
      <w:divBdr>
        <w:top w:val="none" w:sz="0" w:space="0" w:color="auto"/>
        <w:left w:val="none" w:sz="0" w:space="0" w:color="auto"/>
        <w:bottom w:val="none" w:sz="0" w:space="0" w:color="auto"/>
        <w:right w:val="none" w:sz="0" w:space="0" w:color="auto"/>
      </w:divBdr>
    </w:div>
    <w:div w:id="715199549">
      <w:marLeft w:val="0"/>
      <w:marRight w:val="0"/>
      <w:marTop w:val="160"/>
      <w:marBottom w:val="160"/>
      <w:divBdr>
        <w:top w:val="none" w:sz="0" w:space="0" w:color="auto"/>
        <w:left w:val="none" w:sz="0" w:space="0" w:color="auto"/>
        <w:bottom w:val="none" w:sz="0" w:space="0" w:color="auto"/>
        <w:right w:val="none" w:sz="0" w:space="0" w:color="auto"/>
      </w:divBdr>
    </w:div>
    <w:div w:id="718866775">
      <w:marLeft w:val="0"/>
      <w:marRight w:val="0"/>
      <w:marTop w:val="160"/>
      <w:marBottom w:val="160"/>
      <w:divBdr>
        <w:top w:val="none" w:sz="0" w:space="0" w:color="auto"/>
        <w:left w:val="none" w:sz="0" w:space="0" w:color="auto"/>
        <w:bottom w:val="none" w:sz="0" w:space="0" w:color="auto"/>
        <w:right w:val="none" w:sz="0" w:space="0" w:color="auto"/>
      </w:divBdr>
    </w:div>
    <w:div w:id="720790672">
      <w:marLeft w:val="0"/>
      <w:marRight w:val="0"/>
      <w:marTop w:val="0"/>
      <w:marBottom w:val="0"/>
      <w:divBdr>
        <w:top w:val="none" w:sz="0" w:space="0" w:color="auto"/>
        <w:left w:val="none" w:sz="0" w:space="0" w:color="auto"/>
        <w:bottom w:val="none" w:sz="0" w:space="0" w:color="auto"/>
        <w:right w:val="none" w:sz="0" w:space="0" w:color="auto"/>
      </w:divBdr>
      <w:divsChild>
        <w:div w:id="1722631050">
          <w:marLeft w:val="0"/>
          <w:marRight w:val="0"/>
          <w:marTop w:val="0"/>
          <w:marBottom w:val="0"/>
          <w:divBdr>
            <w:top w:val="none" w:sz="0" w:space="0" w:color="auto"/>
            <w:left w:val="none" w:sz="0" w:space="0" w:color="auto"/>
            <w:bottom w:val="none" w:sz="0" w:space="0" w:color="auto"/>
            <w:right w:val="none" w:sz="0" w:space="0" w:color="auto"/>
          </w:divBdr>
        </w:div>
      </w:divsChild>
    </w:div>
    <w:div w:id="721557761">
      <w:marLeft w:val="0"/>
      <w:marRight w:val="0"/>
      <w:marTop w:val="0"/>
      <w:marBottom w:val="0"/>
      <w:divBdr>
        <w:top w:val="none" w:sz="0" w:space="0" w:color="auto"/>
        <w:left w:val="none" w:sz="0" w:space="0" w:color="auto"/>
        <w:bottom w:val="none" w:sz="0" w:space="0" w:color="auto"/>
        <w:right w:val="none" w:sz="0" w:space="0" w:color="auto"/>
      </w:divBdr>
      <w:divsChild>
        <w:div w:id="896167594">
          <w:marLeft w:val="0"/>
          <w:marRight w:val="0"/>
          <w:marTop w:val="160"/>
          <w:marBottom w:val="0"/>
          <w:divBdr>
            <w:top w:val="none" w:sz="0" w:space="0" w:color="auto"/>
            <w:left w:val="none" w:sz="0" w:space="0" w:color="auto"/>
            <w:bottom w:val="none" w:sz="0" w:space="0" w:color="auto"/>
            <w:right w:val="none" w:sz="0" w:space="0" w:color="auto"/>
          </w:divBdr>
        </w:div>
        <w:div w:id="253393338">
          <w:marLeft w:val="0"/>
          <w:marRight w:val="0"/>
          <w:marTop w:val="160"/>
          <w:marBottom w:val="0"/>
          <w:divBdr>
            <w:top w:val="none" w:sz="0" w:space="0" w:color="auto"/>
            <w:left w:val="none" w:sz="0" w:space="0" w:color="auto"/>
            <w:bottom w:val="none" w:sz="0" w:space="0" w:color="auto"/>
            <w:right w:val="none" w:sz="0" w:space="0" w:color="auto"/>
          </w:divBdr>
        </w:div>
        <w:div w:id="1849446539">
          <w:marLeft w:val="0"/>
          <w:marRight w:val="0"/>
          <w:marTop w:val="160"/>
          <w:marBottom w:val="160"/>
          <w:divBdr>
            <w:top w:val="none" w:sz="0" w:space="0" w:color="auto"/>
            <w:left w:val="none" w:sz="0" w:space="0" w:color="auto"/>
            <w:bottom w:val="none" w:sz="0" w:space="0" w:color="auto"/>
            <w:right w:val="none" w:sz="0" w:space="0" w:color="auto"/>
          </w:divBdr>
        </w:div>
        <w:div w:id="2146966067">
          <w:marLeft w:val="0"/>
          <w:marRight w:val="0"/>
          <w:marTop w:val="160"/>
          <w:marBottom w:val="160"/>
          <w:divBdr>
            <w:top w:val="none" w:sz="0" w:space="0" w:color="auto"/>
            <w:left w:val="none" w:sz="0" w:space="0" w:color="auto"/>
            <w:bottom w:val="none" w:sz="0" w:space="0" w:color="auto"/>
            <w:right w:val="none" w:sz="0" w:space="0" w:color="auto"/>
          </w:divBdr>
        </w:div>
        <w:div w:id="801768282">
          <w:marLeft w:val="0"/>
          <w:marRight w:val="0"/>
          <w:marTop w:val="160"/>
          <w:marBottom w:val="160"/>
          <w:divBdr>
            <w:top w:val="none" w:sz="0" w:space="0" w:color="auto"/>
            <w:left w:val="none" w:sz="0" w:space="0" w:color="auto"/>
            <w:bottom w:val="none" w:sz="0" w:space="0" w:color="auto"/>
            <w:right w:val="none" w:sz="0" w:space="0" w:color="auto"/>
          </w:divBdr>
        </w:div>
      </w:divsChild>
    </w:div>
    <w:div w:id="722170318">
      <w:marLeft w:val="0"/>
      <w:marRight w:val="0"/>
      <w:marTop w:val="160"/>
      <w:marBottom w:val="160"/>
      <w:divBdr>
        <w:top w:val="none" w:sz="0" w:space="0" w:color="auto"/>
        <w:left w:val="none" w:sz="0" w:space="0" w:color="auto"/>
        <w:bottom w:val="none" w:sz="0" w:space="0" w:color="auto"/>
        <w:right w:val="none" w:sz="0" w:space="0" w:color="auto"/>
      </w:divBdr>
    </w:div>
    <w:div w:id="723528035">
      <w:marLeft w:val="0"/>
      <w:marRight w:val="0"/>
      <w:marTop w:val="160"/>
      <w:marBottom w:val="160"/>
      <w:divBdr>
        <w:top w:val="none" w:sz="0" w:space="0" w:color="auto"/>
        <w:left w:val="none" w:sz="0" w:space="0" w:color="auto"/>
        <w:bottom w:val="none" w:sz="0" w:space="0" w:color="auto"/>
        <w:right w:val="none" w:sz="0" w:space="0" w:color="auto"/>
      </w:divBdr>
    </w:div>
    <w:div w:id="728000642">
      <w:marLeft w:val="0"/>
      <w:marRight w:val="0"/>
      <w:marTop w:val="160"/>
      <w:marBottom w:val="160"/>
      <w:divBdr>
        <w:top w:val="none" w:sz="0" w:space="0" w:color="auto"/>
        <w:left w:val="none" w:sz="0" w:space="0" w:color="auto"/>
        <w:bottom w:val="none" w:sz="0" w:space="0" w:color="auto"/>
        <w:right w:val="none" w:sz="0" w:space="0" w:color="auto"/>
      </w:divBdr>
    </w:div>
    <w:div w:id="730228139">
      <w:marLeft w:val="0"/>
      <w:marRight w:val="0"/>
      <w:marTop w:val="160"/>
      <w:marBottom w:val="160"/>
      <w:divBdr>
        <w:top w:val="none" w:sz="0" w:space="0" w:color="auto"/>
        <w:left w:val="none" w:sz="0" w:space="0" w:color="auto"/>
        <w:bottom w:val="none" w:sz="0" w:space="0" w:color="auto"/>
        <w:right w:val="none" w:sz="0" w:space="0" w:color="auto"/>
      </w:divBdr>
    </w:div>
    <w:div w:id="731663144">
      <w:marLeft w:val="0"/>
      <w:marRight w:val="0"/>
      <w:marTop w:val="0"/>
      <w:marBottom w:val="0"/>
      <w:divBdr>
        <w:top w:val="none" w:sz="0" w:space="0" w:color="auto"/>
        <w:left w:val="none" w:sz="0" w:space="0" w:color="auto"/>
        <w:bottom w:val="none" w:sz="0" w:space="0" w:color="auto"/>
        <w:right w:val="none" w:sz="0" w:space="0" w:color="auto"/>
      </w:divBdr>
      <w:divsChild>
        <w:div w:id="1664506410">
          <w:marLeft w:val="0"/>
          <w:marRight w:val="0"/>
          <w:marTop w:val="0"/>
          <w:marBottom w:val="0"/>
          <w:divBdr>
            <w:top w:val="none" w:sz="0" w:space="0" w:color="auto"/>
            <w:left w:val="none" w:sz="0" w:space="0" w:color="auto"/>
            <w:bottom w:val="none" w:sz="0" w:space="0" w:color="auto"/>
            <w:right w:val="none" w:sz="0" w:space="0" w:color="auto"/>
          </w:divBdr>
        </w:div>
      </w:divsChild>
    </w:div>
    <w:div w:id="731806099">
      <w:marLeft w:val="0"/>
      <w:marRight w:val="0"/>
      <w:marTop w:val="0"/>
      <w:marBottom w:val="0"/>
      <w:divBdr>
        <w:top w:val="none" w:sz="0" w:space="0" w:color="auto"/>
        <w:left w:val="none" w:sz="0" w:space="0" w:color="auto"/>
        <w:bottom w:val="none" w:sz="0" w:space="0" w:color="auto"/>
        <w:right w:val="none" w:sz="0" w:space="0" w:color="auto"/>
      </w:divBdr>
      <w:divsChild>
        <w:div w:id="125705162">
          <w:marLeft w:val="0"/>
          <w:marRight w:val="0"/>
          <w:marTop w:val="0"/>
          <w:marBottom w:val="0"/>
          <w:divBdr>
            <w:top w:val="none" w:sz="0" w:space="0" w:color="auto"/>
            <w:left w:val="none" w:sz="0" w:space="0" w:color="auto"/>
            <w:bottom w:val="none" w:sz="0" w:space="0" w:color="auto"/>
            <w:right w:val="none" w:sz="0" w:space="0" w:color="auto"/>
          </w:divBdr>
        </w:div>
      </w:divsChild>
    </w:div>
    <w:div w:id="734357385">
      <w:marLeft w:val="0"/>
      <w:marRight w:val="0"/>
      <w:marTop w:val="0"/>
      <w:marBottom w:val="0"/>
      <w:divBdr>
        <w:top w:val="none" w:sz="0" w:space="0" w:color="auto"/>
        <w:left w:val="none" w:sz="0" w:space="0" w:color="auto"/>
        <w:bottom w:val="none" w:sz="0" w:space="0" w:color="auto"/>
        <w:right w:val="none" w:sz="0" w:space="0" w:color="auto"/>
      </w:divBdr>
      <w:divsChild>
        <w:div w:id="1631086977">
          <w:marLeft w:val="0"/>
          <w:marRight w:val="0"/>
          <w:marTop w:val="0"/>
          <w:marBottom w:val="0"/>
          <w:divBdr>
            <w:top w:val="none" w:sz="0" w:space="0" w:color="auto"/>
            <w:left w:val="none" w:sz="0" w:space="0" w:color="auto"/>
            <w:bottom w:val="none" w:sz="0" w:space="0" w:color="auto"/>
            <w:right w:val="none" w:sz="0" w:space="0" w:color="auto"/>
          </w:divBdr>
        </w:div>
      </w:divsChild>
    </w:div>
    <w:div w:id="739014442">
      <w:marLeft w:val="0"/>
      <w:marRight w:val="0"/>
      <w:marTop w:val="160"/>
      <w:marBottom w:val="160"/>
      <w:divBdr>
        <w:top w:val="none" w:sz="0" w:space="0" w:color="auto"/>
        <w:left w:val="none" w:sz="0" w:space="0" w:color="auto"/>
        <w:bottom w:val="none" w:sz="0" w:space="0" w:color="auto"/>
        <w:right w:val="none" w:sz="0" w:space="0" w:color="auto"/>
      </w:divBdr>
    </w:div>
    <w:div w:id="750347727">
      <w:marLeft w:val="0"/>
      <w:marRight w:val="0"/>
      <w:marTop w:val="160"/>
      <w:marBottom w:val="160"/>
      <w:divBdr>
        <w:top w:val="none" w:sz="0" w:space="0" w:color="auto"/>
        <w:left w:val="none" w:sz="0" w:space="0" w:color="auto"/>
        <w:bottom w:val="none" w:sz="0" w:space="0" w:color="auto"/>
        <w:right w:val="none" w:sz="0" w:space="0" w:color="auto"/>
      </w:divBdr>
    </w:div>
    <w:div w:id="756366188">
      <w:marLeft w:val="0"/>
      <w:marRight w:val="0"/>
      <w:marTop w:val="160"/>
      <w:marBottom w:val="160"/>
      <w:divBdr>
        <w:top w:val="none" w:sz="0" w:space="0" w:color="auto"/>
        <w:left w:val="none" w:sz="0" w:space="0" w:color="auto"/>
        <w:bottom w:val="none" w:sz="0" w:space="0" w:color="auto"/>
        <w:right w:val="none" w:sz="0" w:space="0" w:color="auto"/>
      </w:divBdr>
    </w:div>
    <w:div w:id="756561797">
      <w:marLeft w:val="0"/>
      <w:marRight w:val="0"/>
      <w:marTop w:val="160"/>
      <w:marBottom w:val="160"/>
      <w:divBdr>
        <w:top w:val="none" w:sz="0" w:space="0" w:color="auto"/>
        <w:left w:val="none" w:sz="0" w:space="0" w:color="auto"/>
        <w:bottom w:val="none" w:sz="0" w:space="0" w:color="auto"/>
        <w:right w:val="none" w:sz="0" w:space="0" w:color="auto"/>
      </w:divBdr>
    </w:div>
    <w:div w:id="761684613">
      <w:marLeft w:val="0"/>
      <w:marRight w:val="0"/>
      <w:marTop w:val="0"/>
      <w:marBottom w:val="0"/>
      <w:divBdr>
        <w:top w:val="none" w:sz="0" w:space="0" w:color="auto"/>
        <w:left w:val="none" w:sz="0" w:space="0" w:color="auto"/>
        <w:bottom w:val="none" w:sz="0" w:space="0" w:color="auto"/>
        <w:right w:val="none" w:sz="0" w:space="0" w:color="auto"/>
      </w:divBdr>
      <w:divsChild>
        <w:div w:id="184950351">
          <w:marLeft w:val="0"/>
          <w:marRight w:val="0"/>
          <w:marTop w:val="160"/>
          <w:marBottom w:val="0"/>
          <w:divBdr>
            <w:top w:val="none" w:sz="0" w:space="0" w:color="auto"/>
            <w:left w:val="none" w:sz="0" w:space="0" w:color="auto"/>
            <w:bottom w:val="none" w:sz="0" w:space="0" w:color="auto"/>
            <w:right w:val="none" w:sz="0" w:space="0" w:color="auto"/>
          </w:divBdr>
        </w:div>
        <w:div w:id="1102341098">
          <w:marLeft w:val="0"/>
          <w:marRight w:val="0"/>
          <w:marTop w:val="160"/>
          <w:marBottom w:val="160"/>
          <w:divBdr>
            <w:top w:val="none" w:sz="0" w:space="0" w:color="auto"/>
            <w:left w:val="none" w:sz="0" w:space="0" w:color="auto"/>
            <w:bottom w:val="none" w:sz="0" w:space="0" w:color="auto"/>
            <w:right w:val="none" w:sz="0" w:space="0" w:color="auto"/>
          </w:divBdr>
        </w:div>
        <w:div w:id="497814747">
          <w:marLeft w:val="0"/>
          <w:marRight w:val="0"/>
          <w:marTop w:val="160"/>
          <w:marBottom w:val="160"/>
          <w:divBdr>
            <w:top w:val="none" w:sz="0" w:space="0" w:color="auto"/>
            <w:left w:val="none" w:sz="0" w:space="0" w:color="auto"/>
            <w:bottom w:val="none" w:sz="0" w:space="0" w:color="auto"/>
            <w:right w:val="none" w:sz="0" w:space="0" w:color="auto"/>
          </w:divBdr>
        </w:div>
        <w:div w:id="1196432073">
          <w:marLeft w:val="0"/>
          <w:marRight w:val="0"/>
          <w:marTop w:val="160"/>
          <w:marBottom w:val="160"/>
          <w:divBdr>
            <w:top w:val="none" w:sz="0" w:space="0" w:color="auto"/>
            <w:left w:val="none" w:sz="0" w:space="0" w:color="auto"/>
            <w:bottom w:val="none" w:sz="0" w:space="0" w:color="auto"/>
            <w:right w:val="none" w:sz="0" w:space="0" w:color="auto"/>
          </w:divBdr>
        </w:div>
        <w:div w:id="506791060">
          <w:marLeft w:val="0"/>
          <w:marRight w:val="0"/>
          <w:marTop w:val="0"/>
          <w:marBottom w:val="0"/>
          <w:divBdr>
            <w:top w:val="none" w:sz="0" w:space="0" w:color="auto"/>
            <w:left w:val="none" w:sz="0" w:space="0" w:color="auto"/>
            <w:bottom w:val="none" w:sz="0" w:space="0" w:color="auto"/>
            <w:right w:val="none" w:sz="0" w:space="0" w:color="auto"/>
          </w:divBdr>
        </w:div>
      </w:divsChild>
    </w:div>
    <w:div w:id="761728885">
      <w:marLeft w:val="0"/>
      <w:marRight w:val="0"/>
      <w:marTop w:val="160"/>
      <w:marBottom w:val="160"/>
      <w:divBdr>
        <w:top w:val="none" w:sz="0" w:space="0" w:color="auto"/>
        <w:left w:val="none" w:sz="0" w:space="0" w:color="auto"/>
        <w:bottom w:val="none" w:sz="0" w:space="0" w:color="auto"/>
        <w:right w:val="none" w:sz="0" w:space="0" w:color="auto"/>
      </w:divBdr>
    </w:div>
    <w:div w:id="762266060">
      <w:marLeft w:val="0"/>
      <w:marRight w:val="0"/>
      <w:marTop w:val="0"/>
      <w:marBottom w:val="0"/>
      <w:divBdr>
        <w:top w:val="none" w:sz="0" w:space="0" w:color="auto"/>
        <w:left w:val="none" w:sz="0" w:space="0" w:color="auto"/>
        <w:bottom w:val="none" w:sz="0" w:space="0" w:color="auto"/>
        <w:right w:val="none" w:sz="0" w:space="0" w:color="auto"/>
      </w:divBdr>
      <w:divsChild>
        <w:div w:id="432673054">
          <w:marLeft w:val="0"/>
          <w:marRight w:val="0"/>
          <w:marTop w:val="0"/>
          <w:marBottom w:val="0"/>
          <w:divBdr>
            <w:top w:val="none" w:sz="0" w:space="0" w:color="auto"/>
            <w:left w:val="none" w:sz="0" w:space="0" w:color="auto"/>
            <w:bottom w:val="none" w:sz="0" w:space="0" w:color="auto"/>
            <w:right w:val="none" w:sz="0" w:space="0" w:color="auto"/>
          </w:divBdr>
        </w:div>
      </w:divsChild>
    </w:div>
    <w:div w:id="768893180">
      <w:marLeft w:val="0"/>
      <w:marRight w:val="0"/>
      <w:marTop w:val="160"/>
      <w:marBottom w:val="160"/>
      <w:divBdr>
        <w:top w:val="none" w:sz="0" w:space="0" w:color="auto"/>
        <w:left w:val="none" w:sz="0" w:space="0" w:color="auto"/>
        <w:bottom w:val="none" w:sz="0" w:space="0" w:color="auto"/>
        <w:right w:val="none" w:sz="0" w:space="0" w:color="auto"/>
      </w:divBdr>
    </w:div>
    <w:div w:id="778379814">
      <w:marLeft w:val="0"/>
      <w:marRight w:val="0"/>
      <w:marTop w:val="180"/>
      <w:marBottom w:val="0"/>
      <w:divBdr>
        <w:top w:val="none" w:sz="0" w:space="0" w:color="auto"/>
        <w:left w:val="none" w:sz="0" w:space="0" w:color="auto"/>
        <w:bottom w:val="none" w:sz="0" w:space="0" w:color="auto"/>
        <w:right w:val="none" w:sz="0" w:space="0" w:color="auto"/>
      </w:divBdr>
    </w:div>
    <w:div w:id="787507878">
      <w:marLeft w:val="0"/>
      <w:marRight w:val="0"/>
      <w:marTop w:val="160"/>
      <w:marBottom w:val="160"/>
      <w:divBdr>
        <w:top w:val="none" w:sz="0" w:space="0" w:color="auto"/>
        <w:left w:val="none" w:sz="0" w:space="0" w:color="auto"/>
        <w:bottom w:val="none" w:sz="0" w:space="0" w:color="auto"/>
        <w:right w:val="none" w:sz="0" w:space="0" w:color="auto"/>
      </w:divBdr>
    </w:div>
    <w:div w:id="791703445">
      <w:marLeft w:val="0"/>
      <w:marRight w:val="0"/>
      <w:marTop w:val="160"/>
      <w:marBottom w:val="160"/>
      <w:divBdr>
        <w:top w:val="none" w:sz="0" w:space="0" w:color="auto"/>
        <w:left w:val="none" w:sz="0" w:space="0" w:color="auto"/>
        <w:bottom w:val="none" w:sz="0" w:space="0" w:color="auto"/>
        <w:right w:val="none" w:sz="0" w:space="0" w:color="auto"/>
      </w:divBdr>
    </w:div>
    <w:div w:id="791939472">
      <w:marLeft w:val="0"/>
      <w:marRight w:val="0"/>
      <w:marTop w:val="0"/>
      <w:marBottom w:val="0"/>
      <w:divBdr>
        <w:top w:val="none" w:sz="0" w:space="0" w:color="auto"/>
        <w:left w:val="none" w:sz="0" w:space="0" w:color="auto"/>
        <w:bottom w:val="none" w:sz="0" w:space="0" w:color="auto"/>
        <w:right w:val="none" w:sz="0" w:space="0" w:color="auto"/>
      </w:divBdr>
      <w:divsChild>
        <w:div w:id="1078865579">
          <w:marLeft w:val="0"/>
          <w:marRight w:val="0"/>
          <w:marTop w:val="160"/>
          <w:marBottom w:val="160"/>
          <w:divBdr>
            <w:top w:val="none" w:sz="0" w:space="0" w:color="auto"/>
            <w:left w:val="none" w:sz="0" w:space="0" w:color="auto"/>
            <w:bottom w:val="none" w:sz="0" w:space="0" w:color="auto"/>
            <w:right w:val="none" w:sz="0" w:space="0" w:color="auto"/>
          </w:divBdr>
        </w:div>
        <w:div w:id="1687487631">
          <w:marLeft w:val="0"/>
          <w:marRight w:val="0"/>
          <w:marTop w:val="160"/>
          <w:marBottom w:val="160"/>
          <w:divBdr>
            <w:top w:val="none" w:sz="0" w:space="0" w:color="auto"/>
            <w:left w:val="none" w:sz="0" w:space="0" w:color="auto"/>
            <w:bottom w:val="none" w:sz="0" w:space="0" w:color="auto"/>
            <w:right w:val="none" w:sz="0" w:space="0" w:color="auto"/>
          </w:divBdr>
        </w:div>
        <w:div w:id="2051607955">
          <w:marLeft w:val="0"/>
          <w:marRight w:val="0"/>
          <w:marTop w:val="160"/>
          <w:marBottom w:val="160"/>
          <w:divBdr>
            <w:top w:val="none" w:sz="0" w:space="0" w:color="auto"/>
            <w:left w:val="none" w:sz="0" w:space="0" w:color="auto"/>
            <w:bottom w:val="none" w:sz="0" w:space="0" w:color="auto"/>
            <w:right w:val="none" w:sz="0" w:space="0" w:color="auto"/>
          </w:divBdr>
        </w:div>
        <w:div w:id="984041999">
          <w:marLeft w:val="0"/>
          <w:marRight w:val="0"/>
          <w:marTop w:val="160"/>
          <w:marBottom w:val="160"/>
          <w:divBdr>
            <w:top w:val="none" w:sz="0" w:space="0" w:color="auto"/>
            <w:left w:val="none" w:sz="0" w:space="0" w:color="auto"/>
            <w:bottom w:val="none" w:sz="0" w:space="0" w:color="auto"/>
            <w:right w:val="none" w:sz="0" w:space="0" w:color="auto"/>
          </w:divBdr>
        </w:div>
        <w:div w:id="1362780892">
          <w:marLeft w:val="0"/>
          <w:marRight w:val="0"/>
          <w:marTop w:val="160"/>
          <w:marBottom w:val="160"/>
          <w:divBdr>
            <w:top w:val="none" w:sz="0" w:space="0" w:color="auto"/>
            <w:left w:val="none" w:sz="0" w:space="0" w:color="auto"/>
            <w:bottom w:val="none" w:sz="0" w:space="0" w:color="auto"/>
            <w:right w:val="none" w:sz="0" w:space="0" w:color="auto"/>
          </w:divBdr>
        </w:div>
        <w:div w:id="821316995">
          <w:marLeft w:val="0"/>
          <w:marRight w:val="0"/>
          <w:marTop w:val="160"/>
          <w:marBottom w:val="160"/>
          <w:divBdr>
            <w:top w:val="none" w:sz="0" w:space="0" w:color="auto"/>
            <w:left w:val="none" w:sz="0" w:space="0" w:color="auto"/>
            <w:bottom w:val="none" w:sz="0" w:space="0" w:color="auto"/>
            <w:right w:val="none" w:sz="0" w:space="0" w:color="auto"/>
          </w:divBdr>
        </w:div>
      </w:divsChild>
    </w:div>
    <w:div w:id="792135885">
      <w:marLeft w:val="0"/>
      <w:marRight w:val="0"/>
      <w:marTop w:val="160"/>
      <w:marBottom w:val="160"/>
      <w:divBdr>
        <w:top w:val="none" w:sz="0" w:space="0" w:color="auto"/>
        <w:left w:val="none" w:sz="0" w:space="0" w:color="auto"/>
        <w:bottom w:val="none" w:sz="0" w:space="0" w:color="auto"/>
        <w:right w:val="none" w:sz="0" w:space="0" w:color="auto"/>
      </w:divBdr>
    </w:div>
    <w:div w:id="793716206">
      <w:marLeft w:val="0"/>
      <w:marRight w:val="0"/>
      <w:marTop w:val="0"/>
      <w:marBottom w:val="0"/>
      <w:divBdr>
        <w:top w:val="none" w:sz="0" w:space="0" w:color="auto"/>
        <w:left w:val="none" w:sz="0" w:space="0" w:color="auto"/>
        <w:bottom w:val="none" w:sz="0" w:space="0" w:color="auto"/>
        <w:right w:val="none" w:sz="0" w:space="0" w:color="auto"/>
      </w:divBdr>
      <w:divsChild>
        <w:div w:id="2000889437">
          <w:marLeft w:val="0"/>
          <w:marRight w:val="0"/>
          <w:marTop w:val="160"/>
          <w:marBottom w:val="0"/>
          <w:divBdr>
            <w:top w:val="none" w:sz="0" w:space="0" w:color="auto"/>
            <w:left w:val="none" w:sz="0" w:space="0" w:color="auto"/>
            <w:bottom w:val="none" w:sz="0" w:space="0" w:color="auto"/>
            <w:right w:val="none" w:sz="0" w:space="0" w:color="auto"/>
          </w:divBdr>
        </w:div>
        <w:div w:id="1675840193">
          <w:marLeft w:val="0"/>
          <w:marRight w:val="0"/>
          <w:marTop w:val="160"/>
          <w:marBottom w:val="0"/>
          <w:divBdr>
            <w:top w:val="none" w:sz="0" w:space="0" w:color="auto"/>
            <w:left w:val="none" w:sz="0" w:space="0" w:color="auto"/>
            <w:bottom w:val="none" w:sz="0" w:space="0" w:color="auto"/>
            <w:right w:val="none" w:sz="0" w:space="0" w:color="auto"/>
          </w:divBdr>
        </w:div>
        <w:div w:id="1714036721">
          <w:marLeft w:val="0"/>
          <w:marRight w:val="0"/>
          <w:marTop w:val="160"/>
          <w:marBottom w:val="160"/>
          <w:divBdr>
            <w:top w:val="none" w:sz="0" w:space="0" w:color="auto"/>
            <w:left w:val="none" w:sz="0" w:space="0" w:color="auto"/>
            <w:bottom w:val="none" w:sz="0" w:space="0" w:color="auto"/>
            <w:right w:val="none" w:sz="0" w:space="0" w:color="auto"/>
          </w:divBdr>
        </w:div>
        <w:div w:id="1728871038">
          <w:marLeft w:val="0"/>
          <w:marRight w:val="0"/>
          <w:marTop w:val="160"/>
          <w:marBottom w:val="160"/>
          <w:divBdr>
            <w:top w:val="none" w:sz="0" w:space="0" w:color="auto"/>
            <w:left w:val="none" w:sz="0" w:space="0" w:color="auto"/>
            <w:bottom w:val="none" w:sz="0" w:space="0" w:color="auto"/>
            <w:right w:val="none" w:sz="0" w:space="0" w:color="auto"/>
          </w:divBdr>
        </w:div>
        <w:div w:id="1320421718">
          <w:marLeft w:val="0"/>
          <w:marRight w:val="0"/>
          <w:marTop w:val="160"/>
          <w:marBottom w:val="160"/>
          <w:divBdr>
            <w:top w:val="none" w:sz="0" w:space="0" w:color="auto"/>
            <w:left w:val="none" w:sz="0" w:space="0" w:color="auto"/>
            <w:bottom w:val="none" w:sz="0" w:space="0" w:color="auto"/>
            <w:right w:val="none" w:sz="0" w:space="0" w:color="auto"/>
          </w:divBdr>
        </w:div>
      </w:divsChild>
    </w:div>
    <w:div w:id="797338176">
      <w:marLeft w:val="0"/>
      <w:marRight w:val="0"/>
      <w:marTop w:val="160"/>
      <w:marBottom w:val="160"/>
      <w:divBdr>
        <w:top w:val="none" w:sz="0" w:space="0" w:color="auto"/>
        <w:left w:val="none" w:sz="0" w:space="0" w:color="auto"/>
        <w:bottom w:val="none" w:sz="0" w:space="0" w:color="auto"/>
        <w:right w:val="none" w:sz="0" w:space="0" w:color="auto"/>
      </w:divBdr>
    </w:div>
    <w:div w:id="797407850">
      <w:marLeft w:val="0"/>
      <w:marRight w:val="0"/>
      <w:marTop w:val="0"/>
      <w:marBottom w:val="0"/>
      <w:divBdr>
        <w:top w:val="none" w:sz="0" w:space="0" w:color="auto"/>
        <w:left w:val="none" w:sz="0" w:space="0" w:color="auto"/>
        <w:bottom w:val="none" w:sz="0" w:space="0" w:color="auto"/>
        <w:right w:val="none" w:sz="0" w:space="0" w:color="auto"/>
      </w:divBdr>
      <w:divsChild>
        <w:div w:id="774862344">
          <w:marLeft w:val="0"/>
          <w:marRight w:val="0"/>
          <w:marTop w:val="0"/>
          <w:marBottom w:val="0"/>
          <w:divBdr>
            <w:top w:val="none" w:sz="0" w:space="0" w:color="auto"/>
            <w:left w:val="none" w:sz="0" w:space="0" w:color="auto"/>
            <w:bottom w:val="none" w:sz="0" w:space="0" w:color="auto"/>
            <w:right w:val="none" w:sz="0" w:space="0" w:color="auto"/>
          </w:divBdr>
        </w:div>
        <w:div w:id="735397066">
          <w:marLeft w:val="0"/>
          <w:marRight w:val="0"/>
          <w:marTop w:val="0"/>
          <w:marBottom w:val="0"/>
          <w:divBdr>
            <w:top w:val="none" w:sz="0" w:space="0" w:color="auto"/>
            <w:left w:val="none" w:sz="0" w:space="0" w:color="auto"/>
            <w:bottom w:val="none" w:sz="0" w:space="0" w:color="auto"/>
            <w:right w:val="none" w:sz="0" w:space="0" w:color="auto"/>
          </w:divBdr>
        </w:div>
        <w:div w:id="381057737">
          <w:marLeft w:val="0"/>
          <w:marRight w:val="0"/>
          <w:marTop w:val="0"/>
          <w:marBottom w:val="0"/>
          <w:divBdr>
            <w:top w:val="none" w:sz="0" w:space="0" w:color="auto"/>
            <w:left w:val="none" w:sz="0" w:space="0" w:color="auto"/>
            <w:bottom w:val="none" w:sz="0" w:space="0" w:color="auto"/>
            <w:right w:val="none" w:sz="0" w:space="0" w:color="auto"/>
          </w:divBdr>
        </w:div>
      </w:divsChild>
    </w:div>
    <w:div w:id="798884215">
      <w:marLeft w:val="0"/>
      <w:marRight w:val="0"/>
      <w:marTop w:val="160"/>
      <w:marBottom w:val="160"/>
      <w:divBdr>
        <w:top w:val="none" w:sz="0" w:space="0" w:color="auto"/>
        <w:left w:val="none" w:sz="0" w:space="0" w:color="auto"/>
        <w:bottom w:val="none" w:sz="0" w:space="0" w:color="auto"/>
        <w:right w:val="none" w:sz="0" w:space="0" w:color="auto"/>
      </w:divBdr>
    </w:div>
    <w:div w:id="806431046">
      <w:marLeft w:val="0"/>
      <w:marRight w:val="0"/>
      <w:marTop w:val="160"/>
      <w:marBottom w:val="160"/>
      <w:divBdr>
        <w:top w:val="none" w:sz="0" w:space="0" w:color="auto"/>
        <w:left w:val="none" w:sz="0" w:space="0" w:color="auto"/>
        <w:bottom w:val="none" w:sz="0" w:space="0" w:color="auto"/>
        <w:right w:val="none" w:sz="0" w:space="0" w:color="auto"/>
      </w:divBdr>
    </w:div>
    <w:div w:id="812020346">
      <w:marLeft w:val="0"/>
      <w:marRight w:val="0"/>
      <w:marTop w:val="160"/>
      <w:marBottom w:val="160"/>
      <w:divBdr>
        <w:top w:val="none" w:sz="0" w:space="0" w:color="auto"/>
        <w:left w:val="none" w:sz="0" w:space="0" w:color="auto"/>
        <w:bottom w:val="none" w:sz="0" w:space="0" w:color="auto"/>
        <w:right w:val="none" w:sz="0" w:space="0" w:color="auto"/>
      </w:divBdr>
    </w:div>
    <w:div w:id="823014059">
      <w:marLeft w:val="0"/>
      <w:marRight w:val="0"/>
      <w:marTop w:val="0"/>
      <w:marBottom w:val="0"/>
      <w:divBdr>
        <w:top w:val="none" w:sz="0" w:space="0" w:color="auto"/>
        <w:left w:val="none" w:sz="0" w:space="0" w:color="auto"/>
        <w:bottom w:val="none" w:sz="0" w:space="0" w:color="auto"/>
        <w:right w:val="none" w:sz="0" w:space="0" w:color="auto"/>
      </w:divBdr>
      <w:divsChild>
        <w:div w:id="758604344">
          <w:marLeft w:val="0"/>
          <w:marRight w:val="0"/>
          <w:marTop w:val="160"/>
          <w:marBottom w:val="160"/>
          <w:divBdr>
            <w:top w:val="none" w:sz="0" w:space="0" w:color="auto"/>
            <w:left w:val="none" w:sz="0" w:space="0" w:color="auto"/>
            <w:bottom w:val="none" w:sz="0" w:space="0" w:color="auto"/>
            <w:right w:val="none" w:sz="0" w:space="0" w:color="auto"/>
          </w:divBdr>
        </w:div>
        <w:div w:id="732627448">
          <w:marLeft w:val="0"/>
          <w:marRight w:val="0"/>
          <w:marTop w:val="160"/>
          <w:marBottom w:val="160"/>
          <w:divBdr>
            <w:top w:val="none" w:sz="0" w:space="0" w:color="auto"/>
            <w:left w:val="none" w:sz="0" w:space="0" w:color="auto"/>
            <w:bottom w:val="none" w:sz="0" w:space="0" w:color="auto"/>
            <w:right w:val="none" w:sz="0" w:space="0" w:color="auto"/>
          </w:divBdr>
        </w:div>
        <w:div w:id="486819886">
          <w:marLeft w:val="0"/>
          <w:marRight w:val="0"/>
          <w:marTop w:val="160"/>
          <w:marBottom w:val="160"/>
          <w:divBdr>
            <w:top w:val="none" w:sz="0" w:space="0" w:color="auto"/>
            <w:left w:val="none" w:sz="0" w:space="0" w:color="auto"/>
            <w:bottom w:val="none" w:sz="0" w:space="0" w:color="auto"/>
            <w:right w:val="none" w:sz="0" w:space="0" w:color="auto"/>
          </w:divBdr>
        </w:div>
        <w:div w:id="901596147">
          <w:marLeft w:val="0"/>
          <w:marRight w:val="0"/>
          <w:marTop w:val="160"/>
          <w:marBottom w:val="160"/>
          <w:divBdr>
            <w:top w:val="none" w:sz="0" w:space="0" w:color="auto"/>
            <w:left w:val="none" w:sz="0" w:space="0" w:color="auto"/>
            <w:bottom w:val="none" w:sz="0" w:space="0" w:color="auto"/>
            <w:right w:val="none" w:sz="0" w:space="0" w:color="auto"/>
          </w:divBdr>
        </w:div>
        <w:div w:id="1819954041">
          <w:marLeft w:val="0"/>
          <w:marRight w:val="0"/>
          <w:marTop w:val="160"/>
          <w:marBottom w:val="160"/>
          <w:divBdr>
            <w:top w:val="none" w:sz="0" w:space="0" w:color="auto"/>
            <w:left w:val="none" w:sz="0" w:space="0" w:color="auto"/>
            <w:bottom w:val="none" w:sz="0" w:space="0" w:color="auto"/>
            <w:right w:val="none" w:sz="0" w:space="0" w:color="auto"/>
          </w:divBdr>
        </w:div>
        <w:div w:id="247735466">
          <w:marLeft w:val="0"/>
          <w:marRight w:val="0"/>
          <w:marTop w:val="160"/>
          <w:marBottom w:val="160"/>
          <w:divBdr>
            <w:top w:val="none" w:sz="0" w:space="0" w:color="auto"/>
            <w:left w:val="none" w:sz="0" w:space="0" w:color="auto"/>
            <w:bottom w:val="none" w:sz="0" w:space="0" w:color="auto"/>
            <w:right w:val="none" w:sz="0" w:space="0" w:color="auto"/>
          </w:divBdr>
        </w:div>
      </w:divsChild>
    </w:div>
    <w:div w:id="830483058">
      <w:marLeft w:val="0"/>
      <w:marRight w:val="0"/>
      <w:marTop w:val="160"/>
      <w:marBottom w:val="160"/>
      <w:divBdr>
        <w:top w:val="none" w:sz="0" w:space="0" w:color="auto"/>
        <w:left w:val="none" w:sz="0" w:space="0" w:color="auto"/>
        <w:bottom w:val="none" w:sz="0" w:space="0" w:color="auto"/>
        <w:right w:val="none" w:sz="0" w:space="0" w:color="auto"/>
      </w:divBdr>
    </w:div>
    <w:div w:id="831146266">
      <w:marLeft w:val="0"/>
      <w:marRight w:val="0"/>
      <w:marTop w:val="0"/>
      <w:marBottom w:val="0"/>
      <w:divBdr>
        <w:top w:val="none" w:sz="0" w:space="0" w:color="auto"/>
        <w:left w:val="none" w:sz="0" w:space="0" w:color="auto"/>
        <w:bottom w:val="none" w:sz="0" w:space="0" w:color="auto"/>
        <w:right w:val="none" w:sz="0" w:space="0" w:color="auto"/>
      </w:divBdr>
      <w:divsChild>
        <w:div w:id="1474324287">
          <w:marLeft w:val="0"/>
          <w:marRight w:val="0"/>
          <w:marTop w:val="160"/>
          <w:marBottom w:val="160"/>
          <w:divBdr>
            <w:top w:val="none" w:sz="0" w:space="0" w:color="auto"/>
            <w:left w:val="none" w:sz="0" w:space="0" w:color="auto"/>
            <w:bottom w:val="none" w:sz="0" w:space="0" w:color="auto"/>
            <w:right w:val="none" w:sz="0" w:space="0" w:color="auto"/>
          </w:divBdr>
        </w:div>
        <w:div w:id="1953397254">
          <w:marLeft w:val="0"/>
          <w:marRight w:val="0"/>
          <w:marTop w:val="160"/>
          <w:marBottom w:val="160"/>
          <w:divBdr>
            <w:top w:val="none" w:sz="0" w:space="0" w:color="auto"/>
            <w:left w:val="none" w:sz="0" w:space="0" w:color="auto"/>
            <w:bottom w:val="none" w:sz="0" w:space="0" w:color="auto"/>
            <w:right w:val="none" w:sz="0" w:space="0" w:color="auto"/>
          </w:divBdr>
        </w:div>
        <w:div w:id="1954171148">
          <w:marLeft w:val="0"/>
          <w:marRight w:val="0"/>
          <w:marTop w:val="160"/>
          <w:marBottom w:val="160"/>
          <w:divBdr>
            <w:top w:val="none" w:sz="0" w:space="0" w:color="auto"/>
            <w:left w:val="none" w:sz="0" w:space="0" w:color="auto"/>
            <w:bottom w:val="none" w:sz="0" w:space="0" w:color="auto"/>
            <w:right w:val="none" w:sz="0" w:space="0" w:color="auto"/>
          </w:divBdr>
        </w:div>
        <w:div w:id="1955357603">
          <w:marLeft w:val="0"/>
          <w:marRight w:val="0"/>
          <w:marTop w:val="160"/>
          <w:marBottom w:val="160"/>
          <w:divBdr>
            <w:top w:val="none" w:sz="0" w:space="0" w:color="auto"/>
            <w:left w:val="none" w:sz="0" w:space="0" w:color="auto"/>
            <w:bottom w:val="none" w:sz="0" w:space="0" w:color="auto"/>
            <w:right w:val="none" w:sz="0" w:space="0" w:color="auto"/>
          </w:divBdr>
        </w:div>
        <w:div w:id="2126925150">
          <w:marLeft w:val="0"/>
          <w:marRight w:val="0"/>
          <w:marTop w:val="160"/>
          <w:marBottom w:val="160"/>
          <w:divBdr>
            <w:top w:val="none" w:sz="0" w:space="0" w:color="auto"/>
            <w:left w:val="none" w:sz="0" w:space="0" w:color="auto"/>
            <w:bottom w:val="none" w:sz="0" w:space="0" w:color="auto"/>
            <w:right w:val="none" w:sz="0" w:space="0" w:color="auto"/>
          </w:divBdr>
        </w:div>
      </w:divsChild>
    </w:div>
    <w:div w:id="832529268">
      <w:marLeft w:val="0"/>
      <w:marRight w:val="0"/>
      <w:marTop w:val="160"/>
      <w:marBottom w:val="160"/>
      <w:divBdr>
        <w:top w:val="none" w:sz="0" w:space="0" w:color="auto"/>
        <w:left w:val="none" w:sz="0" w:space="0" w:color="auto"/>
        <w:bottom w:val="none" w:sz="0" w:space="0" w:color="auto"/>
        <w:right w:val="none" w:sz="0" w:space="0" w:color="auto"/>
      </w:divBdr>
    </w:div>
    <w:div w:id="833178364">
      <w:marLeft w:val="0"/>
      <w:marRight w:val="0"/>
      <w:marTop w:val="160"/>
      <w:marBottom w:val="160"/>
      <w:divBdr>
        <w:top w:val="none" w:sz="0" w:space="0" w:color="auto"/>
        <w:left w:val="none" w:sz="0" w:space="0" w:color="auto"/>
        <w:bottom w:val="none" w:sz="0" w:space="0" w:color="auto"/>
        <w:right w:val="none" w:sz="0" w:space="0" w:color="auto"/>
      </w:divBdr>
    </w:div>
    <w:div w:id="838302903">
      <w:marLeft w:val="0"/>
      <w:marRight w:val="0"/>
      <w:marTop w:val="160"/>
      <w:marBottom w:val="160"/>
      <w:divBdr>
        <w:top w:val="none" w:sz="0" w:space="0" w:color="auto"/>
        <w:left w:val="none" w:sz="0" w:space="0" w:color="auto"/>
        <w:bottom w:val="none" w:sz="0" w:space="0" w:color="auto"/>
        <w:right w:val="none" w:sz="0" w:space="0" w:color="auto"/>
      </w:divBdr>
    </w:div>
    <w:div w:id="838931294">
      <w:marLeft w:val="0"/>
      <w:marRight w:val="0"/>
      <w:marTop w:val="160"/>
      <w:marBottom w:val="160"/>
      <w:divBdr>
        <w:top w:val="none" w:sz="0" w:space="0" w:color="auto"/>
        <w:left w:val="none" w:sz="0" w:space="0" w:color="auto"/>
        <w:bottom w:val="none" w:sz="0" w:space="0" w:color="auto"/>
        <w:right w:val="none" w:sz="0" w:space="0" w:color="auto"/>
      </w:divBdr>
    </w:div>
    <w:div w:id="839661826">
      <w:marLeft w:val="0"/>
      <w:marRight w:val="0"/>
      <w:marTop w:val="160"/>
      <w:marBottom w:val="160"/>
      <w:divBdr>
        <w:top w:val="none" w:sz="0" w:space="0" w:color="auto"/>
        <w:left w:val="none" w:sz="0" w:space="0" w:color="auto"/>
        <w:bottom w:val="none" w:sz="0" w:space="0" w:color="auto"/>
        <w:right w:val="none" w:sz="0" w:space="0" w:color="auto"/>
      </w:divBdr>
    </w:div>
    <w:div w:id="842815616">
      <w:marLeft w:val="0"/>
      <w:marRight w:val="0"/>
      <w:marTop w:val="160"/>
      <w:marBottom w:val="160"/>
      <w:divBdr>
        <w:top w:val="none" w:sz="0" w:space="0" w:color="auto"/>
        <w:left w:val="none" w:sz="0" w:space="0" w:color="auto"/>
        <w:bottom w:val="none" w:sz="0" w:space="0" w:color="auto"/>
        <w:right w:val="none" w:sz="0" w:space="0" w:color="auto"/>
      </w:divBdr>
    </w:div>
    <w:div w:id="854728946">
      <w:marLeft w:val="0"/>
      <w:marRight w:val="0"/>
      <w:marTop w:val="160"/>
      <w:marBottom w:val="160"/>
      <w:divBdr>
        <w:top w:val="none" w:sz="0" w:space="0" w:color="auto"/>
        <w:left w:val="none" w:sz="0" w:space="0" w:color="auto"/>
        <w:bottom w:val="none" w:sz="0" w:space="0" w:color="auto"/>
        <w:right w:val="none" w:sz="0" w:space="0" w:color="auto"/>
      </w:divBdr>
    </w:div>
    <w:div w:id="855919523">
      <w:marLeft w:val="0"/>
      <w:marRight w:val="0"/>
      <w:marTop w:val="0"/>
      <w:marBottom w:val="0"/>
      <w:divBdr>
        <w:top w:val="none" w:sz="0" w:space="0" w:color="auto"/>
        <w:left w:val="none" w:sz="0" w:space="0" w:color="auto"/>
        <w:bottom w:val="none" w:sz="0" w:space="0" w:color="auto"/>
        <w:right w:val="none" w:sz="0" w:space="0" w:color="auto"/>
      </w:divBdr>
      <w:divsChild>
        <w:div w:id="1717200137">
          <w:marLeft w:val="0"/>
          <w:marRight w:val="0"/>
          <w:marTop w:val="0"/>
          <w:marBottom w:val="0"/>
          <w:divBdr>
            <w:top w:val="none" w:sz="0" w:space="0" w:color="auto"/>
            <w:left w:val="none" w:sz="0" w:space="0" w:color="auto"/>
            <w:bottom w:val="none" w:sz="0" w:space="0" w:color="auto"/>
            <w:right w:val="none" w:sz="0" w:space="0" w:color="auto"/>
          </w:divBdr>
        </w:div>
      </w:divsChild>
    </w:div>
    <w:div w:id="856232816">
      <w:marLeft w:val="0"/>
      <w:marRight w:val="0"/>
      <w:marTop w:val="160"/>
      <w:marBottom w:val="160"/>
      <w:divBdr>
        <w:top w:val="none" w:sz="0" w:space="0" w:color="auto"/>
        <w:left w:val="none" w:sz="0" w:space="0" w:color="auto"/>
        <w:bottom w:val="none" w:sz="0" w:space="0" w:color="auto"/>
        <w:right w:val="none" w:sz="0" w:space="0" w:color="auto"/>
      </w:divBdr>
    </w:div>
    <w:div w:id="858660939">
      <w:marLeft w:val="0"/>
      <w:marRight w:val="0"/>
      <w:marTop w:val="160"/>
      <w:marBottom w:val="160"/>
      <w:divBdr>
        <w:top w:val="none" w:sz="0" w:space="0" w:color="auto"/>
        <w:left w:val="none" w:sz="0" w:space="0" w:color="auto"/>
        <w:bottom w:val="none" w:sz="0" w:space="0" w:color="auto"/>
        <w:right w:val="none" w:sz="0" w:space="0" w:color="auto"/>
      </w:divBdr>
    </w:div>
    <w:div w:id="863908398">
      <w:marLeft w:val="0"/>
      <w:marRight w:val="0"/>
      <w:marTop w:val="160"/>
      <w:marBottom w:val="160"/>
      <w:divBdr>
        <w:top w:val="none" w:sz="0" w:space="0" w:color="auto"/>
        <w:left w:val="none" w:sz="0" w:space="0" w:color="auto"/>
        <w:bottom w:val="none" w:sz="0" w:space="0" w:color="auto"/>
        <w:right w:val="none" w:sz="0" w:space="0" w:color="auto"/>
      </w:divBdr>
    </w:div>
    <w:div w:id="864562387">
      <w:marLeft w:val="0"/>
      <w:marRight w:val="0"/>
      <w:marTop w:val="0"/>
      <w:marBottom w:val="0"/>
      <w:divBdr>
        <w:top w:val="none" w:sz="0" w:space="0" w:color="auto"/>
        <w:left w:val="none" w:sz="0" w:space="0" w:color="auto"/>
        <w:bottom w:val="none" w:sz="0" w:space="0" w:color="auto"/>
        <w:right w:val="none" w:sz="0" w:space="0" w:color="auto"/>
      </w:divBdr>
    </w:div>
    <w:div w:id="865219450">
      <w:marLeft w:val="0"/>
      <w:marRight w:val="0"/>
      <w:marTop w:val="0"/>
      <w:marBottom w:val="0"/>
      <w:divBdr>
        <w:top w:val="none" w:sz="0" w:space="0" w:color="auto"/>
        <w:left w:val="none" w:sz="0" w:space="0" w:color="auto"/>
        <w:bottom w:val="none" w:sz="0" w:space="0" w:color="auto"/>
        <w:right w:val="none" w:sz="0" w:space="0" w:color="auto"/>
      </w:divBdr>
      <w:divsChild>
        <w:div w:id="1508399558">
          <w:marLeft w:val="0"/>
          <w:marRight w:val="0"/>
          <w:marTop w:val="0"/>
          <w:marBottom w:val="0"/>
          <w:divBdr>
            <w:top w:val="none" w:sz="0" w:space="0" w:color="auto"/>
            <w:left w:val="none" w:sz="0" w:space="0" w:color="auto"/>
            <w:bottom w:val="none" w:sz="0" w:space="0" w:color="auto"/>
            <w:right w:val="none" w:sz="0" w:space="0" w:color="auto"/>
          </w:divBdr>
        </w:div>
      </w:divsChild>
    </w:div>
    <w:div w:id="872037294">
      <w:marLeft w:val="0"/>
      <w:marRight w:val="0"/>
      <w:marTop w:val="0"/>
      <w:marBottom w:val="0"/>
      <w:divBdr>
        <w:top w:val="none" w:sz="0" w:space="0" w:color="auto"/>
        <w:left w:val="none" w:sz="0" w:space="0" w:color="auto"/>
        <w:bottom w:val="none" w:sz="0" w:space="0" w:color="auto"/>
        <w:right w:val="none" w:sz="0" w:space="0" w:color="auto"/>
      </w:divBdr>
    </w:div>
    <w:div w:id="875629763">
      <w:marLeft w:val="0"/>
      <w:marRight w:val="0"/>
      <w:marTop w:val="160"/>
      <w:marBottom w:val="160"/>
      <w:divBdr>
        <w:top w:val="none" w:sz="0" w:space="0" w:color="auto"/>
        <w:left w:val="none" w:sz="0" w:space="0" w:color="auto"/>
        <w:bottom w:val="none" w:sz="0" w:space="0" w:color="auto"/>
        <w:right w:val="none" w:sz="0" w:space="0" w:color="auto"/>
      </w:divBdr>
    </w:div>
    <w:div w:id="892618837">
      <w:marLeft w:val="0"/>
      <w:marRight w:val="0"/>
      <w:marTop w:val="0"/>
      <w:marBottom w:val="0"/>
      <w:divBdr>
        <w:top w:val="none" w:sz="0" w:space="0" w:color="auto"/>
        <w:left w:val="none" w:sz="0" w:space="0" w:color="auto"/>
        <w:bottom w:val="none" w:sz="0" w:space="0" w:color="auto"/>
        <w:right w:val="none" w:sz="0" w:space="0" w:color="auto"/>
      </w:divBdr>
      <w:divsChild>
        <w:div w:id="1110277020">
          <w:marLeft w:val="0"/>
          <w:marRight w:val="0"/>
          <w:marTop w:val="0"/>
          <w:marBottom w:val="0"/>
          <w:divBdr>
            <w:top w:val="none" w:sz="0" w:space="0" w:color="auto"/>
            <w:left w:val="none" w:sz="0" w:space="0" w:color="auto"/>
            <w:bottom w:val="none" w:sz="0" w:space="0" w:color="auto"/>
            <w:right w:val="none" w:sz="0" w:space="0" w:color="auto"/>
          </w:divBdr>
        </w:div>
      </w:divsChild>
    </w:div>
    <w:div w:id="893389066">
      <w:marLeft w:val="0"/>
      <w:marRight w:val="0"/>
      <w:marTop w:val="160"/>
      <w:marBottom w:val="160"/>
      <w:divBdr>
        <w:top w:val="none" w:sz="0" w:space="0" w:color="auto"/>
        <w:left w:val="none" w:sz="0" w:space="0" w:color="auto"/>
        <w:bottom w:val="none" w:sz="0" w:space="0" w:color="auto"/>
        <w:right w:val="none" w:sz="0" w:space="0" w:color="auto"/>
      </w:divBdr>
    </w:div>
    <w:div w:id="897083811">
      <w:marLeft w:val="0"/>
      <w:marRight w:val="0"/>
      <w:marTop w:val="160"/>
      <w:marBottom w:val="160"/>
      <w:divBdr>
        <w:top w:val="none" w:sz="0" w:space="0" w:color="auto"/>
        <w:left w:val="none" w:sz="0" w:space="0" w:color="auto"/>
        <w:bottom w:val="none" w:sz="0" w:space="0" w:color="auto"/>
        <w:right w:val="none" w:sz="0" w:space="0" w:color="auto"/>
      </w:divBdr>
    </w:div>
    <w:div w:id="898630684">
      <w:marLeft w:val="0"/>
      <w:marRight w:val="0"/>
      <w:marTop w:val="160"/>
      <w:marBottom w:val="160"/>
      <w:divBdr>
        <w:top w:val="none" w:sz="0" w:space="0" w:color="auto"/>
        <w:left w:val="none" w:sz="0" w:space="0" w:color="auto"/>
        <w:bottom w:val="none" w:sz="0" w:space="0" w:color="auto"/>
        <w:right w:val="none" w:sz="0" w:space="0" w:color="auto"/>
      </w:divBdr>
    </w:div>
    <w:div w:id="898901919">
      <w:marLeft w:val="0"/>
      <w:marRight w:val="0"/>
      <w:marTop w:val="160"/>
      <w:marBottom w:val="160"/>
      <w:divBdr>
        <w:top w:val="none" w:sz="0" w:space="0" w:color="auto"/>
        <w:left w:val="none" w:sz="0" w:space="0" w:color="auto"/>
        <w:bottom w:val="none" w:sz="0" w:space="0" w:color="auto"/>
        <w:right w:val="none" w:sz="0" w:space="0" w:color="auto"/>
      </w:divBdr>
    </w:div>
    <w:div w:id="904681757">
      <w:marLeft w:val="0"/>
      <w:marRight w:val="0"/>
      <w:marTop w:val="0"/>
      <w:marBottom w:val="0"/>
      <w:divBdr>
        <w:top w:val="none" w:sz="0" w:space="0" w:color="auto"/>
        <w:left w:val="none" w:sz="0" w:space="0" w:color="auto"/>
        <w:bottom w:val="none" w:sz="0" w:space="0" w:color="auto"/>
        <w:right w:val="none" w:sz="0" w:space="0" w:color="auto"/>
      </w:divBdr>
      <w:divsChild>
        <w:div w:id="62874078">
          <w:marLeft w:val="0"/>
          <w:marRight w:val="0"/>
          <w:marTop w:val="0"/>
          <w:marBottom w:val="0"/>
          <w:divBdr>
            <w:top w:val="none" w:sz="0" w:space="0" w:color="auto"/>
            <w:left w:val="none" w:sz="0" w:space="0" w:color="auto"/>
            <w:bottom w:val="none" w:sz="0" w:space="0" w:color="auto"/>
            <w:right w:val="none" w:sz="0" w:space="0" w:color="auto"/>
          </w:divBdr>
        </w:div>
      </w:divsChild>
    </w:div>
    <w:div w:id="907493260">
      <w:marLeft w:val="0"/>
      <w:marRight w:val="0"/>
      <w:marTop w:val="160"/>
      <w:marBottom w:val="160"/>
      <w:divBdr>
        <w:top w:val="none" w:sz="0" w:space="0" w:color="auto"/>
        <w:left w:val="none" w:sz="0" w:space="0" w:color="auto"/>
        <w:bottom w:val="none" w:sz="0" w:space="0" w:color="auto"/>
        <w:right w:val="none" w:sz="0" w:space="0" w:color="auto"/>
      </w:divBdr>
    </w:div>
    <w:div w:id="908656792">
      <w:marLeft w:val="0"/>
      <w:marRight w:val="0"/>
      <w:marTop w:val="160"/>
      <w:marBottom w:val="160"/>
      <w:divBdr>
        <w:top w:val="none" w:sz="0" w:space="0" w:color="auto"/>
        <w:left w:val="none" w:sz="0" w:space="0" w:color="auto"/>
        <w:bottom w:val="none" w:sz="0" w:space="0" w:color="auto"/>
        <w:right w:val="none" w:sz="0" w:space="0" w:color="auto"/>
      </w:divBdr>
    </w:div>
    <w:div w:id="911351224">
      <w:marLeft w:val="0"/>
      <w:marRight w:val="0"/>
      <w:marTop w:val="160"/>
      <w:marBottom w:val="160"/>
      <w:divBdr>
        <w:top w:val="none" w:sz="0" w:space="0" w:color="auto"/>
        <w:left w:val="none" w:sz="0" w:space="0" w:color="auto"/>
        <w:bottom w:val="none" w:sz="0" w:space="0" w:color="auto"/>
        <w:right w:val="none" w:sz="0" w:space="0" w:color="auto"/>
      </w:divBdr>
    </w:div>
    <w:div w:id="916522425">
      <w:marLeft w:val="0"/>
      <w:marRight w:val="0"/>
      <w:marTop w:val="0"/>
      <w:marBottom w:val="160"/>
      <w:divBdr>
        <w:top w:val="none" w:sz="0" w:space="0" w:color="auto"/>
        <w:left w:val="none" w:sz="0" w:space="0" w:color="auto"/>
        <w:bottom w:val="none" w:sz="0" w:space="0" w:color="auto"/>
        <w:right w:val="none" w:sz="0" w:space="0" w:color="auto"/>
      </w:divBdr>
    </w:div>
    <w:div w:id="920141626">
      <w:marLeft w:val="0"/>
      <w:marRight w:val="0"/>
      <w:marTop w:val="160"/>
      <w:marBottom w:val="160"/>
      <w:divBdr>
        <w:top w:val="none" w:sz="0" w:space="0" w:color="auto"/>
        <w:left w:val="none" w:sz="0" w:space="0" w:color="auto"/>
        <w:bottom w:val="none" w:sz="0" w:space="0" w:color="auto"/>
        <w:right w:val="none" w:sz="0" w:space="0" w:color="auto"/>
      </w:divBdr>
    </w:div>
    <w:div w:id="921569854">
      <w:marLeft w:val="0"/>
      <w:marRight w:val="0"/>
      <w:marTop w:val="160"/>
      <w:marBottom w:val="160"/>
      <w:divBdr>
        <w:top w:val="none" w:sz="0" w:space="0" w:color="auto"/>
        <w:left w:val="none" w:sz="0" w:space="0" w:color="auto"/>
        <w:bottom w:val="none" w:sz="0" w:space="0" w:color="auto"/>
        <w:right w:val="none" w:sz="0" w:space="0" w:color="auto"/>
      </w:divBdr>
    </w:div>
    <w:div w:id="928656684">
      <w:marLeft w:val="0"/>
      <w:marRight w:val="0"/>
      <w:marTop w:val="160"/>
      <w:marBottom w:val="160"/>
      <w:divBdr>
        <w:top w:val="none" w:sz="0" w:space="0" w:color="auto"/>
        <w:left w:val="none" w:sz="0" w:space="0" w:color="auto"/>
        <w:bottom w:val="none" w:sz="0" w:space="0" w:color="auto"/>
        <w:right w:val="none" w:sz="0" w:space="0" w:color="auto"/>
      </w:divBdr>
    </w:div>
    <w:div w:id="933981439">
      <w:marLeft w:val="0"/>
      <w:marRight w:val="0"/>
      <w:marTop w:val="160"/>
      <w:marBottom w:val="160"/>
      <w:divBdr>
        <w:top w:val="none" w:sz="0" w:space="0" w:color="auto"/>
        <w:left w:val="none" w:sz="0" w:space="0" w:color="auto"/>
        <w:bottom w:val="none" w:sz="0" w:space="0" w:color="auto"/>
        <w:right w:val="none" w:sz="0" w:space="0" w:color="auto"/>
      </w:divBdr>
    </w:div>
    <w:div w:id="937521988">
      <w:marLeft w:val="0"/>
      <w:marRight w:val="0"/>
      <w:marTop w:val="160"/>
      <w:marBottom w:val="160"/>
      <w:divBdr>
        <w:top w:val="none" w:sz="0" w:space="0" w:color="auto"/>
        <w:left w:val="none" w:sz="0" w:space="0" w:color="auto"/>
        <w:bottom w:val="none" w:sz="0" w:space="0" w:color="auto"/>
        <w:right w:val="none" w:sz="0" w:space="0" w:color="auto"/>
      </w:divBdr>
    </w:div>
    <w:div w:id="938566812">
      <w:marLeft w:val="0"/>
      <w:marRight w:val="0"/>
      <w:marTop w:val="160"/>
      <w:marBottom w:val="160"/>
      <w:divBdr>
        <w:top w:val="none" w:sz="0" w:space="0" w:color="auto"/>
        <w:left w:val="none" w:sz="0" w:space="0" w:color="auto"/>
        <w:bottom w:val="none" w:sz="0" w:space="0" w:color="auto"/>
        <w:right w:val="none" w:sz="0" w:space="0" w:color="auto"/>
      </w:divBdr>
    </w:div>
    <w:div w:id="938677992">
      <w:marLeft w:val="0"/>
      <w:marRight w:val="0"/>
      <w:marTop w:val="0"/>
      <w:marBottom w:val="0"/>
      <w:divBdr>
        <w:top w:val="none" w:sz="0" w:space="0" w:color="auto"/>
        <w:left w:val="none" w:sz="0" w:space="0" w:color="auto"/>
        <w:bottom w:val="none" w:sz="0" w:space="0" w:color="auto"/>
        <w:right w:val="none" w:sz="0" w:space="0" w:color="auto"/>
      </w:divBdr>
    </w:div>
    <w:div w:id="940912135">
      <w:marLeft w:val="0"/>
      <w:marRight w:val="0"/>
      <w:marTop w:val="160"/>
      <w:marBottom w:val="160"/>
      <w:divBdr>
        <w:top w:val="none" w:sz="0" w:space="0" w:color="auto"/>
        <w:left w:val="none" w:sz="0" w:space="0" w:color="auto"/>
        <w:bottom w:val="none" w:sz="0" w:space="0" w:color="auto"/>
        <w:right w:val="none" w:sz="0" w:space="0" w:color="auto"/>
      </w:divBdr>
    </w:div>
    <w:div w:id="945037802">
      <w:marLeft w:val="0"/>
      <w:marRight w:val="0"/>
      <w:marTop w:val="160"/>
      <w:marBottom w:val="160"/>
      <w:divBdr>
        <w:top w:val="none" w:sz="0" w:space="0" w:color="auto"/>
        <w:left w:val="none" w:sz="0" w:space="0" w:color="auto"/>
        <w:bottom w:val="none" w:sz="0" w:space="0" w:color="auto"/>
        <w:right w:val="none" w:sz="0" w:space="0" w:color="auto"/>
      </w:divBdr>
    </w:div>
    <w:div w:id="946355249">
      <w:marLeft w:val="0"/>
      <w:marRight w:val="0"/>
      <w:marTop w:val="160"/>
      <w:marBottom w:val="160"/>
      <w:divBdr>
        <w:top w:val="none" w:sz="0" w:space="0" w:color="auto"/>
        <w:left w:val="none" w:sz="0" w:space="0" w:color="auto"/>
        <w:bottom w:val="none" w:sz="0" w:space="0" w:color="auto"/>
        <w:right w:val="none" w:sz="0" w:space="0" w:color="auto"/>
      </w:divBdr>
    </w:div>
    <w:div w:id="950629379">
      <w:marLeft w:val="0"/>
      <w:marRight w:val="0"/>
      <w:marTop w:val="160"/>
      <w:marBottom w:val="160"/>
      <w:divBdr>
        <w:top w:val="none" w:sz="0" w:space="0" w:color="auto"/>
        <w:left w:val="none" w:sz="0" w:space="0" w:color="auto"/>
        <w:bottom w:val="none" w:sz="0" w:space="0" w:color="auto"/>
        <w:right w:val="none" w:sz="0" w:space="0" w:color="auto"/>
      </w:divBdr>
    </w:div>
    <w:div w:id="950862237">
      <w:marLeft w:val="0"/>
      <w:marRight w:val="0"/>
      <w:marTop w:val="160"/>
      <w:marBottom w:val="160"/>
      <w:divBdr>
        <w:top w:val="none" w:sz="0" w:space="0" w:color="auto"/>
        <w:left w:val="none" w:sz="0" w:space="0" w:color="auto"/>
        <w:bottom w:val="none" w:sz="0" w:space="0" w:color="auto"/>
        <w:right w:val="none" w:sz="0" w:space="0" w:color="auto"/>
      </w:divBdr>
    </w:div>
    <w:div w:id="952781653">
      <w:marLeft w:val="0"/>
      <w:marRight w:val="0"/>
      <w:marTop w:val="160"/>
      <w:marBottom w:val="160"/>
      <w:divBdr>
        <w:top w:val="none" w:sz="0" w:space="0" w:color="auto"/>
        <w:left w:val="none" w:sz="0" w:space="0" w:color="auto"/>
        <w:bottom w:val="none" w:sz="0" w:space="0" w:color="auto"/>
        <w:right w:val="none" w:sz="0" w:space="0" w:color="auto"/>
      </w:divBdr>
    </w:div>
    <w:div w:id="968585043">
      <w:marLeft w:val="0"/>
      <w:marRight w:val="0"/>
      <w:marTop w:val="160"/>
      <w:marBottom w:val="160"/>
      <w:divBdr>
        <w:top w:val="none" w:sz="0" w:space="0" w:color="auto"/>
        <w:left w:val="none" w:sz="0" w:space="0" w:color="auto"/>
        <w:bottom w:val="none" w:sz="0" w:space="0" w:color="auto"/>
        <w:right w:val="none" w:sz="0" w:space="0" w:color="auto"/>
      </w:divBdr>
      <w:divsChild>
        <w:div w:id="501553048">
          <w:marLeft w:val="0"/>
          <w:marRight w:val="0"/>
          <w:marTop w:val="0"/>
          <w:marBottom w:val="0"/>
          <w:divBdr>
            <w:top w:val="none" w:sz="0" w:space="0" w:color="auto"/>
            <w:left w:val="none" w:sz="0" w:space="0" w:color="auto"/>
            <w:bottom w:val="none" w:sz="0" w:space="0" w:color="auto"/>
            <w:right w:val="none" w:sz="0" w:space="0" w:color="auto"/>
          </w:divBdr>
        </w:div>
        <w:div w:id="758719106">
          <w:marLeft w:val="0"/>
          <w:marRight w:val="0"/>
          <w:marTop w:val="0"/>
          <w:marBottom w:val="0"/>
          <w:divBdr>
            <w:top w:val="none" w:sz="0" w:space="0" w:color="auto"/>
            <w:left w:val="none" w:sz="0" w:space="0" w:color="auto"/>
            <w:bottom w:val="none" w:sz="0" w:space="0" w:color="auto"/>
            <w:right w:val="none" w:sz="0" w:space="0" w:color="auto"/>
          </w:divBdr>
        </w:div>
        <w:div w:id="1895383738">
          <w:marLeft w:val="0"/>
          <w:marRight w:val="0"/>
          <w:marTop w:val="0"/>
          <w:marBottom w:val="0"/>
          <w:divBdr>
            <w:top w:val="none" w:sz="0" w:space="0" w:color="auto"/>
            <w:left w:val="none" w:sz="0" w:space="0" w:color="auto"/>
            <w:bottom w:val="none" w:sz="0" w:space="0" w:color="auto"/>
            <w:right w:val="none" w:sz="0" w:space="0" w:color="auto"/>
          </w:divBdr>
        </w:div>
        <w:div w:id="1954090044">
          <w:marLeft w:val="0"/>
          <w:marRight w:val="0"/>
          <w:marTop w:val="0"/>
          <w:marBottom w:val="0"/>
          <w:divBdr>
            <w:top w:val="none" w:sz="0" w:space="0" w:color="auto"/>
            <w:left w:val="none" w:sz="0" w:space="0" w:color="auto"/>
            <w:bottom w:val="none" w:sz="0" w:space="0" w:color="auto"/>
            <w:right w:val="none" w:sz="0" w:space="0" w:color="auto"/>
          </w:divBdr>
        </w:div>
        <w:div w:id="1481464997">
          <w:marLeft w:val="0"/>
          <w:marRight w:val="0"/>
          <w:marTop w:val="0"/>
          <w:marBottom w:val="0"/>
          <w:divBdr>
            <w:top w:val="none" w:sz="0" w:space="0" w:color="auto"/>
            <w:left w:val="none" w:sz="0" w:space="0" w:color="auto"/>
            <w:bottom w:val="none" w:sz="0" w:space="0" w:color="auto"/>
            <w:right w:val="none" w:sz="0" w:space="0" w:color="auto"/>
          </w:divBdr>
        </w:div>
        <w:div w:id="977297735">
          <w:marLeft w:val="0"/>
          <w:marRight w:val="0"/>
          <w:marTop w:val="0"/>
          <w:marBottom w:val="0"/>
          <w:divBdr>
            <w:top w:val="none" w:sz="0" w:space="0" w:color="auto"/>
            <w:left w:val="none" w:sz="0" w:space="0" w:color="auto"/>
            <w:bottom w:val="none" w:sz="0" w:space="0" w:color="auto"/>
            <w:right w:val="none" w:sz="0" w:space="0" w:color="auto"/>
          </w:divBdr>
        </w:div>
        <w:div w:id="333805708">
          <w:marLeft w:val="0"/>
          <w:marRight w:val="0"/>
          <w:marTop w:val="0"/>
          <w:marBottom w:val="0"/>
          <w:divBdr>
            <w:top w:val="none" w:sz="0" w:space="0" w:color="auto"/>
            <w:left w:val="none" w:sz="0" w:space="0" w:color="auto"/>
            <w:bottom w:val="none" w:sz="0" w:space="0" w:color="auto"/>
            <w:right w:val="none" w:sz="0" w:space="0" w:color="auto"/>
          </w:divBdr>
        </w:div>
        <w:div w:id="758215368">
          <w:marLeft w:val="0"/>
          <w:marRight w:val="0"/>
          <w:marTop w:val="0"/>
          <w:marBottom w:val="0"/>
          <w:divBdr>
            <w:top w:val="none" w:sz="0" w:space="0" w:color="auto"/>
            <w:left w:val="none" w:sz="0" w:space="0" w:color="auto"/>
            <w:bottom w:val="none" w:sz="0" w:space="0" w:color="auto"/>
            <w:right w:val="none" w:sz="0" w:space="0" w:color="auto"/>
          </w:divBdr>
        </w:div>
        <w:div w:id="86923938">
          <w:marLeft w:val="0"/>
          <w:marRight w:val="0"/>
          <w:marTop w:val="0"/>
          <w:marBottom w:val="0"/>
          <w:divBdr>
            <w:top w:val="none" w:sz="0" w:space="0" w:color="auto"/>
            <w:left w:val="none" w:sz="0" w:space="0" w:color="auto"/>
            <w:bottom w:val="none" w:sz="0" w:space="0" w:color="auto"/>
            <w:right w:val="none" w:sz="0" w:space="0" w:color="auto"/>
          </w:divBdr>
        </w:div>
        <w:div w:id="472063689">
          <w:marLeft w:val="0"/>
          <w:marRight w:val="0"/>
          <w:marTop w:val="0"/>
          <w:marBottom w:val="0"/>
          <w:divBdr>
            <w:top w:val="none" w:sz="0" w:space="0" w:color="auto"/>
            <w:left w:val="none" w:sz="0" w:space="0" w:color="auto"/>
            <w:bottom w:val="none" w:sz="0" w:space="0" w:color="auto"/>
            <w:right w:val="none" w:sz="0" w:space="0" w:color="auto"/>
          </w:divBdr>
        </w:div>
        <w:div w:id="354042456">
          <w:marLeft w:val="0"/>
          <w:marRight w:val="0"/>
          <w:marTop w:val="0"/>
          <w:marBottom w:val="0"/>
          <w:divBdr>
            <w:top w:val="none" w:sz="0" w:space="0" w:color="auto"/>
            <w:left w:val="none" w:sz="0" w:space="0" w:color="auto"/>
            <w:bottom w:val="none" w:sz="0" w:space="0" w:color="auto"/>
            <w:right w:val="none" w:sz="0" w:space="0" w:color="auto"/>
          </w:divBdr>
        </w:div>
        <w:div w:id="1225410426">
          <w:marLeft w:val="0"/>
          <w:marRight w:val="0"/>
          <w:marTop w:val="0"/>
          <w:marBottom w:val="0"/>
          <w:divBdr>
            <w:top w:val="none" w:sz="0" w:space="0" w:color="auto"/>
            <w:left w:val="none" w:sz="0" w:space="0" w:color="auto"/>
            <w:bottom w:val="none" w:sz="0" w:space="0" w:color="auto"/>
            <w:right w:val="none" w:sz="0" w:space="0" w:color="auto"/>
          </w:divBdr>
        </w:div>
        <w:div w:id="712510320">
          <w:marLeft w:val="0"/>
          <w:marRight w:val="0"/>
          <w:marTop w:val="0"/>
          <w:marBottom w:val="0"/>
          <w:divBdr>
            <w:top w:val="none" w:sz="0" w:space="0" w:color="auto"/>
            <w:left w:val="none" w:sz="0" w:space="0" w:color="auto"/>
            <w:bottom w:val="none" w:sz="0" w:space="0" w:color="auto"/>
            <w:right w:val="none" w:sz="0" w:space="0" w:color="auto"/>
          </w:divBdr>
        </w:div>
        <w:div w:id="1316689334">
          <w:marLeft w:val="0"/>
          <w:marRight w:val="0"/>
          <w:marTop w:val="0"/>
          <w:marBottom w:val="0"/>
          <w:divBdr>
            <w:top w:val="none" w:sz="0" w:space="0" w:color="auto"/>
            <w:left w:val="none" w:sz="0" w:space="0" w:color="auto"/>
            <w:bottom w:val="none" w:sz="0" w:space="0" w:color="auto"/>
            <w:right w:val="none" w:sz="0" w:space="0" w:color="auto"/>
          </w:divBdr>
        </w:div>
        <w:div w:id="2068650930">
          <w:marLeft w:val="0"/>
          <w:marRight w:val="0"/>
          <w:marTop w:val="0"/>
          <w:marBottom w:val="0"/>
          <w:divBdr>
            <w:top w:val="none" w:sz="0" w:space="0" w:color="auto"/>
            <w:left w:val="none" w:sz="0" w:space="0" w:color="auto"/>
            <w:bottom w:val="none" w:sz="0" w:space="0" w:color="auto"/>
            <w:right w:val="none" w:sz="0" w:space="0" w:color="auto"/>
          </w:divBdr>
        </w:div>
        <w:div w:id="421681502">
          <w:marLeft w:val="0"/>
          <w:marRight w:val="0"/>
          <w:marTop w:val="0"/>
          <w:marBottom w:val="0"/>
          <w:divBdr>
            <w:top w:val="none" w:sz="0" w:space="0" w:color="auto"/>
            <w:left w:val="none" w:sz="0" w:space="0" w:color="auto"/>
            <w:bottom w:val="none" w:sz="0" w:space="0" w:color="auto"/>
            <w:right w:val="none" w:sz="0" w:space="0" w:color="auto"/>
          </w:divBdr>
        </w:div>
        <w:div w:id="399058507">
          <w:marLeft w:val="0"/>
          <w:marRight w:val="0"/>
          <w:marTop w:val="0"/>
          <w:marBottom w:val="0"/>
          <w:divBdr>
            <w:top w:val="none" w:sz="0" w:space="0" w:color="auto"/>
            <w:left w:val="none" w:sz="0" w:space="0" w:color="auto"/>
            <w:bottom w:val="none" w:sz="0" w:space="0" w:color="auto"/>
            <w:right w:val="none" w:sz="0" w:space="0" w:color="auto"/>
          </w:divBdr>
        </w:div>
        <w:div w:id="743604137">
          <w:marLeft w:val="0"/>
          <w:marRight w:val="0"/>
          <w:marTop w:val="0"/>
          <w:marBottom w:val="0"/>
          <w:divBdr>
            <w:top w:val="none" w:sz="0" w:space="0" w:color="auto"/>
            <w:left w:val="none" w:sz="0" w:space="0" w:color="auto"/>
            <w:bottom w:val="none" w:sz="0" w:space="0" w:color="auto"/>
            <w:right w:val="none" w:sz="0" w:space="0" w:color="auto"/>
          </w:divBdr>
        </w:div>
        <w:div w:id="448083244">
          <w:marLeft w:val="0"/>
          <w:marRight w:val="0"/>
          <w:marTop w:val="0"/>
          <w:marBottom w:val="0"/>
          <w:divBdr>
            <w:top w:val="none" w:sz="0" w:space="0" w:color="auto"/>
            <w:left w:val="none" w:sz="0" w:space="0" w:color="auto"/>
            <w:bottom w:val="none" w:sz="0" w:space="0" w:color="auto"/>
            <w:right w:val="none" w:sz="0" w:space="0" w:color="auto"/>
          </w:divBdr>
        </w:div>
        <w:div w:id="2044397747">
          <w:marLeft w:val="0"/>
          <w:marRight w:val="0"/>
          <w:marTop w:val="0"/>
          <w:marBottom w:val="0"/>
          <w:divBdr>
            <w:top w:val="none" w:sz="0" w:space="0" w:color="auto"/>
            <w:left w:val="none" w:sz="0" w:space="0" w:color="auto"/>
            <w:bottom w:val="none" w:sz="0" w:space="0" w:color="auto"/>
            <w:right w:val="none" w:sz="0" w:space="0" w:color="auto"/>
          </w:divBdr>
        </w:div>
        <w:div w:id="1119911718">
          <w:marLeft w:val="0"/>
          <w:marRight w:val="0"/>
          <w:marTop w:val="0"/>
          <w:marBottom w:val="0"/>
          <w:divBdr>
            <w:top w:val="none" w:sz="0" w:space="0" w:color="auto"/>
            <w:left w:val="none" w:sz="0" w:space="0" w:color="auto"/>
            <w:bottom w:val="none" w:sz="0" w:space="0" w:color="auto"/>
            <w:right w:val="none" w:sz="0" w:space="0" w:color="auto"/>
          </w:divBdr>
        </w:div>
        <w:div w:id="2006783671">
          <w:marLeft w:val="0"/>
          <w:marRight w:val="0"/>
          <w:marTop w:val="0"/>
          <w:marBottom w:val="0"/>
          <w:divBdr>
            <w:top w:val="none" w:sz="0" w:space="0" w:color="auto"/>
            <w:left w:val="none" w:sz="0" w:space="0" w:color="auto"/>
            <w:bottom w:val="none" w:sz="0" w:space="0" w:color="auto"/>
            <w:right w:val="none" w:sz="0" w:space="0" w:color="auto"/>
          </w:divBdr>
        </w:div>
        <w:div w:id="56589323">
          <w:marLeft w:val="0"/>
          <w:marRight w:val="0"/>
          <w:marTop w:val="0"/>
          <w:marBottom w:val="0"/>
          <w:divBdr>
            <w:top w:val="none" w:sz="0" w:space="0" w:color="auto"/>
            <w:left w:val="none" w:sz="0" w:space="0" w:color="auto"/>
            <w:bottom w:val="none" w:sz="0" w:space="0" w:color="auto"/>
            <w:right w:val="none" w:sz="0" w:space="0" w:color="auto"/>
          </w:divBdr>
        </w:div>
        <w:div w:id="1441757713">
          <w:marLeft w:val="0"/>
          <w:marRight w:val="0"/>
          <w:marTop w:val="0"/>
          <w:marBottom w:val="0"/>
          <w:divBdr>
            <w:top w:val="none" w:sz="0" w:space="0" w:color="auto"/>
            <w:left w:val="none" w:sz="0" w:space="0" w:color="auto"/>
            <w:bottom w:val="none" w:sz="0" w:space="0" w:color="auto"/>
            <w:right w:val="none" w:sz="0" w:space="0" w:color="auto"/>
          </w:divBdr>
        </w:div>
        <w:div w:id="169879514">
          <w:marLeft w:val="0"/>
          <w:marRight w:val="0"/>
          <w:marTop w:val="0"/>
          <w:marBottom w:val="0"/>
          <w:divBdr>
            <w:top w:val="none" w:sz="0" w:space="0" w:color="auto"/>
            <w:left w:val="none" w:sz="0" w:space="0" w:color="auto"/>
            <w:bottom w:val="none" w:sz="0" w:space="0" w:color="auto"/>
            <w:right w:val="none" w:sz="0" w:space="0" w:color="auto"/>
          </w:divBdr>
        </w:div>
        <w:div w:id="2015765381">
          <w:marLeft w:val="0"/>
          <w:marRight w:val="0"/>
          <w:marTop w:val="0"/>
          <w:marBottom w:val="0"/>
          <w:divBdr>
            <w:top w:val="none" w:sz="0" w:space="0" w:color="auto"/>
            <w:left w:val="none" w:sz="0" w:space="0" w:color="auto"/>
            <w:bottom w:val="none" w:sz="0" w:space="0" w:color="auto"/>
            <w:right w:val="none" w:sz="0" w:space="0" w:color="auto"/>
          </w:divBdr>
        </w:div>
        <w:div w:id="1134448977">
          <w:marLeft w:val="0"/>
          <w:marRight w:val="0"/>
          <w:marTop w:val="0"/>
          <w:marBottom w:val="0"/>
          <w:divBdr>
            <w:top w:val="none" w:sz="0" w:space="0" w:color="auto"/>
            <w:left w:val="none" w:sz="0" w:space="0" w:color="auto"/>
            <w:bottom w:val="none" w:sz="0" w:space="0" w:color="auto"/>
            <w:right w:val="none" w:sz="0" w:space="0" w:color="auto"/>
          </w:divBdr>
        </w:div>
        <w:div w:id="788086582">
          <w:marLeft w:val="0"/>
          <w:marRight w:val="0"/>
          <w:marTop w:val="0"/>
          <w:marBottom w:val="0"/>
          <w:divBdr>
            <w:top w:val="none" w:sz="0" w:space="0" w:color="auto"/>
            <w:left w:val="none" w:sz="0" w:space="0" w:color="auto"/>
            <w:bottom w:val="none" w:sz="0" w:space="0" w:color="auto"/>
            <w:right w:val="none" w:sz="0" w:space="0" w:color="auto"/>
          </w:divBdr>
        </w:div>
        <w:div w:id="370418162">
          <w:marLeft w:val="0"/>
          <w:marRight w:val="0"/>
          <w:marTop w:val="0"/>
          <w:marBottom w:val="0"/>
          <w:divBdr>
            <w:top w:val="none" w:sz="0" w:space="0" w:color="auto"/>
            <w:left w:val="none" w:sz="0" w:space="0" w:color="auto"/>
            <w:bottom w:val="none" w:sz="0" w:space="0" w:color="auto"/>
            <w:right w:val="none" w:sz="0" w:space="0" w:color="auto"/>
          </w:divBdr>
        </w:div>
      </w:divsChild>
    </w:div>
    <w:div w:id="976911534">
      <w:marLeft w:val="0"/>
      <w:marRight w:val="0"/>
      <w:marTop w:val="0"/>
      <w:marBottom w:val="0"/>
      <w:divBdr>
        <w:top w:val="none" w:sz="0" w:space="0" w:color="auto"/>
        <w:left w:val="none" w:sz="0" w:space="0" w:color="auto"/>
        <w:bottom w:val="none" w:sz="0" w:space="0" w:color="auto"/>
        <w:right w:val="none" w:sz="0" w:space="0" w:color="auto"/>
      </w:divBdr>
      <w:divsChild>
        <w:div w:id="573515753">
          <w:marLeft w:val="0"/>
          <w:marRight w:val="0"/>
          <w:marTop w:val="0"/>
          <w:marBottom w:val="0"/>
          <w:divBdr>
            <w:top w:val="none" w:sz="0" w:space="0" w:color="auto"/>
            <w:left w:val="none" w:sz="0" w:space="0" w:color="auto"/>
            <w:bottom w:val="none" w:sz="0" w:space="0" w:color="auto"/>
            <w:right w:val="none" w:sz="0" w:space="0" w:color="auto"/>
          </w:divBdr>
        </w:div>
      </w:divsChild>
    </w:div>
    <w:div w:id="984044209">
      <w:marLeft w:val="0"/>
      <w:marRight w:val="0"/>
      <w:marTop w:val="0"/>
      <w:marBottom w:val="0"/>
      <w:divBdr>
        <w:top w:val="none" w:sz="0" w:space="0" w:color="auto"/>
        <w:left w:val="none" w:sz="0" w:space="0" w:color="auto"/>
        <w:bottom w:val="none" w:sz="0" w:space="0" w:color="auto"/>
        <w:right w:val="none" w:sz="0" w:space="0" w:color="auto"/>
      </w:divBdr>
    </w:div>
    <w:div w:id="988359912">
      <w:marLeft w:val="0"/>
      <w:marRight w:val="0"/>
      <w:marTop w:val="160"/>
      <w:marBottom w:val="160"/>
      <w:divBdr>
        <w:top w:val="none" w:sz="0" w:space="0" w:color="auto"/>
        <w:left w:val="none" w:sz="0" w:space="0" w:color="auto"/>
        <w:bottom w:val="none" w:sz="0" w:space="0" w:color="auto"/>
        <w:right w:val="none" w:sz="0" w:space="0" w:color="auto"/>
      </w:divBdr>
    </w:div>
    <w:div w:id="991064552">
      <w:marLeft w:val="0"/>
      <w:marRight w:val="0"/>
      <w:marTop w:val="0"/>
      <w:marBottom w:val="0"/>
      <w:divBdr>
        <w:top w:val="none" w:sz="0" w:space="0" w:color="auto"/>
        <w:left w:val="none" w:sz="0" w:space="0" w:color="auto"/>
        <w:bottom w:val="none" w:sz="0" w:space="0" w:color="auto"/>
        <w:right w:val="none" w:sz="0" w:space="0" w:color="auto"/>
      </w:divBdr>
      <w:divsChild>
        <w:div w:id="1904638362">
          <w:marLeft w:val="0"/>
          <w:marRight w:val="0"/>
          <w:marTop w:val="0"/>
          <w:marBottom w:val="0"/>
          <w:divBdr>
            <w:top w:val="none" w:sz="0" w:space="0" w:color="auto"/>
            <w:left w:val="none" w:sz="0" w:space="0" w:color="auto"/>
            <w:bottom w:val="none" w:sz="0" w:space="0" w:color="auto"/>
            <w:right w:val="none" w:sz="0" w:space="0" w:color="auto"/>
          </w:divBdr>
        </w:div>
      </w:divsChild>
    </w:div>
    <w:div w:id="992027316">
      <w:marLeft w:val="0"/>
      <w:marRight w:val="0"/>
      <w:marTop w:val="160"/>
      <w:marBottom w:val="160"/>
      <w:divBdr>
        <w:top w:val="none" w:sz="0" w:space="0" w:color="auto"/>
        <w:left w:val="none" w:sz="0" w:space="0" w:color="auto"/>
        <w:bottom w:val="none" w:sz="0" w:space="0" w:color="auto"/>
        <w:right w:val="none" w:sz="0" w:space="0" w:color="auto"/>
      </w:divBdr>
    </w:div>
    <w:div w:id="992172682">
      <w:marLeft w:val="0"/>
      <w:marRight w:val="0"/>
      <w:marTop w:val="160"/>
      <w:marBottom w:val="160"/>
      <w:divBdr>
        <w:top w:val="none" w:sz="0" w:space="0" w:color="auto"/>
        <w:left w:val="none" w:sz="0" w:space="0" w:color="auto"/>
        <w:bottom w:val="none" w:sz="0" w:space="0" w:color="auto"/>
        <w:right w:val="none" w:sz="0" w:space="0" w:color="auto"/>
      </w:divBdr>
    </w:div>
    <w:div w:id="1000962274">
      <w:marLeft w:val="0"/>
      <w:marRight w:val="0"/>
      <w:marTop w:val="160"/>
      <w:marBottom w:val="160"/>
      <w:divBdr>
        <w:top w:val="none" w:sz="0" w:space="0" w:color="auto"/>
        <w:left w:val="none" w:sz="0" w:space="0" w:color="auto"/>
        <w:bottom w:val="none" w:sz="0" w:space="0" w:color="auto"/>
        <w:right w:val="none" w:sz="0" w:space="0" w:color="auto"/>
      </w:divBdr>
    </w:div>
    <w:div w:id="1003049544">
      <w:marLeft w:val="0"/>
      <w:marRight w:val="0"/>
      <w:marTop w:val="60"/>
      <w:marBottom w:val="60"/>
      <w:divBdr>
        <w:top w:val="none" w:sz="0" w:space="0" w:color="auto"/>
        <w:left w:val="none" w:sz="0" w:space="0" w:color="auto"/>
        <w:bottom w:val="none" w:sz="0" w:space="0" w:color="auto"/>
        <w:right w:val="none" w:sz="0" w:space="0" w:color="auto"/>
      </w:divBdr>
    </w:div>
    <w:div w:id="1007900718">
      <w:marLeft w:val="0"/>
      <w:marRight w:val="0"/>
      <w:marTop w:val="160"/>
      <w:marBottom w:val="160"/>
      <w:divBdr>
        <w:top w:val="none" w:sz="0" w:space="0" w:color="auto"/>
        <w:left w:val="none" w:sz="0" w:space="0" w:color="auto"/>
        <w:bottom w:val="none" w:sz="0" w:space="0" w:color="auto"/>
        <w:right w:val="none" w:sz="0" w:space="0" w:color="auto"/>
      </w:divBdr>
    </w:div>
    <w:div w:id="1012877489">
      <w:marLeft w:val="0"/>
      <w:marRight w:val="0"/>
      <w:marTop w:val="160"/>
      <w:marBottom w:val="160"/>
      <w:divBdr>
        <w:top w:val="none" w:sz="0" w:space="0" w:color="auto"/>
        <w:left w:val="none" w:sz="0" w:space="0" w:color="auto"/>
        <w:bottom w:val="none" w:sz="0" w:space="0" w:color="auto"/>
        <w:right w:val="none" w:sz="0" w:space="0" w:color="auto"/>
      </w:divBdr>
    </w:div>
    <w:div w:id="1021398637">
      <w:marLeft w:val="0"/>
      <w:marRight w:val="0"/>
      <w:marTop w:val="160"/>
      <w:marBottom w:val="160"/>
      <w:divBdr>
        <w:top w:val="none" w:sz="0" w:space="0" w:color="auto"/>
        <w:left w:val="none" w:sz="0" w:space="0" w:color="auto"/>
        <w:bottom w:val="none" w:sz="0" w:space="0" w:color="auto"/>
        <w:right w:val="none" w:sz="0" w:space="0" w:color="auto"/>
      </w:divBdr>
    </w:div>
    <w:div w:id="1022705393">
      <w:marLeft w:val="0"/>
      <w:marRight w:val="0"/>
      <w:marTop w:val="160"/>
      <w:marBottom w:val="160"/>
      <w:divBdr>
        <w:top w:val="none" w:sz="0" w:space="0" w:color="auto"/>
        <w:left w:val="none" w:sz="0" w:space="0" w:color="auto"/>
        <w:bottom w:val="none" w:sz="0" w:space="0" w:color="auto"/>
        <w:right w:val="none" w:sz="0" w:space="0" w:color="auto"/>
      </w:divBdr>
    </w:div>
    <w:div w:id="1023091621">
      <w:marLeft w:val="0"/>
      <w:marRight w:val="0"/>
      <w:marTop w:val="160"/>
      <w:marBottom w:val="160"/>
      <w:divBdr>
        <w:top w:val="none" w:sz="0" w:space="0" w:color="auto"/>
        <w:left w:val="none" w:sz="0" w:space="0" w:color="auto"/>
        <w:bottom w:val="none" w:sz="0" w:space="0" w:color="auto"/>
        <w:right w:val="none" w:sz="0" w:space="0" w:color="auto"/>
      </w:divBdr>
    </w:div>
    <w:div w:id="1024139957">
      <w:marLeft w:val="0"/>
      <w:marRight w:val="0"/>
      <w:marTop w:val="0"/>
      <w:marBottom w:val="0"/>
      <w:divBdr>
        <w:top w:val="none" w:sz="0" w:space="0" w:color="auto"/>
        <w:left w:val="none" w:sz="0" w:space="0" w:color="auto"/>
        <w:bottom w:val="none" w:sz="0" w:space="0" w:color="auto"/>
        <w:right w:val="none" w:sz="0" w:space="0" w:color="auto"/>
      </w:divBdr>
    </w:div>
    <w:div w:id="1025210477">
      <w:marLeft w:val="0"/>
      <w:marRight w:val="0"/>
      <w:marTop w:val="160"/>
      <w:marBottom w:val="160"/>
      <w:divBdr>
        <w:top w:val="none" w:sz="0" w:space="0" w:color="auto"/>
        <w:left w:val="none" w:sz="0" w:space="0" w:color="auto"/>
        <w:bottom w:val="none" w:sz="0" w:space="0" w:color="auto"/>
        <w:right w:val="none" w:sz="0" w:space="0" w:color="auto"/>
      </w:divBdr>
    </w:div>
    <w:div w:id="1027756662">
      <w:marLeft w:val="0"/>
      <w:marRight w:val="0"/>
      <w:marTop w:val="160"/>
      <w:marBottom w:val="160"/>
      <w:divBdr>
        <w:top w:val="none" w:sz="0" w:space="0" w:color="auto"/>
        <w:left w:val="none" w:sz="0" w:space="0" w:color="auto"/>
        <w:bottom w:val="none" w:sz="0" w:space="0" w:color="auto"/>
        <w:right w:val="none" w:sz="0" w:space="0" w:color="auto"/>
      </w:divBdr>
    </w:div>
    <w:div w:id="1028915567">
      <w:marLeft w:val="0"/>
      <w:marRight w:val="0"/>
      <w:marTop w:val="160"/>
      <w:marBottom w:val="160"/>
      <w:divBdr>
        <w:top w:val="none" w:sz="0" w:space="0" w:color="auto"/>
        <w:left w:val="none" w:sz="0" w:space="0" w:color="auto"/>
        <w:bottom w:val="none" w:sz="0" w:space="0" w:color="auto"/>
        <w:right w:val="none" w:sz="0" w:space="0" w:color="auto"/>
      </w:divBdr>
    </w:div>
    <w:div w:id="1030297191">
      <w:marLeft w:val="0"/>
      <w:marRight w:val="0"/>
      <w:marTop w:val="160"/>
      <w:marBottom w:val="160"/>
      <w:divBdr>
        <w:top w:val="none" w:sz="0" w:space="0" w:color="auto"/>
        <w:left w:val="none" w:sz="0" w:space="0" w:color="auto"/>
        <w:bottom w:val="none" w:sz="0" w:space="0" w:color="auto"/>
        <w:right w:val="none" w:sz="0" w:space="0" w:color="auto"/>
      </w:divBdr>
    </w:div>
    <w:div w:id="1030759652">
      <w:marLeft w:val="0"/>
      <w:marRight w:val="0"/>
      <w:marTop w:val="160"/>
      <w:marBottom w:val="160"/>
      <w:divBdr>
        <w:top w:val="none" w:sz="0" w:space="0" w:color="auto"/>
        <w:left w:val="none" w:sz="0" w:space="0" w:color="auto"/>
        <w:bottom w:val="none" w:sz="0" w:space="0" w:color="auto"/>
        <w:right w:val="none" w:sz="0" w:space="0" w:color="auto"/>
      </w:divBdr>
    </w:div>
    <w:div w:id="1031417574">
      <w:marLeft w:val="0"/>
      <w:marRight w:val="0"/>
      <w:marTop w:val="160"/>
      <w:marBottom w:val="160"/>
      <w:divBdr>
        <w:top w:val="none" w:sz="0" w:space="0" w:color="auto"/>
        <w:left w:val="none" w:sz="0" w:space="0" w:color="auto"/>
        <w:bottom w:val="none" w:sz="0" w:space="0" w:color="auto"/>
        <w:right w:val="none" w:sz="0" w:space="0" w:color="auto"/>
      </w:divBdr>
    </w:div>
    <w:div w:id="1034960459">
      <w:marLeft w:val="0"/>
      <w:marRight w:val="0"/>
      <w:marTop w:val="0"/>
      <w:marBottom w:val="160"/>
      <w:divBdr>
        <w:top w:val="none" w:sz="0" w:space="0" w:color="auto"/>
        <w:left w:val="none" w:sz="0" w:space="0" w:color="auto"/>
        <w:bottom w:val="none" w:sz="0" w:space="0" w:color="auto"/>
        <w:right w:val="none" w:sz="0" w:space="0" w:color="auto"/>
      </w:divBdr>
    </w:div>
    <w:div w:id="1036933488">
      <w:marLeft w:val="0"/>
      <w:marRight w:val="0"/>
      <w:marTop w:val="160"/>
      <w:marBottom w:val="160"/>
      <w:divBdr>
        <w:top w:val="none" w:sz="0" w:space="0" w:color="auto"/>
        <w:left w:val="none" w:sz="0" w:space="0" w:color="auto"/>
        <w:bottom w:val="none" w:sz="0" w:space="0" w:color="auto"/>
        <w:right w:val="none" w:sz="0" w:space="0" w:color="auto"/>
      </w:divBdr>
    </w:div>
    <w:div w:id="1037896084">
      <w:marLeft w:val="0"/>
      <w:marRight w:val="0"/>
      <w:marTop w:val="160"/>
      <w:marBottom w:val="160"/>
      <w:divBdr>
        <w:top w:val="none" w:sz="0" w:space="0" w:color="auto"/>
        <w:left w:val="none" w:sz="0" w:space="0" w:color="auto"/>
        <w:bottom w:val="none" w:sz="0" w:space="0" w:color="auto"/>
        <w:right w:val="none" w:sz="0" w:space="0" w:color="auto"/>
      </w:divBdr>
    </w:div>
    <w:div w:id="1040207616">
      <w:marLeft w:val="0"/>
      <w:marRight w:val="0"/>
      <w:marTop w:val="0"/>
      <w:marBottom w:val="0"/>
      <w:divBdr>
        <w:top w:val="none" w:sz="0" w:space="0" w:color="auto"/>
        <w:left w:val="none" w:sz="0" w:space="0" w:color="auto"/>
        <w:bottom w:val="none" w:sz="0" w:space="0" w:color="auto"/>
        <w:right w:val="none" w:sz="0" w:space="0" w:color="auto"/>
      </w:divBdr>
      <w:divsChild>
        <w:div w:id="2114668324">
          <w:marLeft w:val="0"/>
          <w:marRight w:val="0"/>
          <w:marTop w:val="0"/>
          <w:marBottom w:val="0"/>
          <w:divBdr>
            <w:top w:val="none" w:sz="0" w:space="0" w:color="auto"/>
            <w:left w:val="none" w:sz="0" w:space="0" w:color="auto"/>
            <w:bottom w:val="none" w:sz="0" w:space="0" w:color="auto"/>
            <w:right w:val="none" w:sz="0" w:space="0" w:color="auto"/>
          </w:divBdr>
        </w:div>
      </w:divsChild>
    </w:div>
    <w:div w:id="1043988628">
      <w:marLeft w:val="0"/>
      <w:marRight w:val="0"/>
      <w:marTop w:val="160"/>
      <w:marBottom w:val="160"/>
      <w:divBdr>
        <w:top w:val="none" w:sz="0" w:space="0" w:color="auto"/>
        <w:left w:val="none" w:sz="0" w:space="0" w:color="auto"/>
        <w:bottom w:val="none" w:sz="0" w:space="0" w:color="auto"/>
        <w:right w:val="none" w:sz="0" w:space="0" w:color="auto"/>
      </w:divBdr>
    </w:div>
    <w:div w:id="1053776266">
      <w:marLeft w:val="0"/>
      <w:marRight w:val="0"/>
      <w:marTop w:val="160"/>
      <w:marBottom w:val="160"/>
      <w:divBdr>
        <w:top w:val="none" w:sz="0" w:space="0" w:color="auto"/>
        <w:left w:val="none" w:sz="0" w:space="0" w:color="auto"/>
        <w:bottom w:val="none" w:sz="0" w:space="0" w:color="auto"/>
        <w:right w:val="none" w:sz="0" w:space="0" w:color="auto"/>
      </w:divBdr>
    </w:div>
    <w:div w:id="1054547082">
      <w:marLeft w:val="0"/>
      <w:marRight w:val="0"/>
      <w:marTop w:val="160"/>
      <w:marBottom w:val="160"/>
      <w:divBdr>
        <w:top w:val="none" w:sz="0" w:space="0" w:color="auto"/>
        <w:left w:val="none" w:sz="0" w:space="0" w:color="auto"/>
        <w:bottom w:val="none" w:sz="0" w:space="0" w:color="auto"/>
        <w:right w:val="none" w:sz="0" w:space="0" w:color="auto"/>
      </w:divBdr>
    </w:div>
    <w:div w:id="1062943349">
      <w:marLeft w:val="0"/>
      <w:marRight w:val="0"/>
      <w:marTop w:val="160"/>
      <w:marBottom w:val="160"/>
      <w:divBdr>
        <w:top w:val="none" w:sz="0" w:space="0" w:color="auto"/>
        <w:left w:val="none" w:sz="0" w:space="0" w:color="auto"/>
        <w:bottom w:val="none" w:sz="0" w:space="0" w:color="auto"/>
        <w:right w:val="none" w:sz="0" w:space="0" w:color="auto"/>
      </w:divBdr>
    </w:div>
    <w:div w:id="1063873537">
      <w:marLeft w:val="0"/>
      <w:marRight w:val="0"/>
      <w:marTop w:val="0"/>
      <w:marBottom w:val="0"/>
      <w:divBdr>
        <w:top w:val="none" w:sz="0" w:space="0" w:color="auto"/>
        <w:left w:val="none" w:sz="0" w:space="0" w:color="auto"/>
        <w:bottom w:val="none" w:sz="0" w:space="0" w:color="auto"/>
        <w:right w:val="none" w:sz="0" w:space="0" w:color="auto"/>
      </w:divBdr>
      <w:divsChild>
        <w:div w:id="1140073526">
          <w:marLeft w:val="0"/>
          <w:marRight w:val="0"/>
          <w:marTop w:val="0"/>
          <w:marBottom w:val="0"/>
          <w:divBdr>
            <w:top w:val="none" w:sz="0" w:space="0" w:color="auto"/>
            <w:left w:val="none" w:sz="0" w:space="0" w:color="auto"/>
            <w:bottom w:val="none" w:sz="0" w:space="0" w:color="auto"/>
            <w:right w:val="none" w:sz="0" w:space="0" w:color="auto"/>
          </w:divBdr>
        </w:div>
      </w:divsChild>
    </w:div>
    <w:div w:id="1067339279">
      <w:marLeft w:val="0"/>
      <w:marRight w:val="0"/>
      <w:marTop w:val="160"/>
      <w:marBottom w:val="160"/>
      <w:divBdr>
        <w:top w:val="none" w:sz="0" w:space="0" w:color="auto"/>
        <w:left w:val="none" w:sz="0" w:space="0" w:color="auto"/>
        <w:bottom w:val="none" w:sz="0" w:space="0" w:color="auto"/>
        <w:right w:val="none" w:sz="0" w:space="0" w:color="auto"/>
      </w:divBdr>
    </w:div>
    <w:div w:id="1070421073">
      <w:marLeft w:val="0"/>
      <w:marRight w:val="0"/>
      <w:marTop w:val="160"/>
      <w:marBottom w:val="160"/>
      <w:divBdr>
        <w:top w:val="none" w:sz="0" w:space="0" w:color="auto"/>
        <w:left w:val="none" w:sz="0" w:space="0" w:color="auto"/>
        <w:bottom w:val="none" w:sz="0" w:space="0" w:color="auto"/>
        <w:right w:val="none" w:sz="0" w:space="0" w:color="auto"/>
      </w:divBdr>
    </w:div>
    <w:div w:id="1083138285">
      <w:marLeft w:val="0"/>
      <w:marRight w:val="0"/>
      <w:marTop w:val="160"/>
      <w:marBottom w:val="160"/>
      <w:divBdr>
        <w:top w:val="none" w:sz="0" w:space="0" w:color="auto"/>
        <w:left w:val="none" w:sz="0" w:space="0" w:color="auto"/>
        <w:bottom w:val="none" w:sz="0" w:space="0" w:color="auto"/>
        <w:right w:val="none" w:sz="0" w:space="0" w:color="auto"/>
      </w:divBdr>
    </w:div>
    <w:div w:id="1085303954">
      <w:marLeft w:val="0"/>
      <w:marRight w:val="0"/>
      <w:marTop w:val="160"/>
      <w:marBottom w:val="160"/>
      <w:divBdr>
        <w:top w:val="none" w:sz="0" w:space="0" w:color="auto"/>
        <w:left w:val="none" w:sz="0" w:space="0" w:color="auto"/>
        <w:bottom w:val="none" w:sz="0" w:space="0" w:color="auto"/>
        <w:right w:val="none" w:sz="0" w:space="0" w:color="auto"/>
      </w:divBdr>
    </w:div>
    <w:div w:id="1091049969">
      <w:marLeft w:val="0"/>
      <w:marRight w:val="0"/>
      <w:marTop w:val="160"/>
      <w:marBottom w:val="160"/>
      <w:divBdr>
        <w:top w:val="none" w:sz="0" w:space="0" w:color="auto"/>
        <w:left w:val="none" w:sz="0" w:space="0" w:color="auto"/>
        <w:bottom w:val="none" w:sz="0" w:space="0" w:color="auto"/>
        <w:right w:val="none" w:sz="0" w:space="0" w:color="auto"/>
      </w:divBdr>
    </w:div>
    <w:div w:id="1091972354">
      <w:marLeft w:val="0"/>
      <w:marRight w:val="0"/>
      <w:marTop w:val="160"/>
      <w:marBottom w:val="160"/>
      <w:divBdr>
        <w:top w:val="none" w:sz="0" w:space="0" w:color="auto"/>
        <w:left w:val="none" w:sz="0" w:space="0" w:color="auto"/>
        <w:bottom w:val="none" w:sz="0" w:space="0" w:color="auto"/>
        <w:right w:val="none" w:sz="0" w:space="0" w:color="auto"/>
      </w:divBdr>
    </w:div>
    <w:div w:id="1092510033">
      <w:marLeft w:val="0"/>
      <w:marRight w:val="0"/>
      <w:marTop w:val="160"/>
      <w:marBottom w:val="160"/>
      <w:divBdr>
        <w:top w:val="none" w:sz="0" w:space="0" w:color="auto"/>
        <w:left w:val="none" w:sz="0" w:space="0" w:color="auto"/>
        <w:bottom w:val="none" w:sz="0" w:space="0" w:color="auto"/>
        <w:right w:val="none" w:sz="0" w:space="0" w:color="auto"/>
      </w:divBdr>
    </w:div>
    <w:div w:id="1096942104">
      <w:marLeft w:val="0"/>
      <w:marRight w:val="0"/>
      <w:marTop w:val="160"/>
      <w:marBottom w:val="160"/>
      <w:divBdr>
        <w:top w:val="none" w:sz="0" w:space="0" w:color="auto"/>
        <w:left w:val="none" w:sz="0" w:space="0" w:color="auto"/>
        <w:bottom w:val="none" w:sz="0" w:space="0" w:color="auto"/>
        <w:right w:val="none" w:sz="0" w:space="0" w:color="auto"/>
      </w:divBdr>
    </w:div>
    <w:div w:id="1102648395">
      <w:marLeft w:val="0"/>
      <w:marRight w:val="0"/>
      <w:marTop w:val="160"/>
      <w:marBottom w:val="160"/>
      <w:divBdr>
        <w:top w:val="none" w:sz="0" w:space="0" w:color="auto"/>
        <w:left w:val="none" w:sz="0" w:space="0" w:color="auto"/>
        <w:bottom w:val="none" w:sz="0" w:space="0" w:color="auto"/>
        <w:right w:val="none" w:sz="0" w:space="0" w:color="auto"/>
      </w:divBdr>
    </w:div>
    <w:div w:id="1105999477">
      <w:marLeft w:val="0"/>
      <w:marRight w:val="0"/>
      <w:marTop w:val="160"/>
      <w:marBottom w:val="160"/>
      <w:divBdr>
        <w:top w:val="none" w:sz="0" w:space="0" w:color="auto"/>
        <w:left w:val="none" w:sz="0" w:space="0" w:color="auto"/>
        <w:bottom w:val="none" w:sz="0" w:space="0" w:color="auto"/>
        <w:right w:val="none" w:sz="0" w:space="0" w:color="auto"/>
      </w:divBdr>
    </w:div>
    <w:div w:id="1108887377">
      <w:marLeft w:val="0"/>
      <w:marRight w:val="0"/>
      <w:marTop w:val="0"/>
      <w:marBottom w:val="0"/>
      <w:divBdr>
        <w:top w:val="none" w:sz="0" w:space="0" w:color="auto"/>
        <w:left w:val="none" w:sz="0" w:space="0" w:color="auto"/>
        <w:bottom w:val="none" w:sz="0" w:space="0" w:color="auto"/>
        <w:right w:val="none" w:sz="0" w:space="0" w:color="auto"/>
      </w:divBdr>
      <w:divsChild>
        <w:div w:id="1352683454">
          <w:marLeft w:val="0"/>
          <w:marRight w:val="0"/>
          <w:marTop w:val="0"/>
          <w:marBottom w:val="0"/>
          <w:divBdr>
            <w:top w:val="none" w:sz="0" w:space="0" w:color="auto"/>
            <w:left w:val="none" w:sz="0" w:space="0" w:color="auto"/>
            <w:bottom w:val="none" w:sz="0" w:space="0" w:color="auto"/>
            <w:right w:val="none" w:sz="0" w:space="0" w:color="auto"/>
          </w:divBdr>
        </w:div>
      </w:divsChild>
    </w:div>
    <w:div w:id="1115053110">
      <w:marLeft w:val="0"/>
      <w:marRight w:val="0"/>
      <w:marTop w:val="160"/>
      <w:marBottom w:val="160"/>
      <w:divBdr>
        <w:top w:val="none" w:sz="0" w:space="0" w:color="auto"/>
        <w:left w:val="none" w:sz="0" w:space="0" w:color="auto"/>
        <w:bottom w:val="none" w:sz="0" w:space="0" w:color="auto"/>
        <w:right w:val="none" w:sz="0" w:space="0" w:color="auto"/>
      </w:divBdr>
    </w:div>
    <w:div w:id="1123111597">
      <w:marLeft w:val="0"/>
      <w:marRight w:val="0"/>
      <w:marTop w:val="160"/>
      <w:marBottom w:val="160"/>
      <w:divBdr>
        <w:top w:val="none" w:sz="0" w:space="0" w:color="auto"/>
        <w:left w:val="none" w:sz="0" w:space="0" w:color="auto"/>
        <w:bottom w:val="none" w:sz="0" w:space="0" w:color="auto"/>
        <w:right w:val="none" w:sz="0" w:space="0" w:color="auto"/>
      </w:divBdr>
    </w:div>
    <w:div w:id="1124151633">
      <w:marLeft w:val="0"/>
      <w:marRight w:val="0"/>
      <w:marTop w:val="160"/>
      <w:marBottom w:val="160"/>
      <w:divBdr>
        <w:top w:val="none" w:sz="0" w:space="0" w:color="auto"/>
        <w:left w:val="none" w:sz="0" w:space="0" w:color="auto"/>
        <w:bottom w:val="none" w:sz="0" w:space="0" w:color="auto"/>
        <w:right w:val="none" w:sz="0" w:space="0" w:color="auto"/>
      </w:divBdr>
    </w:div>
    <w:div w:id="1132746099">
      <w:marLeft w:val="0"/>
      <w:marRight w:val="0"/>
      <w:marTop w:val="160"/>
      <w:marBottom w:val="160"/>
      <w:divBdr>
        <w:top w:val="none" w:sz="0" w:space="0" w:color="auto"/>
        <w:left w:val="none" w:sz="0" w:space="0" w:color="auto"/>
        <w:bottom w:val="none" w:sz="0" w:space="0" w:color="auto"/>
        <w:right w:val="none" w:sz="0" w:space="0" w:color="auto"/>
      </w:divBdr>
    </w:div>
    <w:div w:id="1133445441">
      <w:marLeft w:val="0"/>
      <w:marRight w:val="0"/>
      <w:marTop w:val="0"/>
      <w:marBottom w:val="0"/>
      <w:divBdr>
        <w:top w:val="none" w:sz="0" w:space="0" w:color="auto"/>
        <w:left w:val="none" w:sz="0" w:space="0" w:color="auto"/>
        <w:bottom w:val="none" w:sz="0" w:space="0" w:color="auto"/>
        <w:right w:val="none" w:sz="0" w:space="0" w:color="auto"/>
      </w:divBdr>
      <w:divsChild>
        <w:div w:id="1580553847">
          <w:marLeft w:val="0"/>
          <w:marRight w:val="0"/>
          <w:marTop w:val="0"/>
          <w:marBottom w:val="0"/>
          <w:divBdr>
            <w:top w:val="none" w:sz="0" w:space="0" w:color="auto"/>
            <w:left w:val="none" w:sz="0" w:space="0" w:color="auto"/>
            <w:bottom w:val="none" w:sz="0" w:space="0" w:color="auto"/>
            <w:right w:val="none" w:sz="0" w:space="0" w:color="auto"/>
          </w:divBdr>
        </w:div>
      </w:divsChild>
    </w:div>
    <w:div w:id="1135564081">
      <w:marLeft w:val="0"/>
      <w:marRight w:val="0"/>
      <w:marTop w:val="160"/>
      <w:marBottom w:val="160"/>
      <w:divBdr>
        <w:top w:val="none" w:sz="0" w:space="0" w:color="auto"/>
        <w:left w:val="none" w:sz="0" w:space="0" w:color="auto"/>
        <w:bottom w:val="none" w:sz="0" w:space="0" w:color="auto"/>
        <w:right w:val="none" w:sz="0" w:space="0" w:color="auto"/>
      </w:divBdr>
    </w:div>
    <w:div w:id="1138693675">
      <w:marLeft w:val="0"/>
      <w:marRight w:val="0"/>
      <w:marTop w:val="0"/>
      <w:marBottom w:val="0"/>
      <w:divBdr>
        <w:top w:val="none" w:sz="0" w:space="0" w:color="auto"/>
        <w:left w:val="none" w:sz="0" w:space="0" w:color="auto"/>
        <w:bottom w:val="none" w:sz="0" w:space="0" w:color="auto"/>
        <w:right w:val="none" w:sz="0" w:space="0" w:color="auto"/>
      </w:divBdr>
      <w:divsChild>
        <w:div w:id="416631455">
          <w:marLeft w:val="0"/>
          <w:marRight w:val="0"/>
          <w:marTop w:val="0"/>
          <w:marBottom w:val="0"/>
          <w:divBdr>
            <w:top w:val="none" w:sz="0" w:space="0" w:color="auto"/>
            <w:left w:val="none" w:sz="0" w:space="0" w:color="auto"/>
            <w:bottom w:val="none" w:sz="0" w:space="0" w:color="auto"/>
            <w:right w:val="none" w:sz="0" w:space="0" w:color="auto"/>
          </w:divBdr>
        </w:div>
      </w:divsChild>
    </w:div>
    <w:div w:id="1140265141">
      <w:marLeft w:val="0"/>
      <w:marRight w:val="0"/>
      <w:marTop w:val="160"/>
      <w:marBottom w:val="160"/>
      <w:divBdr>
        <w:top w:val="none" w:sz="0" w:space="0" w:color="auto"/>
        <w:left w:val="none" w:sz="0" w:space="0" w:color="auto"/>
        <w:bottom w:val="none" w:sz="0" w:space="0" w:color="auto"/>
        <w:right w:val="none" w:sz="0" w:space="0" w:color="auto"/>
      </w:divBdr>
    </w:div>
    <w:div w:id="1140879862">
      <w:marLeft w:val="0"/>
      <w:marRight w:val="0"/>
      <w:marTop w:val="160"/>
      <w:marBottom w:val="160"/>
      <w:divBdr>
        <w:top w:val="none" w:sz="0" w:space="0" w:color="auto"/>
        <w:left w:val="none" w:sz="0" w:space="0" w:color="auto"/>
        <w:bottom w:val="none" w:sz="0" w:space="0" w:color="auto"/>
        <w:right w:val="none" w:sz="0" w:space="0" w:color="auto"/>
      </w:divBdr>
    </w:div>
    <w:div w:id="1142696662">
      <w:marLeft w:val="0"/>
      <w:marRight w:val="0"/>
      <w:marTop w:val="160"/>
      <w:marBottom w:val="160"/>
      <w:divBdr>
        <w:top w:val="none" w:sz="0" w:space="0" w:color="auto"/>
        <w:left w:val="none" w:sz="0" w:space="0" w:color="auto"/>
        <w:bottom w:val="none" w:sz="0" w:space="0" w:color="auto"/>
        <w:right w:val="none" w:sz="0" w:space="0" w:color="auto"/>
      </w:divBdr>
    </w:div>
    <w:div w:id="1145199915">
      <w:marLeft w:val="0"/>
      <w:marRight w:val="0"/>
      <w:marTop w:val="160"/>
      <w:marBottom w:val="160"/>
      <w:divBdr>
        <w:top w:val="none" w:sz="0" w:space="0" w:color="auto"/>
        <w:left w:val="none" w:sz="0" w:space="0" w:color="auto"/>
        <w:bottom w:val="none" w:sz="0" w:space="0" w:color="auto"/>
        <w:right w:val="none" w:sz="0" w:space="0" w:color="auto"/>
      </w:divBdr>
    </w:div>
    <w:div w:id="1150629945">
      <w:marLeft w:val="0"/>
      <w:marRight w:val="0"/>
      <w:marTop w:val="160"/>
      <w:marBottom w:val="160"/>
      <w:divBdr>
        <w:top w:val="none" w:sz="0" w:space="0" w:color="auto"/>
        <w:left w:val="none" w:sz="0" w:space="0" w:color="auto"/>
        <w:bottom w:val="none" w:sz="0" w:space="0" w:color="auto"/>
        <w:right w:val="none" w:sz="0" w:space="0" w:color="auto"/>
      </w:divBdr>
    </w:div>
    <w:div w:id="1154955891">
      <w:marLeft w:val="0"/>
      <w:marRight w:val="0"/>
      <w:marTop w:val="0"/>
      <w:marBottom w:val="0"/>
      <w:divBdr>
        <w:top w:val="none" w:sz="0" w:space="0" w:color="auto"/>
        <w:left w:val="none" w:sz="0" w:space="0" w:color="auto"/>
        <w:bottom w:val="none" w:sz="0" w:space="0" w:color="auto"/>
        <w:right w:val="none" w:sz="0" w:space="0" w:color="auto"/>
      </w:divBdr>
      <w:divsChild>
        <w:div w:id="1271161455">
          <w:marLeft w:val="0"/>
          <w:marRight w:val="0"/>
          <w:marTop w:val="160"/>
          <w:marBottom w:val="160"/>
          <w:divBdr>
            <w:top w:val="none" w:sz="0" w:space="0" w:color="auto"/>
            <w:left w:val="none" w:sz="0" w:space="0" w:color="auto"/>
            <w:bottom w:val="none" w:sz="0" w:space="0" w:color="auto"/>
            <w:right w:val="none" w:sz="0" w:space="0" w:color="auto"/>
          </w:divBdr>
        </w:div>
        <w:div w:id="1385913873">
          <w:marLeft w:val="0"/>
          <w:marRight w:val="0"/>
          <w:marTop w:val="160"/>
          <w:marBottom w:val="160"/>
          <w:divBdr>
            <w:top w:val="none" w:sz="0" w:space="0" w:color="auto"/>
            <w:left w:val="none" w:sz="0" w:space="0" w:color="auto"/>
            <w:bottom w:val="none" w:sz="0" w:space="0" w:color="auto"/>
            <w:right w:val="none" w:sz="0" w:space="0" w:color="auto"/>
          </w:divBdr>
        </w:div>
        <w:div w:id="1364402060">
          <w:marLeft w:val="0"/>
          <w:marRight w:val="0"/>
          <w:marTop w:val="160"/>
          <w:marBottom w:val="160"/>
          <w:divBdr>
            <w:top w:val="none" w:sz="0" w:space="0" w:color="auto"/>
            <w:left w:val="none" w:sz="0" w:space="0" w:color="auto"/>
            <w:bottom w:val="none" w:sz="0" w:space="0" w:color="auto"/>
            <w:right w:val="none" w:sz="0" w:space="0" w:color="auto"/>
          </w:divBdr>
        </w:div>
        <w:div w:id="1426419259">
          <w:marLeft w:val="0"/>
          <w:marRight w:val="0"/>
          <w:marTop w:val="160"/>
          <w:marBottom w:val="160"/>
          <w:divBdr>
            <w:top w:val="none" w:sz="0" w:space="0" w:color="auto"/>
            <w:left w:val="none" w:sz="0" w:space="0" w:color="auto"/>
            <w:bottom w:val="none" w:sz="0" w:space="0" w:color="auto"/>
            <w:right w:val="none" w:sz="0" w:space="0" w:color="auto"/>
          </w:divBdr>
        </w:div>
        <w:div w:id="128862871">
          <w:marLeft w:val="0"/>
          <w:marRight w:val="0"/>
          <w:marTop w:val="160"/>
          <w:marBottom w:val="160"/>
          <w:divBdr>
            <w:top w:val="none" w:sz="0" w:space="0" w:color="auto"/>
            <w:left w:val="none" w:sz="0" w:space="0" w:color="auto"/>
            <w:bottom w:val="none" w:sz="0" w:space="0" w:color="auto"/>
            <w:right w:val="none" w:sz="0" w:space="0" w:color="auto"/>
          </w:divBdr>
        </w:div>
        <w:div w:id="604848454">
          <w:marLeft w:val="0"/>
          <w:marRight w:val="0"/>
          <w:marTop w:val="160"/>
          <w:marBottom w:val="160"/>
          <w:divBdr>
            <w:top w:val="none" w:sz="0" w:space="0" w:color="auto"/>
            <w:left w:val="none" w:sz="0" w:space="0" w:color="auto"/>
            <w:bottom w:val="none" w:sz="0" w:space="0" w:color="auto"/>
            <w:right w:val="none" w:sz="0" w:space="0" w:color="auto"/>
          </w:divBdr>
        </w:div>
        <w:div w:id="787822397">
          <w:marLeft w:val="0"/>
          <w:marRight w:val="0"/>
          <w:marTop w:val="0"/>
          <w:marBottom w:val="0"/>
          <w:divBdr>
            <w:top w:val="none" w:sz="0" w:space="0" w:color="auto"/>
            <w:left w:val="none" w:sz="0" w:space="0" w:color="auto"/>
            <w:bottom w:val="none" w:sz="0" w:space="0" w:color="auto"/>
            <w:right w:val="none" w:sz="0" w:space="0" w:color="auto"/>
          </w:divBdr>
        </w:div>
      </w:divsChild>
    </w:div>
    <w:div w:id="1155292121">
      <w:marLeft w:val="0"/>
      <w:marRight w:val="0"/>
      <w:marTop w:val="0"/>
      <w:marBottom w:val="0"/>
      <w:divBdr>
        <w:top w:val="none" w:sz="0" w:space="0" w:color="auto"/>
        <w:left w:val="none" w:sz="0" w:space="0" w:color="auto"/>
        <w:bottom w:val="none" w:sz="0" w:space="0" w:color="auto"/>
        <w:right w:val="none" w:sz="0" w:space="0" w:color="auto"/>
      </w:divBdr>
      <w:divsChild>
        <w:div w:id="330912972">
          <w:marLeft w:val="0"/>
          <w:marRight w:val="0"/>
          <w:marTop w:val="0"/>
          <w:marBottom w:val="0"/>
          <w:divBdr>
            <w:top w:val="none" w:sz="0" w:space="0" w:color="auto"/>
            <w:left w:val="none" w:sz="0" w:space="0" w:color="auto"/>
            <w:bottom w:val="none" w:sz="0" w:space="0" w:color="auto"/>
            <w:right w:val="none" w:sz="0" w:space="0" w:color="auto"/>
          </w:divBdr>
        </w:div>
      </w:divsChild>
    </w:div>
    <w:div w:id="1157265719">
      <w:marLeft w:val="0"/>
      <w:marRight w:val="0"/>
      <w:marTop w:val="160"/>
      <w:marBottom w:val="160"/>
      <w:divBdr>
        <w:top w:val="none" w:sz="0" w:space="0" w:color="auto"/>
        <w:left w:val="none" w:sz="0" w:space="0" w:color="auto"/>
        <w:bottom w:val="none" w:sz="0" w:space="0" w:color="auto"/>
        <w:right w:val="none" w:sz="0" w:space="0" w:color="auto"/>
      </w:divBdr>
    </w:div>
    <w:div w:id="1157458999">
      <w:marLeft w:val="0"/>
      <w:marRight w:val="0"/>
      <w:marTop w:val="160"/>
      <w:marBottom w:val="160"/>
      <w:divBdr>
        <w:top w:val="none" w:sz="0" w:space="0" w:color="auto"/>
        <w:left w:val="none" w:sz="0" w:space="0" w:color="auto"/>
        <w:bottom w:val="none" w:sz="0" w:space="0" w:color="auto"/>
        <w:right w:val="none" w:sz="0" w:space="0" w:color="auto"/>
      </w:divBdr>
    </w:div>
    <w:div w:id="1163929589">
      <w:marLeft w:val="0"/>
      <w:marRight w:val="0"/>
      <w:marTop w:val="160"/>
      <w:marBottom w:val="160"/>
      <w:divBdr>
        <w:top w:val="none" w:sz="0" w:space="0" w:color="auto"/>
        <w:left w:val="none" w:sz="0" w:space="0" w:color="auto"/>
        <w:bottom w:val="none" w:sz="0" w:space="0" w:color="auto"/>
        <w:right w:val="none" w:sz="0" w:space="0" w:color="auto"/>
      </w:divBdr>
    </w:div>
    <w:div w:id="1168014144">
      <w:marLeft w:val="0"/>
      <w:marRight w:val="0"/>
      <w:marTop w:val="160"/>
      <w:marBottom w:val="160"/>
      <w:divBdr>
        <w:top w:val="none" w:sz="0" w:space="0" w:color="auto"/>
        <w:left w:val="none" w:sz="0" w:space="0" w:color="auto"/>
        <w:bottom w:val="none" w:sz="0" w:space="0" w:color="auto"/>
        <w:right w:val="none" w:sz="0" w:space="0" w:color="auto"/>
      </w:divBdr>
      <w:divsChild>
        <w:div w:id="1568227547">
          <w:marLeft w:val="0"/>
          <w:marRight w:val="0"/>
          <w:marTop w:val="160"/>
          <w:marBottom w:val="160"/>
          <w:divBdr>
            <w:top w:val="none" w:sz="0" w:space="0" w:color="auto"/>
            <w:left w:val="none" w:sz="0" w:space="0" w:color="auto"/>
            <w:bottom w:val="none" w:sz="0" w:space="0" w:color="auto"/>
            <w:right w:val="none" w:sz="0" w:space="0" w:color="auto"/>
          </w:divBdr>
        </w:div>
      </w:divsChild>
    </w:div>
    <w:div w:id="1174759567">
      <w:marLeft w:val="0"/>
      <w:marRight w:val="0"/>
      <w:marTop w:val="0"/>
      <w:marBottom w:val="0"/>
      <w:divBdr>
        <w:top w:val="none" w:sz="0" w:space="0" w:color="auto"/>
        <w:left w:val="none" w:sz="0" w:space="0" w:color="auto"/>
        <w:bottom w:val="none" w:sz="0" w:space="0" w:color="auto"/>
        <w:right w:val="none" w:sz="0" w:space="0" w:color="auto"/>
      </w:divBdr>
      <w:divsChild>
        <w:div w:id="976497839">
          <w:marLeft w:val="0"/>
          <w:marRight w:val="0"/>
          <w:marTop w:val="0"/>
          <w:marBottom w:val="0"/>
          <w:divBdr>
            <w:top w:val="none" w:sz="0" w:space="0" w:color="auto"/>
            <w:left w:val="none" w:sz="0" w:space="0" w:color="auto"/>
            <w:bottom w:val="none" w:sz="0" w:space="0" w:color="auto"/>
            <w:right w:val="none" w:sz="0" w:space="0" w:color="auto"/>
          </w:divBdr>
        </w:div>
      </w:divsChild>
    </w:div>
    <w:div w:id="1181703425">
      <w:marLeft w:val="0"/>
      <w:marRight w:val="0"/>
      <w:marTop w:val="160"/>
      <w:marBottom w:val="160"/>
      <w:divBdr>
        <w:top w:val="none" w:sz="0" w:space="0" w:color="auto"/>
        <w:left w:val="none" w:sz="0" w:space="0" w:color="auto"/>
        <w:bottom w:val="none" w:sz="0" w:space="0" w:color="auto"/>
        <w:right w:val="none" w:sz="0" w:space="0" w:color="auto"/>
      </w:divBdr>
    </w:div>
    <w:div w:id="1191451480">
      <w:marLeft w:val="0"/>
      <w:marRight w:val="0"/>
      <w:marTop w:val="160"/>
      <w:marBottom w:val="160"/>
      <w:divBdr>
        <w:top w:val="none" w:sz="0" w:space="0" w:color="auto"/>
        <w:left w:val="none" w:sz="0" w:space="0" w:color="auto"/>
        <w:bottom w:val="none" w:sz="0" w:space="0" w:color="auto"/>
        <w:right w:val="none" w:sz="0" w:space="0" w:color="auto"/>
      </w:divBdr>
    </w:div>
    <w:div w:id="1194271942">
      <w:marLeft w:val="0"/>
      <w:marRight w:val="0"/>
      <w:marTop w:val="0"/>
      <w:marBottom w:val="0"/>
      <w:divBdr>
        <w:top w:val="none" w:sz="0" w:space="0" w:color="auto"/>
        <w:left w:val="none" w:sz="0" w:space="0" w:color="auto"/>
        <w:bottom w:val="none" w:sz="0" w:space="0" w:color="auto"/>
        <w:right w:val="none" w:sz="0" w:space="0" w:color="auto"/>
      </w:divBdr>
    </w:div>
    <w:div w:id="1199049732">
      <w:marLeft w:val="0"/>
      <w:marRight w:val="0"/>
      <w:marTop w:val="160"/>
      <w:marBottom w:val="160"/>
      <w:divBdr>
        <w:top w:val="none" w:sz="0" w:space="0" w:color="auto"/>
        <w:left w:val="none" w:sz="0" w:space="0" w:color="auto"/>
        <w:bottom w:val="none" w:sz="0" w:space="0" w:color="auto"/>
        <w:right w:val="none" w:sz="0" w:space="0" w:color="auto"/>
      </w:divBdr>
    </w:div>
    <w:div w:id="1203205242">
      <w:marLeft w:val="0"/>
      <w:marRight w:val="0"/>
      <w:marTop w:val="60"/>
      <w:marBottom w:val="60"/>
      <w:divBdr>
        <w:top w:val="none" w:sz="0" w:space="0" w:color="auto"/>
        <w:left w:val="none" w:sz="0" w:space="0" w:color="auto"/>
        <w:bottom w:val="none" w:sz="0" w:space="0" w:color="auto"/>
        <w:right w:val="none" w:sz="0" w:space="0" w:color="auto"/>
      </w:divBdr>
    </w:div>
    <w:div w:id="1206134915">
      <w:marLeft w:val="0"/>
      <w:marRight w:val="0"/>
      <w:marTop w:val="0"/>
      <w:marBottom w:val="160"/>
      <w:divBdr>
        <w:top w:val="none" w:sz="0" w:space="0" w:color="auto"/>
        <w:left w:val="none" w:sz="0" w:space="0" w:color="auto"/>
        <w:bottom w:val="none" w:sz="0" w:space="0" w:color="auto"/>
        <w:right w:val="none" w:sz="0" w:space="0" w:color="auto"/>
      </w:divBdr>
    </w:div>
    <w:div w:id="1215197788">
      <w:marLeft w:val="0"/>
      <w:marRight w:val="0"/>
      <w:marTop w:val="0"/>
      <w:marBottom w:val="0"/>
      <w:divBdr>
        <w:top w:val="none" w:sz="0" w:space="0" w:color="auto"/>
        <w:left w:val="none" w:sz="0" w:space="0" w:color="auto"/>
        <w:bottom w:val="none" w:sz="0" w:space="0" w:color="auto"/>
        <w:right w:val="none" w:sz="0" w:space="0" w:color="auto"/>
      </w:divBdr>
      <w:divsChild>
        <w:div w:id="1191798736">
          <w:marLeft w:val="0"/>
          <w:marRight w:val="0"/>
          <w:marTop w:val="0"/>
          <w:marBottom w:val="0"/>
          <w:divBdr>
            <w:top w:val="none" w:sz="0" w:space="0" w:color="auto"/>
            <w:left w:val="none" w:sz="0" w:space="0" w:color="auto"/>
            <w:bottom w:val="none" w:sz="0" w:space="0" w:color="auto"/>
            <w:right w:val="none" w:sz="0" w:space="0" w:color="auto"/>
          </w:divBdr>
        </w:div>
      </w:divsChild>
    </w:div>
    <w:div w:id="1217279542">
      <w:marLeft w:val="0"/>
      <w:marRight w:val="0"/>
      <w:marTop w:val="160"/>
      <w:marBottom w:val="160"/>
      <w:divBdr>
        <w:top w:val="none" w:sz="0" w:space="0" w:color="auto"/>
        <w:left w:val="none" w:sz="0" w:space="0" w:color="auto"/>
        <w:bottom w:val="none" w:sz="0" w:space="0" w:color="auto"/>
        <w:right w:val="none" w:sz="0" w:space="0" w:color="auto"/>
      </w:divBdr>
    </w:div>
    <w:div w:id="1218665598">
      <w:marLeft w:val="0"/>
      <w:marRight w:val="0"/>
      <w:marTop w:val="160"/>
      <w:marBottom w:val="160"/>
      <w:divBdr>
        <w:top w:val="none" w:sz="0" w:space="0" w:color="auto"/>
        <w:left w:val="none" w:sz="0" w:space="0" w:color="auto"/>
        <w:bottom w:val="none" w:sz="0" w:space="0" w:color="auto"/>
        <w:right w:val="none" w:sz="0" w:space="0" w:color="auto"/>
      </w:divBdr>
    </w:div>
    <w:div w:id="1218782107">
      <w:marLeft w:val="0"/>
      <w:marRight w:val="0"/>
      <w:marTop w:val="160"/>
      <w:marBottom w:val="160"/>
      <w:divBdr>
        <w:top w:val="none" w:sz="0" w:space="0" w:color="auto"/>
        <w:left w:val="none" w:sz="0" w:space="0" w:color="auto"/>
        <w:bottom w:val="none" w:sz="0" w:space="0" w:color="auto"/>
        <w:right w:val="none" w:sz="0" w:space="0" w:color="auto"/>
      </w:divBdr>
    </w:div>
    <w:div w:id="1225726707">
      <w:marLeft w:val="0"/>
      <w:marRight w:val="0"/>
      <w:marTop w:val="0"/>
      <w:marBottom w:val="0"/>
      <w:divBdr>
        <w:top w:val="none" w:sz="0" w:space="0" w:color="auto"/>
        <w:left w:val="none" w:sz="0" w:space="0" w:color="auto"/>
        <w:bottom w:val="none" w:sz="0" w:space="0" w:color="auto"/>
        <w:right w:val="none" w:sz="0" w:space="0" w:color="auto"/>
      </w:divBdr>
    </w:div>
    <w:div w:id="1237125954">
      <w:marLeft w:val="0"/>
      <w:marRight w:val="0"/>
      <w:marTop w:val="160"/>
      <w:marBottom w:val="160"/>
      <w:divBdr>
        <w:top w:val="none" w:sz="0" w:space="0" w:color="auto"/>
        <w:left w:val="none" w:sz="0" w:space="0" w:color="auto"/>
        <w:bottom w:val="none" w:sz="0" w:space="0" w:color="auto"/>
        <w:right w:val="none" w:sz="0" w:space="0" w:color="auto"/>
      </w:divBdr>
    </w:div>
    <w:div w:id="1239054246">
      <w:marLeft w:val="0"/>
      <w:marRight w:val="0"/>
      <w:marTop w:val="160"/>
      <w:marBottom w:val="160"/>
      <w:divBdr>
        <w:top w:val="none" w:sz="0" w:space="0" w:color="auto"/>
        <w:left w:val="none" w:sz="0" w:space="0" w:color="auto"/>
        <w:bottom w:val="none" w:sz="0" w:space="0" w:color="auto"/>
        <w:right w:val="none" w:sz="0" w:space="0" w:color="auto"/>
      </w:divBdr>
    </w:div>
    <w:div w:id="1247836135">
      <w:marLeft w:val="0"/>
      <w:marRight w:val="0"/>
      <w:marTop w:val="160"/>
      <w:marBottom w:val="160"/>
      <w:divBdr>
        <w:top w:val="none" w:sz="0" w:space="0" w:color="auto"/>
        <w:left w:val="none" w:sz="0" w:space="0" w:color="auto"/>
        <w:bottom w:val="none" w:sz="0" w:space="0" w:color="auto"/>
        <w:right w:val="none" w:sz="0" w:space="0" w:color="auto"/>
      </w:divBdr>
    </w:div>
    <w:div w:id="1249731252">
      <w:marLeft w:val="0"/>
      <w:marRight w:val="0"/>
      <w:marTop w:val="160"/>
      <w:marBottom w:val="160"/>
      <w:divBdr>
        <w:top w:val="none" w:sz="0" w:space="0" w:color="auto"/>
        <w:left w:val="none" w:sz="0" w:space="0" w:color="auto"/>
        <w:bottom w:val="none" w:sz="0" w:space="0" w:color="auto"/>
        <w:right w:val="none" w:sz="0" w:space="0" w:color="auto"/>
      </w:divBdr>
    </w:div>
    <w:div w:id="1250433298">
      <w:marLeft w:val="0"/>
      <w:marRight w:val="0"/>
      <w:marTop w:val="0"/>
      <w:marBottom w:val="0"/>
      <w:divBdr>
        <w:top w:val="none" w:sz="0" w:space="0" w:color="auto"/>
        <w:left w:val="none" w:sz="0" w:space="0" w:color="auto"/>
        <w:bottom w:val="none" w:sz="0" w:space="0" w:color="auto"/>
        <w:right w:val="none" w:sz="0" w:space="0" w:color="auto"/>
      </w:divBdr>
      <w:divsChild>
        <w:div w:id="980967116">
          <w:marLeft w:val="0"/>
          <w:marRight w:val="0"/>
          <w:marTop w:val="0"/>
          <w:marBottom w:val="0"/>
          <w:divBdr>
            <w:top w:val="none" w:sz="0" w:space="0" w:color="auto"/>
            <w:left w:val="none" w:sz="0" w:space="0" w:color="auto"/>
            <w:bottom w:val="none" w:sz="0" w:space="0" w:color="auto"/>
            <w:right w:val="none" w:sz="0" w:space="0" w:color="auto"/>
          </w:divBdr>
        </w:div>
      </w:divsChild>
    </w:div>
    <w:div w:id="1254633478">
      <w:marLeft w:val="0"/>
      <w:marRight w:val="0"/>
      <w:marTop w:val="160"/>
      <w:marBottom w:val="160"/>
      <w:divBdr>
        <w:top w:val="none" w:sz="0" w:space="0" w:color="auto"/>
        <w:left w:val="none" w:sz="0" w:space="0" w:color="auto"/>
        <w:bottom w:val="none" w:sz="0" w:space="0" w:color="auto"/>
        <w:right w:val="none" w:sz="0" w:space="0" w:color="auto"/>
      </w:divBdr>
    </w:div>
    <w:div w:id="1255014779">
      <w:marLeft w:val="0"/>
      <w:marRight w:val="0"/>
      <w:marTop w:val="0"/>
      <w:marBottom w:val="0"/>
      <w:divBdr>
        <w:top w:val="none" w:sz="0" w:space="0" w:color="auto"/>
        <w:left w:val="none" w:sz="0" w:space="0" w:color="auto"/>
        <w:bottom w:val="none" w:sz="0" w:space="0" w:color="auto"/>
        <w:right w:val="none" w:sz="0" w:space="0" w:color="auto"/>
      </w:divBdr>
      <w:divsChild>
        <w:div w:id="918490295">
          <w:marLeft w:val="0"/>
          <w:marRight w:val="0"/>
          <w:marTop w:val="0"/>
          <w:marBottom w:val="0"/>
          <w:divBdr>
            <w:top w:val="none" w:sz="0" w:space="0" w:color="auto"/>
            <w:left w:val="none" w:sz="0" w:space="0" w:color="auto"/>
            <w:bottom w:val="none" w:sz="0" w:space="0" w:color="auto"/>
            <w:right w:val="none" w:sz="0" w:space="0" w:color="auto"/>
          </w:divBdr>
        </w:div>
      </w:divsChild>
    </w:div>
    <w:div w:id="1263100379">
      <w:marLeft w:val="0"/>
      <w:marRight w:val="0"/>
      <w:marTop w:val="160"/>
      <w:marBottom w:val="160"/>
      <w:divBdr>
        <w:top w:val="none" w:sz="0" w:space="0" w:color="auto"/>
        <w:left w:val="none" w:sz="0" w:space="0" w:color="auto"/>
        <w:bottom w:val="none" w:sz="0" w:space="0" w:color="auto"/>
        <w:right w:val="none" w:sz="0" w:space="0" w:color="auto"/>
      </w:divBdr>
    </w:div>
    <w:div w:id="1263805521">
      <w:marLeft w:val="0"/>
      <w:marRight w:val="0"/>
      <w:marTop w:val="160"/>
      <w:marBottom w:val="160"/>
      <w:divBdr>
        <w:top w:val="none" w:sz="0" w:space="0" w:color="auto"/>
        <w:left w:val="none" w:sz="0" w:space="0" w:color="auto"/>
        <w:bottom w:val="none" w:sz="0" w:space="0" w:color="auto"/>
        <w:right w:val="none" w:sz="0" w:space="0" w:color="auto"/>
      </w:divBdr>
    </w:div>
    <w:div w:id="1266497851">
      <w:marLeft w:val="0"/>
      <w:marRight w:val="0"/>
      <w:marTop w:val="0"/>
      <w:marBottom w:val="0"/>
      <w:divBdr>
        <w:top w:val="none" w:sz="0" w:space="0" w:color="auto"/>
        <w:left w:val="none" w:sz="0" w:space="0" w:color="auto"/>
        <w:bottom w:val="none" w:sz="0" w:space="0" w:color="auto"/>
        <w:right w:val="none" w:sz="0" w:space="0" w:color="auto"/>
      </w:divBdr>
      <w:divsChild>
        <w:div w:id="1899784431">
          <w:marLeft w:val="0"/>
          <w:marRight w:val="0"/>
          <w:marTop w:val="0"/>
          <w:marBottom w:val="0"/>
          <w:divBdr>
            <w:top w:val="none" w:sz="0" w:space="0" w:color="auto"/>
            <w:left w:val="none" w:sz="0" w:space="0" w:color="auto"/>
            <w:bottom w:val="none" w:sz="0" w:space="0" w:color="auto"/>
            <w:right w:val="none" w:sz="0" w:space="0" w:color="auto"/>
          </w:divBdr>
        </w:div>
      </w:divsChild>
    </w:div>
    <w:div w:id="1269705046">
      <w:marLeft w:val="0"/>
      <w:marRight w:val="0"/>
      <w:marTop w:val="0"/>
      <w:marBottom w:val="0"/>
      <w:divBdr>
        <w:top w:val="none" w:sz="0" w:space="0" w:color="auto"/>
        <w:left w:val="none" w:sz="0" w:space="0" w:color="auto"/>
        <w:bottom w:val="none" w:sz="0" w:space="0" w:color="auto"/>
        <w:right w:val="none" w:sz="0" w:space="0" w:color="auto"/>
      </w:divBdr>
    </w:div>
    <w:div w:id="1272011646">
      <w:marLeft w:val="0"/>
      <w:marRight w:val="0"/>
      <w:marTop w:val="160"/>
      <w:marBottom w:val="160"/>
      <w:divBdr>
        <w:top w:val="none" w:sz="0" w:space="0" w:color="auto"/>
        <w:left w:val="none" w:sz="0" w:space="0" w:color="auto"/>
        <w:bottom w:val="none" w:sz="0" w:space="0" w:color="auto"/>
        <w:right w:val="none" w:sz="0" w:space="0" w:color="auto"/>
      </w:divBdr>
    </w:div>
    <w:div w:id="1272397305">
      <w:marLeft w:val="0"/>
      <w:marRight w:val="0"/>
      <w:marTop w:val="160"/>
      <w:marBottom w:val="160"/>
      <w:divBdr>
        <w:top w:val="none" w:sz="0" w:space="0" w:color="auto"/>
        <w:left w:val="none" w:sz="0" w:space="0" w:color="auto"/>
        <w:bottom w:val="none" w:sz="0" w:space="0" w:color="auto"/>
        <w:right w:val="none" w:sz="0" w:space="0" w:color="auto"/>
      </w:divBdr>
    </w:div>
    <w:div w:id="1272934926">
      <w:marLeft w:val="0"/>
      <w:marRight w:val="0"/>
      <w:marTop w:val="160"/>
      <w:marBottom w:val="160"/>
      <w:divBdr>
        <w:top w:val="none" w:sz="0" w:space="0" w:color="auto"/>
        <w:left w:val="none" w:sz="0" w:space="0" w:color="auto"/>
        <w:bottom w:val="none" w:sz="0" w:space="0" w:color="auto"/>
        <w:right w:val="none" w:sz="0" w:space="0" w:color="auto"/>
      </w:divBdr>
    </w:div>
    <w:div w:id="1273320396">
      <w:marLeft w:val="0"/>
      <w:marRight w:val="0"/>
      <w:marTop w:val="0"/>
      <w:marBottom w:val="0"/>
      <w:divBdr>
        <w:top w:val="none" w:sz="0" w:space="0" w:color="auto"/>
        <w:left w:val="none" w:sz="0" w:space="0" w:color="auto"/>
        <w:bottom w:val="none" w:sz="0" w:space="0" w:color="auto"/>
        <w:right w:val="none" w:sz="0" w:space="0" w:color="auto"/>
      </w:divBdr>
    </w:div>
    <w:div w:id="1273395230">
      <w:marLeft w:val="0"/>
      <w:marRight w:val="0"/>
      <w:marTop w:val="0"/>
      <w:marBottom w:val="0"/>
      <w:divBdr>
        <w:top w:val="none" w:sz="0" w:space="0" w:color="auto"/>
        <w:left w:val="none" w:sz="0" w:space="0" w:color="auto"/>
        <w:bottom w:val="none" w:sz="0" w:space="0" w:color="auto"/>
        <w:right w:val="none" w:sz="0" w:space="0" w:color="auto"/>
      </w:divBdr>
      <w:divsChild>
        <w:div w:id="910777312">
          <w:marLeft w:val="0"/>
          <w:marRight w:val="0"/>
          <w:marTop w:val="0"/>
          <w:marBottom w:val="0"/>
          <w:divBdr>
            <w:top w:val="none" w:sz="0" w:space="0" w:color="auto"/>
            <w:left w:val="none" w:sz="0" w:space="0" w:color="auto"/>
            <w:bottom w:val="none" w:sz="0" w:space="0" w:color="auto"/>
            <w:right w:val="none" w:sz="0" w:space="0" w:color="auto"/>
          </w:divBdr>
        </w:div>
      </w:divsChild>
    </w:div>
    <w:div w:id="1277248834">
      <w:marLeft w:val="0"/>
      <w:marRight w:val="0"/>
      <w:marTop w:val="160"/>
      <w:marBottom w:val="160"/>
      <w:divBdr>
        <w:top w:val="none" w:sz="0" w:space="0" w:color="auto"/>
        <w:left w:val="none" w:sz="0" w:space="0" w:color="auto"/>
        <w:bottom w:val="none" w:sz="0" w:space="0" w:color="auto"/>
        <w:right w:val="none" w:sz="0" w:space="0" w:color="auto"/>
      </w:divBdr>
    </w:div>
    <w:div w:id="1280646900">
      <w:marLeft w:val="0"/>
      <w:marRight w:val="0"/>
      <w:marTop w:val="0"/>
      <w:marBottom w:val="0"/>
      <w:divBdr>
        <w:top w:val="none" w:sz="0" w:space="0" w:color="auto"/>
        <w:left w:val="none" w:sz="0" w:space="0" w:color="auto"/>
        <w:bottom w:val="none" w:sz="0" w:space="0" w:color="auto"/>
        <w:right w:val="none" w:sz="0" w:space="0" w:color="auto"/>
      </w:divBdr>
      <w:divsChild>
        <w:div w:id="1557472467">
          <w:marLeft w:val="0"/>
          <w:marRight w:val="0"/>
          <w:marTop w:val="160"/>
          <w:marBottom w:val="160"/>
          <w:divBdr>
            <w:top w:val="none" w:sz="0" w:space="0" w:color="auto"/>
            <w:left w:val="none" w:sz="0" w:space="0" w:color="auto"/>
            <w:bottom w:val="none" w:sz="0" w:space="0" w:color="auto"/>
            <w:right w:val="none" w:sz="0" w:space="0" w:color="auto"/>
          </w:divBdr>
        </w:div>
        <w:div w:id="1265073971">
          <w:marLeft w:val="0"/>
          <w:marRight w:val="0"/>
          <w:marTop w:val="160"/>
          <w:marBottom w:val="160"/>
          <w:divBdr>
            <w:top w:val="none" w:sz="0" w:space="0" w:color="auto"/>
            <w:left w:val="none" w:sz="0" w:space="0" w:color="auto"/>
            <w:bottom w:val="none" w:sz="0" w:space="0" w:color="auto"/>
            <w:right w:val="none" w:sz="0" w:space="0" w:color="auto"/>
          </w:divBdr>
        </w:div>
        <w:div w:id="1770739470">
          <w:marLeft w:val="0"/>
          <w:marRight w:val="0"/>
          <w:marTop w:val="160"/>
          <w:marBottom w:val="160"/>
          <w:divBdr>
            <w:top w:val="none" w:sz="0" w:space="0" w:color="auto"/>
            <w:left w:val="none" w:sz="0" w:space="0" w:color="auto"/>
            <w:bottom w:val="none" w:sz="0" w:space="0" w:color="auto"/>
            <w:right w:val="none" w:sz="0" w:space="0" w:color="auto"/>
          </w:divBdr>
        </w:div>
        <w:div w:id="1518500437">
          <w:marLeft w:val="0"/>
          <w:marRight w:val="0"/>
          <w:marTop w:val="160"/>
          <w:marBottom w:val="160"/>
          <w:divBdr>
            <w:top w:val="none" w:sz="0" w:space="0" w:color="auto"/>
            <w:left w:val="none" w:sz="0" w:space="0" w:color="auto"/>
            <w:bottom w:val="none" w:sz="0" w:space="0" w:color="auto"/>
            <w:right w:val="none" w:sz="0" w:space="0" w:color="auto"/>
          </w:divBdr>
        </w:div>
        <w:div w:id="1098217028">
          <w:marLeft w:val="0"/>
          <w:marRight w:val="0"/>
          <w:marTop w:val="160"/>
          <w:marBottom w:val="160"/>
          <w:divBdr>
            <w:top w:val="none" w:sz="0" w:space="0" w:color="auto"/>
            <w:left w:val="none" w:sz="0" w:space="0" w:color="auto"/>
            <w:bottom w:val="none" w:sz="0" w:space="0" w:color="auto"/>
            <w:right w:val="none" w:sz="0" w:space="0" w:color="auto"/>
          </w:divBdr>
        </w:div>
      </w:divsChild>
    </w:div>
    <w:div w:id="1286155621">
      <w:marLeft w:val="0"/>
      <w:marRight w:val="0"/>
      <w:marTop w:val="160"/>
      <w:marBottom w:val="160"/>
      <w:divBdr>
        <w:top w:val="none" w:sz="0" w:space="0" w:color="auto"/>
        <w:left w:val="none" w:sz="0" w:space="0" w:color="auto"/>
        <w:bottom w:val="none" w:sz="0" w:space="0" w:color="auto"/>
        <w:right w:val="none" w:sz="0" w:space="0" w:color="auto"/>
      </w:divBdr>
    </w:div>
    <w:div w:id="1287735006">
      <w:marLeft w:val="0"/>
      <w:marRight w:val="0"/>
      <w:marTop w:val="160"/>
      <w:marBottom w:val="160"/>
      <w:divBdr>
        <w:top w:val="none" w:sz="0" w:space="0" w:color="auto"/>
        <w:left w:val="none" w:sz="0" w:space="0" w:color="auto"/>
        <w:bottom w:val="none" w:sz="0" w:space="0" w:color="auto"/>
        <w:right w:val="none" w:sz="0" w:space="0" w:color="auto"/>
      </w:divBdr>
    </w:div>
    <w:div w:id="1290428643">
      <w:marLeft w:val="0"/>
      <w:marRight w:val="0"/>
      <w:marTop w:val="0"/>
      <w:marBottom w:val="0"/>
      <w:divBdr>
        <w:top w:val="none" w:sz="0" w:space="0" w:color="auto"/>
        <w:left w:val="none" w:sz="0" w:space="0" w:color="auto"/>
        <w:bottom w:val="none" w:sz="0" w:space="0" w:color="auto"/>
        <w:right w:val="none" w:sz="0" w:space="0" w:color="auto"/>
      </w:divBdr>
      <w:divsChild>
        <w:div w:id="1234967676">
          <w:marLeft w:val="0"/>
          <w:marRight w:val="0"/>
          <w:marTop w:val="0"/>
          <w:marBottom w:val="0"/>
          <w:divBdr>
            <w:top w:val="none" w:sz="0" w:space="0" w:color="auto"/>
            <w:left w:val="none" w:sz="0" w:space="0" w:color="auto"/>
            <w:bottom w:val="none" w:sz="0" w:space="0" w:color="auto"/>
            <w:right w:val="none" w:sz="0" w:space="0" w:color="auto"/>
          </w:divBdr>
        </w:div>
      </w:divsChild>
    </w:div>
    <w:div w:id="1293905302">
      <w:marLeft w:val="0"/>
      <w:marRight w:val="0"/>
      <w:marTop w:val="160"/>
      <w:marBottom w:val="160"/>
      <w:divBdr>
        <w:top w:val="none" w:sz="0" w:space="0" w:color="auto"/>
        <w:left w:val="none" w:sz="0" w:space="0" w:color="auto"/>
        <w:bottom w:val="none" w:sz="0" w:space="0" w:color="auto"/>
        <w:right w:val="none" w:sz="0" w:space="0" w:color="auto"/>
      </w:divBdr>
    </w:div>
    <w:div w:id="1296713381">
      <w:marLeft w:val="0"/>
      <w:marRight w:val="0"/>
      <w:marTop w:val="0"/>
      <w:marBottom w:val="16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sChild>
        <w:div w:id="1234319753">
          <w:marLeft w:val="0"/>
          <w:marRight w:val="0"/>
          <w:marTop w:val="0"/>
          <w:marBottom w:val="0"/>
          <w:divBdr>
            <w:top w:val="none" w:sz="0" w:space="0" w:color="auto"/>
            <w:left w:val="none" w:sz="0" w:space="0" w:color="auto"/>
            <w:bottom w:val="none" w:sz="0" w:space="0" w:color="auto"/>
            <w:right w:val="none" w:sz="0" w:space="0" w:color="auto"/>
          </w:divBdr>
        </w:div>
      </w:divsChild>
    </w:div>
    <w:div w:id="1302342949">
      <w:marLeft w:val="0"/>
      <w:marRight w:val="0"/>
      <w:marTop w:val="160"/>
      <w:marBottom w:val="160"/>
      <w:divBdr>
        <w:top w:val="none" w:sz="0" w:space="0" w:color="auto"/>
        <w:left w:val="none" w:sz="0" w:space="0" w:color="auto"/>
        <w:bottom w:val="none" w:sz="0" w:space="0" w:color="auto"/>
        <w:right w:val="none" w:sz="0" w:space="0" w:color="auto"/>
      </w:divBdr>
    </w:div>
    <w:div w:id="1303266421">
      <w:marLeft w:val="0"/>
      <w:marRight w:val="0"/>
      <w:marTop w:val="160"/>
      <w:marBottom w:val="160"/>
      <w:divBdr>
        <w:top w:val="none" w:sz="0" w:space="0" w:color="auto"/>
        <w:left w:val="none" w:sz="0" w:space="0" w:color="auto"/>
        <w:bottom w:val="none" w:sz="0" w:space="0" w:color="auto"/>
        <w:right w:val="none" w:sz="0" w:space="0" w:color="auto"/>
      </w:divBdr>
    </w:div>
    <w:div w:id="1303386412">
      <w:marLeft w:val="0"/>
      <w:marRight w:val="0"/>
      <w:marTop w:val="160"/>
      <w:marBottom w:val="160"/>
      <w:divBdr>
        <w:top w:val="none" w:sz="0" w:space="0" w:color="auto"/>
        <w:left w:val="none" w:sz="0" w:space="0" w:color="auto"/>
        <w:bottom w:val="none" w:sz="0" w:space="0" w:color="auto"/>
        <w:right w:val="none" w:sz="0" w:space="0" w:color="auto"/>
      </w:divBdr>
    </w:div>
    <w:div w:id="1308365892">
      <w:marLeft w:val="0"/>
      <w:marRight w:val="0"/>
      <w:marTop w:val="0"/>
      <w:marBottom w:val="0"/>
      <w:divBdr>
        <w:top w:val="none" w:sz="0" w:space="0" w:color="auto"/>
        <w:left w:val="none" w:sz="0" w:space="0" w:color="auto"/>
        <w:bottom w:val="none" w:sz="0" w:space="0" w:color="auto"/>
        <w:right w:val="none" w:sz="0" w:space="0" w:color="auto"/>
      </w:divBdr>
      <w:divsChild>
        <w:div w:id="421605133">
          <w:marLeft w:val="0"/>
          <w:marRight w:val="0"/>
          <w:marTop w:val="160"/>
          <w:marBottom w:val="160"/>
          <w:divBdr>
            <w:top w:val="none" w:sz="0" w:space="0" w:color="auto"/>
            <w:left w:val="none" w:sz="0" w:space="0" w:color="auto"/>
            <w:bottom w:val="none" w:sz="0" w:space="0" w:color="auto"/>
            <w:right w:val="none" w:sz="0" w:space="0" w:color="auto"/>
          </w:divBdr>
        </w:div>
        <w:div w:id="306401282">
          <w:marLeft w:val="0"/>
          <w:marRight w:val="0"/>
          <w:marTop w:val="160"/>
          <w:marBottom w:val="160"/>
          <w:divBdr>
            <w:top w:val="none" w:sz="0" w:space="0" w:color="auto"/>
            <w:left w:val="none" w:sz="0" w:space="0" w:color="auto"/>
            <w:bottom w:val="none" w:sz="0" w:space="0" w:color="auto"/>
            <w:right w:val="none" w:sz="0" w:space="0" w:color="auto"/>
          </w:divBdr>
        </w:div>
        <w:div w:id="2324604">
          <w:marLeft w:val="0"/>
          <w:marRight w:val="0"/>
          <w:marTop w:val="160"/>
          <w:marBottom w:val="160"/>
          <w:divBdr>
            <w:top w:val="none" w:sz="0" w:space="0" w:color="auto"/>
            <w:left w:val="none" w:sz="0" w:space="0" w:color="auto"/>
            <w:bottom w:val="none" w:sz="0" w:space="0" w:color="auto"/>
            <w:right w:val="none" w:sz="0" w:space="0" w:color="auto"/>
          </w:divBdr>
        </w:div>
        <w:div w:id="1435322776">
          <w:marLeft w:val="0"/>
          <w:marRight w:val="0"/>
          <w:marTop w:val="160"/>
          <w:marBottom w:val="160"/>
          <w:divBdr>
            <w:top w:val="none" w:sz="0" w:space="0" w:color="auto"/>
            <w:left w:val="none" w:sz="0" w:space="0" w:color="auto"/>
            <w:bottom w:val="none" w:sz="0" w:space="0" w:color="auto"/>
            <w:right w:val="none" w:sz="0" w:space="0" w:color="auto"/>
          </w:divBdr>
        </w:div>
        <w:div w:id="1634368780">
          <w:marLeft w:val="0"/>
          <w:marRight w:val="0"/>
          <w:marTop w:val="160"/>
          <w:marBottom w:val="160"/>
          <w:divBdr>
            <w:top w:val="none" w:sz="0" w:space="0" w:color="auto"/>
            <w:left w:val="none" w:sz="0" w:space="0" w:color="auto"/>
            <w:bottom w:val="none" w:sz="0" w:space="0" w:color="auto"/>
            <w:right w:val="none" w:sz="0" w:space="0" w:color="auto"/>
          </w:divBdr>
        </w:div>
        <w:div w:id="1679427269">
          <w:marLeft w:val="0"/>
          <w:marRight w:val="0"/>
          <w:marTop w:val="160"/>
          <w:marBottom w:val="160"/>
          <w:divBdr>
            <w:top w:val="none" w:sz="0" w:space="0" w:color="auto"/>
            <w:left w:val="none" w:sz="0" w:space="0" w:color="auto"/>
            <w:bottom w:val="none" w:sz="0" w:space="0" w:color="auto"/>
            <w:right w:val="none" w:sz="0" w:space="0" w:color="auto"/>
          </w:divBdr>
        </w:div>
      </w:divsChild>
    </w:div>
    <w:div w:id="1309048013">
      <w:marLeft w:val="0"/>
      <w:marRight w:val="0"/>
      <w:marTop w:val="160"/>
      <w:marBottom w:val="160"/>
      <w:divBdr>
        <w:top w:val="none" w:sz="0" w:space="0" w:color="auto"/>
        <w:left w:val="none" w:sz="0" w:space="0" w:color="auto"/>
        <w:bottom w:val="none" w:sz="0" w:space="0" w:color="auto"/>
        <w:right w:val="none" w:sz="0" w:space="0" w:color="auto"/>
      </w:divBdr>
    </w:div>
    <w:div w:id="1312171931">
      <w:marLeft w:val="0"/>
      <w:marRight w:val="0"/>
      <w:marTop w:val="0"/>
      <w:marBottom w:val="0"/>
      <w:divBdr>
        <w:top w:val="none" w:sz="0" w:space="0" w:color="auto"/>
        <w:left w:val="none" w:sz="0" w:space="0" w:color="auto"/>
        <w:bottom w:val="none" w:sz="0" w:space="0" w:color="auto"/>
        <w:right w:val="none" w:sz="0" w:space="0" w:color="auto"/>
      </w:divBdr>
    </w:div>
    <w:div w:id="1321350817">
      <w:marLeft w:val="0"/>
      <w:marRight w:val="0"/>
      <w:marTop w:val="160"/>
      <w:marBottom w:val="160"/>
      <w:divBdr>
        <w:top w:val="none" w:sz="0" w:space="0" w:color="auto"/>
        <w:left w:val="none" w:sz="0" w:space="0" w:color="auto"/>
        <w:bottom w:val="none" w:sz="0" w:space="0" w:color="auto"/>
        <w:right w:val="none" w:sz="0" w:space="0" w:color="auto"/>
      </w:divBdr>
    </w:div>
    <w:div w:id="1325665873">
      <w:marLeft w:val="0"/>
      <w:marRight w:val="0"/>
      <w:marTop w:val="0"/>
      <w:marBottom w:val="0"/>
      <w:divBdr>
        <w:top w:val="none" w:sz="0" w:space="0" w:color="auto"/>
        <w:left w:val="none" w:sz="0" w:space="0" w:color="auto"/>
        <w:bottom w:val="none" w:sz="0" w:space="0" w:color="auto"/>
        <w:right w:val="none" w:sz="0" w:space="0" w:color="auto"/>
      </w:divBdr>
    </w:div>
    <w:div w:id="1329796502">
      <w:marLeft w:val="0"/>
      <w:marRight w:val="0"/>
      <w:marTop w:val="160"/>
      <w:marBottom w:val="160"/>
      <w:divBdr>
        <w:top w:val="none" w:sz="0" w:space="0" w:color="auto"/>
        <w:left w:val="none" w:sz="0" w:space="0" w:color="auto"/>
        <w:bottom w:val="none" w:sz="0" w:space="0" w:color="auto"/>
        <w:right w:val="none" w:sz="0" w:space="0" w:color="auto"/>
      </w:divBdr>
    </w:div>
    <w:div w:id="1333022991">
      <w:marLeft w:val="0"/>
      <w:marRight w:val="0"/>
      <w:marTop w:val="160"/>
      <w:marBottom w:val="160"/>
      <w:divBdr>
        <w:top w:val="none" w:sz="0" w:space="0" w:color="auto"/>
        <w:left w:val="none" w:sz="0" w:space="0" w:color="auto"/>
        <w:bottom w:val="none" w:sz="0" w:space="0" w:color="auto"/>
        <w:right w:val="none" w:sz="0" w:space="0" w:color="auto"/>
      </w:divBdr>
    </w:div>
    <w:div w:id="1334144609">
      <w:marLeft w:val="0"/>
      <w:marRight w:val="0"/>
      <w:marTop w:val="0"/>
      <w:marBottom w:val="160"/>
      <w:divBdr>
        <w:top w:val="none" w:sz="0" w:space="0" w:color="auto"/>
        <w:left w:val="none" w:sz="0" w:space="0" w:color="auto"/>
        <w:bottom w:val="none" w:sz="0" w:space="0" w:color="auto"/>
        <w:right w:val="none" w:sz="0" w:space="0" w:color="auto"/>
      </w:divBdr>
    </w:div>
    <w:div w:id="1334188005">
      <w:marLeft w:val="0"/>
      <w:marRight w:val="0"/>
      <w:marTop w:val="0"/>
      <w:marBottom w:val="0"/>
      <w:divBdr>
        <w:top w:val="none" w:sz="0" w:space="0" w:color="auto"/>
        <w:left w:val="none" w:sz="0" w:space="0" w:color="auto"/>
        <w:bottom w:val="none" w:sz="0" w:space="0" w:color="auto"/>
        <w:right w:val="none" w:sz="0" w:space="0" w:color="auto"/>
      </w:divBdr>
    </w:div>
    <w:div w:id="1336347696">
      <w:marLeft w:val="0"/>
      <w:marRight w:val="0"/>
      <w:marTop w:val="160"/>
      <w:marBottom w:val="160"/>
      <w:divBdr>
        <w:top w:val="none" w:sz="0" w:space="0" w:color="auto"/>
        <w:left w:val="none" w:sz="0" w:space="0" w:color="auto"/>
        <w:bottom w:val="none" w:sz="0" w:space="0" w:color="auto"/>
        <w:right w:val="none" w:sz="0" w:space="0" w:color="auto"/>
      </w:divBdr>
    </w:div>
    <w:div w:id="1340624581">
      <w:marLeft w:val="0"/>
      <w:marRight w:val="0"/>
      <w:marTop w:val="160"/>
      <w:marBottom w:val="160"/>
      <w:divBdr>
        <w:top w:val="none" w:sz="0" w:space="0" w:color="auto"/>
        <w:left w:val="none" w:sz="0" w:space="0" w:color="auto"/>
        <w:bottom w:val="none" w:sz="0" w:space="0" w:color="auto"/>
        <w:right w:val="none" w:sz="0" w:space="0" w:color="auto"/>
      </w:divBdr>
    </w:div>
    <w:div w:id="1346058463">
      <w:marLeft w:val="0"/>
      <w:marRight w:val="0"/>
      <w:marTop w:val="160"/>
      <w:marBottom w:val="160"/>
      <w:divBdr>
        <w:top w:val="none" w:sz="0" w:space="0" w:color="auto"/>
        <w:left w:val="none" w:sz="0" w:space="0" w:color="auto"/>
        <w:bottom w:val="none" w:sz="0" w:space="0" w:color="auto"/>
        <w:right w:val="none" w:sz="0" w:space="0" w:color="auto"/>
      </w:divBdr>
    </w:div>
    <w:div w:id="1353339290">
      <w:marLeft w:val="0"/>
      <w:marRight w:val="0"/>
      <w:marTop w:val="160"/>
      <w:marBottom w:val="160"/>
      <w:divBdr>
        <w:top w:val="none" w:sz="0" w:space="0" w:color="auto"/>
        <w:left w:val="none" w:sz="0" w:space="0" w:color="auto"/>
        <w:bottom w:val="none" w:sz="0" w:space="0" w:color="auto"/>
        <w:right w:val="none" w:sz="0" w:space="0" w:color="auto"/>
      </w:divBdr>
    </w:div>
    <w:div w:id="1353799505">
      <w:marLeft w:val="0"/>
      <w:marRight w:val="0"/>
      <w:marTop w:val="0"/>
      <w:marBottom w:val="0"/>
      <w:divBdr>
        <w:top w:val="none" w:sz="0" w:space="0" w:color="auto"/>
        <w:left w:val="none" w:sz="0" w:space="0" w:color="auto"/>
        <w:bottom w:val="none" w:sz="0" w:space="0" w:color="auto"/>
        <w:right w:val="none" w:sz="0" w:space="0" w:color="auto"/>
      </w:divBdr>
      <w:divsChild>
        <w:div w:id="861749541">
          <w:marLeft w:val="0"/>
          <w:marRight w:val="0"/>
          <w:marTop w:val="0"/>
          <w:marBottom w:val="0"/>
          <w:divBdr>
            <w:top w:val="none" w:sz="0" w:space="0" w:color="auto"/>
            <w:left w:val="none" w:sz="0" w:space="0" w:color="auto"/>
            <w:bottom w:val="none" w:sz="0" w:space="0" w:color="auto"/>
            <w:right w:val="none" w:sz="0" w:space="0" w:color="auto"/>
          </w:divBdr>
        </w:div>
      </w:divsChild>
    </w:div>
    <w:div w:id="1362776462">
      <w:marLeft w:val="0"/>
      <w:marRight w:val="0"/>
      <w:marTop w:val="0"/>
      <w:marBottom w:val="0"/>
      <w:divBdr>
        <w:top w:val="none" w:sz="0" w:space="0" w:color="auto"/>
        <w:left w:val="none" w:sz="0" w:space="0" w:color="auto"/>
        <w:bottom w:val="none" w:sz="0" w:space="0" w:color="auto"/>
        <w:right w:val="none" w:sz="0" w:space="0" w:color="auto"/>
      </w:divBdr>
      <w:divsChild>
        <w:div w:id="181557456">
          <w:marLeft w:val="0"/>
          <w:marRight w:val="0"/>
          <w:marTop w:val="0"/>
          <w:marBottom w:val="0"/>
          <w:divBdr>
            <w:top w:val="none" w:sz="0" w:space="0" w:color="auto"/>
            <w:left w:val="none" w:sz="0" w:space="0" w:color="auto"/>
            <w:bottom w:val="none" w:sz="0" w:space="0" w:color="auto"/>
            <w:right w:val="none" w:sz="0" w:space="0" w:color="auto"/>
          </w:divBdr>
        </w:div>
      </w:divsChild>
    </w:div>
    <w:div w:id="1369841845">
      <w:marLeft w:val="0"/>
      <w:marRight w:val="0"/>
      <w:marTop w:val="160"/>
      <w:marBottom w:val="160"/>
      <w:divBdr>
        <w:top w:val="none" w:sz="0" w:space="0" w:color="auto"/>
        <w:left w:val="none" w:sz="0" w:space="0" w:color="auto"/>
        <w:bottom w:val="none" w:sz="0" w:space="0" w:color="auto"/>
        <w:right w:val="none" w:sz="0" w:space="0" w:color="auto"/>
      </w:divBdr>
    </w:div>
    <w:div w:id="1371808566">
      <w:marLeft w:val="0"/>
      <w:marRight w:val="0"/>
      <w:marTop w:val="160"/>
      <w:marBottom w:val="160"/>
      <w:divBdr>
        <w:top w:val="none" w:sz="0" w:space="0" w:color="auto"/>
        <w:left w:val="none" w:sz="0" w:space="0" w:color="auto"/>
        <w:bottom w:val="none" w:sz="0" w:space="0" w:color="auto"/>
        <w:right w:val="none" w:sz="0" w:space="0" w:color="auto"/>
      </w:divBdr>
    </w:div>
    <w:div w:id="1373652399">
      <w:marLeft w:val="0"/>
      <w:marRight w:val="0"/>
      <w:marTop w:val="0"/>
      <w:marBottom w:val="0"/>
      <w:divBdr>
        <w:top w:val="none" w:sz="0" w:space="0" w:color="auto"/>
        <w:left w:val="none" w:sz="0" w:space="0" w:color="auto"/>
        <w:bottom w:val="none" w:sz="0" w:space="0" w:color="auto"/>
        <w:right w:val="none" w:sz="0" w:space="0" w:color="auto"/>
      </w:divBdr>
      <w:divsChild>
        <w:div w:id="1884828491">
          <w:marLeft w:val="0"/>
          <w:marRight w:val="0"/>
          <w:marTop w:val="0"/>
          <w:marBottom w:val="0"/>
          <w:divBdr>
            <w:top w:val="none" w:sz="0" w:space="0" w:color="auto"/>
            <w:left w:val="none" w:sz="0" w:space="0" w:color="auto"/>
            <w:bottom w:val="none" w:sz="0" w:space="0" w:color="auto"/>
            <w:right w:val="none" w:sz="0" w:space="0" w:color="auto"/>
          </w:divBdr>
        </w:div>
      </w:divsChild>
    </w:div>
    <w:div w:id="1376537928">
      <w:marLeft w:val="0"/>
      <w:marRight w:val="0"/>
      <w:marTop w:val="160"/>
      <w:marBottom w:val="160"/>
      <w:divBdr>
        <w:top w:val="none" w:sz="0" w:space="0" w:color="auto"/>
        <w:left w:val="none" w:sz="0" w:space="0" w:color="auto"/>
        <w:bottom w:val="none" w:sz="0" w:space="0" w:color="auto"/>
        <w:right w:val="none" w:sz="0" w:space="0" w:color="auto"/>
      </w:divBdr>
    </w:div>
    <w:div w:id="1377654703">
      <w:marLeft w:val="0"/>
      <w:marRight w:val="0"/>
      <w:marTop w:val="160"/>
      <w:marBottom w:val="160"/>
      <w:divBdr>
        <w:top w:val="none" w:sz="0" w:space="0" w:color="auto"/>
        <w:left w:val="none" w:sz="0" w:space="0" w:color="auto"/>
        <w:bottom w:val="none" w:sz="0" w:space="0" w:color="auto"/>
        <w:right w:val="none" w:sz="0" w:space="0" w:color="auto"/>
      </w:divBdr>
    </w:div>
    <w:div w:id="1383285445">
      <w:marLeft w:val="0"/>
      <w:marRight w:val="0"/>
      <w:marTop w:val="0"/>
      <w:marBottom w:val="0"/>
      <w:divBdr>
        <w:top w:val="none" w:sz="0" w:space="0" w:color="auto"/>
        <w:left w:val="none" w:sz="0" w:space="0" w:color="auto"/>
        <w:bottom w:val="none" w:sz="0" w:space="0" w:color="auto"/>
        <w:right w:val="none" w:sz="0" w:space="0" w:color="auto"/>
      </w:divBdr>
      <w:divsChild>
        <w:div w:id="1215656166">
          <w:marLeft w:val="0"/>
          <w:marRight w:val="0"/>
          <w:marTop w:val="0"/>
          <w:marBottom w:val="0"/>
          <w:divBdr>
            <w:top w:val="none" w:sz="0" w:space="0" w:color="auto"/>
            <w:left w:val="none" w:sz="0" w:space="0" w:color="auto"/>
            <w:bottom w:val="none" w:sz="0" w:space="0" w:color="auto"/>
            <w:right w:val="none" w:sz="0" w:space="0" w:color="auto"/>
          </w:divBdr>
        </w:div>
      </w:divsChild>
    </w:div>
    <w:div w:id="1384791310">
      <w:marLeft w:val="0"/>
      <w:marRight w:val="0"/>
      <w:marTop w:val="160"/>
      <w:marBottom w:val="160"/>
      <w:divBdr>
        <w:top w:val="none" w:sz="0" w:space="0" w:color="auto"/>
        <w:left w:val="none" w:sz="0" w:space="0" w:color="auto"/>
        <w:bottom w:val="none" w:sz="0" w:space="0" w:color="auto"/>
        <w:right w:val="none" w:sz="0" w:space="0" w:color="auto"/>
      </w:divBdr>
    </w:div>
    <w:div w:id="1386224047">
      <w:marLeft w:val="0"/>
      <w:marRight w:val="0"/>
      <w:marTop w:val="160"/>
      <w:marBottom w:val="160"/>
      <w:divBdr>
        <w:top w:val="none" w:sz="0" w:space="0" w:color="auto"/>
        <w:left w:val="none" w:sz="0" w:space="0" w:color="auto"/>
        <w:bottom w:val="none" w:sz="0" w:space="0" w:color="auto"/>
        <w:right w:val="none" w:sz="0" w:space="0" w:color="auto"/>
      </w:divBdr>
    </w:div>
    <w:div w:id="1392314537">
      <w:marLeft w:val="0"/>
      <w:marRight w:val="0"/>
      <w:marTop w:val="0"/>
      <w:marBottom w:val="0"/>
      <w:divBdr>
        <w:top w:val="none" w:sz="0" w:space="0" w:color="auto"/>
        <w:left w:val="none" w:sz="0" w:space="0" w:color="auto"/>
        <w:bottom w:val="none" w:sz="0" w:space="0" w:color="auto"/>
        <w:right w:val="none" w:sz="0" w:space="0" w:color="auto"/>
      </w:divBdr>
    </w:div>
    <w:div w:id="1392658703">
      <w:marLeft w:val="0"/>
      <w:marRight w:val="0"/>
      <w:marTop w:val="160"/>
      <w:marBottom w:val="0"/>
      <w:divBdr>
        <w:top w:val="none" w:sz="0" w:space="0" w:color="auto"/>
        <w:left w:val="none" w:sz="0" w:space="0" w:color="auto"/>
        <w:bottom w:val="none" w:sz="0" w:space="0" w:color="auto"/>
        <w:right w:val="none" w:sz="0" w:space="0" w:color="auto"/>
      </w:divBdr>
    </w:div>
    <w:div w:id="1395549574">
      <w:marLeft w:val="0"/>
      <w:marRight w:val="0"/>
      <w:marTop w:val="160"/>
      <w:marBottom w:val="160"/>
      <w:divBdr>
        <w:top w:val="none" w:sz="0" w:space="0" w:color="auto"/>
        <w:left w:val="none" w:sz="0" w:space="0" w:color="auto"/>
        <w:bottom w:val="none" w:sz="0" w:space="0" w:color="auto"/>
        <w:right w:val="none" w:sz="0" w:space="0" w:color="auto"/>
      </w:divBdr>
    </w:div>
    <w:div w:id="1397507767">
      <w:marLeft w:val="0"/>
      <w:marRight w:val="0"/>
      <w:marTop w:val="160"/>
      <w:marBottom w:val="160"/>
      <w:divBdr>
        <w:top w:val="none" w:sz="0" w:space="0" w:color="auto"/>
        <w:left w:val="none" w:sz="0" w:space="0" w:color="auto"/>
        <w:bottom w:val="none" w:sz="0" w:space="0" w:color="auto"/>
        <w:right w:val="none" w:sz="0" w:space="0" w:color="auto"/>
      </w:divBdr>
    </w:div>
    <w:div w:id="1401096584">
      <w:marLeft w:val="0"/>
      <w:marRight w:val="0"/>
      <w:marTop w:val="0"/>
      <w:marBottom w:val="0"/>
      <w:divBdr>
        <w:top w:val="none" w:sz="0" w:space="0" w:color="auto"/>
        <w:left w:val="none" w:sz="0" w:space="0" w:color="auto"/>
        <w:bottom w:val="none" w:sz="0" w:space="0" w:color="auto"/>
        <w:right w:val="none" w:sz="0" w:space="0" w:color="auto"/>
      </w:divBdr>
    </w:div>
    <w:div w:id="1407603435">
      <w:marLeft w:val="0"/>
      <w:marRight w:val="0"/>
      <w:marTop w:val="160"/>
      <w:marBottom w:val="160"/>
      <w:divBdr>
        <w:top w:val="none" w:sz="0" w:space="0" w:color="auto"/>
        <w:left w:val="none" w:sz="0" w:space="0" w:color="auto"/>
        <w:bottom w:val="none" w:sz="0" w:space="0" w:color="auto"/>
        <w:right w:val="none" w:sz="0" w:space="0" w:color="auto"/>
      </w:divBdr>
    </w:div>
    <w:div w:id="1410420672">
      <w:marLeft w:val="0"/>
      <w:marRight w:val="0"/>
      <w:marTop w:val="160"/>
      <w:marBottom w:val="160"/>
      <w:divBdr>
        <w:top w:val="none" w:sz="0" w:space="0" w:color="auto"/>
        <w:left w:val="none" w:sz="0" w:space="0" w:color="auto"/>
        <w:bottom w:val="none" w:sz="0" w:space="0" w:color="auto"/>
        <w:right w:val="none" w:sz="0" w:space="0" w:color="auto"/>
      </w:divBdr>
    </w:div>
    <w:div w:id="1423258673">
      <w:marLeft w:val="0"/>
      <w:marRight w:val="0"/>
      <w:marTop w:val="160"/>
      <w:marBottom w:val="160"/>
      <w:divBdr>
        <w:top w:val="none" w:sz="0" w:space="0" w:color="auto"/>
        <w:left w:val="none" w:sz="0" w:space="0" w:color="auto"/>
        <w:bottom w:val="none" w:sz="0" w:space="0" w:color="auto"/>
        <w:right w:val="none" w:sz="0" w:space="0" w:color="auto"/>
      </w:divBdr>
    </w:div>
    <w:div w:id="1424760466">
      <w:marLeft w:val="0"/>
      <w:marRight w:val="0"/>
      <w:marTop w:val="160"/>
      <w:marBottom w:val="160"/>
      <w:divBdr>
        <w:top w:val="none" w:sz="0" w:space="0" w:color="auto"/>
        <w:left w:val="none" w:sz="0" w:space="0" w:color="auto"/>
        <w:bottom w:val="none" w:sz="0" w:space="0" w:color="auto"/>
        <w:right w:val="none" w:sz="0" w:space="0" w:color="auto"/>
      </w:divBdr>
    </w:div>
    <w:div w:id="1425609025">
      <w:marLeft w:val="0"/>
      <w:marRight w:val="0"/>
      <w:marTop w:val="160"/>
      <w:marBottom w:val="160"/>
      <w:divBdr>
        <w:top w:val="none" w:sz="0" w:space="0" w:color="auto"/>
        <w:left w:val="none" w:sz="0" w:space="0" w:color="auto"/>
        <w:bottom w:val="none" w:sz="0" w:space="0" w:color="auto"/>
        <w:right w:val="none" w:sz="0" w:space="0" w:color="auto"/>
      </w:divBdr>
    </w:div>
    <w:div w:id="1431390651">
      <w:marLeft w:val="0"/>
      <w:marRight w:val="0"/>
      <w:marTop w:val="160"/>
      <w:marBottom w:val="160"/>
      <w:divBdr>
        <w:top w:val="none" w:sz="0" w:space="0" w:color="auto"/>
        <w:left w:val="none" w:sz="0" w:space="0" w:color="auto"/>
        <w:bottom w:val="none" w:sz="0" w:space="0" w:color="auto"/>
        <w:right w:val="none" w:sz="0" w:space="0" w:color="auto"/>
      </w:divBdr>
    </w:div>
    <w:div w:id="1432362173">
      <w:marLeft w:val="0"/>
      <w:marRight w:val="0"/>
      <w:marTop w:val="160"/>
      <w:marBottom w:val="160"/>
      <w:divBdr>
        <w:top w:val="none" w:sz="0" w:space="0" w:color="auto"/>
        <w:left w:val="none" w:sz="0" w:space="0" w:color="auto"/>
        <w:bottom w:val="none" w:sz="0" w:space="0" w:color="auto"/>
        <w:right w:val="none" w:sz="0" w:space="0" w:color="auto"/>
      </w:divBdr>
    </w:div>
    <w:div w:id="1432580688">
      <w:marLeft w:val="0"/>
      <w:marRight w:val="0"/>
      <w:marTop w:val="160"/>
      <w:marBottom w:val="160"/>
      <w:divBdr>
        <w:top w:val="none" w:sz="0" w:space="0" w:color="auto"/>
        <w:left w:val="none" w:sz="0" w:space="0" w:color="auto"/>
        <w:bottom w:val="none" w:sz="0" w:space="0" w:color="auto"/>
        <w:right w:val="none" w:sz="0" w:space="0" w:color="auto"/>
      </w:divBdr>
    </w:div>
    <w:div w:id="1434131694">
      <w:marLeft w:val="0"/>
      <w:marRight w:val="0"/>
      <w:marTop w:val="160"/>
      <w:marBottom w:val="160"/>
      <w:divBdr>
        <w:top w:val="none" w:sz="0" w:space="0" w:color="auto"/>
        <w:left w:val="none" w:sz="0" w:space="0" w:color="auto"/>
        <w:bottom w:val="none" w:sz="0" w:space="0" w:color="auto"/>
        <w:right w:val="none" w:sz="0" w:space="0" w:color="auto"/>
      </w:divBdr>
    </w:div>
    <w:div w:id="1437822860">
      <w:marLeft w:val="0"/>
      <w:marRight w:val="0"/>
      <w:marTop w:val="160"/>
      <w:marBottom w:val="160"/>
      <w:divBdr>
        <w:top w:val="none" w:sz="0" w:space="0" w:color="auto"/>
        <w:left w:val="none" w:sz="0" w:space="0" w:color="auto"/>
        <w:bottom w:val="none" w:sz="0" w:space="0" w:color="auto"/>
        <w:right w:val="none" w:sz="0" w:space="0" w:color="auto"/>
      </w:divBdr>
    </w:div>
    <w:div w:id="1441333934">
      <w:marLeft w:val="0"/>
      <w:marRight w:val="0"/>
      <w:marTop w:val="0"/>
      <w:marBottom w:val="0"/>
      <w:divBdr>
        <w:top w:val="none" w:sz="0" w:space="0" w:color="auto"/>
        <w:left w:val="none" w:sz="0" w:space="0" w:color="auto"/>
        <w:bottom w:val="none" w:sz="0" w:space="0" w:color="auto"/>
        <w:right w:val="none" w:sz="0" w:space="0" w:color="auto"/>
      </w:divBdr>
      <w:divsChild>
        <w:div w:id="1578203530">
          <w:marLeft w:val="0"/>
          <w:marRight w:val="0"/>
          <w:marTop w:val="0"/>
          <w:marBottom w:val="0"/>
          <w:divBdr>
            <w:top w:val="none" w:sz="0" w:space="0" w:color="auto"/>
            <w:left w:val="none" w:sz="0" w:space="0" w:color="auto"/>
            <w:bottom w:val="none" w:sz="0" w:space="0" w:color="auto"/>
            <w:right w:val="none" w:sz="0" w:space="0" w:color="auto"/>
          </w:divBdr>
        </w:div>
      </w:divsChild>
    </w:div>
    <w:div w:id="1442342465">
      <w:marLeft w:val="0"/>
      <w:marRight w:val="0"/>
      <w:marTop w:val="160"/>
      <w:marBottom w:val="160"/>
      <w:divBdr>
        <w:top w:val="none" w:sz="0" w:space="0" w:color="auto"/>
        <w:left w:val="none" w:sz="0" w:space="0" w:color="auto"/>
        <w:bottom w:val="none" w:sz="0" w:space="0" w:color="auto"/>
        <w:right w:val="none" w:sz="0" w:space="0" w:color="auto"/>
      </w:divBdr>
    </w:div>
    <w:div w:id="1448236068">
      <w:marLeft w:val="0"/>
      <w:marRight w:val="0"/>
      <w:marTop w:val="160"/>
      <w:marBottom w:val="160"/>
      <w:divBdr>
        <w:top w:val="none" w:sz="0" w:space="0" w:color="auto"/>
        <w:left w:val="none" w:sz="0" w:space="0" w:color="auto"/>
        <w:bottom w:val="none" w:sz="0" w:space="0" w:color="auto"/>
        <w:right w:val="none" w:sz="0" w:space="0" w:color="auto"/>
      </w:divBdr>
    </w:div>
    <w:div w:id="1450320247">
      <w:marLeft w:val="0"/>
      <w:marRight w:val="0"/>
      <w:marTop w:val="160"/>
      <w:marBottom w:val="160"/>
      <w:divBdr>
        <w:top w:val="none" w:sz="0" w:space="0" w:color="auto"/>
        <w:left w:val="none" w:sz="0" w:space="0" w:color="auto"/>
        <w:bottom w:val="none" w:sz="0" w:space="0" w:color="auto"/>
        <w:right w:val="none" w:sz="0" w:space="0" w:color="auto"/>
      </w:divBdr>
    </w:div>
    <w:div w:id="1450930369">
      <w:marLeft w:val="0"/>
      <w:marRight w:val="0"/>
      <w:marTop w:val="160"/>
      <w:marBottom w:val="160"/>
      <w:divBdr>
        <w:top w:val="none" w:sz="0" w:space="0" w:color="auto"/>
        <w:left w:val="none" w:sz="0" w:space="0" w:color="auto"/>
        <w:bottom w:val="none" w:sz="0" w:space="0" w:color="auto"/>
        <w:right w:val="none" w:sz="0" w:space="0" w:color="auto"/>
      </w:divBdr>
    </w:div>
    <w:div w:id="1453205266">
      <w:marLeft w:val="0"/>
      <w:marRight w:val="0"/>
      <w:marTop w:val="60"/>
      <w:marBottom w:val="60"/>
      <w:divBdr>
        <w:top w:val="none" w:sz="0" w:space="0" w:color="auto"/>
        <w:left w:val="none" w:sz="0" w:space="0" w:color="auto"/>
        <w:bottom w:val="none" w:sz="0" w:space="0" w:color="auto"/>
        <w:right w:val="none" w:sz="0" w:space="0" w:color="auto"/>
      </w:divBdr>
    </w:div>
    <w:div w:id="1453480620">
      <w:marLeft w:val="0"/>
      <w:marRight w:val="0"/>
      <w:marTop w:val="160"/>
      <w:marBottom w:val="160"/>
      <w:divBdr>
        <w:top w:val="none" w:sz="0" w:space="0" w:color="auto"/>
        <w:left w:val="none" w:sz="0" w:space="0" w:color="auto"/>
        <w:bottom w:val="none" w:sz="0" w:space="0" w:color="auto"/>
        <w:right w:val="none" w:sz="0" w:space="0" w:color="auto"/>
      </w:divBdr>
    </w:div>
    <w:div w:id="1453597734">
      <w:marLeft w:val="0"/>
      <w:marRight w:val="0"/>
      <w:marTop w:val="160"/>
      <w:marBottom w:val="160"/>
      <w:divBdr>
        <w:top w:val="none" w:sz="0" w:space="0" w:color="auto"/>
        <w:left w:val="none" w:sz="0" w:space="0" w:color="auto"/>
        <w:bottom w:val="none" w:sz="0" w:space="0" w:color="auto"/>
        <w:right w:val="none" w:sz="0" w:space="0" w:color="auto"/>
      </w:divBdr>
    </w:div>
    <w:div w:id="1463765418">
      <w:marLeft w:val="0"/>
      <w:marRight w:val="0"/>
      <w:marTop w:val="160"/>
      <w:marBottom w:val="160"/>
      <w:divBdr>
        <w:top w:val="none" w:sz="0" w:space="0" w:color="auto"/>
        <w:left w:val="none" w:sz="0" w:space="0" w:color="auto"/>
        <w:bottom w:val="none" w:sz="0" w:space="0" w:color="auto"/>
        <w:right w:val="none" w:sz="0" w:space="0" w:color="auto"/>
      </w:divBdr>
    </w:div>
    <w:div w:id="1468429269">
      <w:marLeft w:val="0"/>
      <w:marRight w:val="0"/>
      <w:marTop w:val="160"/>
      <w:marBottom w:val="160"/>
      <w:divBdr>
        <w:top w:val="none" w:sz="0" w:space="0" w:color="auto"/>
        <w:left w:val="none" w:sz="0" w:space="0" w:color="auto"/>
        <w:bottom w:val="none" w:sz="0" w:space="0" w:color="auto"/>
        <w:right w:val="none" w:sz="0" w:space="0" w:color="auto"/>
      </w:divBdr>
    </w:div>
    <w:div w:id="1469395365">
      <w:marLeft w:val="0"/>
      <w:marRight w:val="0"/>
      <w:marTop w:val="160"/>
      <w:marBottom w:val="160"/>
      <w:divBdr>
        <w:top w:val="none" w:sz="0" w:space="0" w:color="auto"/>
        <w:left w:val="none" w:sz="0" w:space="0" w:color="auto"/>
        <w:bottom w:val="none" w:sz="0" w:space="0" w:color="auto"/>
        <w:right w:val="none" w:sz="0" w:space="0" w:color="auto"/>
      </w:divBdr>
    </w:div>
    <w:div w:id="1472941208">
      <w:marLeft w:val="0"/>
      <w:marRight w:val="0"/>
      <w:marTop w:val="0"/>
      <w:marBottom w:val="0"/>
      <w:divBdr>
        <w:top w:val="none" w:sz="0" w:space="0" w:color="auto"/>
        <w:left w:val="none" w:sz="0" w:space="0" w:color="auto"/>
        <w:bottom w:val="none" w:sz="0" w:space="0" w:color="auto"/>
        <w:right w:val="none" w:sz="0" w:space="0" w:color="auto"/>
      </w:divBdr>
    </w:div>
    <w:div w:id="1477260816">
      <w:marLeft w:val="0"/>
      <w:marRight w:val="0"/>
      <w:marTop w:val="160"/>
      <w:marBottom w:val="160"/>
      <w:divBdr>
        <w:top w:val="none" w:sz="0" w:space="0" w:color="auto"/>
        <w:left w:val="none" w:sz="0" w:space="0" w:color="auto"/>
        <w:bottom w:val="none" w:sz="0" w:space="0" w:color="auto"/>
        <w:right w:val="none" w:sz="0" w:space="0" w:color="auto"/>
      </w:divBdr>
    </w:div>
    <w:div w:id="1482235384">
      <w:marLeft w:val="0"/>
      <w:marRight w:val="0"/>
      <w:marTop w:val="160"/>
      <w:marBottom w:val="160"/>
      <w:divBdr>
        <w:top w:val="none" w:sz="0" w:space="0" w:color="auto"/>
        <w:left w:val="none" w:sz="0" w:space="0" w:color="auto"/>
        <w:bottom w:val="none" w:sz="0" w:space="0" w:color="auto"/>
        <w:right w:val="none" w:sz="0" w:space="0" w:color="auto"/>
      </w:divBdr>
    </w:div>
    <w:div w:id="1489052443">
      <w:marLeft w:val="0"/>
      <w:marRight w:val="0"/>
      <w:marTop w:val="160"/>
      <w:marBottom w:val="160"/>
      <w:divBdr>
        <w:top w:val="none" w:sz="0" w:space="0" w:color="auto"/>
        <w:left w:val="none" w:sz="0" w:space="0" w:color="auto"/>
        <w:bottom w:val="none" w:sz="0" w:space="0" w:color="auto"/>
        <w:right w:val="none" w:sz="0" w:space="0" w:color="auto"/>
      </w:divBdr>
    </w:div>
    <w:div w:id="1491948509">
      <w:marLeft w:val="0"/>
      <w:marRight w:val="0"/>
      <w:marTop w:val="160"/>
      <w:marBottom w:val="160"/>
      <w:divBdr>
        <w:top w:val="none" w:sz="0" w:space="0" w:color="auto"/>
        <w:left w:val="none" w:sz="0" w:space="0" w:color="auto"/>
        <w:bottom w:val="none" w:sz="0" w:space="0" w:color="auto"/>
        <w:right w:val="none" w:sz="0" w:space="0" w:color="auto"/>
      </w:divBdr>
    </w:div>
    <w:div w:id="1492215732">
      <w:marLeft w:val="0"/>
      <w:marRight w:val="0"/>
      <w:marTop w:val="0"/>
      <w:marBottom w:val="0"/>
      <w:divBdr>
        <w:top w:val="none" w:sz="0" w:space="0" w:color="auto"/>
        <w:left w:val="none" w:sz="0" w:space="0" w:color="auto"/>
        <w:bottom w:val="none" w:sz="0" w:space="0" w:color="auto"/>
        <w:right w:val="none" w:sz="0" w:space="0" w:color="auto"/>
      </w:divBdr>
      <w:divsChild>
        <w:div w:id="1002510890">
          <w:marLeft w:val="0"/>
          <w:marRight w:val="0"/>
          <w:marTop w:val="0"/>
          <w:marBottom w:val="0"/>
          <w:divBdr>
            <w:top w:val="none" w:sz="0" w:space="0" w:color="auto"/>
            <w:left w:val="none" w:sz="0" w:space="0" w:color="auto"/>
            <w:bottom w:val="none" w:sz="0" w:space="0" w:color="auto"/>
            <w:right w:val="none" w:sz="0" w:space="0" w:color="auto"/>
          </w:divBdr>
        </w:div>
      </w:divsChild>
    </w:div>
    <w:div w:id="1497962087">
      <w:marLeft w:val="0"/>
      <w:marRight w:val="0"/>
      <w:marTop w:val="160"/>
      <w:marBottom w:val="160"/>
      <w:divBdr>
        <w:top w:val="none" w:sz="0" w:space="0" w:color="auto"/>
        <w:left w:val="none" w:sz="0" w:space="0" w:color="auto"/>
        <w:bottom w:val="none" w:sz="0" w:space="0" w:color="auto"/>
        <w:right w:val="none" w:sz="0" w:space="0" w:color="auto"/>
      </w:divBdr>
    </w:div>
    <w:div w:id="1498613110">
      <w:marLeft w:val="0"/>
      <w:marRight w:val="0"/>
      <w:marTop w:val="160"/>
      <w:marBottom w:val="160"/>
      <w:divBdr>
        <w:top w:val="none" w:sz="0" w:space="0" w:color="auto"/>
        <w:left w:val="none" w:sz="0" w:space="0" w:color="auto"/>
        <w:bottom w:val="none" w:sz="0" w:space="0" w:color="auto"/>
        <w:right w:val="none" w:sz="0" w:space="0" w:color="auto"/>
      </w:divBdr>
    </w:div>
    <w:div w:id="1499467111">
      <w:marLeft w:val="0"/>
      <w:marRight w:val="0"/>
      <w:marTop w:val="160"/>
      <w:marBottom w:val="160"/>
      <w:divBdr>
        <w:top w:val="none" w:sz="0" w:space="0" w:color="auto"/>
        <w:left w:val="none" w:sz="0" w:space="0" w:color="auto"/>
        <w:bottom w:val="none" w:sz="0" w:space="0" w:color="auto"/>
        <w:right w:val="none" w:sz="0" w:space="0" w:color="auto"/>
      </w:divBdr>
    </w:div>
    <w:div w:id="1505365592">
      <w:marLeft w:val="0"/>
      <w:marRight w:val="0"/>
      <w:marTop w:val="160"/>
      <w:marBottom w:val="160"/>
      <w:divBdr>
        <w:top w:val="none" w:sz="0" w:space="0" w:color="auto"/>
        <w:left w:val="none" w:sz="0" w:space="0" w:color="auto"/>
        <w:bottom w:val="none" w:sz="0" w:space="0" w:color="auto"/>
        <w:right w:val="none" w:sz="0" w:space="0" w:color="auto"/>
      </w:divBdr>
    </w:div>
    <w:div w:id="1509637972">
      <w:marLeft w:val="0"/>
      <w:marRight w:val="0"/>
      <w:marTop w:val="0"/>
      <w:marBottom w:val="0"/>
      <w:divBdr>
        <w:top w:val="none" w:sz="0" w:space="0" w:color="auto"/>
        <w:left w:val="none" w:sz="0" w:space="0" w:color="auto"/>
        <w:bottom w:val="none" w:sz="0" w:space="0" w:color="auto"/>
        <w:right w:val="none" w:sz="0" w:space="0" w:color="auto"/>
      </w:divBdr>
      <w:divsChild>
        <w:div w:id="1128552667">
          <w:marLeft w:val="0"/>
          <w:marRight w:val="0"/>
          <w:marTop w:val="0"/>
          <w:marBottom w:val="0"/>
          <w:divBdr>
            <w:top w:val="none" w:sz="0" w:space="0" w:color="auto"/>
            <w:left w:val="none" w:sz="0" w:space="0" w:color="auto"/>
            <w:bottom w:val="none" w:sz="0" w:space="0" w:color="auto"/>
            <w:right w:val="none" w:sz="0" w:space="0" w:color="auto"/>
          </w:divBdr>
        </w:div>
      </w:divsChild>
    </w:div>
    <w:div w:id="1513452583">
      <w:marLeft w:val="0"/>
      <w:marRight w:val="0"/>
      <w:marTop w:val="160"/>
      <w:marBottom w:val="160"/>
      <w:divBdr>
        <w:top w:val="none" w:sz="0" w:space="0" w:color="auto"/>
        <w:left w:val="none" w:sz="0" w:space="0" w:color="auto"/>
        <w:bottom w:val="none" w:sz="0" w:space="0" w:color="auto"/>
        <w:right w:val="none" w:sz="0" w:space="0" w:color="auto"/>
      </w:divBdr>
    </w:div>
    <w:div w:id="1513907750">
      <w:marLeft w:val="0"/>
      <w:marRight w:val="0"/>
      <w:marTop w:val="0"/>
      <w:marBottom w:val="0"/>
      <w:divBdr>
        <w:top w:val="none" w:sz="0" w:space="0" w:color="auto"/>
        <w:left w:val="none" w:sz="0" w:space="0" w:color="auto"/>
        <w:bottom w:val="none" w:sz="0" w:space="0" w:color="auto"/>
        <w:right w:val="none" w:sz="0" w:space="0" w:color="auto"/>
      </w:divBdr>
    </w:div>
    <w:div w:id="1514807744">
      <w:marLeft w:val="0"/>
      <w:marRight w:val="0"/>
      <w:marTop w:val="0"/>
      <w:marBottom w:val="0"/>
      <w:divBdr>
        <w:top w:val="none" w:sz="0" w:space="0" w:color="auto"/>
        <w:left w:val="none" w:sz="0" w:space="0" w:color="auto"/>
        <w:bottom w:val="none" w:sz="0" w:space="0" w:color="auto"/>
        <w:right w:val="none" w:sz="0" w:space="0" w:color="auto"/>
      </w:divBdr>
    </w:div>
    <w:div w:id="1516070087">
      <w:marLeft w:val="0"/>
      <w:marRight w:val="0"/>
      <w:marTop w:val="160"/>
      <w:marBottom w:val="160"/>
      <w:divBdr>
        <w:top w:val="none" w:sz="0" w:space="0" w:color="auto"/>
        <w:left w:val="none" w:sz="0" w:space="0" w:color="auto"/>
        <w:bottom w:val="none" w:sz="0" w:space="0" w:color="auto"/>
        <w:right w:val="none" w:sz="0" w:space="0" w:color="auto"/>
      </w:divBdr>
    </w:div>
    <w:div w:id="1520775630">
      <w:marLeft w:val="0"/>
      <w:marRight w:val="0"/>
      <w:marTop w:val="160"/>
      <w:marBottom w:val="160"/>
      <w:divBdr>
        <w:top w:val="none" w:sz="0" w:space="0" w:color="auto"/>
        <w:left w:val="none" w:sz="0" w:space="0" w:color="auto"/>
        <w:bottom w:val="none" w:sz="0" w:space="0" w:color="auto"/>
        <w:right w:val="none" w:sz="0" w:space="0" w:color="auto"/>
      </w:divBdr>
    </w:div>
    <w:div w:id="1522623956">
      <w:marLeft w:val="0"/>
      <w:marRight w:val="0"/>
      <w:marTop w:val="160"/>
      <w:marBottom w:val="160"/>
      <w:divBdr>
        <w:top w:val="none" w:sz="0" w:space="0" w:color="auto"/>
        <w:left w:val="none" w:sz="0" w:space="0" w:color="auto"/>
        <w:bottom w:val="none" w:sz="0" w:space="0" w:color="auto"/>
        <w:right w:val="none" w:sz="0" w:space="0" w:color="auto"/>
      </w:divBdr>
    </w:div>
    <w:div w:id="1527210869">
      <w:marLeft w:val="0"/>
      <w:marRight w:val="0"/>
      <w:marTop w:val="160"/>
      <w:marBottom w:val="160"/>
      <w:divBdr>
        <w:top w:val="none" w:sz="0" w:space="0" w:color="auto"/>
        <w:left w:val="none" w:sz="0" w:space="0" w:color="auto"/>
        <w:bottom w:val="none" w:sz="0" w:space="0" w:color="auto"/>
        <w:right w:val="none" w:sz="0" w:space="0" w:color="auto"/>
      </w:divBdr>
    </w:div>
    <w:div w:id="1528518046">
      <w:marLeft w:val="0"/>
      <w:marRight w:val="0"/>
      <w:marTop w:val="160"/>
      <w:marBottom w:val="160"/>
      <w:divBdr>
        <w:top w:val="none" w:sz="0" w:space="0" w:color="auto"/>
        <w:left w:val="none" w:sz="0" w:space="0" w:color="auto"/>
        <w:bottom w:val="none" w:sz="0" w:space="0" w:color="auto"/>
        <w:right w:val="none" w:sz="0" w:space="0" w:color="auto"/>
      </w:divBdr>
    </w:div>
    <w:div w:id="1529417491">
      <w:marLeft w:val="0"/>
      <w:marRight w:val="0"/>
      <w:marTop w:val="160"/>
      <w:marBottom w:val="160"/>
      <w:divBdr>
        <w:top w:val="none" w:sz="0" w:space="0" w:color="auto"/>
        <w:left w:val="none" w:sz="0" w:space="0" w:color="auto"/>
        <w:bottom w:val="none" w:sz="0" w:space="0" w:color="auto"/>
        <w:right w:val="none" w:sz="0" w:space="0" w:color="auto"/>
      </w:divBdr>
    </w:div>
    <w:div w:id="1529565666">
      <w:marLeft w:val="0"/>
      <w:marRight w:val="0"/>
      <w:marTop w:val="0"/>
      <w:marBottom w:val="0"/>
      <w:divBdr>
        <w:top w:val="none" w:sz="0" w:space="0" w:color="auto"/>
        <w:left w:val="none" w:sz="0" w:space="0" w:color="auto"/>
        <w:bottom w:val="none" w:sz="0" w:space="0" w:color="auto"/>
        <w:right w:val="none" w:sz="0" w:space="0" w:color="auto"/>
      </w:divBdr>
    </w:div>
    <w:div w:id="1541630974">
      <w:marLeft w:val="0"/>
      <w:marRight w:val="0"/>
      <w:marTop w:val="0"/>
      <w:marBottom w:val="0"/>
      <w:divBdr>
        <w:top w:val="none" w:sz="0" w:space="0" w:color="auto"/>
        <w:left w:val="none" w:sz="0" w:space="0" w:color="auto"/>
        <w:bottom w:val="none" w:sz="0" w:space="0" w:color="auto"/>
        <w:right w:val="none" w:sz="0" w:space="0" w:color="auto"/>
      </w:divBdr>
    </w:div>
    <w:div w:id="1552109877">
      <w:marLeft w:val="0"/>
      <w:marRight w:val="0"/>
      <w:marTop w:val="0"/>
      <w:marBottom w:val="160"/>
      <w:divBdr>
        <w:top w:val="none" w:sz="0" w:space="0" w:color="auto"/>
        <w:left w:val="none" w:sz="0" w:space="0" w:color="auto"/>
        <w:bottom w:val="none" w:sz="0" w:space="0" w:color="auto"/>
        <w:right w:val="none" w:sz="0" w:space="0" w:color="auto"/>
      </w:divBdr>
    </w:div>
    <w:div w:id="1554851203">
      <w:marLeft w:val="0"/>
      <w:marRight w:val="0"/>
      <w:marTop w:val="0"/>
      <w:marBottom w:val="0"/>
      <w:divBdr>
        <w:top w:val="none" w:sz="0" w:space="0" w:color="auto"/>
        <w:left w:val="none" w:sz="0" w:space="0" w:color="auto"/>
        <w:bottom w:val="none" w:sz="0" w:space="0" w:color="auto"/>
        <w:right w:val="none" w:sz="0" w:space="0" w:color="auto"/>
      </w:divBdr>
      <w:divsChild>
        <w:div w:id="2088455112">
          <w:marLeft w:val="0"/>
          <w:marRight w:val="0"/>
          <w:marTop w:val="0"/>
          <w:marBottom w:val="0"/>
          <w:divBdr>
            <w:top w:val="none" w:sz="0" w:space="0" w:color="auto"/>
            <w:left w:val="none" w:sz="0" w:space="0" w:color="auto"/>
            <w:bottom w:val="none" w:sz="0" w:space="0" w:color="auto"/>
            <w:right w:val="none" w:sz="0" w:space="0" w:color="auto"/>
          </w:divBdr>
        </w:div>
      </w:divsChild>
    </w:div>
    <w:div w:id="1559439482">
      <w:marLeft w:val="0"/>
      <w:marRight w:val="0"/>
      <w:marTop w:val="160"/>
      <w:marBottom w:val="160"/>
      <w:divBdr>
        <w:top w:val="none" w:sz="0" w:space="0" w:color="auto"/>
        <w:left w:val="none" w:sz="0" w:space="0" w:color="auto"/>
        <w:bottom w:val="none" w:sz="0" w:space="0" w:color="auto"/>
        <w:right w:val="none" w:sz="0" w:space="0" w:color="auto"/>
      </w:divBdr>
    </w:div>
    <w:div w:id="1570185980">
      <w:marLeft w:val="0"/>
      <w:marRight w:val="0"/>
      <w:marTop w:val="160"/>
      <w:marBottom w:val="160"/>
      <w:divBdr>
        <w:top w:val="none" w:sz="0" w:space="0" w:color="auto"/>
        <w:left w:val="none" w:sz="0" w:space="0" w:color="auto"/>
        <w:bottom w:val="none" w:sz="0" w:space="0" w:color="auto"/>
        <w:right w:val="none" w:sz="0" w:space="0" w:color="auto"/>
      </w:divBdr>
    </w:div>
    <w:div w:id="1571426339">
      <w:marLeft w:val="0"/>
      <w:marRight w:val="0"/>
      <w:marTop w:val="160"/>
      <w:marBottom w:val="160"/>
      <w:divBdr>
        <w:top w:val="none" w:sz="0" w:space="0" w:color="auto"/>
        <w:left w:val="none" w:sz="0" w:space="0" w:color="auto"/>
        <w:bottom w:val="none" w:sz="0" w:space="0" w:color="auto"/>
        <w:right w:val="none" w:sz="0" w:space="0" w:color="auto"/>
      </w:divBdr>
    </w:div>
    <w:div w:id="1572808650">
      <w:marLeft w:val="0"/>
      <w:marRight w:val="0"/>
      <w:marTop w:val="0"/>
      <w:marBottom w:val="0"/>
      <w:divBdr>
        <w:top w:val="none" w:sz="0" w:space="0" w:color="auto"/>
        <w:left w:val="none" w:sz="0" w:space="0" w:color="auto"/>
        <w:bottom w:val="none" w:sz="0" w:space="0" w:color="auto"/>
        <w:right w:val="none" w:sz="0" w:space="0" w:color="auto"/>
      </w:divBdr>
      <w:divsChild>
        <w:div w:id="1920821958">
          <w:marLeft w:val="0"/>
          <w:marRight w:val="0"/>
          <w:marTop w:val="0"/>
          <w:marBottom w:val="0"/>
          <w:divBdr>
            <w:top w:val="none" w:sz="0" w:space="0" w:color="auto"/>
            <w:left w:val="none" w:sz="0" w:space="0" w:color="auto"/>
            <w:bottom w:val="none" w:sz="0" w:space="0" w:color="auto"/>
            <w:right w:val="none" w:sz="0" w:space="0" w:color="auto"/>
          </w:divBdr>
        </w:div>
      </w:divsChild>
    </w:div>
    <w:div w:id="1576163253">
      <w:marLeft w:val="0"/>
      <w:marRight w:val="0"/>
      <w:marTop w:val="180"/>
      <w:marBottom w:val="0"/>
      <w:divBdr>
        <w:top w:val="none" w:sz="0" w:space="0" w:color="auto"/>
        <w:left w:val="none" w:sz="0" w:space="0" w:color="auto"/>
        <w:bottom w:val="none" w:sz="0" w:space="0" w:color="auto"/>
        <w:right w:val="none" w:sz="0" w:space="0" w:color="auto"/>
      </w:divBdr>
    </w:div>
    <w:div w:id="1577277173">
      <w:marLeft w:val="0"/>
      <w:marRight w:val="0"/>
      <w:marTop w:val="60"/>
      <w:marBottom w:val="0"/>
      <w:divBdr>
        <w:top w:val="none" w:sz="0" w:space="0" w:color="auto"/>
        <w:left w:val="none" w:sz="0" w:space="0" w:color="auto"/>
        <w:bottom w:val="none" w:sz="0" w:space="0" w:color="auto"/>
        <w:right w:val="none" w:sz="0" w:space="0" w:color="auto"/>
      </w:divBdr>
    </w:div>
    <w:div w:id="1580402494">
      <w:marLeft w:val="0"/>
      <w:marRight w:val="0"/>
      <w:marTop w:val="160"/>
      <w:marBottom w:val="160"/>
      <w:divBdr>
        <w:top w:val="none" w:sz="0" w:space="0" w:color="auto"/>
        <w:left w:val="none" w:sz="0" w:space="0" w:color="auto"/>
        <w:bottom w:val="none" w:sz="0" w:space="0" w:color="auto"/>
        <w:right w:val="none" w:sz="0" w:space="0" w:color="auto"/>
      </w:divBdr>
    </w:div>
    <w:div w:id="1581673709">
      <w:marLeft w:val="0"/>
      <w:marRight w:val="0"/>
      <w:marTop w:val="0"/>
      <w:marBottom w:val="0"/>
      <w:divBdr>
        <w:top w:val="none" w:sz="0" w:space="0" w:color="auto"/>
        <w:left w:val="none" w:sz="0" w:space="0" w:color="auto"/>
        <w:bottom w:val="none" w:sz="0" w:space="0" w:color="auto"/>
        <w:right w:val="none" w:sz="0" w:space="0" w:color="auto"/>
      </w:divBdr>
    </w:div>
    <w:div w:id="1593466747">
      <w:marLeft w:val="0"/>
      <w:marRight w:val="0"/>
      <w:marTop w:val="160"/>
      <w:marBottom w:val="160"/>
      <w:divBdr>
        <w:top w:val="none" w:sz="0" w:space="0" w:color="auto"/>
        <w:left w:val="none" w:sz="0" w:space="0" w:color="auto"/>
        <w:bottom w:val="none" w:sz="0" w:space="0" w:color="auto"/>
        <w:right w:val="none" w:sz="0" w:space="0" w:color="auto"/>
      </w:divBdr>
    </w:div>
    <w:div w:id="1593973070">
      <w:marLeft w:val="0"/>
      <w:marRight w:val="0"/>
      <w:marTop w:val="160"/>
      <w:marBottom w:val="160"/>
      <w:divBdr>
        <w:top w:val="none" w:sz="0" w:space="0" w:color="auto"/>
        <w:left w:val="none" w:sz="0" w:space="0" w:color="auto"/>
        <w:bottom w:val="none" w:sz="0" w:space="0" w:color="auto"/>
        <w:right w:val="none" w:sz="0" w:space="0" w:color="auto"/>
      </w:divBdr>
    </w:div>
    <w:div w:id="1598563201">
      <w:marLeft w:val="0"/>
      <w:marRight w:val="0"/>
      <w:marTop w:val="0"/>
      <w:marBottom w:val="0"/>
      <w:divBdr>
        <w:top w:val="none" w:sz="0" w:space="0" w:color="auto"/>
        <w:left w:val="none" w:sz="0" w:space="0" w:color="auto"/>
        <w:bottom w:val="none" w:sz="0" w:space="0" w:color="auto"/>
        <w:right w:val="none" w:sz="0" w:space="0" w:color="auto"/>
      </w:divBdr>
      <w:divsChild>
        <w:div w:id="1269044878">
          <w:marLeft w:val="0"/>
          <w:marRight w:val="0"/>
          <w:marTop w:val="0"/>
          <w:marBottom w:val="0"/>
          <w:divBdr>
            <w:top w:val="none" w:sz="0" w:space="0" w:color="auto"/>
            <w:left w:val="none" w:sz="0" w:space="0" w:color="auto"/>
            <w:bottom w:val="none" w:sz="0" w:space="0" w:color="auto"/>
            <w:right w:val="none" w:sz="0" w:space="0" w:color="auto"/>
          </w:divBdr>
        </w:div>
      </w:divsChild>
    </w:div>
    <w:div w:id="1598900840">
      <w:marLeft w:val="0"/>
      <w:marRight w:val="0"/>
      <w:marTop w:val="0"/>
      <w:marBottom w:val="0"/>
      <w:divBdr>
        <w:top w:val="none" w:sz="0" w:space="0" w:color="auto"/>
        <w:left w:val="none" w:sz="0" w:space="0" w:color="auto"/>
        <w:bottom w:val="none" w:sz="0" w:space="0" w:color="auto"/>
        <w:right w:val="none" w:sz="0" w:space="0" w:color="auto"/>
      </w:divBdr>
    </w:div>
    <w:div w:id="1602714541">
      <w:marLeft w:val="0"/>
      <w:marRight w:val="0"/>
      <w:marTop w:val="160"/>
      <w:marBottom w:val="160"/>
      <w:divBdr>
        <w:top w:val="none" w:sz="0" w:space="0" w:color="auto"/>
        <w:left w:val="none" w:sz="0" w:space="0" w:color="auto"/>
        <w:bottom w:val="none" w:sz="0" w:space="0" w:color="auto"/>
        <w:right w:val="none" w:sz="0" w:space="0" w:color="auto"/>
      </w:divBdr>
    </w:div>
    <w:div w:id="1605268411">
      <w:marLeft w:val="0"/>
      <w:marRight w:val="0"/>
      <w:marTop w:val="160"/>
      <w:marBottom w:val="160"/>
      <w:divBdr>
        <w:top w:val="none" w:sz="0" w:space="0" w:color="auto"/>
        <w:left w:val="none" w:sz="0" w:space="0" w:color="auto"/>
        <w:bottom w:val="none" w:sz="0" w:space="0" w:color="auto"/>
        <w:right w:val="none" w:sz="0" w:space="0" w:color="auto"/>
      </w:divBdr>
    </w:div>
    <w:div w:id="1607420884">
      <w:marLeft w:val="0"/>
      <w:marRight w:val="0"/>
      <w:marTop w:val="160"/>
      <w:marBottom w:val="160"/>
      <w:divBdr>
        <w:top w:val="none" w:sz="0" w:space="0" w:color="auto"/>
        <w:left w:val="none" w:sz="0" w:space="0" w:color="auto"/>
        <w:bottom w:val="none" w:sz="0" w:space="0" w:color="auto"/>
        <w:right w:val="none" w:sz="0" w:space="0" w:color="auto"/>
      </w:divBdr>
    </w:div>
    <w:div w:id="1612932115">
      <w:marLeft w:val="0"/>
      <w:marRight w:val="0"/>
      <w:marTop w:val="0"/>
      <w:marBottom w:val="0"/>
      <w:divBdr>
        <w:top w:val="none" w:sz="0" w:space="0" w:color="auto"/>
        <w:left w:val="none" w:sz="0" w:space="0" w:color="auto"/>
        <w:bottom w:val="none" w:sz="0" w:space="0" w:color="auto"/>
        <w:right w:val="none" w:sz="0" w:space="0" w:color="auto"/>
      </w:divBdr>
      <w:divsChild>
        <w:div w:id="773211520">
          <w:marLeft w:val="0"/>
          <w:marRight w:val="0"/>
          <w:marTop w:val="0"/>
          <w:marBottom w:val="0"/>
          <w:divBdr>
            <w:top w:val="none" w:sz="0" w:space="0" w:color="auto"/>
            <w:left w:val="none" w:sz="0" w:space="0" w:color="auto"/>
            <w:bottom w:val="none" w:sz="0" w:space="0" w:color="auto"/>
            <w:right w:val="none" w:sz="0" w:space="0" w:color="auto"/>
          </w:divBdr>
        </w:div>
      </w:divsChild>
    </w:div>
    <w:div w:id="1613124645">
      <w:marLeft w:val="0"/>
      <w:marRight w:val="0"/>
      <w:marTop w:val="160"/>
      <w:marBottom w:val="160"/>
      <w:divBdr>
        <w:top w:val="none" w:sz="0" w:space="0" w:color="auto"/>
        <w:left w:val="none" w:sz="0" w:space="0" w:color="auto"/>
        <w:bottom w:val="none" w:sz="0" w:space="0" w:color="auto"/>
        <w:right w:val="none" w:sz="0" w:space="0" w:color="auto"/>
      </w:divBdr>
    </w:div>
    <w:div w:id="1613393805">
      <w:marLeft w:val="0"/>
      <w:marRight w:val="0"/>
      <w:marTop w:val="160"/>
      <w:marBottom w:val="160"/>
      <w:divBdr>
        <w:top w:val="none" w:sz="0" w:space="0" w:color="auto"/>
        <w:left w:val="none" w:sz="0" w:space="0" w:color="auto"/>
        <w:bottom w:val="none" w:sz="0" w:space="0" w:color="auto"/>
        <w:right w:val="none" w:sz="0" w:space="0" w:color="auto"/>
      </w:divBdr>
    </w:div>
    <w:div w:id="1617175516">
      <w:marLeft w:val="0"/>
      <w:marRight w:val="0"/>
      <w:marTop w:val="0"/>
      <w:marBottom w:val="0"/>
      <w:divBdr>
        <w:top w:val="none" w:sz="0" w:space="0" w:color="auto"/>
        <w:left w:val="none" w:sz="0" w:space="0" w:color="auto"/>
        <w:bottom w:val="none" w:sz="0" w:space="0" w:color="auto"/>
        <w:right w:val="none" w:sz="0" w:space="0" w:color="auto"/>
      </w:divBdr>
      <w:divsChild>
        <w:div w:id="1270046229">
          <w:marLeft w:val="0"/>
          <w:marRight w:val="0"/>
          <w:marTop w:val="0"/>
          <w:marBottom w:val="0"/>
          <w:divBdr>
            <w:top w:val="none" w:sz="0" w:space="0" w:color="auto"/>
            <w:left w:val="none" w:sz="0" w:space="0" w:color="auto"/>
            <w:bottom w:val="none" w:sz="0" w:space="0" w:color="auto"/>
            <w:right w:val="none" w:sz="0" w:space="0" w:color="auto"/>
          </w:divBdr>
          <w:divsChild>
            <w:div w:id="19827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18">
      <w:marLeft w:val="0"/>
      <w:marRight w:val="0"/>
      <w:marTop w:val="160"/>
      <w:marBottom w:val="160"/>
      <w:divBdr>
        <w:top w:val="none" w:sz="0" w:space="0" w:color="auto"/>
        <w:left w:val="none" w:sz="0" w:space="0" w:color="auto"/>
        <w:bottom w:val="none" w:sz="0" w:space="0" w:color="auto"/>
        <w:right w:val="none" w:sz="0" w:space="0" w:color="auto"/>
      </w:divBdr>
    </w:div>
    <w:div w:id="1622034503">
      <w:marLeft w:val="0"/>
      <w:marRight w:val="0"/>
      <w:marTop w:val="160"/>
      <w:marBottom w:val="160"/>
      <w:divBdr>
        <w:top w:val="none" w:sz="0" w:space="0" w:color="auto"/>
        <w:left w:val="none" w:sz="0" w:space="0" w:color="auto"/>
        <w:bottom w:val="none" w:sz="0" w:space="0" w:color="auto"/>
        <w:right w:val="none" w:sz="0" w:space="0" w:color="auto"/>
      </w:divBdr>
    </w:div>
    <w:div w:id="1624849359">
      <w:marLeft w:val="0"/>
      <w:marRight w:val="0"/>
      <w:marTop w:val="160"/>
      <w:marBottom w:val="160"/>
      <w:divBdr>
        <w:top w:val="none" w:sz="0" w:space="0" w:color="auto"/>
        <w:left w:val="none" w:sz="0" w:space="0" w:color="auto"/>
        <w:bottom w:val="none" w:sz="0" w:space="0" w:color="auto"/>
        <w:right w:val="none" w:sz="0" w:space="0" w:color="auto"/>
      </w:divBdr>
    </w:div>
    <w:div w:id="1626082863">
      <w:marLeft w:val="0"/>
      <w:marRight w:val="0"/>
      <w:marTop w:val="160"/>
      <w:marBottom w:val="160"/>
      <w:divBdr>
        <w:top w:val="none" w:sz="0" w:space="0" w:color="auto"/>
        <w:left w:val="none" w:sz="0" w:space="0" w:color="auto"/>
        <w:bottom w:val="none" w:sz="0" w:space="0" w:color="auto"/>
        <w:right w:val="none" w:sz="0" w:space="0" w:color="auto"/>
      </w:divBdr>
    </w:div>
    <w:div w:id="1631130600">
      <w:marLeft w:val="0"/>
      <w:marRight w:val="0"/>
      <w:marTop w:val="0"/>
      <w:marBottom w:val="160"/>
      <w:divBdr>
        <w:top w:val="none" w:sz="0" w:space="0" w:color="auto"/>
        <w:left w:val="none" w:sz="0" w:space="0" w:color="auto"/>
        <w:bottom w:val="none" w:sz="0" w:space="0" w:color="auto"/>
        <w:right w:val="none" w:sz="0" w:space="0" w:color="auto"/>
      </w:divBdr>
    </w:div>
    <w:div w:id="1637636958">
      <w:marLeft w:val="0"/>
      <w:marRight w:val="0"/>
      <w:marTop w:val="160"/>
      <w:marBottom w:val="160"/>
      <w:divBdr>
        <w:top w:val="none" w:sz="0" w:space="0" w:color="auto"/>
        <w:left w:val="none" w:sz="0" w:space="0" w:color="auto"/>
        <w:bottom w:val="none" w:sz="0" w:space="0" w:color="auto"/>
        <w:right w:val="none" w:sz="0" w:space="0" w:color="auto"/>
      </w:divBdr>
    </w:div>
    <w:div w:id="1638536318">
      <w:marLeft w:val="0"/>
      <w:marRight w:val="0"/>
      <w:marTop w:val="160"/>
      <w:marBottom w:val="0"/>
      <w:divBdr>
        <w:top w:val="none" w:sz="0" w:space="0" w:color="auto"/>
        <w:left w:val="none" w:sz="0" w:space="0" w:color="auto"/>
        <w:bottom w:val="none" w:sz="0" w:space="0" w:color="auto"/>
        <w:right w:val="none" w:sz="0" w:space="0" w:color="auto"/>
      </w:divBdr>
    </w:div>
    <w:div w:id="1638995393">
      <w:marLeft w:val="0"/>
      <w:marRight w:val="0"/>
      <w:marTop w:val="160"/>
      <w:marBottom w:val="160"/>
      <w:divBdr>
        <w:top w:val="none" w:sz="0" w:space="0" w:color="auto"/>
        <w:left w:val="none" w:sz="0" w:space="0" w:color="auto"/>
        <w:bottom w:val="none" w:sz="0" w:space="0" w:color="auto"/>
        <w:right w:val="none" w:sz="0" w:space="0" w:color="auto"/>
      </w:divBdr>
    </w:div>
    <w:div w:id="1644580200">
      <w:marLeft w:val="0"/>
      <w:marRight w:val="0"/>
      <w:marTop w:val="160"/>
      <w:marBottom w:val="160"/>
      <w:divBdr>
        <w:top w:val="none" w:sz="0" w:space="0" w:color="auto"/>
        <w:left w:val="none" w:sz="0" w:space="0" w:color="auto"/>
        <w:bottom w:val="none" w:sz="0" w:space="0" w:color="auto"/>
        <w:right w:val="none" w:sz="0" w:space="0" w:color="auto"/>
      </w:divBdr>
    </w:div>
    <w:div w:id="1651329858">
      <w:marLeft w:val="0"/>
      <w:marRight w:val="0"/>
      <w:marTop w:val="0"/>
      <w:marBottom w:val="0"/>
      <w:divBdr>
        <w:top w:val="none" w:sz="0" w:space="0" w:color="auto"/>
        <w:left w:val="none" w:sz="0" w:space="0" w:color="auto"/>
        <w:bottom w:val="none" w:sz="0" w:space="0" w:color="auto"/>
        <w:right w:val="none" w:sz="0" w:space="0" w:color="auto"/>
      </w:divBdr>
      <w:divsChild>
        <w:div w:id="771900253">
          <w:marLeft w:val="0"/>
          <w:marRight w:val="0"/>
          <w:marTop w:val="0"/>
          <w:marBottom w:val="0"/>
          <w:divBdr>
            <w:top w:val="none" w:sz="0" w:space="0" w:color="auto"/>
            <w:left w:val="none" w:sz="0" w:space="0" w:color="auto"/>
            <w:bottom w:val="none" w:sz="0" w:space="0" w:color="auto"/>
            <w:right w:val="none" w:sz="0" w:space="0" w:color="auto"/>
          </w:divBdr>
        </w:div>
      </w:divsChild>
    </w:div>
    <w:div w:id="1661152351">
      <w:marLeft w:val="0"/>
      <w:marRight w:val="0"/>
      <w:marTop w:val="160"/>
      <w:marBottom w:val="160"/>
      <w:divBdr>
        <w:top w:val="none" w:sz="0" w:space="0" w:color="auto"/>
        <w:left w:val="none" w:sz="0" w:space="0" w:color="auto"/>
        <w:bottom w:val="none" w:sz="0" w:space="0" w:color="auto"/>
        <w:right w:val="none" w:sz="0" w:space="0" w:color="auto"/>
      </w:divBdr>
    </w:div>
    <w:div w:id="1665085580">
      <w:marLeft w:val="0"/>
      <w:marRight w:val="0"/>
      <w:marTop w:val="160"/>
      <w:marBottom w:val="160"/>
      <w:divBdr>
        <w:top w:val="none" w:sz="0" w:space="0" w:color="auto"/>
        <w:left w:val="none" w:sz="0" w:space="0" w:color="auto"/>
        <w:bottom w:val="none" w:sz="0" w:space="0" w:color="auto"/>
        <w:right w:val="none" w:sz="0" w:space="0" w:color="auto"/>
      </w:divBdr>
    </w:div>
    <w:div w:id="1678922736">
      <w:marLeft w:val="0"/>
      <w:marRight w:val="0"/>
      <w:marTop w:val="160"/>
      <w:marBottom w:val="160"/>
      <w:divBdr>
        <w:top w:val="none" w:sz="0" w:space="0" w:color="auto"/>
        <w:left w:val="none" w:sz="0" w:space="0" w:color="auto"/>
        <w:bottom w:val="none" w:sz="0" w:space="0" w:color="auto"/>
        <w:right w:val="none" w:sz="0" w:space="0" w:color="auto"/>
      </w:divBdr>
    </w:div>
    <w:div w:id="1685589044">
      <w:marLeft w:val="0"/>
      <w:marRight w:val="0"/>
      <w:marTop w:val="0"/>
      <w:marBottom w:val="0"/>
      <w:divBdr>
        <w:top w:val="none" w:sz="0" w:space="0" w:color="auto"/>
        <w:left w:val="none" w:sz="0" w:space="0" w:color="auto"/>
        <w:bottom w:val="none" w:sz="0" w:space="0" w:color="auto"/>
        <w:right w:val="none" w:sz="0" w:space="0" w:color="auto"/>
      </w:divBdr>
      <w:divsChild>
        <w:div w:id="1148715508">
          <w:marLeft w:val="0"/>
          <w:marRight w:val="0"/>
          <w:marTop w:val="0"/>
          <w:marBottom w:val="0"/>
          <w:divBdr>
            <w:top w:val="none" w:sz="0" w:space="0" w:color="auto"/>
            <w:left w:val="none" w:sz="0" w:space="0" w:color="auto"/>
            <w:bottom w:val="none" w:sz="0" w:space="0" w:color="auto"/>
            <w:right w:val="none" w:sz="0" w:space="0" w:color="auto"/>
          </w:divBdr>
        </w:div>
      </w:divsChild>
    </w:div>
    <w:div w:id="1689871782">
      <w:marLeft w:val="0"/>
      <w:marRight w:val="0"/>
      <w:marTop w:val="160"/>
      <w:marBottom w:val="160"/>
      <w:divBdr>
        <w:top w:val="none" w:sz="0" w:space="0" w:color="auto"/>
        <w:left w:val="none" w:sz="0" w:space="0" w:color="auto"/>
        <w:bottom w:val="none" w:sz="0" w:space="0" w:color="auto"/>
        <w:right w:val="none" w:sz="0" w:space="0" w:color="auto"/>
      </w:divBdr>
    </w:div>
    <w:div w:id="1693188726">
      <w:marLeft w:val="0"/>
      <w:marRight w:val="0"/>
      <w:marTop w:val="160"/>
      <w:marBottom w:val="160"/>
      <w:divBdr>
        <w:top w:val="none" w:sz="0" w:space="0" w:color="auto"/>
        <w:left w:val="none" w:sz="0" w:space="0" w:color="auto"/>
        <w:bottom w:val="none" w:sz="0" w:space="0" w:color="auto"/>
        <w:right w:val="none" w:sz="0" w:space="0" w:color="auto"/>
      </w:divBdr>
    </w:div>
    <w:div w:id="1698894676">
      <w:marLeft w:val="0"/>
      <w:marRight w:val="0"/>
      <w:marTop w:val="0"/>
      <w:marBottom w:val="0"/>
      <w:divBdr>
        <w:top w:val="none" w:sz="0" w:space="0" w:color="auto"/>
        <w:left w:val="none" w:sz="0" w:space="0" w:color="auto"/>
        <w:bottom w:val="none" w:sz="0" w:space="0" w:color="auto"/>
        <w:right w:val="none" w:sz="0" w:space="0" w:color="auto"/>
      </w:divBdr>
      <w:divsChild>
        <w:div w:id="751969328">
          <w:marLeft w:val="0"/>
          <w:marRight w:val="0"/>
          <w:marTop w:val="160"/>
          <w:marBottom w:val="160"/>
          <w:divBdr>
            <w:top w:val="none" w:sz="0" w:space="0" w:color="auto"/>
            <w:left w:val="none" w:sz="0" w:space="0" w:color="auto"/>
            <w:bottom w:val="none" w:sz="0" w:space="0" w:color="auto"/>
            <w:right w:val="none" w:sz="0" w:space="0" w:color="auto"/>
          </w:divBdr>
        </w:div>
        <w:div w:id="1186745776">
          <w:marLeft w:val="0"/>
          <w:marRight w:val="0"/>
          <w:marTop w:val="160"/>
          <w:marBottom w:val="160"/>
          <w:divBdr>
            <w:top w:val="none" w:sz="0" w:space="0" w:color="auto"/>
            <w:left w:val="none" w:sz="0" w:space="0" w:color="auto"/>
            <w:bottom w:val="none" w:sz="0" w:space="0" w:color="auto"/>
            <w:right w:val="none" w:sz="0" w:space="0" w:color="auto"/>
          </w:divBdr>
        </w:div>
        <w:div w:id="2029519372">
          <w:marLeft w:val="0"/>
          <w:marRight w:val="0"/>
          <w:marTop w:val="160"/>
          <w:marBottom w:val="160"/>
          <w:divBdr>
            <w:top w:val="none" w:sz="0" w:space="0" w:color="auto"/>
            <w:left w:val="none" w:sz="0" w:space="0" w:color="auto"/>
            <w:bottom w:val="none" w:sz="0" w:space="0" w:color="auto"/>
            <w:right w:val="none" w:sz="0" w:space="0" w:color="auto"/>
          </w:divBdr>
        </w:div>
        <w:div w:id="35127975">
          <w:marLeft w:val="0"/>
          <w:marRight w:val="0"/>
          <w:marTop w:val="160"/>
          <w:marBottom w:val="160"/>
          <w:divBdr>
            <w:top w:val="none" w:sz="0" w:space="0" w:color="auto"/>
            <w:left w:val="none" w:sz="0" w:space="0" w:color="auto"/>
            <w:bottom w:val="none" w:sz="0" w:space="0" w:color="auto"/>
            <w:right w:val="none" w:sz="0" w:space="0" w:color="auto"/>
          </w:divBdr>
        </w:div>
        <w:div w:id="1202674532">
          <w:marLeft w:val="0"/>
          <w:marRight w:val="0"/>
          <w:marTop w:val="160"/>
          <w:marBottom w:val="160"/>
          <w:divBdr>
            <w:top w:val="none" w:sz="0" w:space="0" w:color="auto"/>
            <w:left w:val="none" w:sz="0" w:space="0" w:color="auto"/>
            <w:bottom w:val="none" w:sz="0" w:space="0" w:color="auto"/>
            <w:right w:val="none" w:sz="0" w:space="0" w:color="auto"/>
          </w:divBdr>
        </w:div>
        <w:div w:id="804275507">
          <w:marLeft w:val="0"/>
          <w:marRight w:val="0"/>
          <w:marTop w:val="160"/>
          <w:marBottom w:val="160"/>
          <w:divBdr>
            <w:top w:val="none" w:sz="0" w:space="0" w:color="auto"/>
            <w:left w:val="none" w:sz="0" w:space="0" w:color="auto"/>
            <w:bottom w:val="none" w:sz="0" w:space="0" w:color="auto"/>
            <w:right w:val="none" w:sz="0" w:space="0" w:color="auto"/>
          </w:divBdr>
        </w:div>
      </w:divsChild>
    </w:div>
    <w:div w:id="1701274066">
      <w:marLeft w:val="0"/>
      <w:marRight w:val="0"/>
      <w:marTop w:val="160"/>
      <w:marBottom w:val="160"/>
      <w:divBdr>
        <w:top w:val="none" w:sz="0" w:space="0" w:color="auto"/>
        <w:left w:val="none" w:sz="0" w:space="0" w:color="auto"/>
        <w:bottom w:val="none" w:sz="0" w:space="0" w:color="auto"/>
        <w:right w:val="none" w:sz="0" w:space="0" w:color="auto"/>
      </w:divBdr>
    </w:div>
    <w:div w:id="1701469157">
      <w:marLeft w:val="0"/>
      <w:marRight w:val="0"/>
      <w:marTop w:val="160"/>
      <w:marBottom w:val="160"/>
      <w:divBdr>
        <w:top w:val="none" w:sz="0" w:space="0" w:color="auto"/>
        <w:left w:val="none" w:sz="0" w:space="0" w:color="auto"/>
        <w:bottom w:val="none" w:sz="0" w:space="0" w:color="auto"/>
        <w:right w:val="none" w:sz="0" w:space="0" w:color="auto"/>
      </w:divBdr>
    </w:div>
    <w:div w:id="1701658932">
      <w:marLeft w:val="0"/>
      <w:marRight w:val="0"/>
      <w:marTop w:val="0"/>
      <w:marBottom w:val="0"/>
      <w:divBdr>
        <w:top w:val="none" w:sz="0" w:space="0" w:color="auto"/>
        <w:left w:val="none" w:sz="0" w:space="0" w:color="auto"/>
        <w:bottom w:val="none" w:sz="0" w:space="0" w:color="auto"/>
        <w:right w:val="none" w:sz="0" w:space="0" w:color="auto"/>
      </w:divBdr>
      <w:divsChild>
        <w:div w:id="1220744206">
          <w:marLeft w:val="0"/>
          <w:marRight w:val="0"/>
          <w:marTop w:val="0"/>
          <w:marBottom w:val="0"/>
          <w:divBdr>
            <w:top w:val="none" w:sz="0" w:space="0" w:color="auto"/>
            <w:left w:val="none" w:sz="0" w:space="0" w:color="auto"/>
            <w:bottom w:val="none" w:sz="0" w:space="0" w:color="auto"/>
            <w:right w:val="none" w:sz="0" w:space="0" w:color="auto"/>
          </w:divBdr>
        </w:div>
      </w:divsChild>
    </w:div>
    <w:div w:id="1709450319">
      <w:marLeft w:val="0"/>
      <w:marRight w:val="0"/>
      <w:marTop w:val="0"/>
      <w:marBottom w:val="0"/>
      <w:divBdr>
        <w:top w:val="none" w:sz="0" w:space="0" w:color="auto"/>
        <w:left w:val="none" w:sz="0" w:space="0" w:color="auto"/>
        <w:bottom w:val="none" w:sz="0" w:space="0" w:color="auto"/>
        <w:right w:val="none" w:sz="0" w:space="0" w:color="auto"/>
      </w:divBdr>
      <w:divsChild>
        <w:div w:id="1241715659">
          <w:marLeft w:val="0"/>
          <w:marRight w:val="0"/>
          <w:marTop w:val="0"/>
          <w:marBottom w:val="0"/>
          <w:divBdr>
            <w:top w:val="none" w:sz="0" w:space="0" w:color="auto"/>
            <w:left w:val="none" w:sz="0" w:space="0" w:color="auto"/>
            <w:bottom w:val="none" w:sz="0" w:space="0" w:color="auto"/>
            <w:right w:val="none" w:sz="0" w:space="0" w:color="auto"/>
          </w:divBdr>
        </w:div>
      </w:divsChild>
    </w:div>
    <w:div w:id="1709451910">
      <w:marLeft w:val="0"/>
      <w:marRight w:val="0"/>
      <w:marTop w:val="0"/>
      <w:marBottom w:val="0"/>
      <w:divBdr>
        <w:top w:val="none" w:sz="0" w:space="0" w:color="auto"/>
        <w:left w:val="none" w:sz="0" w:space="0" w:color="auto"/>
        <w:bottom w:val="none" w:sz="0" w:space="0" w:color="auto"/>
        <w:right w:val="none" w:sz="0" w:space="0" w:color="auto"/>
      </w:divBdr>
    </w:div>
    <w:div w:id="1729839709">
      <w:marLeft w:val="0"/>
      <w:marRight w:val="0"/>
      <w:marTop w:val="160"/>
      <w:marBottom w:val="160"/>
      <w:divBdr>
        <w:top w:val="none" w:sz="0" w:space="0" w:color="auto"/>
        <w:left w:val="none" w:sz="0" w:space="0" w:color="auto"/>
        <w:bottom w:val="none" w:sz="0" w:space="0" w:color="auto"/>
        <w:right w:val="none" w:sz="0" w:space="0" w:color="auto"/>
      </w:divBdr>
    </w:div>
    <w:div w:id="1734280503">
      <w:marLeft w:val="0"/>
      <w:marRight w:val="0"/>
      <w:marTop w:val="160"/>
      <w:marBottom w:val="160"/>
      <w:divBdr>
        <w:top w:val="none" w:sz="0" w:space="0" w:color="auto"/>
        <w:left w:val="none" w:sz="0" w:space="0" w:color="auto"/>
        <w:bottom w:val="none" w:sz="0" w:space="0" w:color="auto"/>
        <w:right w:val="none" w:sz="0" w:space="0" w:color="auto"/>
      </w:divBdr>
    </w:div>
    <w:div w:id="1738044869">
      <w:marLeft w:val="0"/>
      <w:marRight w:val="0"/>
      <w:marTop w:val="160"/>
      <w:marBottom w:val="160"/>
      <w:divBdr>
        <w:top w:val="none" w:sz="0" w:space="0" w:color="auto"/>
        <w:left w:val="none" w:sz="0" w:space="0" w:color="auto"/>
        <w:bottom w:val="none" w:sz="0" w:space="0" w:color="auto"/>
        <w:right w:val="none" w:sz="0" w:space="0" w:color="auto"/>
      </w:divBdr>
    </w:div>
    <w:div w:id="1738045285">
      <w:marLeft w:val="0"/>
      <w:marRight w:val="0"/>
      <w:marTop w:val="0"/>
      <w:marBottom w:val="0"/>
      <w:divBdr>
        <w:top w:val="none" w:sz="0" w:space="0" w:color="auto"/>
        <w:left w:val="none" w:sz="0" w:space="0" w:color="auto"/>
        <w:bottom w:val="none" w:sz="0" w:space="0" w:color="auto"/>
        <w:right w:val="none" w:sz="0" w:space="0" w:color="auto"/>
      </w:divBdr>
      <w:divsChild>
        <w:div w:id="1472752359">
          <w:marLeft w:val="0"/>
          <w:marRight w:val="0"/>
          <w:marTop w:val="160"/>
          <w:marBottom w:val="160"/>
          <w:divBdr>
            <w:top w:val="none" w:sz="0" w:space="0" w:color="auto"/>
            <w:left w:val="none" w:sz="0" w:space="0" w:color="auto"/>
            <w:bottom w:val="none" w:sz="0" w:space="0" w:color="auto"/>
            <w:right w:val="none" w:sz="0" w:space="0" w:color="auto"/>
          </w:divBdr>
        </w:div>
        <w:div w:id="1318997763">
          <w:marLeft w:val="0"/>
          <w:marRight w:val="0"/>
          <w:marTop w:val="160"/>
          <w:marBottom w:val="160"/>
          <w:divBdr>
            <w:top w:val="none" w:sz="0" w:space="0" w:color="auto"/>
            <w:left w:val="none" w:sz="0" w:space="0" w:color="auto"/>
            <w:bottom w:val="none" w:sz="0" w:space="0" w:color="auto"/>
            <w:right w:val="none" w:sz="0" w:space="0" w:color="auto"/>
          </w:divBdr>
        </w:div>
        <w:div w:id="1042557331">
          <w:marLeft w:val="0"/>
          <w:marRight w:val="0"/>
          <w:marTop w:val="160"/>
          <w:marBottom w:val="160"/>
          <w:divBdr>
            <w:top w:val="none" w:sz="0" w:space="0" w:color="auto"/>
            <w:left w:val="none" w:sz="0" w:space="0" w:color="auto"/>
            <w:bottom w:val="none" w:sz="0" w:space="0" w:color="auto"/>
            <w:right w:val="none" w:sz="0" w:space="0" w:color="auto"/>
          </w:divBdr>
        </w:div>
        <w:div w:id="97721872">
          <w:marLeft w:val="0"/>
          <w:marRight w:val="0"/>
          <w:marTop w:val="160"/>
          <w:marBottom w:val="160"/>
          <w:divBdr>
            <w:top w:val="none" w:sz="0" w:space="0" w:color="auto"/>
            <w:left w:val="none" w:sz="0" w:space="0" w:color="auto"/>
            <w:bottom w:val="none" w:sz="0" w:space="0" w:color="auto"/>
            <w:right w:val="none" w:sz="0" w:space="0" w:color="auto"/>
          </w:divBdr>
        </w:div>
        <w:div w:id="1472751763">
          <w:marLeft w:val="0"/>
          <w:marRight w:val="0"/>
          <w:marTop w:val="160"/>
          <w:marBottom w:val="160"/>
          <w:divBdr>
            <w:top w:val="none" w:sz="0" w:space="0" w:color="auto"/>
            <w:left w:val="none" w:sz="0" w:space="0" w:color="auto"/>
            <w:bottom w:val="none" w:sz="0" w:space="0" w:color="auto"/>
            <w:right w:val="none" w:sz="0" w:space="0" w:color="auto"/>
          </w:divBdr>
        </w:div>
        <w:div w:id="1755207046">
          <w:marLeft w:val="0"/>
          <w:marRight w:val="0"/>
          <w:marTop w:val="160"/>
          <w:marBottom w:val="160"/>
          <w:divBdr>
            <w:top w:val="none" w:sz="0" w:space="0" w:color="auto"/>
            <w:left w:val="none" w:sz="0" w:space="0" w:color="auto"/>
            <w:bottom w:val="none" w:sz="0" w:space="0" w:color="auto"/>
            <w:right w:val="none" w:sz="0" w:space="0" w:color="auto"/>
          </w:divBdr>
        </w:div>
        <w:div w:id="504594387">
          <w:marLeft w:val="0"/>
          <w:marRight w:val="0"/>
          <w:marTop w:val="0"/>
          <w:marBottom w:val="0"/>
          <w:divBdr>
            <w:top w:val="none" w:sz="0" w:space="0" w:color="auto"/>
            <w:left w:val="none" w:sz="0" w:space="0" w:color="auto"/>
            <w:bottom w:val="none" w:sz="0" w:space="0" w:color="auto"/>
            <w:right w:val="none" w:sz="0" w:space="0" w:color="auto"/>
          </w:divBdr>
        </w:div>
      </w:divsChild>
    </w:div>
    <w:div w:id="1742950265">
      <w:marLeft w:val="0"/>
      <w:marRight w:val="0"/>
      <w:marTop w:val="160"/>
      <w:marBottom w:val="160"/>
      <w:divBdr>
        <w:top w:val="none" w:sz="0" w:space="0" w:color="auto"/>
        <w:left w:val="none" w:sz="0" w:space="0" w:color="auto"/>
        <w:bottom w:val="none" w:sz="0" w:space="0" w:color="auto"/>
        <w:right w:val="none" w:sz="0" w:space="0" w:color="auto"/>
      </w:divBdr>
    </w:div>
    <w:div w:id="1751851672">
      <w:marLeft w:val="0"/>
      <w:marRight w:val="0"/>
      <w:marTop w:val="160"/>
      <w:marBottom w:val="160"/>
      <w:divBdr>
        <w:top w:val="none" w:sz="0" w:space="0" w:color="auto"/>
        <w:left w:val="none" w:sz="0" w:space="0" w:color="auto"/>
        <w:bottom w:val="none" w:sz="0" w:space="0" w:color="auto"/>
        <w:right w:val="none" w:sz="0" w:space="0" w:color="auto"/>
      </w:divBdr>
    </w:div>
    <w:div w:id="1751927034">
      <w:marLeft w:val="0"/>
      <w:marRight w:val="0"/>
      <w:marTop w:val="0"/>
      <w:marBottom w:val="0"/>
      <w:divBdr>
        <w:top w:val="none" w:sz="0" w:space="0" w:color="auto"/>
        <w:left w:val="none" w:sz="0" w:space="0" w:color="auto"/>
        <w:bottom w:val="none" w:sz="0" w:space="0" w:color="auto"/>
        <w:right w:val="none" w:sz="0" w:space="0" w:color="auto"/>
      </w:divBdr>
      <w:divsChild>
        <w:div w:id="823006893">
          <w:marLeft w:val="0"/>
          <w:marRight w:val="0"/>
          <w:marTop w:val="0"/>
          <w:marBottom w:val="0"/>
          <w:divBdr>
            <w:top w:val="none" w:sz="0" w:space="0" w:color="auto"/>
            <w:left w:val="none" w:sz="0" w:space="0" w:color="auto"/>
            <w:bottom w:val="none" w:sz="0" w:space="0" w:color="auto"/>
            <w:right w:val="none" w:sz="0" w:space="0" w:color="auto"/>
          </w:divBdr>
        </w:div>
      </w:divsChild>
    </w:div>
    <w:div w:id="1756701288">
      <w:marLeft w:val="0"/>
      <w:marRight w:val="0"/>
      <w:marTop w:val="160"/>
      <w:marBottom w:val="160"/>
      <w:divBdr>
        <w:top w:val="none" w:sz="0" w:space="0" w:color="auto"/>
        <w:left w:val="none" w:sz="0" w:space="0" w:color="auto"/>
        <w:bottom w:val="none" w:sz="0" w:space="0" w:color="auto"/>
        <w:right w:val="none" w:sz="0" w:space="0" w:color="auto"/>
      </w:divBdr>
    </w:div>
    <w:div w:id="1757752065">
      <w:marLeft w:val="0"/>
      <w:marRight w:val="0"/>
      <w:marTop w:val="160"/>
      <w:marBottom w:val="160"/>
      <w:divBdr>
        <w:top w:val="none" w:sz="0" w:space="0" w:color="auto"/>
        <w:left w:val="none" w:sz="0" w:space="0" w:color="auto"/>
        <w:bottom w:val="none" w:sz="0" w:space="0" w:color="auto"/>
        <w:right w:val="none" w:sz="0" w:space="0" w:color="auto"/>
      </w:divBdr>
    </w:div>
    <w:div w:id="1763798182">
      <w:marLeft w:val="0"/>
      <w:marRight w:val="0"/>
      <w:marTop w:val="160"/>
      <w:marBottom w:val="160"/>
      <w:divBdr>
        <w:top w:val="none" w:sz="0" w:space="0" w:color="auto"/>
        <w:left w:val="none" w:sz="0" w:space="0" w:color="auto"/>
        <w:bottom w:val="none" w:sz="0" w:space="0" w:color="auto"/>
        <w:right w:val="none" w:sz="0" w:space="0" w:color="auto"/>
      </w:divBdr>
    </w:div>
    <w:div w:id="1766535829">
      <w:marLeft w:val="0"/>
      <w:marRight w:val="0"/>
      <w:marTop w:val="0"/>
      <w:marBottom w:val="160"/>
      <w:divBdr>
        <w:top w:val="none" w:sz="0" w:space="0" w:color="auto"/>
        <w:left w:val="none" w:sz="0" w:space="0" w:color="auto"/>
        <w:bottom w:val="none" w:sz="0" w:space="0" w:color="auto"/>
        <w:right w:val="none" w:sz="0" w:space="0" w:color="auto"/>
      </w:divBdr>
    </w:div>
    <w:div w:id="1776900794">
      <w:marLeft w:val="0"/>
      <w:marRight w:val="0"/>
      <w:marTop w:val="160"/>
      <w:marBottom w:val="160"/>
      <w:divBdr>
        <w:top w:val="none" w:sz="0" w:space="0" w:color="auto"/>
        <w:left w:val="none" w:sz="0" w:space="0" w:color="auto"/>
        <w:bottom w:val="none" w:sz="0" w:space="0" w:color="auto"/>
        <w:right w:val="none" w:sz="0" w:space="0" w:color="auto"/>
      </w:divBdr>
    </w:div>
    <w:div w:id="1782188017">
      <w:marLeft w:val="0"/>
      <w:marRight w:val="0"/>
      <w:marTop w:val="160"/>
      <w:marBottom w:val="160"/>
      <w:divBdr>
        <w:top w:val="none" w:sz="0" w:space="0" w:color="auto"/>
        <w:left w:val="none" w:sz="0" w:space="0" w:color="auto"/>
        <w:bottom w:val="none" w:sz="0" w:space="0" w:color="auto"/>
        <w:right w:val="none" w:sz="0" w:space="0" w:color="auto"/>
      </w:divBdr>
    </w:div>
    <w:div w:id="1783382158">
      <w:marLeft w:val="0"/>
      <w:marRight w:val="0"/>
      <w:marTop w:val="160"/>
      <w:marBottom w:val="160"/>
      <w:divBdr>
        <w:top w:val="none" w:sz="0" w:space="0" w:color="auto"/>
        <w:left w:val="none" w:sz="0" w:space="0" w:color="auto"/>
        <w:bottom w:val="none" w:sz="0" w:space="0" w:color="auto"/>
        <w:right w:val="none" w:sz="0" w:space="0" w:color="auto"/>
      </w:divBdr>
    </w:div>
    <w:div w:id="1785735961">
      <w:marLeft w:val="0"/>
      <w:marRight w:val="0"/>
      <w:marTop w:val="160"/>
      <w:marBottom w:val="160"/>
      <w:divBdr>
        <w:top w:val="none" w:sz="0" w:space="0" w:color="auto"/>
        <w:left w:val="none" w:sz="0" w:space="0" w:color="auto"/>
        <w:bottom w:val="none" w:sz="0" w:space="0" w:color="auto"/>
        <w:right w:val="none" w:sz="0" w:space="0" w:color="auto"/>
      </w:divBdr>
    </w:div>
    <w:div w:id="1786460402">
      <w:marLeft w:val="0"/>
      <w:marRight w:val="0"/>
      <w:marTop w:val="160"/>
      <w:marBottom w:val="160"/>
      <w:divBdr>
        <w:top w:val="none" w:sz="0" w:space="0" w:color="auto"/>
        <w:left w:val="none" w:sz="0" w:space="0" w:color="auto"/>
        <w:bottom w:val="none" w:sz="0" w:space="0" w:color="auto"/>
        <w:right w:val="none" w:sz="0" w:space="0" w:color="auto"/>
      </w:divBdr>
    </w:div>
    <w:div w:id="1788506594">
      <w:marLeft w:val="0"/>
      <w:marRight w:val="0"/>
      <w:marTop w:val="160"/>
      <w:marBottom w:val="160"/>
      <w:divBdr>
        <w:top w:val="none" w:sz="0" w:space="0" w:color="auto"/>
        <w:left w:val="none" w:sz="0" w:space="0" w:color="auto"/>
        <w:bottom w:val="none" w:sz="0" w:space="0" w:color="auto"/>
        <w:right w:val="none" w:sz="0" w:space="0" w:color="auto"/>
      </w:divBdr>
    </w:div>
    <w:div w:id="1798983238">
      <w:marLeft w:val="0"/>
      <w:marRight w:val="0"/>
      <w:marTop w:val="0"/>
      <w:marBottom w:val="0"/>
      <w:divBdr>
        <w:top w:val="none" w:sz="0" w:space="0" w:color="auto"/>
        <w:left w:val="none" w:sz="0" w:space="0" w:color="auto"/>
        <w:bottom w:val="none" w:sz="0" w:space="0" w:color="auto"/>
        <w:right w:val="none" w:sz="0" w:space="0" w:color="auto"/>
      </w:divBdr>
      <w:divsChild>
        <w:div w:id="2134252365">
          <w:marLeft w:val="0"/>
          <w:marRight w:val="0"/>
          <w:marTop w:val="0"/>
          <w:marBottom w:val="0"/>
          <w:divBdr>
            <w:top w:val="none" w:sz="0" w:space="0" w:color="auto"/>
            <w:left w:val="none" w:sz="0" w:space="0" w:color="auto"/>
            <w:bottom w:val="none" w:sz="0" w:space="0" w:color="auto"/>
            <w:right w:val="none" w:sz="0" w:space="0" w:color="auto"/>
          </w:divBdr>
        </w:div>
      </w:divsChild>
    </w:div>
    <w:div w:id="1800996609">
      <w:marLeft w:val="0"/>
      <w:marRight w:val="0"/>
      <w:marTop w:val="160"/>
      <w:marBottom w:val="160"/>
      <w:divBdr>
        <w:top w:val="none" w:sz="0" w:space="0" w:color="auto"/>
        <w:left w:val="none" w:sz="0" w:space="0" w:color="auto"/>
        <w:bottom w:val="none" w:sz="0" w:space="0" w:color="auto"/>
        <w:right w:val="none" w:sz="0" w:space="0" w:color="auto"/>
      </w:divBdr>
    </w:div>
    <w:div w:id="1804031491">
      <w:marLeft w:val="0"/>
      <w:marRight w:val="0"/>
      <w:marTop w:val="160"/>
      <w:marBottom w:val="160"/>
      <w:divBdr>
        <w:top w:val="none" w:sz="0" w:space="0" w:color="auto"/>
        <w:left w:val="none" w:sz="0" w:space="0" w:color="auto"/>
        <w:bottom w:val="none" w:sz="0" w:space="0" w:color="auto"/>
        <w:right w:val="none" w:sz="0" w:space="0" w:color="auto"/>
      </w:divBdr>
    </w:div>
    <w:div w:id="1804345279">
      <w:marLeft w:val="0"/>
      <w:marRight w:val="0"/>
      <w:marTop w:val="60"/>
      <w:marBottom w:val="0"/>
      <w:divBdr>
        <w:top w:val="none" w:sz="0" w:space="0" w:color="auto"/>
        <w:left w:val="none" w:sz="0" w:space="0" w:color="auto"/>
        <w:bottom w:val="none" w:sz="0" w:space="0" w:color="auto"/>
        <w:right w:val="none" w:sz="0" w:space="0" w:color="auto"/>
      </w:divBdr>
    </w:div>
    <w:div w:id="1805389928">
      <w:marLeft w:val="0"/>
      <w:marRight w:val="0"/>
      <w:marTop w:val="0"/>
      <w:marBottom w:val="0"/>
      <w:divBdr>
        <w:top w:val="none" w:sz="0" w:space="0" w:color="auto"/>
        <w:left w:val="none" w:sz="0" w:space="0" w:color="auto"/>
        <w:bottom w:val="none" w:sz="0" w:space="0" w:color="auto"/>
        <w:right w:val="none" w:sz="0" w:space="0" w:color="auto"/>
      </w:divBdr>
    </w:div>
    <w:div w:id="1808014737">
      <w:marLeft w:val="0"/>
      <w:marRight w:val="0"/>
      <w:marTop w:val="160"/>
      <w:marBottom w:val="160"/>
      <w:divBdr>
        <w:top w:val="none" w:sz="0" w:space="0" w:color="auto"/>
        <w:left w:val="none" w:sz="0" w:space="0" w:color="auto"/>
        <w:bottom w:val="none" w:sz="0" w:space="0" w:color="auto"/>
        <w:right w:val="none" w:sz="0" w:space="0" w:color="auto"/>
      </w:divBdr>
    </w:div>
    <w:div w:id="1808279903">
      <w:marLeft w:val="0"/>
      <w:marRight w:val="0"/>
      <w:marTop w:val="0"/>
      <w:marBottom w:val="0"/>
      <w:divBdr>
        <w:top w:val="none" w:sz="0" w:space="0" w:color="auto"/>
        <w:left w:val="none" w:sz="0" w:space="0" w:color="auto"/>
        <w:bottom w:val="none" w:sz="0" w:space="0" w:color="auto"/>
        <w:right w:val="none" w:sz="0" w:space="0" w:color="auto"/>
      </w:divBdr>
      <w:divsChild>
        <w:div w:id="172687609">
          <w:marLeft w:val="0"/>
          <w:marRight w:val="0"/>
          <w:marTop w:val="160"/>
          <w:marBottom w:val="160"/>
          <w:divBdr>
            <w:top w:val="none" w:sz="0" w:space="0" w:color="auto"/>
            <w:left w:val="none" w:sz="0" w:space="0" w:color="auto"/>
            <w:bottom w:val="none" w:sz="0" w:space="0" w:color="auto"/>
            <w:right w:val="none" w:sz="0" w:space="0" w:color="auto"/>
          </w:divBdr>
        </w:div>
        <w:div w:id="1721241902">
          <w:marLeft w:val="0"/>
          <w:marRight w:val="0"/>
          <w:marTop w:val="160"/>
          <w:marBottom w:val="160"/>
          <w:divBdr>
            <w:top w:val="none" w:sz="0" w:space="0" w:color="auto"/>
            <w:left w:val="none" w:sz="0" w:space="0" w:color="auto"/>
            <w:bottom w:val="none" w:sz="0" w:space="0" w:color="auto"/>
            <w:right w:val="none" w:sz="0" w:space="0" w:color="auto"/>
          </w:divBdr>
        </w:div>
        <w:div w:id="628246250">
          <w:marLeft w:val="0"/>
          <w:marRight w:val="0"/>
          <w:marTop w:val="160"/>
          <w:marBottom w:val="160"/>
          <w:divBdr>
            <w:top w:val="none" w:sz="0" w:space="0" w:color="auto"/>
            <w:left w:val="none" w:sz="0" w:space="0" w:color="auto"/>
            <w:bottom w:val="none" w:sz="0" w:space="0" w:color="auto"/>
            <w:right w:val="none" w:sz="0" w:space="0" w:color="auto"/>
          </w:divBdr>
        </w:div>
        <w:div w:id="255212805">
          <w:marLeft w:val="0"/>
          <w:marRight w:val="0"/>
          <w:marTop w:val="160"/>
          <w:marBottom w:val="160"/>
          <w:divBdr>
            <w:top w:val="none" w:sz="0" w:space="0" w:color="auto"/>
            <w:left w:val="none" w:sz="0" w:space="0" w:color="auto"/>
            <w:bottom w:val="none" w:sz="0" w:space="0" w:color="auto"/>
            <w:right w:val="none" w:sz="0" w:space="0" w:color="auto"/>
          </w:divBdr>
        </w:div>
        <w:div w:id="323121500">
          <w:marLeft w:val="0"/>
          <w:marRight w:val="0"/>
          <w:marTop w:val="160"/>
          <w:marBottom w:val="160"/>
          <w:divBdr>
            <w:top w:val="none" w:sz="0" w:space="0" w:color="auto"/>
            <w:left w:val="none" w:sz="0" w:space="0" w:color="auto"/>
            <w:bottom w:val="none" w:sz="0" w:space="0" w:color="auto"/>
            <w:right w:val="none" w:sz="0" w:space="0" w:color="auto"/>
          </w:divBdr>
        </w:div>
        <w:div w:id="2020499802">
          <w:marLeft w:val="0"/>
          <w:marRight w:val="0"/>
          <w:marTop w:val="0"/>
          <w:marBottom w:val="0"/>
          <w:divBdr>
            <w:top w:val="none" w:sz="0" w:space="0" w:color="auto"/>
            <w:left w:val="none" w:sz="0" w:space="0" w:color="auto"/>
            <w:bottom w:val="none" w:sz="0" w:space="0" w:color="auto"/>
            <w:right w:val="none" w:sz="0" w:space="0" w:color="auto"/>
          </w:divBdr>
        </w:div>
      </w:divsChild>
    </w:div>
    <w:div w:id="1813516500">
      <w:marLeft w:val="0"/>
      <w:marRight w:val="0"/>
      <w:marTop w:val="160"/>
      <w:marBottom w:val="160"/>
      <w:divBdr>
        <w:top w:val="none" w:sz="0" w:space="0" w:color="auto"/>
        <w:left w:val="none" w:sz="0" w:space="0" w:color="auto"/>
        <w:bottom w:val="none" w:sz="0" w:space="0" w:color="auto"/>
        <w:right w:val="none" w:sz="0" w:space="0" w:color="auto"/>
      </w:divBdr>
    </w:div>
    <w:div w:id="1818185896">
      <w:marLeft w:val="0"/>
      <w:marRight w:val="0"/>
      <w:marTop w:val="0"/>
      <w:marBottom w:val="0"/>
      <w:divBdr>
        <w:top w:val="none" w:sz="0" w:space="0" w:color="auto"/>
        <w:left w:val="none" w:sz="0" w:space="0" w:color="auto"/>
        <w:bottom w:val="none" w:sz="0" w:space="0" w:color="auto"/>
        <w:right w:val="none" w:sz="0" w:space="0" w:color="auto"/>
      </w:divBdr>
      <w:divsChild>
        <w:div w:id="210970356">
          <w:marLeft w:val="0"/>
          <w:marRight w:val="0"/>
          <w:marTop w:val="0"/>
          <w:marBottom w:val="0"/>
          <w:divBdr>
            <w:top w:val="none" w:sz="0" w:space="0" w:color="auto"/>
            <w:left w:val="none" w:sz="0" w:space="0" w:color="auto"/>
            <w:bottom w:val="none" w:sz="0" w:space="0" w:color="auto"/>
            <w:right w:val="none" w:sz="0" w:space="0" w:color="auto"/>
          </w:divBdr>
        </w:div>
      </w:divsChild>
    </w:div>
    <w:div w:id="1821968531">
      <w:marLeft w:val="0"/>
      <w:marRight w:val="0"/>
      <w:marTop w:val="160"/>
      <w:marBottom w:val="160"/>
      <w:divBdr>
        <w:top w:val="none" w:sz="0" w:space="0" w:color="auto"/>
        <w:left w:val="none" w:sz="0" w:space="0" w:color="auto"/>
        <w:bottom w:val="none" w:sz="0" w:space="0" w:color="auto"/>
        <w:right w:val="none" w:sz="0" w:space="0" w:color="auto"/>
      </w:divBdr>
    </w:div>
    <w:div w:id="1833909663">
      <w:marLeft w:val="0"/>
      <w:marRight w:val="0"/>
      <w:marTop w:val="60"/>
      <w:marBottom w:val="0"/>
      <w:divBdr>
        <w:top w:val="none" w:sz="0" w:space="0" w:color="auto"/>
        <w:left w:val="none" w:sz="0" w:space="0" w:color="auto"/>
        <w:bottom w:val="none" w:sz="0" w:space="0" w:color="auto"/>
        <w:right w:val="none" w:sz="0" w:space="0" w:color="auto"/>
      </w:divBdr>
    </w:div>
    <w:div w:id="1836023498">
      <w:marLeft w:val="0"/>
      <w:marRight w:val="0"/>
      <w:marTop w:val="160"/>
      <w:marBottom w:val="160"/>
      <w:divBdr>
        <w:top w:val="none" w:sz="0" w:space="0" w:color="auto"/>
        <w:left w:val="none" w:sz="0" w:space="0" w:color="auto"/>
        <w:bottom w:val="none" w:sz="0" w:space="0" w:color="auto"/>
        <w:right w:val="none" w:sz="0" w:space="0" w:color="auto"/>
      </w:divBdr>
    </w:div>
    <w:div w:id="1838884677">
      <w:marLeft w:val="0"/>
      <w:marRight w:val="0"/>
      <w:marTop w:val="0"/>
      <w:marBottom w:val="0"/>
      <w:divBdr>
        <w:top w:val="none" w:sz="0" w:space="0" w:color="auto"/>
        <w:left w:val="none" w:sz="0" w:space="0" w:color="auto"/>
        <w:bottom w:val="none" w:sz="0" w:space="0" w:color="auto"/>
        <w:right w:val="none" w:sz="0" w:space="0" w:color="auto"/>
      </w:divBdr>
    </w:div>
    <w:div w:id="1840005195">
      <w:marLeft w:val="0"/>
      <w:marRight w:val="0"/>
      <w:marTop w:val="160"/>
      <w:marBottom w:val="160"/>
      <w:divBdr>
        <w:top w:val="none" w:sz="0" w:space="0" w:color="auto"/>
        <w:left w:val="none" w:sz="0" w:space="0" w:color="auto"/>
        <w:bottom w:val="none" w:sz="0" w:space="0" w:color="auto"/>
        <w:right w:val="none" w:sz="0" w:space="0" w:color="auto"/>
      </w:divBdr>
    </w:div>
    <w:div w:id="1845390128">
      <w:marLeft w:val="0"/>
      <w:marRight w:val="0"/>
      <w:marTop w:val="0"/>
      <w:marBottom w:val="240"/>
      <w:divBdr>
        <w:top w:val="none" w:sz="0" w:space="0" w:color="auto"/>
        <w:left w:val="none" w:sz="0" w:space="0" w:color="auto"/>
        <w:bottom w:val="none" w:sz="0" w:space="0" w:color="auto"/>
        <w:right w:val="none" w:sz="0" w:space="0" w:color="auto"/>
      </w:divBdr>
    </w:div>
    <w:div w:id="1846825393">
      <w:marLeft w:val="0"/>
      <w:marRight w:val="0"/>
      <w:marTop w:val="160"/>
      <w:marBottom w:val="160"/>
      <w:divBdr>
        <w:top w:val="none" w:sz="0" w:space="0" w:color="auto"/>
        <w:left w:val="none" w:sz="0" w:space="0" w:color="auto"/>
        <w:bottom w:val="none" w:sz="0" w:space="0" w:color="auto"/>
        <w:right w:val="none" w:sz="0" w:space="0" w:color="auto"/>
      </w:divBdr>
    </w:div>
    <w:div w:id="1852452844">
      <w:marLeft w:val="0"/>
      <w:marRight w:val="0"/>
      <w:marTop w:val="160"/>
      <w:marBottom w:val="160"/>
      <w:divBdr>
        <w:top w:val="none" w:sz="0" w:space="0" w:color="auto"/>
        <w:left w:val="none" w:sz="0" w:space="0" w:color="auto"/>
        <w:bottom w:val="none" w:sz="0" w:space="0" w:color="auto"/>
        <w:right w:val="none" w:sz="0" w:space="0" w:color="auto"/>
      </w:divBdr>
    </w:div>
    <w:div w:id="1857110602">
      <w:marLeft w:val="0"/>
      <w:marRight w:val="0"/>
      <w:marTop w:val="160"/>
      <w:marBottom w:val="160"/>
      <w:divBdr>
        <w:top w:val="none" w:sz="0" w:space="0" w:color="auto"/>
        <w:left w:val="none" w:sz="0" w:space="0" w:color="auto"/>
        <w:bottom w:val="none" w:sz="0" w:space="0" w:color="auto"/>
        <w:right w:val="none" w:sz="0" w:space="0" w:color="auto"/>
      </w:divBdr>
    </w:div>
    <w:div w:id="1863393234">
      <w:marLeft w:val="0"/>
      <w:marRight w:val="0"/>
      <w:marTop w:val="0"/>
      <w:marBottom w:val="0"/>
      <w:divBdr>
        <w:top w:val="none" w:sz="0" w:space="0" w:color="auto"/>
        <w:left w:val="none" w:sz="0" w:space="0" w:color="auto"/>
        <w:bottom w:val="none" w:sz="0" w:space="0" w:color="auto"/>
        <w:right w:val="none" w:sz="0" w:space="0" w:color="auto"/>
      </w:divBdr>
      <w:divsChild>
        <w:div w:id="1130593318">
          <w:marLeft w:val="0"/>
          <w:marRight w:val="0"/>
          <w:marTop w:val="0"/>
          <w:marBottom w:val="0"/>
          <w:divBdr>
            <w:top w:val="none" w:sz="0" w:space="0" w:color="auto"/>
            <w:left w:val="none" w:sz="0" w:space="0" w:color="auto"/>
            <w:bottom w:val="none" w:sz="0" w:space="0" w:color="auto"/>
            <w:right w:val="none" w:sz="0" w:space="0" w:color="auto"/>
          </w:divBdr>
        </w:div>
      </w:divsChild>
    </w:div>
    <w:div w:id="1864201287">
      <w:marLeft w:val="0"/>
      <w:marRight w:val="0"/>
      <w:marTop w:val="0"/>
      <w:marBottom w:val="0"/>
      <w:divBdr>
        <w:top w:val="none" w:sz="0" w:space="0" w:color="auto"/>
        <w:left w:val="none" w:sz="0" w:space="0" w:color="auto"/>
        <w:bottom w:val="none" w:sz="0" w:space="0" w:color="auto"/>
        <w:right w:val="none" w:sz="0" w:space="0" w:color="auto"/>
      </w:divBdr>
      <w:divsChild>
        <w:div w:id="854155582">
          <w:marLeft w:val="0"/>
          <w:marRight w:val="0"/>
          <w:marTop w:val="160"/>
          <w:marBottom w:val="160"/>
          <w:divBdr>
            <w:top w:val="none" w:sz="0" w:space="0" w:color="auto"/>
            <w:left w:val="none" w:sz="0" w:space="0" w:color="auto"/>
            <w:bottom w:val="none" w:sz="0" w:space="0" w:color="auto"/>
            <w:right w:val="none" w:sz="0" w:space="0" w:color="auto"/>
          </w:divBdr>
        </w:div>
        <w:div w:id="677004368">
          <w:marLeft w:val="0"/>
          <w:marRight w:val="0"/>
          <w:marTop w:val="160"/>
          <w:marBottom w:val="160"/>
          <w:divBdr>
            <w:top w:val="none" w:sz="0" w:space="0" w:color="auto"/>
            <w:left w:val="none" w:sz="0" w:space="0" w:color="auto"/>
            <w:bottom w:val="none" w:sz="0" w:space="0" w:color="auto"/>
            <w:right w:val="none" w:sz="0" w:space="0" w:color="auto"/>
          </w:divBdr>
        </w:div>
        <w:div w:id="1579754653">
          <w:marLeft w:val="0"/>
          <w:marRight w:val="0"/>
          <w:marTop w:val="160"/>
          <w:marBottom w:val="160"/>
          <w:divBdr>
            <w:top w:val="none" w:sz="0" w:space="0" w:color="auto"/>
            <w:left w:val="none" w:sz="0" w:space="0" w:color="auto"/>
            <w:bottom w:val="none" w:sz="0" w:space="0" w:color="auto"/>
            <w:right w:val="none" w:sz="0" w:space="0" w:color="auto"/>
          </w:divBdr>
        </w:div>
        <w:div w:id="711150298">
          <w:marLeft w:val="0"/>
          <w:marRight w:val="0"/>
          <w:marTop w:val="160"/>
          <w:marBottom w:val="160"/>
          <w:divBdr>
            <w:top w:val="none" w:sz="0" w:space="0" w:color="auto"/>
            <w:left w:val="none" w:sz="0" w:space="0" w:color="auto"/>
            <w:bottom w:val="none" w:sz="0" w:space="0" w:color="auto"/>
            <w:right w:val="none" w:sz="0" w:space="0" w:color="auto"/>
          </w:divBdr>
        </w:div>
        <w:div w:id="447700139">
          <w:marLeft w:val="0"/>
          <w:marRight w:val="0"/>
          <w:marTop w:val="160"/>
          <w:marBottom w:val="160"/>
          <w:divBdr>
            <w:top w:val="none" w:sz="0" w:space="0" w:color="auto"/>
            <w:left w:val="none" w:sz="0" w:space="0" w:color="auto"/>
            <w:bottom w:val="none" w:sz="0" w:space="0" w:color="auto"/>
            <w:right w:val="none" w:sz="0" w:space="0" w:color="auto"/>
          </w:divBdr>
        </w:div>
        <w:div w:id="513610956">
          <w:marLeft w:val="0"/>
          <w:marRight w:val="0"/>
          <w:marTop w:val="160"/>
          <w:marBottom w:val="160"/>
          <w:divBdr>
            <w:top w:val="none" w:sz="0" w:space="0" w:color="auto"/>
            <w:left w:val="none" w:sz="0" w:space="0" w:color="auto"/>
            <w:bottom w:val="none" w:sz="0" w:space="0" w:color="auto"/>
            <w:right w:val="none" w:sz="0" w:space="0" w:color="auto"/>
          </w:divBdr>
        </w:div>
      </w:divsChild>
    </w:div>
    <w:div w:id="1864902750">
      <w:marLeft w:val="0"/>
      <w:marRight w:val="0"/>
      <w:marTop w:val="160"/>
      <w:marBottom w:val="160"/>
      <w:divBdr>
        <w:top w:val="none" w:sz="0" w:space="0" w:color="auto"/>
        <w:left w:val="none" w:sz="0" w:space="0" w:color="auto"/>
        <w:bottom w:val="none" w:sz="0" w:space="0" w:color="auto"/>
        <w:right w:val="none" w:sz="0" w:space="0" w:color="auto"/>
      </w:divBdr>
    </w:div>
    <w:div w:id="1871869462">
      <w:marLeft w:val="0"/>
      <w:marRight w:val="0"/>
      <w:marTop w:val="160"/>
      <w:marBottom w:val="160"/>
      <w:divBdr>
        <w:top w:val="none" w:sz="0" w:space="0" w:color="auto"/>
        <w:left w:val="none" w:sz="0" w:space="0" w:color="auto"/>
        <w:bottom w:val="none" w:sz="0" w:space="0" w:color="auto"/>
        <w:right w:val="none" w:sz="0" w:space="0" w:color="auto"/>
      </w:divBdr>
    </w:div>
    <w:div w:id="1872759329">
      <w:marLeft w:val="0"/>
      <w:marRight w:val="0"/>
      <w:marTop w:val="160"/>
      <w:marBottom w:val="160"/>
      <w:divBdr>
        <w:top w:val="none" w:sz="0" w:space="0" w:color="auto"/>
        <w:left w:val="none" w:sz="0" w:space="0" w:color="auto"/>
        <w:bottom w:val="none" w:sz="0" w:space="0" w:color="auto"/>
        <w:right w:val="none" w:sz="0" w:space="0" w:color="auto"/>
      </w:divBdr>
    </w:div>
    <w:div w:id="1879320282">
      <w:marLeft w:val="0"/>
      <w:marRight w:val="0"/>
      <w:marTop w:val="160"/>
      <w:marBottom w:val="160"/>
      <w:divBdr>
        <w:top w:val="none" w:sz="0" w:space="0" w:color="auto"/>
        <w:left w:val="none" w:sz="0" w:space="0" w:color="auto"/>
        <w:bottom w:val="none" w:sz="0" w:space="0" w:color="auto"/>
        <w:right w:val="none" w:sz="0" w:space="0" w:color="auto"/>
      </w:divBdr>
    </w:div>
    <w:div w:id="1880434305">
      <w:marLeft w:val="0"/>
      <w:marRight w:val="0"/>
      <w:marTop w:val="160"/>
      <w:marBottom w:val="160"/>
      <w:divBdr>
        <w:top w:val="none" w:sz="0" w:space="0" w:color="auto"/>
        <w:left w:val="none" w:sz="0" w:space="0" w:color="auto"/>
        <w:bottom w:val="none" w:sz="0" w:space="0" w:color="auto"/>
        <w:right w:val="none" w:sz="0" w:space="0" w:color="auto"/>
      </w:divBdr>
    </w:div>
    <w:div w:id="1886675943">
      <w:marLeft w:val="0"/>
      <w:marRight w:val="0"/>
      <w:marTop w:val="160"/>
      <w:marBottom w:val="160"/>
      <w:divBdr>
        <w:top w:val="none" w:sz="0" w:space="0" w:color="auto"/>
        <w:left w:val="none" w:sz="0" w:space="0" w:color="auto"/>
        <w:bottom w:val="none" w:sz="0" w:space="0" w:color="auto"/>
        <w:right w:val="none" w:sz="0" w:space="0" w:color="auto"/>
      </w:divBdr>
    </w:div>
    <w:div w:id="1891111477">
      <w:marLeft w:val="0"/>
      <w:marRight w:val="0"/>
      <w:marTop w:val="160"/>
      <w:marBottom w:val="160"/>
      <w:divBdr>
        <w:top w:val="none" w:sz="0" w:space="0" w:color="auto"/>
        <w:left w:val="none" w:sz="0" w:space="0" w:color="auto"/>
        <w:bottom w:val="none" w:sz="0" w:space="0" w:color="auto"/>
        <w:right w:val="none" w:sz="0" w:space="0" w:color="auto"/>
      </w:divBdr>
    </w:div>
    <w:div w:id="1891190388">
      <w:marLeft w:val="0"/>
      <w:marRight w:val="0"/>
      <w:marTop w:val="0"/>
      <w:marBottom w:val="0"/>
      <w:divBdr>
        <w:top w:val="none" w:sz="0" w:space="0" w:color="auto"/>
        <w:left w:val="none" w:sz="0" w:space="0" w:color="auto"/>
        <w:bottom w:val="none" w:sz="0" w:space="0" w:color="auto"/>
        <w:right w:val="none" w:sz="0" w:space="0" w:color="auto"/>
      </w:divBdr>
      <w:divsChild>
        <w:div w:id="574628167">
          <w:marLeft w:val="0"/>
          <w:marRight w:val="0"/>
          <w:marTop w:val="160"/>
          <w:marBottom w:val="160"/>
          <w:divBdr>
            <w:top w:val="none" w:sz="0" w:space="0" w:color="auto"/>
            <w:left w:val="none" w:sz="0" w:space="0" w:color="auto"/>
            <w:bottom w:val="none" w:sz="0" w:space="0" w:color="auto"/>
            <w:right w:val="none" w:sz="0" w:space="0" w:color="auto"/>
          </w:divBdr>
        </w:div>
        <w:div w:id="549348233">
          <w:marLeft w:val="0"/>
          <w:marRight w:val="0"/>
          <w:marTop w:val="160"/>
          <w:marBottom w:val="160"/>
          <w:divBdr>
            <w:top w:val="none" w:sz="0" w:space="0" w:color="auto"/>
            <w:left w:val="none" w:sz="0" w:space="0" w:color="auto"/>
            <w:bottom w:val="none" w:sz="0" w:space="0" w:color="auto"/>
            <w:right w:val="none" w:sz="0" w:space="0" w:color="auto"/>
          </w:divBdr>
        </w:div>
        <w:div w:id="470557570">
          <w:marLeft w:val="0"/>
          <w:marRight w:val="0"/>
          <w:marTop w:val="160"/>
          <w:marBottom w:val="160"/>
          <w:divBdr>
            <w:top w:val="none" w:sz="0" w:space="0" w:color="auto"/>
            <w:left w:val="none" w:sz="0" w:space="0" w:color="auto"/>
            <w:bottom w:val="none" w:sz="0" w:space="0" w:color="auto"/>
            <w:right w:val="none" w:sz="0" w:space="0" w:color="auto"/>
          </w:divBdr>
        </w:div>
        <w:div w:id="940145652">
          <w:marLeft w:val="0"/>
          <w:marRight w:val="0"/>
          <w:marTop w:val="160"/>
          <w:marBottom w:val="160"/>
          <w:divBdr>
            <w:top w:val="none" w:sz="0" w:space="0" w:color="auto"/>
            <w:left w:val="none" w:sz="0" w:space="0" w:color="auto"/>
            <w:bottom w:val="none" w:sz="0" w:space="0" w:color="auto"/>
            <w:right w:val="none" w:sz="0" w:space="0" w:color="auto"/>
          </w:divBdr>
        </w:div>
        <w:div w:id="1880162808">
          <w:marLeft w:val="0"/>
          <w:marRight w:val="0"/>
          <w:marTop w:val="160"/>
          <w:marBottom w:val="160"/>
          <w:divBdr>
            <w:top w:val="none" w:sz="0" w:space="0" w:color="auto"/>
            <w:left w:val="none" w:sz="0" w:space="0" w:color="auto"/>
            <w:bottom w:val="none" w:sz="0" w:space="0" w:color="auto"/>
            <w:right w:val="none" w:sz="0" w:space="0" w:color="auto"/>
          </w:divBdr>
        </w:div>
        <w:div w:id="520362632">
          <w:marLeft w:val="0"/>
          <w:marRight w:val="0"/>
          <w:marTop w:val="160"/>
          <w:marBottom w:val="160"/>
          <w:divBdr>
            <w:top w:val="none" w:sz="0" w:space="0" w:color="auto"/>
            <w:left w:val="none" w:sz="0" w:space="0" w:color="auto"/>
            <w:bottom w:val="none" w:sz="0" w:space="0" w:color="auto"/>
            <w:right w:val="none" w:sz="0" w:space="0" w:color="auto"/>
          </w:divBdr>
        </w:div>
      </w:divsChild>
    </w:div>
    <w:div w:id="1895700516">
      <w:marLeft w:val="0"/>
      <w:marRight w:val="0"/>
      <w:marTop w:val="160"/>
      <w:marBottom w:val="160"/>
      <w:divBdr>
        <w:top w:val="none" w:sz="0" w:space="0" w:color="auto"/>
        <w:left w:val="none" w:sz="0" w:space="0" w:color="auto"/>
        <w:bottom w:val="none" w:sz="0" w:space="0" w:color="auto"/>
        <w:right w:val="none" w:sz="0" w:space="0" w:color="auto"/>
      </w:divBdr>
    </w:div>
    <w:div w:id="1911499492">
      <w:marLeft w:val="0"/>
      <w:marRight w:val="0"/>
      <w:marTop w:val="160"/>
      <w:marBottom w:val="160"/>
      <w:divBdr>
        <w:top w:val="none" w:sz="0" w:space="0" w:color="auto"/>
        <w:left w:val="none" w:sz="0" w:space="0" w:color="auto"/>
        <w:bottom w:val="none" w:sz="0" w:space="0" w:color="auto"/>
        <w:right w:val="none" w:sz="0" w:space="0" w:color="auto"/>
      </w:divBdr>
    </w:div>
    <w:div w:id="1913083222">
      <w:marLeft w:val="0"/>
      <w:marRight w:val="0"/>
      <w:marTop w:val="160"/>
      <w:marBottom w:val="160"/>
      <w:divBdr>
        <w:top w:val="none" w:sz="0" w:space="0" w:color="auto"/>
        <w:left w:val="none" w:sz="0" w:space="0" w:color="auto"/>
        <w:bottom w:val="none" w:sz="0" w:space="0" w:color="auto"/>
        <w:right w:val="none" w:sz="0" w:space="0" w:color="auto"/>
      </w:divBdr>
    </w:div>
    <w:div w:id="1916624396">
      <w:marLeft w:val="0"/>
      <w:marRight w:val="0"/>
      <w:marTop w:val="160"/>
      <w:marBottom w:val="160"/>
      <w:divBdr>
        <w:top w:val="none" w:sz="0" w:space="0" w:color="auto"/>
        <w:left w:val="none" w:sz="0" w:space="0" w:color="auto"/>
        <w:bottom w:val="none" w:sz="0" w:space="0" w:color="auto"/>
        <w:right w:val="none" w:sz="0" w:space="0" w:color="auto"/>
      </w:divBdr>
    </w:div>
    <w:div w:id="1919559206">
      <w:marLeft w:val="0"/>
      <w:marRight w:val="0"/>
      <w:marTop w:val="160"/>
      <w:marBottom w:val="160"/>
      <w:divBdr>
        <w:top w:val="none" w:sz="0" w:space="0" w:color="auto"/>
        <w:left w:val="none" w:sz="0" w:space="0" w:color="auto"/>
        <w:bottom w:val="none" w:sz="0" w:space="0" w:color="auto"/>
        <w:right w:val="none" w:sz="0" w:space="0" w:color="auto"/>
      </w:divBdr>
    </w:div>
    <w:div w:id="1920021096">
      <w:marLeft w:val="0"/>
      <w:marRight w:val="0"/>
      <w:marTop w:val="160"/>
      <w:marBottom w:val="160"/>
      <w:divBdr>
        <w:top w:val="none" w:sz="0" w:space="0" w:color="auto"/>
        <w:left w:val="none" w:sz="0" w:space="0" w:color="auto"/>
        <w:bottom w:val="none" w:sz="0" w:space="0" w:color="auto"/>
        <w:right w:val="none" w:sz="0" w:space="0" w:color="auto"/>
      </w:divBdr>
    </w:div>
    <w:div w:id="1923836410">
      <w:marLeft w:val="0"/>
      <w:marRight w:val="0"/>
      <w:marTop w:val="0"/>
      <w:marBottom w:val="0"/>
      <w:divBdr>
        <w:top w:val="none" w:sz="0" w:space="0" w:color="auto"/>
        <w:left w:val="none" w:sz="0" w:space="0" w:color="auto"/>
        <w:bottom w:val="none" w:sz="0" w:space="0" w:color="auto"/>
        <w:right w:val="none" w:sz="0" w:space="0" w:color="auto"/>
      </w:divBdr>
      <w:divsChild>
        <w:div w:id="155655803">
          <w:marLeft w:val="0"/>
          <w:marRight w:val="0"/>
          <w:marTop w:val="0"/>
          <w:marBottom w:val="0"/>
          <w:divBdr>
            <w:top w:val="none" w:sz="0" w:space="0" w:color="auto"/>
            <w:left w:val="none" w:sz="0" w:space="0" w:color="auto"/>
            <w:bottom w:val="none" w:sz="0" w:space="0" w:color="auto"/>
            <w:right w:val="none" w:sz="0" w:space="0" w:color="auto"/>
          </w:divBdr>
        </w:div>
      </w:divsChild>
    </w:div>
    <w:div w:id="1926767900">
      <w:marLeft w:val="0"/>
      <w:marRight w:val="0"/>
      <w:marTop w:val="0"/>
      <w:marBottom w:val="0"/>
      <w:divBdr>
        <w:top w:val="none" w:sz="0" w:space="0" w:color="auto"/>
        <w:left w:val="none" w:sz="0" w:space="0" w:color="auto"/>
        <w:bottom w:val="none" w:sz="0" w:space="0" w:color="auto"/>
        <w:right w:val="none" w:sz="0" w:space="0" w:color="auto"/>
      </w:divBdr>
      <w:divsChild>
        <w:div w:id="1962498030">
          <w:marLeft w:val="0"/>
          <w:marRight w:val="0"/>
          <w:marTop w:val="0"/>
          <w:marBottom w:val="0"/>
          <w:divBdr>
            <w:top w:val="none" w:sz="0" w:space="0" w:color="auto"/>
            <w:left w:val="none" w:sz="0" w:space="0" w:color="auto"/>
            <w:bottom w:val="none" w:sz="0" w:space="0" w:color="auto"/>
            <w:right w:val="none" w:sz="0" w:space="0" w:color="auto"/>
          </w:divBdr>
        </w:div>
      </w:divsChild>
    </w:div>
    <w:div w:id="1927418674">
      <w:marLeft w:val="0"/>
      <w:marRight w:val="0"/>
      <w:marTop w:val="160"/>
      <w:marBottom w:val="160"/>
      <w:divBdr>
        <w:top w:val="none" w:sz="0" w:space="0" w:color="auto"/>
        <w:left w:val="none" w:sz="0" w:space="0" w:color="auto"/>
        <w:bottom w:val="none" w:sz="0" w:space="0" w:color="auto"/>
        <w:right w:val="none" w:sz="0" w:space="0" w:color="auto"/>
      </w:divBdr>
    </w:div>
    <w:div w:id="1927767043">
      <w:marLeft w:val="0"/>
      <w:marRight w:val="0"/>
      <w:marTop w:val="160"/>
      <w:marBottom w:val="160"/>
      <w:divBdr>
        <w:top w:val="none" w:sz="0" w:space="0" w:color="auto"/>
        <w:left w:val="none" w:sz="0" w:space="0" w:color="auto"/>
        <w:bottom w:val="none" w:sz="0" w:space="0" w:color="auto"/>
        <w:right w:val="none" w:sz="0" w:space="0" w:color="auto"/>
      </w:divBdr>
    </w:div>
    <w:div w:id="1933657291">
      <w:marLeft w:val="0"/>
      <w:marRight w:val="0"/>
      <w:marTop w:val="160"/>
      <w:marBottom w:val="160"/>
      <w:divBdr>
        <w:top w:val="none" w:sz="0" w:space="0" w:color="auto"/>
        <w:left w:val="none" w:sz="0" w:space="0" w:color="auto"/>
        <w:bottom w:val="none" w:sz="0" w:space="0" w:color="auto"/>
        <w:right w:val="none" w:sz="0" w:space="0" w:color="auto"/>
      </w:divBdr>
    </w:div>
    <w:div w:id="1939022396">
      <w:marLeft w:val="0"/>
      <w:marRight w:val="0"/>
      <w:marTop w:val="160"/>
      <w:marBottom w:val="160"/>
      <w:divBdr>
        <w:top w:val="none" w:sz="0" w:space="0" w:color="auto"/>
        <w:left w:val="none" w:sz="0" w:space="0" w:color="auto"/>
        <w:bottom w:val="none" w:sz="0" w:space="0" w:color="auto"/>
        <w:right w:val="none" w:sz="0" w:space="0" w:color="auto"/>
      </w:divBdr>
    </w:div>
    <w:div w:id="1964730322">
      <w:marLeft w:val="0"/>
      <w:marRight w:val="0"/>
      <w:marTop w:val="0"/>
      <w:marBottom w:val="0"/>
      <w:divBdr>
        <w:top w:val="none" w:sz="0" w:space="0" w:color="auto"/>
        <w:left w:val="none" w:sz="0" w:space="0" w:color="auto"/>
        <w:bottom w:val="none" w:sz="0" w:space="0" w:color="auto"/>
        <w:right w:val="none" w:sz="0" w:space="0" w:color="auto"/>
      </w:divBdr>
    </w:div>
    <w:div w:id="1969504661">
      <w:marLeft w:val="0"/>
      <w:marRight w:val="0"/>
      <w:marTop w:val="160"/>
      <w:marBottom w:val="160"/>
      <w:divBdr>
        <w:top w:val="none" w:sz="0" w:space="0" w:color="auto"/>
        <w:left w:val="none" w:sz="0" w:space="0" w:color="auto"/>
        <w:bottom w:val="none" w:sz="0" w:space="0" w:color="auto"/>
        <w:right w:val="none" w:sz="0" w:space="0" w:color="auto"/>
      </w:divBdr>
    </w:div>
    <w:div w:id="1971471156">
      <w:marLeft w:val="0"/>
      <w:marRight w:val="0"/>
      <w:marTop w:val="160"/>
      <w:marBottom w:val="160"/>
      <w:divBdr>
        <w:top w:val="none" w:sz="0" w:space="0" w:color="auto"/>
        <w:left w:val="none" w:sz="0" w:space="0" w:color="auto"/>
        <w:bottom w:val="none" w:sz="0" w:space="0" w:color="auto"/>
        <w:right w:val="none" w:sz="0" w:space="0" w:color="auto"/>
      </w:divBdr>
    </w:div>
    <w:div w:id="1977449933">
      <w:marLeft w:val="0"/>
      <w:marRight w:val="0"/>
      <w:marTop w:val="0"/>
      <w:marBottom w:val="0"/>
      <w:divBdr>
        <w:top w:val="none" w:sz="0" w:space="0" w:color="auto"/>
        <w:left w:val="none" w:sz="0" w:space="0" w:color="auto"/>
        <w:bottom w:val="none" w:sz="0" w:space="0" w:color="auto"/>
        <w:right w:val="none" w:sz="0" w:space="0" w:color="auto"/>
      </w:divBdr>
      <w:divsChild>
        <w:div w:id="1715999638">
          <w:marLeft w:val="0"/>
          <w:marRight w:val="0"/>
          <w:marTop w:val="160"/>
          <w:marBottom w:val="160"/>
          <w:divBdr>
            <w:top w:val="none" w:sz="0" w:space="0" w:color="auto"/>
            <w:left w:val="none" w:sz="0" w:space="0" w:color="auto"/>
            <w:bottom w:val="none" w:sz="0" w:space="0" w:color="auto"/>
            <w:right w:val="none" w:sz="0" w:space="0" w:color="auto"/>
          </w:divBdr>
        </w:div>
        <w:div w:id="1670137088">
          <w:marLeft w:val="0"/>
          <w:marRight w:val="0"/>
          <w:marTop w:val="160"/>
          <w:marBottom w:val="160"/>
          <w:divBdr>
            <w:top w:val="none" w:sz="0" w:space="0" w:color="auto"/>
            <w:left w:val="none" w:sz="0" w:space="0" w:color="auto"/>
            <w:bottom w:val="none" w:sz="0" w:space="0" w:color="auto"/>
            <w:right w:val="none" w:sz="0" w:space="0" w:color="auto"/>
          </w:divBdr>
        </w:div>
        <w:div w:id="647899952">
          <w:marLeft w:val="0"/>
          <w:marRight w:val="0"/>
          <w:marTop w:val="160"/>
          <w:marBottom w:val="160"/>
          <w:divBdr>
            <w:top w:val="none" w:sz="0" w:space="0" w:color="auto"/>
            <w:left w:val="none" w:sz="0" w:space="0" w:color="auto"/>
            <w:bottom w:val="none" w:sz="0" w:space="0" w:color="auto"/>
            <w:right w:val="none" w:sz="0" w:space="0" w:color="auto"/>
          </w:divBdr>
        </w:div>
        <w:div w:id="1426419275">
          <w:marLeft w:val="0"/>
          <w:marRight w:val="0"/>
          <w:marTop w:val="160"/>
          <w:marBottom w:val="160"/>
          <w:divBdr>
            <w:top w:val="none" w:sz="0" w:space="0" w:color="auto"/>
            <w:left w:val="none" w:sz="0" w:space="0" w:color="auto"/>
            <w:bottom w:val="none" w:sz="0" w:space="0" w:color="auto"/>
            <w:right w:val="none" w:sz="0" w:space="0" w:color="auto"/>
          </w:divBdr>
        </w:div>
        <w:div w:id="1245526780">
          <w:marLeft w:val="0"/>
          <w:marRight w:val="0"/>
          <w:marTop w:val="160"/>
          <w:marBottom w:val="160"/>
          <w:divBdr>
            <w:top w:val="none" w:sz="0" w:space="0" w:color="auto"/>
            <w:left w:val="none" w:sz="0" w:space="0" w:color="auto"/>
            <w:bottom w:val="none" w:sz="0" w:space="0" w:color="auto"/>
            <w:right w:val="none" w:sz="0" w:space="0" w:color="auto"/>
          </w:divBdr>
        </w:div>
      </w:divsChild>
    </w:div>
    <w:div w:id="1980960155">
      <w:marLeft w:val="0"/>
      <w:marRight w:val="0"/>
      <w:marTop w:val="160"/>
      <w:marBottom w:val="160"/>
      <w:divBdr>
        <w:top w:val="none" w:sz="0" w:space="0" w:color="auto"/>
        <w:left w:val="none" w:sz="0" w:space="0" w:color="auto"/>
        <w:bottom w:val="none" w:sz="0" w:space="0" w:color="auto"/>
        <w:right w:val="none" w:sz="0" w:space="0" w:color="auto"/>
      </w:divBdr>
    </w:div>
    <w:div w:id="1986468291">
      <w:marLeft w:val="0"/>
      <w:marRight w:val="0"/>
      <w:marTop w:val="60"/>
      <w:marBottom w:val="60"/>
      <w:divBdr>
        <w:top w:val="none" w:sz="0" w:space="0" w:color="auto"/>
        <w:left w:val="none" w:sz="0" w:space="0" w:color="auto"/>
        <w:bottom w:val="none" w:sz="0" w:space="0" w:color="auto"/>
        <w:right w:val="none" w:sz="0" w:space="0" w:color="auto"/>
      </w:divBdr>
    </w:div>
    <w:div w:id="1988437329">
      <w:marLeft w:val="0"/>
      <w:marRight w:val="0"/>
      <w:marTop w:val="0"/>
      <w:marBottom w:val="0"/>
      <w:divBdr>
        <w:top w:val="none" w:sz="0" w:space="0" w:color="auto"/>
        <w:left w:val="none" w:sz="0" w:space="0" w:color="auto"/>
        <w:bottom w:val="none" w:sz="0" w:space="0" w:color="auto"/>
        <w:right w:val="none" w:sz="0" w:space="0" w:color="auto"/>
      </w:divBdr>
      <w:divsChild>
        <w:div w:id="163209282">
          <w:marLeft w:val="0"/>
          <w:marRight w:val="0"/>
          <w:marTop w:val="0"/>
          <w:marBottom w:val="0"/>
          <w:divBdr>
            <w:top w:val="none" w:sz="0" w:space="0" w:color="auto"/>
            <w:left w:val="none" w:sz="0" w:space="0" w:color="auto"/>
            <w:bottom w:val="none" w:sz="0" w:space="0" w:color="auto"/>
            <w:right w:val="none" w:sz="0" w:space="0" w:color="auto"/>
          </w:divBdr>
        </w:div>
      </w:divsChild>
    </w:div>
    <w:div w:id="1988779448">
      <w:marLeft w:val="0"/>
      <w:marRight w:val="0"/>
      <w:marTop w:val="0"/>
      <w:marBottom w:val="0"/>
      <w:divBdr>
        <w:top w:val="none" w:sz="0" w:space="0" w:color="auto"/>
        <w:left w:val="none" w:sz="0" w:space="0" w:color="auto"/>
        <w:bottom w:val="none" w:sz="0" w:space="0" w:color="auto"/>
        <w:right w:val="none" w:sz="0" w:space="0" w:color="auto"/>
      </w:divBdr>
    </w:div>
    <w:div w:id="1989819503">
      <w:marLeft w:val="0"/>
      <w:marRight w:val="0"/>
      <w:marTop w:val="160"/>
      <w:marBottom w:val="160"/>
      <w:divBdr>
        <w:top w:val="none" w:sz="0" w:space="0" w:color="auto"/>
        <w:left w:val="none" w:sz="0" w:space="0" w:color="auto"/>
        <w:bottom w:val="none" w:sz="0" w:space="0" w:color="auto"/>
        <w:right w:val="none" w:sz="0" w:space="0" w:color="auto"/>
      </w:divBdr>
    </w:div>
    <w:div w:id="1990011109">
      <w:marLeft w:val="0"/>
      <w:marRight w:val="0"/>
      <w:marTop w:val="160"/>
      <w:marBottom w:val="160"/>
      <w:divBdr>
        <w:top w:val="none" w:sz="0" w:space="0" w:color="auto"/>
        <w:left w:val="none" w:sz="0" w:space="0" w:color="auto"/>
        <w:bottom w:val="none" w:sz="0" w:space="0" w:color="auto"/>
        <w:right w:val="none" w:sz="0" w:space="0" w:color="auto"/>
      </w:divBdr>
    </w:div>
    <w:div w:id="1990398207">
      <w:marLeft w:val="0"/>
      <w:marRight w:val="0"/>
      <w:marTop w:val="160"/>
      <w:marBottom w:val="160"/>
      <w:divBdr>
        <w:top w:val="none" w:sz="0" w:space="0" w:color="auto"/>
        <w:left w:val="none" w:sz="0" w:space="0" w:color="auto"/>
        <w:bottom w:val="none" w:sz="0" w:space="0" w:color="auto"/>
        <w:right w:val="none" w:sz="0" w:space="0" w:color="auto"/>
      </w:divBdr>
    </w:div>
    <w:div w:id="1991713996">
      <w:marLeft w:val="0"/>
      <w:marRight w:val="0"/>
      <w:marTop w:val="160"/>
      <w:marBottom w:val="160"/>
      <w:divBdr>
        <w:top w:val="none" w:sz="0" w:space="0" w:color="auto"/>
        <w:left w:val="none" w:sz="0" w:space="0" w:color="auto"/>
        <w:bottom w:val="none" w:sz="0" w:space="0" w:color="auto"/>
        <w:right w:val="none" w:sz="0" w:space="0" w:color="auto"/>
      </w:divBdr>
    </w:div>
    <w:div w:id="2002931632">
      <w:marLeft w:val="0"/>
      <w:marRight w:val="0"/>
      <w:marTop w:val="160"/>
      <w:marBottom w:val="160"/>
      <w:divBdr>
        <w:top w:val="none" w:sz="0" w:space="0" w:color="auto"/>
        <w:left w:val="none" w:sz="0" w:space="0" w:color="auto"/>
        <w:bottom w:val="none" w:sz="0" w:space="0" w:color="auto"/>
        <w:right w:val="none" w:sz="0" w:space="0" w:color="auto"/>
      </w:divBdr>
    </w:div>
    <w:div w:id="2003656349">
      <w:marLeft w:val="0"/>
      <w:marRight w:val="0"/>
      <w:marTop w:val="160"/>
      <w:marBottom w:val="160"/>
      <w:divBdr>
        <w:top w:val="none" w:sz="0" w:space="0" w:color="auto"/>
        <w:left w:val="none" w:sz="0" w:space="0" w:color="auto"/>
        <w:bottom w:val="none" w:sz="0" w:space="0" w:color="auto"/>
        <w:right w:val="none" w:sz="0" w:space="0" w:color="auto"/>
      </w:divBdr>
    </w:div>
    <w:div w:id="2003771309">
      <w:marLeft w:val="0"/>
      <w:marRight w:val="0"/>
      <w:marTop w:val="160"/>
      <w:marBottom w:val="160"/>
      <w:divBdr>
        <w:top w:val="none" w:sz="0" w:space="0" w:color="auto"/>
        <w:left w:val="none" w:sz="0" w:space="0" w:color="auto"/>
        <w:bottom w:val="none" w:sz="0" w:space="0" w:color="auto"/>
        <w:right w:val="none" w:sz="0" w:space="0" w:color="auto"/>
      </w:divBdr>
    </w:div>
    <w:div w:id="2011103954">
      <w:marLeft w:val="0"/>
      <w:marRight w:val="0"/>
      <w:marTop w:val="0"/>
      <w:marBottom w:val="0"/>
      <w:divBdr>
        <w:top w:val="none" w:sz="0" w:space="0" w:color="auto"/>
        <w:left w:val="none" w:sz="0" w:space="0" w:color="auto"/>
        <w:bottom w:val="none" w:sz="0" w:space="0" w:color="auto"/>
        <w:right w:val="none" w:sz="0" w:space="0" w:color="auto"/>
      </w:divBdr>
      <w:divsChild>
        <w:div w:id="1376082096">
          <w:marLeft w:val="0"/>
          <w:marRight w:val="0"/>
          <w:marTop w:val="0"/>
          <w:marBottom w:val="0"/>
          <w:divBdr>
            <w:top w:val="none" w:sz="0" w:space="0" w:color="auto"/>
            <w:left w:val="none" w:sz="0" w:space="0" w:color="auto"/>
            <w:bottom w:val="none" w:sz="0" w:space="0" w:color="auto"/>
            <w:right w:val="none" w:sz="0" w:space="0" w:color="auto"/>
          </w:divBdr>
        </w:div>
      </w:divsChild>
    </w:div>
    <w:div w:id="2011172026">
      <w:marLeft w:val="0"/>
      <w:marRight w:val="0"/>
      <w:marTop w:val="160"/>
      <w:marBottom w:val="160"/>
      <w:divBdr>
        <w:top w:val="none" w:sz="0" w:space="0" w:color="auto"/>
        <w:left w:val="none" w:sz="0" w:space="0" w:color="auto"/>
        <w:bottom w:val="none" w:sz="0" w:space="0" w:color="auto"/>
        <w:right w:val="none" w:sz="0" w:space="0" w:color="auto"/>
      </w:divBdr>
    </w:div>
    <w:div w:id="2013756241">
      <w:marLeft w:val="0"/>
      <w:marRight w:val="0"/>
      <w:marTop w:val="160"/>
      <w:marBottom w:val="160"/>
      <w:divBdr>
        <w:top w:val="none" w:sz="0" w:space="0" w:color="auto"/>
        <w:left w:val="none" w:sz="0" w:space="0" w:color="auto"/>
        <w:bottom w:val="none" w:sz="0" w:space="0" w:color="auto"/>
        <w:right w:val="none" w:sz="0" w:space="0" w:color="auto"/>
      </w:divBdr>
    </w:div>
    <w:div w:id="2023431324">
      <w:marLeft w:val="0"/>
      <w:marRight w:val="0"/>
      <w:marTop w:val="160"/>
      <w:marBottom w:val="160"/>
      <w:divBdr>
        <w:top w:val="none" w:sz="0" w:space="0" w:color="auto"/>
        <w:left w:val="none" w:sz="0" w:space="0" w:color="auto"/>
        <w:bottom w:val="none" w:sz="0" w:space="0" w:color="auto"/>
        <w:right w:val="none" w:sz="0" w:space="0" w:color="auto"/>
      </w:divBdr>
    </w:div>
    <w:div w:id="2029133432">
      <w:marLeft w:val="0"/>
      <w:marRight w:val="0"/>
      <w:marTop w:val="160"/>
      <w:marBottom w:val="160"/>
      <w:divBdr>
        <w:top w:val="none" w:sz="0" w:space="0" w:color="auto"/>
        <w:left w:val="none" w:sz="0" w:space="0" w:color="auto"/>
        <w:bottom w:val="none" w:sz="0" w:space="0" w:color="auto"/>
        <w:right w:val="none" w:sz="0" w:space="0" w:color="auto"/>
      </w:divBdr>
    </w:div>
    <w:div w:id="2030519667">
      <w:marLeft w:val="0"/>
      <w:marRight w:val="0"/>
      <w:marTop w:val="160"/>
      <w:marBottom w:val="160"/>
      <w:divBdr>
        <w:top w:val="none" w:sz="0" w:space="0" w:color="auto"/>
        <w:left w:val="none" w:sz="0" w:space="0" w:color="auto"/>
        <w:bottom w:val="none" w:sz="0" w:space="0" w:color="auto"/>
        <w:right w:val="none" w:sz="0" w:space="0" w:color="auto"/>
      </w:divBdr>
    </w:div>
    <w:div w:id="2031711090">
      <w:marLeft w:val="0"/>
      <w:marRight w:val="0"/>
      <w:marTop w:val="160"/>
      <w:marBottom w:val="160"/>
      <w:divBdr>
        <w:top w:val="none" w:sz="0" w:space="0" w:color="auto"/>
        <w:left w:val="none" w:sz="0" w:space="0" w:color="auto"/>
        <w:bottom w:val="none" w:sz="0" w:space="0" w:color="auto"/>
        <w:right w:val="none" w:sz="0" w:space="0" w:color="auto"/>
      </w:divBdr>
    </w:div>
    <w:div w:id="2034651430">
      <w:marLeft w:val="0"/>
      <w:marRight w:val="0"/>
      <w:marTop w:val="160"/>
      <w:marBottom w:val="160"/>
      <w:divBdr>
        <w:top w:val="none" w:sz="0" w:space="0" w:color="auto"/>
        <w:left w:val="none" w:sz="0" w:space="0" w:color="auto"/>
        <w:bottom w:val="none" w:sz="0" w:space="0" w:color="auto"/>
        <w:right w:val="none" w:sz="0" w:space="0" w:color="auto"/>
      </w:divBdr>
    </w:div>
    <w:div w:id="2038508169">
      <w:marLeft w:val="0"/>
      <w:marRight w:val="0"/>
      <w:marTop w:val="160"/>
      <w:marBottom w:val="160"/>
      <w:divBdr>
        <w:top w:val="none" w:sz="0" w:space="0" w:color="auto"/>
        <w:left w:val="none" w:sz="0" w:space="0" w:color="auto"/>
        <w:bottom w:val="none" w:sz="0" w:space="0" w:color="auto"/>
        <w:right w:val="none" w:sz="0" w:space="0" w:color="auto"/>
      </w:divBdr>
    </w:div>
    <w:div w:id="2046633432">
      <w:marLeft w:val="0"/>
      <w:marRight w:val="0"/>
      <w:marTop w:val="160"/>
      <w:marBottom w:val="160"/>
      <w:divBdr>
        <w:top w:val="none" w:sz="0" w:space="0" w:color="auto"/>
        <w:left w:val="none" w:sz="0" w:space="0" w:color="auto"/>
        <w:bottom w:val="none" w:sz="0" w:space="0" w:color="auto"/>
        <w:right w:val="none" w:sz="0" w:space="0" w:color="auto"/>
      </w:divBdr>
    </w:div>
    <w:div w:id="2047220820">
      <w:marLeft w:val="0"/>
      <w:marRight w:val="0"/>
      <w:marTop w:val="160"/>
      <w:marBottom w:val="160"/>
      <w:divBdr>
        <w:top w:val="none" w:sz="0" w:space="0" w:color="auto"/>
        <w:left w:val="none" w:sz="0" w:space="0" w:color="auto"/>
        <w:bottom w:val="none" w:sz="0" w:space="0" w:color="auto"/>
        <w:right w:val="none" w:sz="0" w:space="0" w:color="auto"/>
      </w:divBdr>
    </w:div>
    <w:div w:id="2049062868">
      <w:marLeft w:val="0"/>
      <w:marRight w:val="0"/>
      <w:marTop w:val="160"/>
      <w:marBottom w:val="160"/>
      <w:divBdr>
        <w:top w:val="none" w:sz="0" w:space="0" w:color="auto"/>
        <w:left w:val="none" w:sz="0" w:space="0" w:color="auto"/>
        <w:bottom w:val="none" w:sz="0" w:space="0" w:color="auto"/>
        <w:right w:val="none" w:sz="0" w:space="0" w:color="auto"/>
      </w:divBdr>
      <w:divsChild>
        <w:div w:id="1757170421">
          <w:marLeft w:val="0"/>
          <w:marRight w:val="0"/>
          <w:marTop w:val="0"/>
          <w:marBottom w:val="0"/>
          <w:divBdr>
            <w:top w:val="none" w:sz="0" w:space="0" w:color="auto"/>
            <w:left w:val="none" w:sz="0" w:space="0" w:color="auto"/>
            <w:bottom w:val="none" w:sz="0" w:space="0" w:color="auto"/>
            <w:right w:val="none" w:sz="0" w:space="0" w:color="auto"/>
          </w:divBdr>
        </w:div>
      </w:divsChild>
    </w:div>
    <w:div w:id="2059936665">
      <w:marLeft w:val="0"/>
      <w:marRight w:val="0"/>
      <w:marTop w:val="160"/>
      <w:marBottom w:val="160"/>
      <w:divBdr>
        <w:top w:val="none" w:sz="0" w:space="0" w:color="auto"/>
        <w:left w:val="none" w:sz="0" w:space="0" w:color="auto"/>
        <w:bottom w:val="none" w:sz="0" w:space="0" w:color="auto"/>
        <w:right w:val="none" w:sz="0" w:space="0" w:color="auto"/>
      </w:divBdr>
    </w:div>
    <w:div w:id="2063357541">
      <w:marLeft w:val="0"/>
      <w:marRight w:val="0"/>
      <w:marTop w:val="160"/>
      <w:marBottom w:val="160"/>
      <w:divBdr>
        <w:top w:val="none" w:sz="0" w:space="0" w:color="auto"/>
        <w:left w:val="none" w:sz="0" w:space="0" w:color="auto"/>
        <w:bottom w:val="none" w:sz="0" w:space="0" w:color="auto"/>
        <w:right w:val="none" w:sz="0" w:space="0" w:color="auto"/>
      </w:divBdr>
    </w:div>
    <w:div w:id="2064940204">
      <w:marLeft w:val="0"/>
      <w:marRight w:val="0"/>
      <w:marTop w:val="160"/>
      <w:marBottom w:val="160"/>
      <w:divBdr>
        <w:top w:val="none" w:sz="0" w:space="0" w:color="auto"/>
        <w:left w:val="none" w:sz="0" w:space="0" w:color="auto"/>
        <w:bottom w:val="none" w:sz="0" w:space="0" w:color="auto"/>
        <w:right w:val="none" w:sz="0" w:space="0" w:color="auto"/>
      </w:divBdr>
    </w:div>
    <w:div w:id="2074426782">
      <w:marLeft w:val="0"/>
      <w:marRight w:val="0"/>
      <w:marTop w:val="160"/>
      <w:marBottom w:val="160"/>
      <w:divBdr>
        <w:top w:val="none" w:sz="0" w:space="0" w:color="auto"/>
        <w:left w:val="none" w:sz="0" w:space="0" w:color="auto"/>
        <w:bottom w:val="none" w:sz="0" w:space="0" w:color="auto"/>
        <w:right w:val="none" w:sz="0" w:space="0" w:color="auto"/>
      </w:divBdr>
    </w:div>
    <w:div w:id="2076582429">
      <w:marLeft w:val="0"/>
      <w:marRight w:val="0"/>
      <w:marTop w:val="160"/>
      <w:marBottom w:val="160"/>
      <w:divBdr>
        <w:top w:val="none" w:sz="0" w:space="0" w:color="auto"/>
        <w:left w:val="none" w:sz="0" w:space="0" w:color="auto"/>
        <w:bottom w:val="none" w:sz="0" w:space="0" w:color="auto"/>
        <w:right w:val="none" w:sz="0" w:space="0" w:color="auto"/>
      </w:divBdr>
    </w:div>
    <w:div w:id="2081052167">
      <w:marLeft w:val="0"/>
      <w:marRight w:val="0"/>
      <w:marTop w:val="160"/>
      <w:marBottom w:val="160"/>
      <w:divBdr>
        <w:top w:val="none" w:sz="0" w:space="0" w:color="auto"/>
        <w:left w:val="none" w:sz="0" w:space="0" w:color="auto"/>
        <w:bottom w:val="none" w:sz="0" w:space="0" w:color="auto"/>
        <w:right w:val="none" w:sz="0" w:space="0" w:color="auto"/>
      </w:divBdr>
    </w:div>
    <w:div w:id="2081097380">
      <w:marLeft w:val="0"/>
      <w:marRight w:val="0"/>
      <w:marTop w:val="0"/>
      <w:marBottom w:val="0"/>
      <w:divBdr>
        <w:top w:val="none" w:sz="0" w:space="0" w:color="auto"/>
        <w:left w:val="none" w:sz="0" w:space="0" w:color="auto"/>
        <w:bottom w:val="none" w:sz="0" w:space="0" w:color="auto"/>
        <w:right w:val="none" w:sz="0" w:space="0" w:color="auto"/>
      </w:divBdr>
      <w:divsChild>
        <w:div w:id="342904554">
          <w:marLeft w:val="0"/>
          <w:marRight w:val="0"/>
          <w:marTop w:val="0"/>
          <w:marBottom w:val="0"/>
          <w:divBdr>
            <w:top w:val="none" w:sz="0" w:space="0" w:color="auto"/>
            <w:left w:val="none" w:sz="0" w:space="0" w:color="auto"/>
            <w:bottom w:val="none" w:sz="0" w:space="0" w:color="auto"/>
            <w:right w:val="none" w:sz="0" w:space="0" w:color="auto"/>
          </w:divBdr>
        </w:div>
      </w:divsChild>
    </w:div>
    <w:div w:id="2087263511">
      <w:marLeft w:val="0"/>
      <w:marRight w:val="0"/>
      <w:marTop w:val="160"/>
      <w:marBottom w:val="160"/>
      <w:divBdr>
        <w:top w:val="none" w:sz="0" w:space="0" w:color="auto"/>
        <w:left w:val="none" w:sz="0" w:space="0" w:color="auto"/>
        <w:bottom w:val="none" w:sz="0" w:space="0" w:color="auto"/>
        <w:right w:val="none" w:sz="0" w:space="0" w:color="auto"/>
      </w:divBdr>
    </w:div>
    <w:div w:id="2103330083">
      <w:marLeft w:val="0"/>
      <w:marRight w:val="0"/>
      <w:marTop w:val="0"/>
      <w:marBottom w:val="0"/>
      <w:divBdr>
        <w:top w:val="none" w:sz="0" w:space="0" w:color="auto"/>
        <w:left w:val="none" w:sz="0" w:space="0" w:color="auto"/>
        <w:bottom w:val="none" w:sz="0" w:space="0" w:color="auto"/>
        <w:right w:val="none" w:sz="0" w:space="0" w:color="auto"/>
      </w:divBdr>
      <w:divsChild>
        <w:div w:id="872690608">
          <w:marLeft w:val="0"/>
          <w:marRight w:val="0"/>
          <w:marTop w:val="0"/>
          <w:marBottom w:val="0"/>
          <w:divBdr>
            <w:top w:val="none" w:sz="0" w:space="0" w:color="auto"/>
            <w:left w:val="none" w:sz="0" w:space="0" w:color="auto"/>
            <w:bottom w:val="none" w:sz="0" w:space="0" w:color="auto"/>
            <w:right w:val="none" w:sz="0" w:space="0" w:color="auto"/>
          </w:divBdr>
        </w:div>
      </w:divsChild>
    </w:div>
    <w:div w:id="2115129321">
      <w:marLeft w:val="0"/>
      <w:marRight w:val="0"/>
      <w:marTop w:val="160"/>
      <w:marBottom w:val="160"/>
      <w:divBdr>
        <w:top w:val="none" w:sz="0" w:space="0" w:color="auto"/>
        <w:left w:val="none" w:sz="0" w:space="0" w:color="auto"/>
        <w:bottom w:val="none" w:sz="0" w:space="0" w:color="auto"/>
        <w:right w:val="none" w:sz="0" w:space="0" w:color="auto"/>
      </w:divBdr>
    </w:div>
    <w:div w:id="2116167598">
      <w:marLeft w:val="0"/>
      <w:marRight w:val="0"/>
      <w:marTop w:val="60"/>
      <w:marBottom w:val="0"/>
      <w:divBdr>
        <w:top w:val="none" w:sz="0" w:space="0" w:color="auto"/>
        <w:left w:val="none" w:sz="0" w:space="0" w:color="auto"/>
        <w:bottom w:val="none" w:sz="0" w:space="0" w:color="auto"/>
        <w:right w:val="none" w:sz="0" w:space="0" w:color="auto"/>
      </w:divBdr>
    </w:div>
    <w:div w:id="2122603296">
      <w:marLeft w:val="0"/>
      <w:marRight w:val="0"/>
      <w:marTop w:val="160"/>
      <w:marBottom w:val="160"/>
      <w:divBdr>
        <w:top w:val="none" w:sz="0" w:space="0" w:color="auto"/>
        <w:left w:val="none" w:sz="0" w:space="0" w:color="auto"/>
        <w:bottom w:val="none" w:sz="0" w:space="0" w:color="auto"/>
        <w:right w:val="none" w:sz="0" w:space="0" w:color="auto"/>
      </w:divBdr>
    </w:div>
    <w:div w:id="2123066337">
      <w:marLeft w:val="0"/>
      <w:marRight w:val="0"/>
      <w:marTop w:val="0"/>
      <w:marBottom w:val="0"/>
      <w:divBdr>
        <w:top w:val="none" w:sz="0" w:space="0" w:color="auto"/>
        <w:left w:val="none" w:sz="0" w:space="0" w:color="auto"/>
        <w:bottom w:val="none" w:sz="0" w:space="0" w:color="auto"/>
        <w:right w:val="none" w:sz="0" w:space="0" w:color="auto"/>
      </w:divBdr>
      <w:divsChild>
        <w:div w:id="1984844242">
          <w:marLeft w:val="0"/>
          <w:marRight w:val="0"/>
          <w:marTop w:val="0"/>
          <w:marBottom w:val="0"/>
          <w:divBdr>
            <w:top w:val="none" w:sz="0" w:space="0" w:color="auto"/>
            <w:left w:val="none" w:sz="0" w:space="0" w:color="auto"/>
            <w:bottom w:val="none" w:sz="0" w:space="0" w:color="auto"/>
            <w:right w:val="none" w:sz="0" w:space="0" w:color="auto"/>
          </w:divBdr>
        </w:div>
      </w:divsChild>
    </w:div>
    <w:div w:id="2130199702">
      <w:marLeft w:val="0"/>
      <w:marRight w:val="0"/>
      <w:marTop w:val="160"/>
      <w:marBottom w:val="160"/>
      <w:divBdr>
        <w:top w:val="none" w:sz="0" w:space="0" w:color="auto"/>
        <w:left w:val="none" w:sz="0" w:space="0" w:color="auto"/>
        <w:bottom w:val="none" w:sz="0" w:space="0" w:color="auto"/>
        <w:right w:val="none" w:sz="0" w:space="0" w:color="auto"/>
      </w:divBdr>
    </w:div>
    <w:div w:id="2131432169">
      <w:marLeft w:val="0"/>
      <w:marRight w:val="0"/>
      <w:marTop w:val="0"/>
      <w:marBottom w:val="0"/>
      <w:divBdr>
        <w:top w:val="none" w:sz="0" w:space="0" w:color="auto"/>
        <w:left w:val="none" w:sz="0" w:space="0" w:color="auto"/>
        <w:bottom w:val="none" w:sz="0" w:space="0" w:color="auto"/>
        <w:right w:val="none" w:sz="0" w:space="0" w:color="auto"/>
      </w:divBdr>
    </w:div>
    <w:div w:id="2131626563">
      <w:marLeft w:val="0"/>
      <w:marRight w:val="0"/>
      <w:marTop w:val="160"/>
      <w:marBottom w:val="160"/>
      <w:divBdr>
        <w:top w:val="none" w:sz="0" w:space="0" w:color="auto"/>
        <w:left w:val="none" w:sz="0" w:space="0" w:color="auto"/>
        <w:bottom w:val="none" w:sz="0" w:space="0" w:color="auto"/>
        <w:right w:val="none" w:sz="0" w:space="0" w:color="auto"/>
      </w:divBdr>
    </w:div>
    <w:div w:id="2139716050">
      <w:marLeft w:val="0"/>
      <w:marRight w:val="0"/>
      <w:marTop w:val="100"/>
      <w:marBottom w:val="160"/>
      <w:divBdr>
        <w:top w:val="none" w:sz="0" w:space="0" w:color="auto"/>
        <w:left w:val="none" w:sz="0" w:space="0" w:color="auto"/>
        <w:bottom w:val="none" w:sz="0" w:space="0" w:color="auto"/>
        <w:right w:val="none" w:sz="0" w:space="0" w:color="auto"/>
      </w:divBdr>
    </w:div>
    <w:div w:id="2141923636">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912242/000104746909001981/a2189901zex-3_15.htm" TargetMode="External"/><Relationship Id="rId18" Type="http://schemas.openxmlformats.org/officeDocument/2006/relationships/hyperlink" Target="http://www.sec.gov/Archives/edgar/data/912242/000110465914043330/a14-14485_1ex3d1.htm" TargetMode="External"/><Relationship Id="rId26" Type="http://schemas.openxmlformats.org/officeDocument/2006/relationships/hyperlink" Target="http://www.sec.gov/Archives/edgar/data/912242/000110465915042631/a15-13305_1ex3d1.htm" TargetMode="External"/><Relationship Id="rId39" Type="http://schemas.openxmlformats.org/officeDocument/2006/relationships/hyperlink" Target="mac-20210930x10qexhibit312.htm" TargetMode="External"/><Relationship Id="rId21" Type="http://schemas.openxmlformats.org/officeDocument/2006/relationships/hyperlink" Target="http://www.sec.gov/Archives/edgar/data/912242/000110465915020412/a15-6870_1ex3d1.htm" TargetMode="External"/><Relationship Id="rId34" Type="http://schemas.openxmlformats.org/officeDocument/2006/relationships/hyperlink" Target="https://www.sec.gov/Archives/edgar/data/912242/000091224221000014/mac-20210630x10qexhibit1011.htm" TargetMode="External"/><Relationship Id="rId42" Type="http://schemas.openxmlformats.org/officeDocument/2006/relationships/fontTable" Target="fontTable.xml"/><Relationship Id="rId7" Type="http://schemas.openxmlformats.org/officeDocument/2006/relationships/hyperlink" Target="http://www.sec.gov/Archives/edgar/data/912242/0001047469-99-012492.txt" TargetMode="External"/><Relationship Id="rId2" Type="http://schemas.openxmlformats.org/officeDocument/2006/relationships/settings" Target="settings.xml"/><Relationship Id="rId16" Type="http://schemas.openxmlformats.org/officeDocument/2006/relationships/hyperlink" Target="http://www.sec.gov/Archives/edgar/data/912242/000104746909007391/a2193924zex-3_17.htm" TargetMode="External"/><Relationship Id="rId20" Type="http://schemas.openxmlformats.org/officeDocument/2006/relationships/hyperlink" Target="http://www.sec.gov/Archives/edgar/data/912242/000110465915020412/a15-6870_1ex3d1.htm" TargetMode="External"/><Relationship Id="rId29" Type="http://schemas.openxmlformats.org/officeDocument/2006/relationships/hyperlink" Target="http://www.sec.gov/Archives/edgar/data/912242/000119312519129272/d731295dex31.htm" TargetMode="External"/><Relationship Id="rId41" Type="http://schemas.openxmlformats.org/officeDocument/2006/relationships/hyperlink" Target="mac-20210930x10qexhibit321.htm" TargetMode="External"/><Relationship Id="rId1" Type="http://schemas.openxmlformats.org/officeDocument/2006/relationships/styles" Target="styles.xml"/><Relationship Id="rId6" Type="http://schemas.openxmlformats.org/officeDocument/2006/relationships/hyperlink" Target="http://www.sec.gov/Archives/edgar/data/912242/0001047469-99-012492.txt" TargetMode="External"/><Relationship Id="rId11" Type="http://schemas.openxmlformats.org/officeDocument/2006/relationships/hyperlink" Target="http://www.sec.gov/Archives/edgar/data/912242/000091205702021417/a2080342zex-4_6.htm" TargetMode="External"/><Relationship Id="rId24" Type="http://schemas.openxmlformats.org/officeDocument/2006/relationships/hyperlink" Target="http://www.sec.gov/Archives/edgar/data/912242/000110465915037228/a15-11185_1ex3d1.htm" TargetMode="External"/><Relationship Id="rId32" Type="http://schemas.openxmlformats.org/officeDocument/2006/relationships/hyperlink" Target="http://www.sec.gov/Archives/edgar/data/912242/000119312519129272/d731295dex32.htm" TargetMode="External"/><Relationship Id="rId37" Type="http://schemas.openxmlformats.org/officeDocument/2006/relationships/hyperlink" Target="mac-20210930x10qexhibit311.htm" TargetMode="External"/><Relationship Id="rId40" Type="http://schemas.openxmlformats.org/officeDocument/2006/relationships/hyperlink" Target="mac-20210930x10qexhibit321.htm" TargetMode="External"/><Relationship Id="rId5" Type="http://schemas.openxmlformats.org/officeDocument/2006/relationships/hyperlink" Target="http://www.sec.gov/Archives/edgar/data/912242/000110465914081468/a14-24669_1ex2d1.htm" TargetMode="External"/><Relationship Id="rId15" Type="http://schemas.openxmlformats.org/officeDocument/2006/relationships/hyperlink" Target="http://www.sec.gov/Archives/edgar/data/912242/000110465909008348/a09-5253_1ex3d1.htm" TargetMode="External"/><Relationship Id="rId23" Type="http://schemas.openxmlformats.org/officeDocument/2006/relationships/hyperlink" Target="http://www.sec.gov/Archives/edgar/data/912242/000110465915020810/a15-6873_1ex3d1.htm" TargetMode="External"/><Relationship Id="rId28" Type="http://schemas.openxmlformats.org/officeDocument/2006/relationships/hyperlink" Target="http://www.sec.gov/Archives/edgar/data/912242/000119312519129272/d731295dex31.htm" TargetMode="External"/><Relationship Id="rId36" Type="http://schemas.openxmlformats.org/officeDocument/2006/relationships/hyperlink" Target="mac-20210930x10qexhibit311.htm" TargetMode="External"/><Relationship Id="rId10" Type="http://schemas.openxmlformats.org/officeDocument/2006/relationships/hyperlink" Target="http://www.sec.gov/Archives/edgar/data/912242/000091205702021417/a2080342zex-4_6.htm" TargetMode="External"/><Relationship Id="rId19" Type="http://schemas.openxmlformats.org/officeDocument/2006/relationships/hyperlink" Target="http://www.sec.gov/Archives/edgar/data/912242/000110465914043330/a14-14485_1ex3d1.htm" TargetMode="External"/><Relationship Id="rId31" Type="http://schemas.openxmlformats.org/officeDocument/2006/relationships/hyperlink" Target="https://www.sec.gov/Archives/edgar/data/912242/000119312521182973/d417870dex31.htm" TargetMode="External"/><Relationship Id="rId4" Type="http://schemas.openxmlformats.org/officeDocument/2006/relationships/hyperlink" Target="http://www.sec.gov/Archives/edgar/data/912242/000110465914081468/a14-24669_1ex2d1.htm" TargetMode="External"/><Relationship Id="rId9" Type="http://schemas.openxmlformats.org/officeDocument/2006/relationships/hyperlink" Target="http://www.sec.gov/Archives/edgar/data/912242/000091205702030706/a2086079zex-3_1.htm" TargetMode="External"/><Relationship Id="rId14" Type="http://schemas.openxmlformats.org/officeDocument/2006/relationships/hyperlink" Target="http://www.sec.gov/Archives/edgar/data/912242/000110465909008348/a09-5253_1ex3d1.htm" TargetMode="External"/><Relationship Id="rId22" Type="http://schemas.openxmlformats.org/officeDocument/2006/relationships/hyperlink" Target="http://www.sec.gov/Archives/edgar/data/912242/000110465915020810/a15-6873_1ex3d1.htm" TargetMode="External"/><Relationship Id="rId27" Type="http://schemas.openxmlformats.org/officeDocument/2006/relationships/hyperlink" Target="http://www.sec.gov/Archives/edgar/data/912242/000110465915042631/a15-13305_1ex3d1.htm" TargetMode="External"/><Relationship Id="rId30" Type="http://schemas.openxmlformats.org/officeDocument/2006/relationships/hyperlink" Target="https://www.sec.gov/Archives/edgar/data/912242/000119312521182973/d417870dex31.htm" TargetMode="External"/><Relationship Id="rId35" Type="http://schemas.openxmlformats.org/officeDocument/2006/relationships/hyperlink" Target="https://www.sec.gov/Archives/edgar/data/912242/000091224221000014/mac-20210630x10qexhibit1011.htm" TargetMode="External"/><Relationship Id="rId43" Type="http://schemas.openxmlformats.org/officeDocument/2006/relationships/theme" Target="theme/theme1.xml"/><Relationship Id="rId8" Type="http://schemas.openxmlformats.org/officeDocument/2006/relationships/hyperlink" Target="http://www.sec.gov/Archives/edgar/data/912242/000091205702030706/a2086079zex-3_1.htm" TargetMode="External"/><Relationship Id="rId3" Type="http://schemas.openxmlformats.org/officeDocument/2006/relationships/webSettings" Target="webSettings.xml"/><Relationship Id="rId12" Type="http://schemas.openxmlformats.org/officeDocument/2006/relationships/hyperlink" Target="http://www.sec.gov/Archives/edgar/data/912242/000104746909001981/a2189901zex-3_15.htm" TargetMode="External"/><Relationship Id="rId17" Type="http://schemas.openxmlformats.org/officeDocument/2006/relationships/hyperlink" Target="http://www.sec.gov/Archives/edgar/data/912242/000104746909007391/a2193924zex-3_17.htm" TargetMode="External"/><Relationship Id="rId25" Type="http://schemas.openxmlformats.org/officeDocument/2006/relationships/hyperlink" Target="http://www.sec.gov/Archives/edgar/data/912242/000110465915037228/a15-11185_1ex3d1.htm" TargetMode="External"/><Relationship Id="rId33" Type="http://schemas.openxmlformats.org/officeDocument/2006/relationships/hyperlink" Target="http://www.sec.gov/Archives/edgar/data/912242/000119312519129272/d731295dex32.htm" TargetMode="External"/><Relationship Id="rId38" Type="http://schemas.openxmlformats.org/officeDocument/2006/relationships/hyperlink" Target="mac-20210930x10q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30721</Words>
  <Characters>175112</Characters>
  <Application>Microsoft Office Word</Application>
  <DocSecurity>0</DocSecurity>
  <Lines>1459</Lines>
  <Paragraphs>410</Paragraphs>
  <ScaleCrop>false</ScaleCrop>
  <Company/>
  <LinksUpToDate>false</LinksUpToDate>
  <CharactersWithSpaces>205423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mac-20210930</dc:title>
  <dc:subject/>
  <dc:creator>Chongjian.Yue</dc:creator>
  <cp:keywords/>
  <dc:description/>
  <cp:lastModifiedBy>Yue Chongjian</cp:lastModifiedBy>
  <cp:revision>1</cp:revision>
  <dcterms:created xsi:type="dcterms:W3CDTF">2024-01-04T15:52:00Z</dcterms:created>
  <dcterms:modified xsi:type="dcterms:W3CDTF">2024-01-04T15:52:00Z</dcterms:modified>
</cp:coreProperties>
</file>