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A6B82">
      <w:pPr>
        <w:divId w:val="813645107"/>
        <w:rPr>
          <w:rFonts w:eastAsia="Times New Roman"/>
          <w:vanish/>
        </w:rPr>
      </w:pPr>
      <w:r>
        <w:rPr>
          <w:rFonts w:eastAsia="Times New Roman"/>
          <w:vanish/>
        </w:rPr>
        <w:t>0000912242FALSE12/312022Q100009122422022-01-012022-03-3100009122422022-05-09xbrli:shares00009122422022-03-31iso4217:USD00009122422021-12-31iso4217:USDxbrli:shares00009122422021-01-012021-03-310000912242</w:t>
      </w:r>
      <w:r>
        <w:rPr>
          <w:rFonts w:eastAsia="Times New Roman"/>
          <w:vanish/>
        </w:rPr>
        <w:t>us-gaap:RealEstateOtherMember2022-01-012022-03-310000912242us-gaap:RealEstateOtherMember2021-01-012021-03-310000912242us-gaap:ManagementServiceMember2022-01-012022-03-310000912242us-gaap:ManagementServiceMember2021-01-012021-03-310000912242us-gaap:RealEsta</w:t>
      </w:r>
      <w:r>
        <w:rPr>
          <w:rFonts w:eastAsia="Times New Roman"/>
          <w:vanish/>
        </w:rPr>
        <w:t>teMember2022-01-012022-03-310000912242us-gaap:RealEstateMember2021-01-012021-03-310000912242us-gaap:CommonStockMember2021-12-310000912242us-gaap:AdditionalPaidInCapitalMember2021-12-310000912242us-gaap:RetainedEarningsMember2021-12-310000912242us-gaap:Accu</w:t>
      </w:r>
      <w:r>
        <w:rPr>
          <w:rFonts w:eastAsia="Times New Roman"/>
          <w:vanish/>
        </w:rPr>
        <w:t>mulatedOtherComprehensiveIncomeMember2021-12-310000912242us-gaap:ParentMember2021-12-310000912242us-gaap:NoncontrollingInterestMember2021-12-310000912242us-gaap:RetainedEarningsMember2022-01-012022-03-310000912242us-gaap:ParentMember2022-01-012022-03-31000</w:t>
      </w:r>
      <w:r>
        <w:rPr>
          <w:rFonts w:eastAsia="Times New Roman"/>
          <w:vanish/>
        </w:rPr>
        <w:t>0912242us-gaap:NoncontrollingInterestMember2022-01-012022-03-310000912242us-gaap:AccumulatedOtherComprehensiveIncomeMember2022-01-012022-03-310000912242us-gaap:CommonStockMember2022-01-012022-03-310000912242us-gaap:AdditionalPaidInCapitalMember2022-01-0120</w:t>
      </w:r>
      <w:r>
        <w:rPr>
          <w:rFonts w:eastAsia="Times New Roman"/>
          <w:vanish/>
        </w:rPr>
        <w:t>22-03-310000912242us-gaap:CommonStockMember2022-03-310000912242us-gaap:AdditionalPaidInCapitalMember2022-03-310000912242us-gaap:RetainedEarningsMember2022-03-310000912242us-gaap:AccumulatedOtherComprehensiveIncomeMember2022-03-310000912242us-gaap:ParentMem</w:t>
      </w:r>
      <w:r>
        <w:rPr>
          <w:rFonts w:eastAsia="Times New Roman"/>
          <w:vanish/>
        </w:rPr>
        <w:t>ber2022-03-310000912242us-gaap:NoncontrollingInterestMember2022-03-310000912242us-gaap:CommonStockMember2020-12-310000912242us-gaap:AdditionalPaidInCapitalMember2020-12-310000912242us-gaap:RetainedEarningsMember2020-12-310000912242us-gaap:AccumulatedOtherC</w:t>
      </w:r>
      <w:r>
        <w:rPr>
          <w:rFonts w:eastAsia="Times New Roman"/>
          <w:vanish/>
        </w:rPr>
        <w:t>omprehensiveIncomeMember2020-12-310000912242us-gaap:ParentMember2020-12-310000912242us-gaap:NoncontrollingInterestMember2020-12-3100009122422020-12-310000912242us-gaap:RetainedEarningsMember2021-01-012021-03-310000912242us-gaap:ParentMember2021-01-012021-0</w:t>
      </w:r>
      <w:r>
        <w:rPr>
          <w:rFonts w:eastAsia="Times New Roman"/>
          <w:vanish/>
        </w:rPr>
        <w:t>3-310000912242us-gaap:NoncontrollingInterestMember2021-01-012021-03-310000912242us-gaap:AccumulatedOtherComprehensiveIncomeMember2021-01-012021-03-310000912242us-gaap:CommonStockMember2021-01-012021-03-310000912242us-gaap:AdditionalPaidInCapitalMember2021-</w:t>
      </w:r>
      <w:r>
        <w:rPr>
          <w:rFonts w:eastAsia="Times New Roman"/>
          <w:vanish/>
        </w:rPr>
        <w:t>01-012021-03-310000912242us-gaap:CommonStockMember2021-03-310000912242us-gaap:AdditionalPaidInCapitalMember2021-03-310000912242us-gaap:RetainedEarningsMember2021-03-310000912242us-gaap:AccumulatedOtherComprehensiveIncomeMember2021-03-310000912242us-gaap:Pa</w:t>
      </w:r>
      <w:r>
        <w:rPr>
          <w:rFonts w:eastAsia="Times New Roman"/>
          <w:vanish/>
        </w:rPr>
        <w:t>rentMember2021-03-310000912242us-gaap:NoncontrollingInterestMember2021-03-3100009122422021-03-310000912242mac:TheMacerichPartnershipLPMember2022-03-31xbrli:puremac:entity0000912242us-gaap:VariableInterestEntityPrimaryBeneficiaryMember2022-03-310000912242us</w:t>
      </w:r>
      <w:r>
        <w:rPr>
          <w:rFonts w:eastAsia="Times New Roman"/>
          <w:vanish/>
        </w:rPr>
        <w:t>-gaap:VariableInterestEntityPrimaryBeneficiaryMember2021-12-310000912242mac:PreferredNonparticipatingConvertibleUnitsMember2022-01-012022-03-310000912242mac:PreferredNonparticipatingConvertibleUnitsMember2021-01-012021-03-310000912242mac:PartnershipUnitsMe</w:t>
      </w:r>
      <w:r>
        <w:rPr>
          <w:rFonts w:eastAsia="Times New Roman"/>
          <w:vanish/>
        </w:rPr>
        <w:t>mber2022-01-012022-03-310000912242mac:PartnershipUnitsMember2021-01-012021-03-310000912242mac:ParadiseValleyMallMemberus-gaap:CorporateJointVentureMember2021-03-290000912242mac:ParadiseValleyMallMemberus-gaap:CorporateJointVentureMember2021-03-292021-03-29</w:t>
      </w:r>
      <w:r>
        <w:rPr>
          <w:rFonts w:eastAsia="Times New Roman"/>
          <w:vanish/>
        </w:rPr>
        <w:t>0000912242us-gaap:CorporateJointVentureMembermac:TheShopsAtAtlasParkMember2021-10-262021-10-260000912242us-gaap:LondonInterbankOfferedRateLIBORMemberus-gaap:CorporateJointVentureMembermac:TheShopsAtAtlasParkMember2021-10-262021-10-260000912242us-gaap:Londo</w:t>
      </w:r>
      <w:r>
        <w:rPr>
          <w:rFonts w:eastAsia="Times New Roman"/>
          <w:vanish/>
        </w:rPr>
        <w:t>nInterbankOfferedRateLIBORMemberus-gaap:CorporateJointVentureMembermac:TheShopsAtAtlasParkMember2021-10-260000912242mac:NorthBridgeChicagoIllinoisMemberus-gaap:CorporateJointVentureMember2021-12-312021-12-310000912242us-gaap:CorporateJointVentureMembermac:</w:t>
      </w:r>
      <w:r>
        <w:rPr>
          <w:rFonts w:eastAsia="Times New Roman"/>
          <w:vanish/>
        </w:rPr>
        <w:t>FlatIronCrossingMember2022-02-022022-02-020000912242us-gaap:CorporateJointVentureMembermac:FlatIronCrossingMembermac:SecuredOvernightFinancingRateMember2022-02-022022-02-020000912242us-gaap:CorporateJointVentureMembermac:FlatIronCrossingMembermac:SecuredOv</w:t>
      </w:r>
      <w:r>
        <w:rPr>
          <w:rFonts w:eastAsia="Times New Roman"/>
          <w:vanish/>
        </w:rPr>
        <w:t>ernightFinancingRateMember2022-02-020000912242mac:MSPortfolioLLCMember2022-01-012022-03-310000912242us-gaap:CorporateJointVentureMemberus-gaap:EquityMethodInvestmentNonconsolidatedInvesteeOrGroupOfInvesteesMember2022-03-310000912242us-gaap:CorporateJointVe</w:t>
      </w:r>
      <w:r>
        <w:rPr>
          <w:rFonts w:eastAsia="Times New Roman"/>
          <w:vanish/>
        </w:rPr>
        <w:t>ntureMemberus-gaap:EquityMethodInvestmentNonconsolidatedInvesteeOrGroupOfInvesteesMember2021-12-310000912242us-gaap:CorporateJointVentureMembermac:PacificPremierRetailLLCMembermac:PacificPremierRetailLPMember2022-03-310000912242us-gaap:CorporateJointVentur</w:t>
      </w:r>
      <w:r>
        <w:rPr>
          <w:rFonts w:eastAsia="Times New Roman"/>
          <w:vanish/>
        </w:rPr>
        <w:t>eMembermac:PacificPremierRetailLLCMembermac:PacificPremierRetailLPMember2021-12-310000912242us-gaap:CorporateJointVentureMember2022-01-012022-03-310000912242us-gaap:CorporateJointVentureMember2021-01-012021-03-310000912242us-gaap:CorporateJointVentureMembe</w:t>
      </w:r>
      <w:r>
        <w:rPr>
          <w:rFonts w:eastAsia="Times New Roman"/>
          <w:vanish/>
        </w:rPr>
        <w:t>rmac:PacificPremierRetailLPMemberus-gaap:EquityMethodInvestmentNonconsolidatedInvesteeOrGroupOfInvesteesMember2022-01-012022-03-310000912242us-gaap:CorporateJointVentureMemberus-gaap:EquityMethodInvestmentNonconsolidatedInvesteeOrGroupOfInvesteesMembermac:</w:t>
      </w:r>
      <w:r>
        <w:rPr>
          <w:rFonts w:eastAsia="Times New Roman"/>
          <w:vanish/>
        </w:rPr>
        <w:t>OtherJointVenturesMember2022-01-012022-03-310000912242us-gaap:CorporateJointVentureMemberus-gaap:EquityMethodInvestmentNonconsolidatedInvesteeOrGroupOfInvesteesMember2022-01-012022-03-310000912242us-gaap:RealEstateOtherMemberus-gaap:CorporateJointVentureMe</w:t>
      </w:r>
      <w:r>
        <w:rPr>
          <w:rFonts w:eastAsia="Times New Roman"/>
          <w:vanish/>
        </w:rPr>
        <w:t>mbermac:PacificPremierRetailLPMemberus-gaap:EquityMethodInvestmentNonconsolidatedInvesteeOrGroupOfInvesteesMember2022-01-012022-03-310000912242us-gaap:RealEstateOtherMemberus-gaap:CorporateJointVentureMemberus-gaap:EquityMethodInvestmentNonconsolidatedInve</w:t>
      </w:r>
      <w:r>
        <w:rPr>
          <w:rFonts w:eastAsia="Times New Roman"/>
          <w:vanish/>
        </w:rPr>
        <w:t>steeOrGroupOfInvesteesMembermac:OtherJointVenturesMember2022-01-012022-03-310000912242us-gaap:RealEstateOtherMemberus-gaap:CorporateJointVentureMemberus-gaap:EquityMethodInvestmentNonconsolidatedInvesteeOrGroupOfInvesteesMember2022-01-012022-03-31000091224</w:t>
      </w:r>
      <w:r>
        <w:rPr>
          <w:rFonts w:eastAsia="Times New Roman"/>
          <w:vanish/>
        </w:rPr>
        <w:t>2us-gaap:CorporateJointVentureMemberus-gaap:RealEstateMembermac:PacificPremierRetailLPMemberus-gaap:EquityMethodInvestmentNonconsolidatedInvesteeOrGroupOfInvesteesMember2022-01-012022-03-310000912242us-gaap:CorporateJointVentureMemberus-gaap:RealEstateMemb</w:t>
      </w:r>
      <w:r>
        <w:rPr>
          <w:rFonts w:eastAsia="Times New Roman"/>
          <w:vanish/>
        </w:rPr>
        <w:t>erus-gaap:EquityMethodInvestmentNonconsolidatedInvesteeOrGroupOfInvesteesMembermac:OtherJointVenturesMember2022-01-012022-03-310000912242us-gaap:CorporateJointVentureMemberus-gaap:RealEstateMemberus-gaap:EquityMethodInvestmentNonconsolidatedInvesteeOrGroup</w:t>
      </w:r>
      <w:r>
        <w:rPr>
          <w:rFonts w:eastAsia="Times New Roman"/>
          <w:vanish/>
        </w:rPr>
        <w:t>OfInvesteesMember2022-01-012022-03-310000912242us-gaap:CorporateJointVentureMembermac:PacificPremierRetailLPMemberus-gaap:EquityMethodInvestmentNonconsolidatedInvesteeOrGroupOfInvesteesMember2021-01-012021-03-310000912242us-gaap:CorporateJointVentureMember</w:t>
      </w:r>
      <w:r>
        <w:rPr>
          <w:rFonts w:eastAsia="Times New Roman"/>
          <w:vanish/>
        </w:rPr>
        <w:t>us-gaap:EquityMethodInvestmentNonconsolidatedInvesteeOrGroupOfInvesteesMembermac:OtherJointVenturesMember2021-01-012021-03-310000912242us-gaap:CorporateJointVentureMemberus-gaap:EquityMethodInvestmentNonconsolidatedInvesteeOrGroupOfInvesteesMember2021-01-0</w:t>
      </w:r>
      <w:r>
        <w:rPr>
          <w:rFonts w:eastAsia="Times New Roman"/>
          <w:vanish/>
        </w:rPr>
        <w:t>12021-03-310000912242us-gaap:RealEstateOtherMemberus-gaap:CorporateJointVentureMembermac:PacificPremierRetailLPMemberus-gaap:EquityMethodInvestmentNonconsolidatedInvesteeOrGroupOfInvesteesMember2021-01-012021-03-310000912242us-gaap:RealEstateOtherMemberus-</w:t>
      </w:r>
      <w:r>
        <w:rPr>
          <w:rFonts w:eastAsia="Times New Roman"/>
          <w:vanish/>
        </w:rPr>
        <w:t>gaap:CorporateJointVentureMemberus-gaap:EquityMethodInvestmentNonconsolidatedInvesteeOrGroupOfInvesteesMembermac:OtherJointVenturesMember2021-01-012021-03-310000912242us-gaap:RealEstateOtherMemberus-gaap:CorporateJointVentureMemberus-gaap:EquityMethodInves</w:t>
      </w:r>
      <w:r>
        <w:rPr>
          <w:rFonts w:eastAsia="Times New Roman"/>
          <w:vanish/>
        </w:rPr>
        <w:t>tmentNonconsolidatedInvesteeOrGroupOfInvesteesMember2021-01-012021-03-310000912242us-gaap:CorporateJointVentureMemberus-gaap:RealEstateMembermac:PacificPremierRetailLPMemberus-gaap:EquityMethodInvestmentNonconsolidatedInvesteeOrGroupOfInvesteesMember2021-0</w:t>
      </w:r>
      <w:r>
        <w:rPr>
          <w:rFonts w:eastAsia="Times New Roman"/>
          <w:vanish/>
        </w:rPr>
        <w:t>1-012021-03-310000912242us-gaap:CorporateJointVentureMemberus-gaap:RealEstateMemberus-gaap:EquityMethodInvestmentNonconsolidatedInvesteeOrGroupOfInvesteesMembermac:OtherJointVenturesMember2021-01-012021-03-310000912242us-gaap:CorporateJointVentureMemberus-</w:t>
      </w:r>
      <w:r>
        <w:rPr>
          <w:rFonts w:eastAsia="Times New Roman"/>
          <w:vanish/>
        </w:rPr>
        <w:t>gaap:RealEstateMemberus-gaap:EquityMethodInvestmentNonconsolidatedInvesteeOrGroupOfInvesteesMember2021-01-012021-03-310000912242us-gaap:FairValueInputsLevel2Memberus-gaap:InterestRateCapMember2022-03-310000912242us-gaap:FairValueInputsLevel2Memberus-gaap:I</w:t>
      </w:r>
      <w:r>
        <w:rPr>
          <w:rFonts w:eastAsia="Times New Roman"/>
          <w:vanish/>
        </w:rPr>
        <w:t>nterestRateCapMember2021-12-310000912242us-gaap:LandBuildingsAndImprovementsMember2022-01-012022-03-310000912242us-gaap:LandBuildingsAndImprovementsMember2021-01-012021-03-310000912242us-gaap:LandMember2022-01-012022-03-310000912242us-gaap:LandMember2021-0</w:t>
      </w:r>
      <w:r>
        <w:rPr>
          <w:rFonts w:eastAsia="Times New Roman"/>
          <w:vanish/>
        </w:rPr>
        <w:t>1-012021-03-310000912242mac:ParadiseValleyMallMember2022-01-012022-03-310000912242mac:MSPortfolioLLCMember2022-01-012022-03-310000912242mac:EstrellaFallsMember2021-01-012021-03-310000912242us-gaap:FairValueMeasurementsNonrecurringMember2022-03-310000912242</w:t>
      </w:r>
      <w:r>
        <w:rPr>
          <w:rFonts w:eastAsia="Times New Roman"/>
          <w:vanish/>
        </w:rPr>
        <w:t>us-gaap:FairValueMeasurementsNonrecurringMemberus-gaap:FairValueInputsLevel1Member2022-03-310000912242us-gaap:FairValueMeasurementsNonrecurringMemberus-gaap:FairValueInputsLevel2Member2022-03-310000912242us-gaap:FairValueMeasurementsNonrecurringMemberus-ga</w:t>
      </w:r>
      <w:r>
        <w:rPr>
          <w:rFonts w:eastAsia="Times New Roman"/>
          <w:vanish/>
        </w:rPr>
        <w:t>ap:FairValueInputsLevel3Member2022-03-310000912242us-gaap:AccruedIncomeReceivableMember2022-03-310000912242us-gaap:AccruedIncomeReceivableMember2021-12-31mac:lease0000912242us-gaap:LeasesAcquiredInPlaceMember2022-03-310000912242us-gaap:LeasesAcquiredInPlac</w:t>
      </w:r>
      <w:r>
        <w:rPr>
          <w:rFonts w:eastAsia="Times New Roman"/>
          <w:vanish/>
        </w:rPr>
        <w:t>eMember2021-12-310000912242us-gaap:LeasesAcquiredInPlaceMember2022-01-012022-03-310000912242us-gaap:LeasesAcquiredInPlaceMember2021-01-012021-03-310000912242us-gaap:AboveMarketLeasesMember2022-03-310000912242us-gaap:AboveMarketLeasesMember2021-12-310000912</w:t>
      </w:r>
      <w:r>
        <w:rPr>
          <w:rFonts w:eastAsia="Times New Roman"/>
          <w:vanish/>
        </w:rPr>
        <w:t>242mac:BelowMarketLeaseMember2022-03-310000912242mac:BelowMarketLeaseMember2021-12-310000912242mac:ChandlerFashionCenterMortgageMember2022-03-310000912242mac:ChandlerFashionCenterMortgageMember2021-12-310000912242mac:ChandlerFashionCenterMortgageMember2022</w:t>
      </w:r>
      <w:r>
        <w:rPr>
          <w:rFonts w:eastAsia="Times New Roman"/>
          <w:vanish/>
        </w:rPr>
        <w:t>-01-012022-03-310000912242mac:DanburyFairMallMortgageMember2022-03-310000912242mac:DanburyFairMallMortgageMember2021-12-310000912242mac:DanburyFairMallMortgageMember2022-01-012022-03-310000912242mac:FashionDistrictPhiladelphiaMember2022-03-310000912242mac:</w:t>
      </w:r>
      <w:r>
        <w:rPr>
          <w:rFonts w:eastAsia="Times New Roman"/>
          <w:vanish/>
        </w:rPr>
        <w:t>FashionDistrictPhiladelphiaMember2021-12-310000912242mac:FashionDistrictPhiladelphiaMember2022-01-012022-03-310000912242mac:FashionOutletsOfChicagoMortgageMember2022-03-310000912242mac:FashionOutletsOfChicagoMortgageMember2021-12-310000912242mac:FashionOut</w:t>
      </w:r>
      <w:r>
        <w:rPr>
          <w:rFonts w:eastAsia="Times New Roman"/>
          <w:vanish/>
        </w:rPr>
        <w:t>letsOfChicagoMortgageMember2022-01-012022-03-310000912242mac:FashionOutletsAtNiagaraMortgageMember2022-03-310000912242mac:FashionOutletsAtNiagaraMortgageMember2021-12-310000912242mac:FashionOutletsAtNiagaraMortgageMember2022-01-012022-03-310000912242mac:Fr</w:t>
      </w:r>
      <w:r>
        <w:rPr>
          <w:rFonts w:eastAsia="Times New Roman"/>
          <w:vanish/>
        </w:rPr>
        <w:t>eeholdRacewayMallMortgageMember2022-03-310000912242mac:FreeholdRacewayMallMortgageMember2021-12-310000912242mac:FreeholdRacewayMallMortgageMember2022-01-012022-03-310000912242mac:FresnoFashionFairMember2022-03-310000912242mac:FresnoFashionFairMember2021-12</w:t>
      </w:r>
      <w:r>
        <w:rPr>
          <w:rFonts w:eastAsia="Times New Roman"/>
          <w:vanish/>
        </w:rPr>
        <w:t>-310000912242mac:FresnoFashionFairMember2022-01-012022-03-310000912242mac:GreenAcresCommonsMember2022-03-310000912242mac:GreenAcresCommonsMember2021-12-310000912242mac:GreenAcresCommonsMember2022-01-012022-03-310000912242mac:GreenAcresMallMember2022-03-310</w:t>
      </w:r>
      <w:r>
        <w:rPr>
          <w:rFonts w:eastAsia="Times New Roman"/>
          <w:vanish/>
        </w:rPr>
        <w:t>000912242mac:GreenAcresMallMember2021-12-310000912242mac:GreenAcresMallMember2022-01-012022-03-310000912242mac:KingsPlazaMortgageMember2022-03-310000912242mac:KingsPlazaMortgageMember2021-12-310000912242mac:KingsPlazaMortgageMember2022-01-012022-03-3100009</w:t>
      </w:r>
      <w:r>
        <w:rPr>
          <w:rFonts w:eastAsia="Times New Roman"/>
          <w:vanish/>
        </w:rPr>
        <w:t>12242mac:TheOaksOneMortgageMember2022-03-310000912242mac:TheOaksOneMortgageMember2021-12-310000912242mac:TheOaksOneMortgageMember2022-01-012022-03-310000912242mac:PacificViewMortgageMember2022-03-310000912242mac:PacificViewMortgageMember2021-12-31000091224</w:t>
      </w:r>
      <w:r>
        <w:rPr>
          <w:rFonts w:eastAsia="Times New Roman"/>
          <w:vanish/>
        </w:rPr>
        <w:t>2mac:PacificViewMortgageMember2022-01-012022-03-310000912242mac:QueensCenterMember2022-03-310000912242mac:QueensCenterMember2021-12-310000912242mac:QueensCenterMember2022-01-012022-03-310000912242mac:SantaMonicaPlaceMortgageMember2022-03-310000912242mac:Sa</w:t>
      </w:r>
      <w:r>
        <w:rPr>
          <w:rFonts w:eastAsia="Times New Roman"/>
          <w:vanish/>
        </w:rPr>
        <w:t>ntaMonicaPlaceMortgageMember2021-12-310000912242mac:SantaMonicaPlaceMortgageMember2022-01-012022-03-310000912242mac:SanTanVillageRegionalCenterMortgageMember2022-03-310000912242mac:SanTanVillageRegionalCenterMortgageMember2021-12-310000912242mac:SanTanVill</w:t>
      </w:r>
      <w:r>
        <w:rPr>
          <w:rFonts w:eastAsia="Times New Roman"/>
          <w:vanish/>
        </w:rPr>
        <w:t>ageRegionalCenterMortgageMember2022-01-012022-03-310000912242mac:TowneMallMortgageMember2022-03-310000912242mac:TowneMallMortgageMember2021-12-310000912242mac:TowneMallMortgageMember2022-01-012022-03-310000912242mac:MallOfVictorValleyMortgageMember2022-03-</w:t>
      </w:r>
      <w:r>
        <w:rPr>
          <w:rFonts w:eastAsia="Times New Roman"/>
          <w:vanish/>
        </w:rPr>
        <w:t>310000912242mac:MallOfVictorValleyMortgageMember2021-12-310000912242mac:MallOfVictorValleyMortgageMember2022-01-012022-03-310000912242mac:VintageFaireMallMortgageMember2022-03-310000912242mac:VintageFaireMallMortgageMember2021-12-310000912242mac:VintageFai</w:t>
      </w:r>
      <w:r>
        <w:rPr>
          <w:rFonts w:eastAsia="Times New Roman"/>
          <w:vanish/>
        </w:rPr>
        <w:t>reMallMortgageMember2022-01-012022-03-310000912242mac:DanburyFairMallMember2021-09-152021-09-150000912242mac:GreenAcresCommonsMember2021-03-252021-03-250000912242us-gaap:LondonInterbankOfferedRateLIBORMembermac:GreenAcresCommonsMember2021-03-252021-03-2500</w:t>
      </w:r>
      <w:r>
        <w:rPr>
          <w:rFonts w:eastAsia="Times New Roman"/>
          <w:vanish/>
        </w:rPr>
        <w:t>00912242mac:GreenAcresMallMember2021-01-222021-01-220000912242mac:TheOaksOneMortgageMemberus-gaap:SubsequentEventMember2022-05-062022-05-060000912242mac:TheOaksOneMortgageMemberus-gaap:SubsequentEventMember2022-05-060000912242mac:PacificViewMortgageMemberu</w:t>
      </w:r>
      <w:r>
        <w:rPr>
          <w:rFonts w:eastAsia="Times New Roman"/>
          <w:vanish/>
        </w:rPr>
        <w:t>s-gaap:SubsequentEventMember2022-04-292022-04-290000912242mac:PacificViewMortgageMemberus-gaap:SubsequentEventMember2022-04-290000912242us-gaap:LondonInterbankOfferedRateLIBORMembermac:SantaMonicaPlaceMember2022-01-012022-03-310000912242us-gaap:LondonInter</w:t>
      </w:r>
      <w:r>
        <w:rPr>
          <w:rFonts w:eastAsia="Times New Roman"/>
          <w:vanish/>
        </w:rPr>
        <w:t>bankOfferedRateLIBORMembermac:SantaMonicaPlaceMember2022-03-310000912242mac:NewCreditAgreementMemberus-gaap:LineOfCreditMember2021-04-140000912242mac:RevolvingLoanFacilityMaturesOnApril142023Memberus-gaap:LineOfCreditMemberus-gaap:RevolvingCreditFacilityMe</w:t>
      </w:r>
      <w:r>
        <w:rPr>
          <w:rFonts w:eastAsia="Times New Roman"/>
          <w:vanish/>
        </w:rPr>
        <w:t>mber2021-04-140000912242mac:RevolvingLoanFacilityMaturesOnApril142023Memberus-gaap:LineOfCreditMemberus-gaap:RevolvingCreditFacilityMember2021-04-142021-04-140000912242mac:TermLoanMembermac:TermLoanFacilityMaturesOnApril142024Member2021-04-140000912242mac:</w:t>
      </w:r>
      <w:r>
        <w:rPr>
          <w:rFonts w:eastAsia="Times New Roman"/>
          <w:vanish/>
        </w:rPr>
        <w:t>TermLoanMembermac:TermLoanFacilityMaturesOnApril142024Member2021-04-142021-04-140000912242mac:PriorRevolvingLineOfCreditFacilityMemberus-gaap:LineOfCreditMember2021-04-142021-04-140000912242us-gaap:LondonInterbankOfferedRateLIBORMembersrt:MinimumMembermac:</w:t>
      </w:r>
      <w:r>
        <w:rPr>
          <w:rFonts w:eastAsia="Times New Roman"/>
          <w:vanish/>
        </w:rPr>
        <w:t>NewCreditAgreementMemberus-gaap:LineOfCreditMember2021-04-142021-04-140000912242us-gaap:LondonInterbankOfferedRateLIBORMembersrt:MaximumMembermac:NewCreditAgreementMemberus-gaap:LineOfCreditMember2021-04-142021-04-140000912242us-gaap:LondonInterbankOffered</w:t>
      </w:r>
      <w:r>
        <w:rPr>
          <w:rFonts w:eastAsia="Times New Roman"/>
          <w:vanish/>
        </w:rPr>
        <w:t>RateLIBORMembermac:NewCreditAgreementMemberus-gaap:LineOfCreditMember2022-03-310000912242mac:NewCreditAgreementMemberus-gaap:LineOfCreditMember2022-03-310000912242mac:RevolvingLoanFacilityMaturesOnApril142023Memberus-gaap:LineOfCreditMemberus-gaap:Revolvin</w:t>
      </w:r>
      <w:r>
        <w:rPr>
          <w:rFonts w:eastAsia="Times New Roman"/>
          <w:vanish/>
        </w:rPr>
        <w:t>gCreditFacilityMember2022-01-012022-03-310000912242mac:RevolvingLoanFacilityMaturesOnApril142023Memberus-gaap:FairValueInputsLevel2Memberus-gaap:LineOfCreditMemberus-gaap:RevolvingCreditFacilityMember2022-03-310000912242mac:FinancingArrangementMembermac:Ch</w:t>
      </w:r>
      <w:r>
        <w:rPr>
          <w:rFonts w:eastAsia="Times New Roman"/>
          <w:vanish/>
        </w:rPr>
        <w:t>andlerFashionCenterMember2009-09-302009-09-300000912242mac:FinancingArrangementMembermac:FreeholdRacewayMallMember2009-09-302009-09-300000912242mac:FinancingArrangementMembermac:ChandlerFashionCenterMember2009-09-30utr:sqft0000912242mac:FinancingArrangemen</w:t>
      </w:r>
      <w:r>
        <w:rPr>
          <w:rFonts w:eastAsia="Times New Roman"/>
          <w:vanish/>
        </w:rPr>
        <w:t>tMembermac:FreeholdRacewayMallMember2009-09-300000912242mac:FinancingArrangementMembersrt:MinimumMember2022-03-31iso4217:USDutr:sqft0000912242mac:FinancingArrangementMembersrt:MinimumMember2021-12-310000912242mac:FinancingArrangementMembersrt:MaximumMember</w:t>
      </w:r>
      <w:r>
        <w:rPr>
          <w:rFonts w:eastAsia="Times New Roman"/>
          <w:vanish/>
        </w:rPr>
        <w:t>2021-12-310000912242mac:FinancingArrangementMembersrt:MaximumMember2022-03-310000912242mac:FinancingArrangementMemberus-gaap:CorporateJointVentureMember2022-01-012022-03-310000912242mac:FinancingArrangementMemberus-gaap:CorporateJointVentureMember2021-01-0</w:t>
      </w:r>
      <w:r>
        <w:rPr>
          <w:rFonts w:eastAsia="Times New Roman"/>
          <w:vanish/>
        </w:rPr>
        <w:t>12021-03-310000912242mac:March2021ATMProgramMember2021-03-260000912242mac:February2021ATMProgramMember2021-02-010000912242mac:ATMProgramsMember2022-03-310000912242mac:March2021ATMProgramMember2022-03-310000912242mac:ATMProgramsMember2021-01-012021-03-31000</w:t>
      </w:r>
      <w:r>
        <w:rPr>
          <w:rFonts w:eastAsia="Times New Roman"/>
          <w:vanish/>
        </w:rPr>
        <w:t>0912242mac:ATMProgramsMemberus-gaap:SubsequentEventMember2022-04-012022-04-3000009122422017-02-120000912242us-gaap:DisposalGroupDisposedOfBySaleNotDiscontinuedOperationsMembermac:ParadiseValleyMallMember2021-03-292021-03-290000912242us-gaap:LandMemberus-ga</w:t>
      </w:r>
      <w:r>
        <w:rPr>
          <w:rFonts w:eastAsia="Times New Roman"/>
          <w:vanish/>
        </w:rPr>
        <w:t>ap:DisposalGroupDisposedOfBySaleNotDiscontinuedOperationsMembermac:ParadiseValleyMallMember2021-03-292021-03-290000912242us-gaap:DisposalGroupDisposedOfBySaleNotDiscontinuedOperationsMembermac:ParadiseValleyMallMember2021-03-290000912242mac:TucsonLaEncanta</w:t>
      </w:r>
      <w:r>
        <w:rPr>
          <w:rFonts w:eastAsia="Times New Roman"/>
          <w:vanish/>
        </w:rPr>
        <w:t>daInTucsonArizonaMemberus-gaap:DisposalGroupDisposedOfBySaleNotDiscontinuedOperationsMember2021-09-172021-09-1700009122422021-09-172021-09-170000912242us-gaap:LandMember2022-01-012022-03-310000912242us-gaap:LandMember2021-01-012021-03-310000912242us-gaap:S</w:t>
      </w:r>
      <w:r>
        <w:rPr>
          <w:rFonts w:eastAsia="Times New Roman"/>
          <w:vanish/>
        </w:rPr>
        <w:t>ecuredDebtMemberus-gaap:LetterOfCreditMember2022-03-310000912242mac:UnconsolidatedJointVenturesAndThirdPartyManagedPropertiesMemberus-gaap:ManagementServiceMember2022-01-012022-03-310000912242mac:UnconsolidatedJointVenturesAndThirdPartyManagedPropertiesMem</w:t>
      </w:r>
      <w:r>
        <w:rPr>
          <w:rFonts w:eastAsia="Times New Roman"/>
          <w:vanish/>
        </w:rPr>
        <w:t>berus-gaap:ManagementServiceMember2021-01-012021-03-310000912242mac:DevelopmentandLeasingFeesMembermac:UnconsolidatedJointVenturesAndThirdPartyManagedPropertiesMember2022-01-012022-03-310000912242mac:DevelopmentandLeasingFeesMembermac:UnconsolidatedJointVe</w:t>
      </w:r>
      <w:r>
        <w:rPr>
          <w:rFonts w:eastAsia="Times New Roman"/>
          <w:vanish/>
        </w:rPr>
        <w:t>nturesAndThirdPartyManagedPropertiesMember2021-01-012021-03-310000912242mac:UnconsolidatedJointVenturesAndThirdPartyManagedPropertiesMember2022-01-012022-03-310000912242mac:UnconsolidatedJointVenturesAndThirdPartyManagedPropertiesMember2021-01-012021-03-31</w:t>
      </w:r>
      <w:r>
        <w:rPr>
          <w:rFonts w:eastAsia="Times New Roman"/>
          <w:vanish/>
        </w:rPr>
        <w:t>0000912242mac:UnconsolidatedJointVenturesMember2022-03-310000912242mac:UnconsolidatedJointVenturesMember2021-12-310000912242mac:StockUnitsMember2022-01-012022-03-310000912242mac:LongTermIncentivePlanMember2022-01-012022-03-310000912242mac:January12022Membe</w:t>
      </w:r>
      <w:r>
        <w:rPr>
          <w:rFonts w:eastAsia="Times New Roman"/>
          <w:vanish/>
        </w:rPr>
        <w:t>rmac:LongTermIncentivePlanServicebasedMemberus-gaap:ShareBasedCompensationAwardTrancheOneMember2022-01-012022-03-310000912242mac:January12022Memberus-gaap:ShareBasedCompensationAwardTrancheOneMembermac:LongTermIncentivePlanPerformanceBasedMember2022-01-012</w:t>
      </w:r>
      <w:r>
        <w:rPr>
          <w:rFonts w:eastAsia="Times New Roman"/>
          <w:vanish/>
        </w:rPr>
        <w:t>022-03-310000912242mac:January12022Membermac:LongTermIncentivePlanMember2022-01-012022-01-010000912242mac:LongTermIncentivePlanMember2021-12-310000912242us-gaap:PhantomShareUnitsPSUsMember2021-12-310000912242mac:StockUnitsMember2021-12-310000912242us-gaap:</w:t>
      </w:r>
      <w:r>
        <w:rPr>
          <w:rFonts w:eastAsia="Times New Roman"/>
          <w:vanish/>
        </w:rPr>
        <w:t>PhantomShareUnitsPSUsMember2022-01-012022-03-310000912242mac:LongTermIncentivePlanMember2022-03-310000912242us-gaap:PhantomShareUnitsPSUsMember2022-03-310000912242mac:StockUnitsMember2022-03-310000912242us-gaap:EmployeeStockOptionMember2021-12-310000912242</w:t>
      </w:r>
      <w:r>
        <w:rPr>
          <w:rFonts w:eastAsia="Times New Roman"/>
          <w:vanish/>
        </w:rPr>
        <w:t>us-gaap:EmployeeStockOptionMember2022-01-012022-03-310000912242us-gaap:EmployeeStockOptionMember2022-03-310000912242mac:LongTermIncentivePlanMember2021-01-012021-03-310000912242mac:StockUnitsMember2021-01-012021-03-310000912242us-gaap:PhantomShareUnitsPSUs</w:t>
      </w:r>
      <w:r>
        <w:rPr>
          <w:rFonts w:eastAsia="Times New Roman"/>
          <w:vanish/>
        </w:rPr>
        <w:t>Member2021-01-012021-03-310000912242us-gaap:SubsequentEventMember2022-05-092022-05-09</w:t>
      </w:r>
    </w:p>
    <w:p w:rsidR="00000000" w:rsidRDefault="00BA6B82">
      <w:pPr>
        <w:jc w:val="center"/>
        <w:divId w:val="1543860478"/>
        <w:rPr>
          <w:rFonts w:eastAsia="Times New Roman"/>
        </w:rPr>
      </w:pPr>
    </w:p>
    <w:p w:rsidR="00000000" w:rsidRDefault="00BA6B82">
      <w:pPr>
        <w:jc w:val="center"/>
        <w:divId w:val="1800804141"/>
        <w:rPr>
          <w:rFonts w:eastAsia="Times New Roman"/>
        </w:rPr>
      </w:pPr>
    </w:p>
    <w:p w:rsidR="00000000" w:rsidRDefault="00BA6B82">
      <w:pPr>
        <w:jc w:val="center"/>
        <w:divId w:val="575869046"/>
        <w:rPr>
          <w:rFonts w:eastAsia="Times New Roman"/>
        </w:rPr>
      </w:pPr>
    </w:p>
    <w:p w:rsidR="00000000" w:rsidRDefault="00BA6B82">
      <w:pPr>
        <w:jc w:val="center"/>
        <w:divId w:val="336350014"/>
        <w:rPr>
          <w:rFonts w:eastAsia="Times New Roman"/>
        </w:rPr>
      </w:pPr>
    </w:p>
    <w:p w:rsidR="00000000" w:rsidRDefault="00BA6B82">
      <w:pPr>
        <w:jc w:val="center"/>
        <w:divId w:val="67904280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BA6B82">
            <w:pPr>
              <w:jc w:val="center"/>
              <w:rPr>
                <w:rFonts w:eastAsia="Times New Roman"/>
              </w:rPr>
            </w:pPr>
          </w:p>
        </w:tc>
        <w:tc>
          <w:tcPr>
            <w:tcW w:w="494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jc w:val="center"/>
        <w:rPr>
          <w:rFonts w:eastAsia="Times New Roman"/>
        </w:rPr>
      </w:pPr>
      <w:r>
        <w:rPr>
          <w:rFonts w:eastAsia="Times New Roman"/>
          <w:b/>
          <w:bCs/>
          <w:color w:val="000000"/>
          <w:sz w:val="32"/>
          <w:szCs w:val="32"/>
        </w:rPr>
        <w:t>UNITED STATES</w:t>
      </w:r>
    </w:p>
    <w:p w:rsidR="00000000" w:rsidRDefault="00BA6B82">
      <w:pPr>
        <w:jc w:val="center"/>
        <w:divId w:val="1489050389"/>
        <w:rPr>
          <w:rFonts w:eastAsia="Times New Roman"/>
        </w:rPr>
      </w:pPr>
      <w:r>
        <w:rPr>
          <w:rFonts w:eastAsia="Times New Roman"/>
          <w:b/>
          <w:bCs/>
          <w:color w:val="000000"/>
          <w:sz w:val="32"/>
          <w:szCs w:val="32"/>
        </w:rPr>
        <w:t>SECURITIES AND EXCHANGE COMMISSION</w:t>
      </w:r>
    </w:p>
    <w:p w:rsidR="00000000" w:rsidRDefault="00BA6B82">
      <w:pPr>
        <w:jc w:val="center"/>
        <w:divId w:val="2082290488"/>
        <w:rPr>
          <w:rFonts w:eastAsia="Times New Roman"/>
        </w:rPr>
      </w:pPr>
      <w:r>
        <w:rPr>
          <w:rFonts w:eastAsia="Times New Roman"/>
          <w:b/>
          <w:bCs/>
          <w:color w:val="000000"/>
          <w:sz w:val="20"/>
          <w:szCs w:val="20"/>
        </w:rPr>
        <w:t>Washington, D.C. 20549</w:t>
      </w:r>
    </w:p>
    <w:p w:rsidR="00000000" w:rsidRDefault="00BA6B82">
      <w:pPr>
        <w:jc w:val="center"/>
        <w:divId w:val="1733310548"/>
        <w:rPr>
          <w:rFonts w:eastAsia="Times New Roman"/>
        </w:rPr>
      </w:pPr>
      <w:r>
        <w:rPr>
          <w:rFonts w:eastAsia="Times New Roman"/>
          <w:b/>
          <w:bCs/>
          <w:color w:val="000000"/>
          <w:sz w:val="32"/>
          <w:szCs w:val="32"/>
        </w:rPr>
        <w:t xml:space="preserve">FORM 10-Q </w:t>
      </w:r>
    </w:p>
    <w:p w:rsidR="00000000" w:rsidRDefault="00BA6B82">
      <w:pPr>
        <w:ind w:hanging="630"/>
        <w:divId w:val="1952853191"/>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rsidR="00000000" w:rsidRDefault="00BA6B82">
      <w:pPr>
        <w:ind w:firstLine="90"/>
        <w:divId w:val="1691106446"/>
        <w:rPr>
          <w:rFonts w:eastAsia="Times New Roman"/>
        </w:rPr>
      </w:pPr>
      <w:r>
        <w:rPr>
          <w:rFonts w:eastAsia="Times New Roman"/>
          <w:b/>
          <w:bCs/>
          <w:color w:val="000000"/>
          <w:sz w:val="20"/>
          <w:szCs w:val="20"/>
        </w:rPr>
        <w:t xml:space="preserve">For the quarterly period ended March 31, 2022 </w:t>
      </w:r>
    </w:p>
    <w:p w:rsidR="00000000" w:rsidRDefault="00BA6B82">
      <w:pPr>
        <w:ind w:hanging="630"/>
        <w:divId w:val="460152832"/>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TRANSITION REPORT PURSUANT TO SECTION 13 OR 15(d) OF THE SECURITIES EXCHANGE ACT OF 1934 </w:t>
      </w:r>
    </w:p>
    <w:p w:rsidR="00000000" w:rsidRDefault="00BA6B82">
      <w:pPr>
        <w:ind w:firstLine="90"/>
        <w:divId w:val="1969386474"/>
        <w:rPr>
          <w:rFonts w:eastAsia="Times New Roman"/>
        </w:rPr>
      </w:pPr>
      <w:r>
        <w:rPr>
          <w:rFonts w:eastAsia="Times New Roman"/>
          <w:color w:val="000000"/>
          <w:sz w:val="20"/>
          <w:szCs w:val="20"/>
        </w:rPr>
        <w:t>For the transition period fr</w:t>
      </w:r>
      <w:r>
        <w:rPr>
          <w:rFonts w:eastAsia="Times New Roman"/>
          <w:color w:val="000000"/>
          <w:sz w:val="20"/>
          <w:szCs w:val="20"/>
        </w:rPr>
        <w:t xml:space="preserve">om ___________ to </w:t>
      </w:r>
      <w:r>
        <w:rPr>
          <w:rFonts w:eastAsia="Times New Roman"/>
          <w:b/>
          <w:bCs/>
          <w:color w:val="000000"/>
          <w:sz w:val="20"/>
          <w:szCs w:val="20"/>
        </w:rPr>
        <w:t>___________</w:t>
      </w:r>
    </w:p>
    <w:p w:rsidR="00000000" w:rsidRDefault="00BA6B82">
      <w:pPr>
        <w:ind w:hanging="630"/>
        <w:jc w:val="center"/>
        <w:divId w:val="2072338342"/>
        <w:rPr>
          <w:rFonts w:eastAsia="Times New Roman"/>
        </w:rPr>
      </w:pPr>
      <w:r>
        <w:rPr>
          <w:rFonts w:eastAsia="Times New Roman"/>
          <w:color w:val="000000"/>
          <w:sz w:val="20"/>
          <w:szCs w:val="20"/>
        </w:rPr>
        <w:t xml:space="preserve">Commission File No.: 1-12504 </w:t>
      </w:r>
    </w:p>
    <w:p w:rsidR="00000000" w:rsidRDefault="00BA6B82">
      <w:pPr>
        <w:jc w:val="center"/>
        <w:divId w:val="2016879142"/>
        <w:rPr>
          <w:rFonts w:eastAsia="Times New Roman"/>
        </w:rPr>
      </w:pPr>
      <w:r>
        <w:rPr>
          <w:rFonts w:eastAsia="Times New Roman"/>
          <w:color w:val="000000"/>
          <w:sz w:val="20"/>
          <w:szCs w:val="20"/>
        </w:rPr>
        <w:t>THE MACERICH COMPANY</w:t>
      </w:r>
    </w:p>
    <w:p w:rsidR="00000000" w:rsidRDefault="00BA6B82">
      <w:pPr>
        <w:jc w:val="center"/>
        <w:divId w:val="565604480"/>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trPr>
          <w:divId w:val="565604480"/>
          <w:jc w:val="center"/>
        </w:trPr>
        <w:tc>
          <w:tcPr>
            <w:tcW w:w="50" w:type="pct"/>
            <w:vAlign w:val="center"/>
            <w:hideMark/>
          </w:tcPr>
          <w:p w:rsidR="00000000" w:rsidRDefault="00BA6B82">
            <w:pPr>
              <w:jc w:val="center"/>
              <w:rPr>
                <w:rFonts w:eastAsia="Times New Roman"/>
              </w:rPr>
            </w:pPr>
          </w:p>
        </w:tc>
        <w:tc>
          <w:tcPr>
            <w:tcW w:w="93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36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6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1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41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565604480"/>
          <w:jc w:val="center"/>
        </w:trPr>
        <w:tc>
          <w:tcPr>
            <w:tcW w:w="0" w:type="auto"/>
            <w:gridSpan w:val="12"/>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95-4448705</w:t>
            </w:r>
          </w:p>
        </w:tc>
      </w:tr>
      <w:tr w:rsidR="00000000">
        <w:trPr>
          <w:divId w:val="565604480"/>
          <w:jc w:val="center"/>
        </w:trPr>
        <w:tc>
          <w:tcPr>
            <w:tcW w:w="0" w:type="auto"/>
            <w:gridSpan w:val="12"/>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r>
            <w:r>
              <w:rPr>
                <w:rFonts w:eastAsia="Times New Roman"/>
                <w:color w:val="000000"/>
                <w:sz w:val="18"/>
                <w:szCs w:val="18"/>
              </w:rPr>
              <w:t>incorporation or organization)</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(I.R.S. Employer Identification Number)</w:t>
            </w:r>
          </w:p>
        </w:tc>
      </w:tr>
      <w:tr w:rsidR="00000000">
        <w:trPr>
          <w:divId w:val="565604480"/>
          <w:jc w:val="center"/>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90401</w:t>
            </w:r>
          </w:p>
        </w:tc>
      </w:tr>
      <w:tr w:rsidR="00000000">
        <w:trPr>
          <w:divId w:val="565604480"/>
          <w:jc w:val="center"/>
        </w:trPr>
        <w:tc>
          <w:tcPr>
            <w:tcW w:w="0" w:type="auto"/>
            <w:gridSpan w:val="12"/>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(Zip Code)</w:t>
            </w:r>
          </w:p>
        </w:tc>
      </w:tr>
      <w:tr w:rsidR="00000000">
        <w:trPr>
          <w:divId w:val="565604480"/>
          <w:jc w:val="center"/>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w:t>
            </w:r>
            <w:r>
              <w:rPr>
                <w:rFonts w:eastAsia="Times New Roman"/>
                <w:color w:val="000000"/>
                <w:sz w:val="18"/>
                <w:szCs w:val="18"/>
              </w:rPr>
              <w:t>394-6000</w:t>
            </w:r>
          </w:p>
        </w:tc>
      </w:tr>
      <w:tr w:rsidR="00000000">
        <w:trPr>
          <w:divId w:val="565604480"/>
          <w:jc w:val="center"/>
        </w:trPr>
        <w:tc>
          <w:tcPr>
            <w:tcW w:w="0" w:type="auto"/>
            <w:gridSpan w:val="18"/>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 (Registrant's telephone number, including area code)</w:t>
            </w:r>
          </w:p>
        </w:tc>
      </w:tr>
      <w:tr w:rsidR="00000000">
        <w:trPr>
          <w:divId w:val="565604480"/>
          <w:jc w:val="center"/>
        </w:trPr>
        <w:tc>
          <w:tcPr>
            <w:tcW w:w="0" w:type="auto"/>
            <w:gridSpan w:val="18"/>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18"/>
                <w:szCs w:val="18"/>
              </w:rPr>
              <w:t>N/A</w:t>
            </w:r>
          </w:p>
          <w:p w:rsidR="00000000" w:rsidRDefault="00BA6B82">
            <w:pPr>
              <w:spacing w:after="100"/>
              <w:jc w:val="center"/>
              <w:rPr>
                <w:rFonts w:eastAsia="Times New Roman"/>
              </w:rPr>
            </w:pPr>
            <w:r>
              <w:rPr>
                <w:rFonts w:eastAsia="Times New Roman"/>
                <w:color w:val="000000"/>
                <w:sz w:val="18"/>
                <w:szCs w:val="18"/>
              </w:rPr>
              <w:t> (Former name, former address and former fiscal year, if changed since last report)</w:t>
            </w:r>
          </w:p>
        </w:tc>
      </w:tr>
    </w:tbl>
    <w:p w:rsidR="00000000" w:rsidRDefault="00BA6B82">
      <w:pPr>
        <w:ind w:firstLine="495"/>
        <w:divId w:val="934560087"/>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trPr>
          <w:divId w:val="934560087"/>
        </w:trPr>
        <w:tc>
          <w:tcPr>
            <w:tcW w:w="50" w:type="pct"/>
            <w:vAlign w:val="center"/>
            <w:hideMark/>
          </w:tcPr>
          <w:p w:rsidR="00000000" w:rsidRDefault="00BA6B82">
            <w:pPr>
              <w:ind w:firstLine="495"/>
              <w:rPr>
                <w:rFonts w:eastAsia="Times New Roman"/>
              </w:rPr>
            </w:pPr>
          </w:p>
        </w:tc>
        <w:tc>
          <w:tcPr>
            <w:tcW w:w="160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37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84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934560087"/>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Name of each exchange on which registered</w:t>
            </w:r>
          </w:p>
        </w:tc>
      </w:tr>
      <w:tr w:rsidR="00000000">
        <w:trPr>
          <w:divId w:val="934560087"/>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New York Stock Exchange</w:t>
            </w:r>
          </w:p>
        </w:tc>
      </w:tr>
    </w:tbl>
    <w:p w:rsidR="00000000" w:rsidRDefault="00BA6B82">
      <w:pPr>
        <w:ind w:firstLine="495"/>
        <w:divId w:val="859392617"/>
        <w:rPr>
          <w:rFonts w:eastAsia="Times New Roman"/>
        </w:rPr>
      </w:pPr>
      <w:r>
        <w:rPr>
          <w:rFonts w:eastAsia="Times New Roman"/>
          <w:color w:val="000000"/>
          <w:sz w:val="18"/>
          <w:szCs w:val="18"/>
        </w:rPr>
        <w:t xml:space="preserve">Indicate by check mark whether the registrant (1) has filed all reports required to be filed by Section 13 or 15(d) of the Securities Exchange Act of 1934 during the preceding twelve (12) months (or for such shorter period that the Registrant was required </w:t>
      </w:r>
      <w:r>
        <w:rPr>
          <w:rFonts w:eastAsia="Times New Roman"/>
          <w:color w:val="000000"/>
          <w:sz w:val="18"/>
          <w:szCs w:val="18"/>
        </w:rPr>
        <w:t xml:space="preserve">to file such reports) and (2) has been subject to 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BA6B82">
      <w:pPr>
        <w:ind w:firstLine="495"/>
        <w:divId w:val="1172839396"/>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w:t>
      </w:r>
      <w:r>
        <w:rPr>
          <w:rFonts w:eastAsia="Times New Roman"/>
          <w:color w:val="000000"/>
          <w:sz w:val="18"/>
          <w:szCs w:val="18"/>
        </w:rPr>
        <w:t xml:space="preserve">to Rule 405 of Regulation S-T (Section 232.405 of 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BA6B82">
      <w:pPr>
        <w:ind w:firstLine="495"/>
        <w:divId w:val="1827555125"/>
        <w:rPr>
          <w:rFonts w:eastAsia="Times New Roman"/>
        </w:rPr>
      </w:pPr>
      <w:r>
        <w:rPr>
          <w:rFonts w:eastAsia="Times New Roman"/>
          <w:color w:val="000000"/>
          <w:sz w:val="18"/>
          <w:szCs w:val="18"/>
        </w:rPr>
        <w:t>Indicate by check mark whether the registrant is a</w:t>
      </w:r>
      <w:r>
        <w:rPr>
          <w:rFonts w:eastAsia="Times New Roman"/>
          <w:color w:val="000000"/>
          <w:sz w:val="18"/>
          <w:szCs w:val="18"/>
        </w:rPr>
        <w:t xml:space="preserve"> large accelerated filer, an accelerated filer, a non-accelerated filer, a smaller reporting company or an emerging growth company. See definitions of "large accelerated filer", "accelerated filer", "smaller reporting company" and "emerging growth company"</w:t>
      </w:r>
      <w:r>
        <w:rPr>
          <w:rFonts w:eastAsia="Times New Roman"/>
          <w:color w:val="000000"/>
          <w:sz w:val="18"/>
          <w:szCs w:val="18"/>
        </w:rPr>
        <w:t xml:space="preserve">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trPr>
          <w:divId w:val="1827555125"/>
        </w:trPr>
        <w:tc>
          <w:tcPr>
            <w:tcW w:w="50" w:type="pct"/>
            <w:vAlign w:val="center"/>
            <w:hideMark/>
          </w:tcPr>
          <w:p w:rsidR="00000000" w:rsidRDefault="00BA6B82">
            <w:pPr>
              <w:ind w:firstLine="495"/>
              <w:rPr>
                <w:rFonts w:eastAsia="Times New Roman"/>
              </w:rPr>
            </w:pPr>
          </w:p>
        </w:tc>
        <w:tc>
          <w:tcPr>
            <w:tcW w:w="105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11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7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11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04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11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29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11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827555125"/>
        </w:trPr>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r>
              <w:rPr>
                <w:rFonts w:ascii="Segoe UI Symbol" w:eastAsia="Times New Roman" w:hAnsi="Segoe UI Symbol" w:cs="Segoe UI Symbol"/>
                <w:color w:val="000000"/>
                <w:sz w:val="18"/>
                <w:szCs w:val="18"/>
              </w:rPr>
              <w:t>☐</w:t>
            </w:r>
          </w:p>
        </w:tc>
      </w:tr>
      <w:tr w:rsidR="00000000">
        <w:trPr>
          <w:divId w:val="1827555125"/>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r>
              <w:rPr>
                <w:rFonts w:ascii="Segoe UI Symbol" w:eastAsia="Times New Roman" w:hAnsi="Segoe UI Symbol" w:cs="Segoe UI Symbol"/>
                <w:color w:val="000000"/>
                <w:sz w:val="18"/>
                <w:szCs w:val="18"/>
              </w:rPr>
              <w:t>☐</w:t>
            </w:r>
          </w:p>
        </w:tc>
      </w:tr>
    </w:tbl>
    <w:p w:rsidR="00000000" w:rsidRDefault="00BA6B82">
      <w:pPr>
        <w:ind w:firstLine="495"/>
        <w:divId w:val="1641836245"/>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BA6B82">
      <w:pPr>
        <w:ind w:firstLine="495"/>
        <w:divId w:val="316617024"/>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BA6B82">
      <w:pPr>
        <w:ind w:firstLine="495"/>
        <w:divId w:val="1845632830"/>
        <w:rPr>
          <w:rFonts w:eastAsia="Times New Roman"/>
        </w:rPr>
      </w:pPr>
      <w:r>
        <w:rPr>
          <w:rFonts w:eastAsia="Times New Roman"/>
          <w:color w:val="000000"/>
          <w:sz w:val="18"/>
          <w:szCs w:val="18"/>
        </w:rPr>
        <w:t>Number of shares outstanding as of May 9, 2022 of the registrant's common stock, par value $0.01 per share: 214,645,240 shares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45632830"/>
        </w:trPr>
        <w:tc>
          <w:tcPr>
            <w:tcW w:w="50" w:type="pct"/>
            <w:vAlign w:val="center"/>
            <w:hideMark/>
          </w:tcPr>
          <w:p w:rsidR="00000000" w:rsidRDefault="00BA6B82">
            <w:pPr>
              <w:ind w:firstLine="495"/>
              <w:rPr>
                <w:rFonts w:eastAsia="Times New Roman"/>
              </w:rPr>
            </w:pPr>
          </w:p>
        </w:tc>
        <w:tc>
          <w:tcPr>
            <w:tcW w:w="494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845632830"/>
          <w:trHeight w:val="6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jc w:val="center"/>
        <w:rPr>
          <w:rFonts w:eastAsia="Times New Roman"/>
        </w:rPr>
      </w:pPr>
    </w:p>
    <w:p w:rsidR="00000000" w:rsidRDefault="00BA6B82">
      <w:pPr>
        <w:divId w:val="349574169"/>
        <w:rPr>
          <w:rFonts w:eastAsia="Times New Roman"/>
        </w:rPr>
      </w:pPr>
    </w:p>
    <w:p w:rsidR="00000000" w:rsidRDefault="00BA6B82">
      <w:pPr>
        <w:rPr>
          <w:rFonts w:eastAsia="Times New Roman"/>
        </w:rPr>
      </w:pPr>
      <w:r>
        <w:rPr>
          <w:rFonts w:eastAsia="Times New Roman"/>
        </w:rPr>
        <w:pict>
          <v:rect id="_x0000_i1025" style="width:0;height:1.5pt" o:hralign="center" o:hrstd="t" o:hr="t" fillcolor="#a0a0a0" stroked="f"/>
        </w:pict>
      </w:r>
    </w:p>
    <w:p w:rsidR="00000000" w:rsidRDefault="00BA6B82">
      <w:pPr>
        <w:jc w:val="center"/>
        <w:divId w:val="144130935"/>
        <w:rPr>
          <w:rFonts w:eastAsia="Times New Roman"/>
        </w:rPr>
      </w:pPr>
    </w:p>
    <w:p w:rsidR="00000000" w:rsidRDefault="00BA6B82">
      <w:pPr>
        <w:jc w:val="center"/>
        <w:divId w:val="1096094763"/>
        <w:rPr>
          <w:rFonts w:eastAsia="Times New Roman"/>
        </w:rPr>
      </w:pPr>
    </w:p>
    <w:p w:rsidR="00000000" w:rsidRDefault="00BA6B82">
      <w:pPr>
        <w:jc w:val="center"/>
        <w:divId w:val="1207526731"/>
        <w:rPr>
          <w:rFonts w:eastAsia="Times New Roman"/>
        </w:rPr>
      </w:pPr>
    </w:p>
    <w:p w:rsidR="00000000" w:rsidRDefault="00BA6B82">
      <w:pPr>
        <w:jc w:val="center"/>
        <w:divId w:val="107430388"/>
        <w:rPr>
          <w:rFonts w:eastAsia="Times New Roman"/>
        </w:rPr>
      </w:pPr>
    </w:p>
    <w:p w:rsidR="00000000" w:rsidRDefault="00BA6B82">
      <w:pPr>
        <w:jc w:val="center"/>
        <w:divId w:val="913010855"/>
        <w:rPr>
          <w:rFonts w:eastAsia="Times New Roman"/>
        </w:rPr>
      </w:pPr>
    </w:p>
    <w:p w:rsidR="00000000" w:rsidRDefault="00BA6B82">
      <w:pPr>
        <w:jc w:val="center"/>
        <w:divId w:val="1584991184"/>
        <w:rPr>
          <w:rFonts w:eastAsia="Times New Roman"/>
        </w:rPr>
      </w:pPr>
      <w:r>
        <w:rPr>
          <w:rFonts w:eastAsia="Times New Roman"/>
          <w:b/>
          <w:bCs/>
          <w:color w:val="000000"/>
          <w:sz w:val="20"/>
          <w:szCs w:val="20"/>
        </w:rPr>
        <w:t>THE MACERICH COMPANY</w:t>
      </w:r>
    </w:p>
    <w:p w:rsidR="00000000" w:rsidRDefault="00BA6B82">
      <w:pPr>
        <w:jc w:val="center"/>
        <w:divId w:val="698318584"/>
        <w:rPr>
          <w:rFonts w:eastAsia="Times New Roman"/>
        </w:rPr>
      </w:pPr>
      <w:r>
        <w:rPr>
          <w:rFonts w:eastAsia="Times New Roman"/>
          <w:b/>
          <w:bCs/>
          <w:color w:val="000000"/>
          <w:sz w:val="20"/>
          <w:szCs w:val="20"/>
        </w:rPr>
        <w:t>FORM 10-Q</w:t>
      </w:r>
    </w:p>
    <w:p w:rsidR="00000000" w:rsidRDefault="00BA6B82">
      <w:pPr>
        <w:jc w:val="center"/>
        <w:divId w:val="978073788"/>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8"/>
        <w:gridCol w:w="6909"/>
        <w:gridCol w:w="37"/>
        <w:gridCol w:w="36"/>
        <w:gridCol w:w="36"/>
        <w:gridCol w:w="36"/>
        <w:gridCol w:w="50"/>
        <w:gridCol w:w="242"/>
        <w:gridCol w:w="36"/>
      </w:tblGrid>
      <w:tr w:rsidR="00000000">
        <w:trPr>
          <w:divId w:val="978073788"/>
          <w:jc w:val="center"/>
        </w:trPr>
        <w:tc>
          <w:tcPr>
            <w:tcW w:w="50" w:type="pct"/>
            <w:vAlign w:val="center"/>
            <w:hideMark/>
          </w:tcPr>
          <w:p w:rsidR="00000000" w:rsidRDefault="00BA6B82">
            <w:pPr>
              <w:jc w:val="center"/>
              <w:rPr>
                <w:rFonts w:eastAsia="Times New Roman"/>
              </w:rPr>
            </w:pPr>
          </w:p>
        </w:tc>
        <w:tc>
          <w:tcPr>
            <w:tcW w:w="35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0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8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Financial Information</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688028592"/>
              <w:rPr>
                <w:rFonts w:eastAsia="Times New Roman"/>
              </w:rPr>
            </w:pPr>
            <w:hyperlink w:anchor="i1a7638ab6a234f3f9d9b0c12d614c521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118328379"/>
              <w:rPr>
                <w:rFonts w:eastAsia="Times New Roman"/>
              </w:rPr>
            </w:pPr>
            <w:hyperlink w:anchor="i1a7638ab6a234f3f9d9b0c12d614c521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0" w:history="1">
              <w:r>
                <w:rPr>
                  <w:rStyle w:val="a3"/>
                  <w:rFonts w:eastAsia="Times New Roman"/>
                  <w:sz w:val="20"/>
                  <w:szCs w:val="20"/>
                </w:rPr>
                <w:t>3</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923800614"/>
              <w:rPr>
                <w:rFonts w:eastAsia="Times New Roman"/>
              </w:rPr>
            </w:pPr>
            <w:hyperlink w:anchor="i1a7638ab6a234f3f9d9b0c12d614c521_13" w:history="1">
              <w:r>
                <w:rPr>
                  <w:rStyle w:val="a3"/>
                  <w:rFonts w:eastAsia="Times New Roman"/>
                  <w:sz w:val="20"/>
                  <w:szCs w:val="20"/>
                </w:rPr>
                <w:t>Consolidated Balance Sheets as of March 31, 2022 and December 31, 2021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3" w:history="1">
              <w:r>
                <w:rPr>
                  <w:rStyle w:val="a3"/>
                  <w:rFonts w:eastAsia="Times New Roman"/>
                  <w:sz w:val="20"/>
                  <w:szCs w:val="20"/>
                </w:rPr>
                <w:t>3</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5523542"/>
              <w:rPr>
                <w:rFonts w:eastAsia="Times New Roman"/>
              </w:rPr>
            </w:pPr>
            <w:hyperlink w:anchor="i1a7638ab6a234f3f9d9b0c12d614c521_16" w:history="1">
              <w:r>
                <w:rPr>
                  <w:rStyle w:val="a3"/>
                  <w:rFonts w:eastAsia="Times New Roman"/>
                  <w:sz w:val="20"/>
                  <w:szCs w:val="20"/>
                </w:rPr>
                <w:t>Consolidated Statements of Operations for the three months ended March 31, 2022 and 2021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6" w:history="1">
              <w:r>
                <w:rPr>
                  <w:rStyle w:val="a3"/>
                  <w:rFonts w:eastAsia="Times New Roman"/>
                  <w:sz w:val="20"/>
                  <w:szCs w:val="20"/>
                </w:rPr>
                <w:t>4</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416948332"/>
              <w:rPr>
                <w:rFonts w:eastAsia="Times New Roman"/>
              </w:rPr>
            </w:pPr>
            <w:hyperlink w:anchor="i1a7638ab6a234f3f9d9b0c12d614c521_19" w:history="1">
              <w:r>
                <w:rPr>
                  <w:rStyle w:val="a3"/>
                  <w:rFonts w:eastAsia="Times New Roman"/>
                  <w:sz w:val="20"/>
                  <w:szCs w:val="20"/>
                </w:rPr>
                <w:t xml:space="preserve">Consolidated Statements of Comprehensive </w:t>
              </w:r>
            </w:hyperlink>
            <w:hyperlink w:anchor="i1a7638ab6a234f3f9d9b0c12d614c521_19" w:history="1">
              <w:r>
                <w:rPr>
                  <w:rStyle w:val="a3"/>
                  <w:rFonts w:eastAsia="Times New Roman"/>
                  <w:sz w:val="20"/>
                  <w:szCs w:val="20"/>
                </w:rPr>
                <w:t>Loss</w:t>
              </w:r>
            </w:hyperlink>
            <w:hyperlink w:anchor="i1a7638ab6a234f3f9d9b0c12d614c521_19" w:history="1">
              <w:r>
                <w:rPr>
                  <w:rStyle w:val="a3"/>
                  <w:rFonts w:eastAsia="Times New Roman"/>
                  <w:sz w:val="20"/>
                  <w:szCs w:val="20"/>
                </w:rPr>
                <w:t xml:space="preserve"> for the three</w:t>
              </w:r>
            </w:hyperlink>
            <w:hyperlink w:anchor="i1a7638ab6a234f3f9d9b0c12d614c521_19" w:history="1">
              <w:r>
                <w:rPr>
                  <w:rStyle w:val="a3"/>
                  <w:rFonts w:eastAsia="Times New Roman"/>
                  <w:sz w:val="20"/>
                  <w:szCs w:val="20"/>
                </w:rPr>
                <w:t xml:space="preserve"> months ended </w:t>
              </w:r>
            </w:hyperlink>
            <w:hyperlink w:anchor="i1a7638ab6a234f3f9d9b0c12d614c521_19" w:history="1">
              <w:r>
                <w:rPr>
                  <w:rStyle w:val="a3"/>
                  <w:rFonts w:eastAsia="Times New Roman"/>
                  <w:sz w:val="20"/>
                  <w:szCs w:val="20"/>
                </w:rPr>
                <w:t>March</w:t>
              </w:r>
            </w:hyperlink>
            <w:hyperlink w:anchor="i1a7638ab6a234f3f9d9b0c12d614c521_19" w:history="1">
              <w:r>
                <w:rPr>
                  <w:rStyle w:val="a3"/>
                  <w:rFonts w:eastAsia="Times New Roman"/>
                  <w:sz w:val="20"/>
                  <w:szCs w:val="20"/>
                </w:rPr>
                <w:t xml:space="preserve"> 3</w:t>
              </w:r>
            </w:hyperlink>
            <w:hyperlink w:anchor="i1a7638ab6a234f3f9d9b0c12d614c521_19" w:history="1">
              <w:r>
                <w:rPr>
                  <w:rStyle w:val="a3"/>
                  <w:rFonts w:eastAsia="Times New Roman"/>
                  <w:sz w:val="20"/>
                  <w:szCs w:val="20"/>
                </w:rPr>
                <w:t>1</w:t>
              </w:r>
            </w:hyperlink>
            <w:hyperlink w:anchor="i1a7638ab6a234f3f9d9b0c12d614c521_19" w:history="1">
              <w:r>
                <w:rPr>
                  <w:rStyle w:val="a3"/>
                  <w:rFonts w:eastAsia="Times New Roman"/>
                  <w:sz w:val="20"/>
                  <w:szCs w:val="20"/>
                </w:rPr>
                <w:t>, 202</w:t>
              </w:r>
            </w:hyperlink>
            <w:hyperlink w:anchor="i1a7638ab6a234f3f9d9b0c12d614c521_19" w:history="1">
              <w:r>
                <w:rPr>
                  <w:rStyle w:val="a3"/>
                  <w:rFonts w:eastAsia="Times New Roman"/>
                  <w:sz w:val="20"/>
                  <w:szCs w:val="20"/>
                </w:rPr>
                <w:t>2</w:t>
              </w:r>
            </w:hyperlink>
            <w:hyperlink w:anchor="i1a7638ab6a234f3f9d9b0c12d614c521_19" w:history="1">
              <w:r>
                <w:rPr>
                  <w:rStyle w:val="a3"/>
                  <w:rFonts w:eastAsia="Times New Roman"/>
                  <w:sz w:val="20"/>
                  <w:szCs w:val="20"/>
                </w:rPr>
                <w:t xml:space="preserve"> and 20</w:t>
              </w:r>
            </w:hyperlink>
            <w:r>
              <w:rPr>
                <w:rFonts w:eastAsia="Times New Roman"/>
                <w:color w:val="0000FF"/>
                <w:sz w:val="20"/>
                <w:szCs w:val="20"/>
                <w:u w:val="single"/>
              </w:rPr>
              <w:t>21</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9" w:history="1">
              <w:r>
                <w:rPr>
                  <w:rStyle w:val="a3"/>
                  <w:rFonts w:eastAsia="Times New Roman"/>
                  <w:sz w:val="20"/>
                  <w:szCs w:val="20"/>
                </w:rPr>
                <w:t>5</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1401098220"/>
              <w:rPr>
                <w:rFonts w:eastAsia="Times New Roman"/>
              </w:rPr>
            </w:pPr>
            <w:hyperlink w:anchor="i1a7638ab6a234f3f9d9b0c12d614c521_25" w:history="1">
              <w:r>
                <w:rPr>
                  <w:rStyle w:val="a3"/>
                  <w:rFonts w:eastAsia="Times New Roman"/>
                  <w:sz w:val="20"/>
                  <w:szCs w:val="20"/>
                </w:rPr>
                <w:t>Consolidated Statements of Equity for the three months ended March 31, 2022 and 2021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22" w:history="1">
              <w:r>
                <w:rPr>
                  <w:rStyle w:val="a3"/>
                  <w:rFonts w:eastAsia="Times New Roman"/>
                  <w:sz w:val="20"/>
                  <w:szCs w:val="20"/>
                </w:rPr>
                <w:t>6</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1839348242"/>
              <w:rPr>
                <w:rFonts w:eastAsia="Times New Roman"/>
              </w:rPr>
            </w:pPr>
            <w:hyperlink w:anchor="i1a7638ab6a234f3f9d9b0c12d614c521_28" w:history="1">
              <w:r>
                <w:rPr>
                  <w:rStyle w:val="a3"/>
                  <w:rFonts w:eastAsia="Times New Roman"/>
                  <w:sz w:val="20"/>
                  <w:szCs w:val="20"/>
                </w:rPr>
                <w:t>Consolidated Statements of Cash Flows for the three months ended March 31, 2022 and 2021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28" w:history="1">
              <w:r>
                <w:rPr>
                  <w:rStyle w:val="a3"/>
                  <w:rFonts w:eastAsia="Times New Roman"/>
                  <w:sz w:val="20"/>
                  <w:szCs w:val="20"/>
                </w:rPr>
                <w:t>7</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A6B82">
            <w:pPr>
              <w:spacing w:after="100"/>
              <w:divId w:val="1603760255"/>
              <w:rPr>
                <w:rFonts w:eastAsia="Times New Roman"/>
              </w:rPr>
            </w:pPr>
            <w:hyperlink w:anchor="i1a7638ab6a234f3f9d9b0c12d614c521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31" w:history="1">
              <w:r>
                <w:rPr>
                  <w:rStyle w:val="a3"/>
                  <w:rFonts w:eastAsia="Times New Roman"/>
                  <w:sz w:val="20"/>
                  <w:szCs w:val="20"/>
                </w:rPr>
                <w:t>9</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802183924"/>
              <w:rPr>
                <w:rFonts w:eastAsia="Times New Roman"/>
              </w:rPr>
            </w:pPr>
            <w:hyperlink w:anchor="i1a7638ab6a234f3f9d9b0c12d614c521_100"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896817444"/>
              <w:rPr>
                <w:rFonts w:eastAsia="Times New Roman"/>
              </w:rPr>
            </w:pPr>
            <w:hyperlink w:anchor="i1a7638ab6a234f3f9d9b0c12d614c521_100"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00" w:history="1">
              <w:r>
                <w:rPr>
                  <w:rStyle w:val="a3"/>
                  <w:rFonts w:eastAsia="Times New Roman"/>
                  <w:sz w:val="20"/>
                  <w:szCs w:val="20"/>
                </w:rPr>
                <w:t>25</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578859160"/>
              <w:rPr>
                <w:rFonts w:eastAsia="Times New Roman"/>
              </w:rPr>
            </w:pPr>
            <w:hyperlink w:anchor="i1a7638ab6a234f3f9d9b0c12d614c521_124"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856312703"/>
              <w:rPr>
                <w:rFonts w:eastAsia="Times New Roman"/>
              </w:rPr>
            </w:pPr>
            <w:hyperlink w:anchor="i1a7638ab6a234f3f9d9b0c12d614c521_124"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24" w:history="1">
              <w:r>
                <w:rPr>
                  <w:rStyle w:val="a3"/>
                  <w:rFonts w:eastAsia="Times New Roman"/>
                  <w:sz w:val="20"/>
                  <w:szCs w:val="20"/>
                </w:rPr>
                <w:t>37</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596094329"/>
              <w:rPr>
                <w:rFonts w:eastAsia="Times New Roman"/>
              </w:rPr>
            </w:pPr>
            <w:hyperlink w:anchor="i1a7638ab6a234f3f9d9b0c12d614c521_127"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2038195460"/>
              <w:rPr>
                <w:rFonts w:eastAsia="Times New Roman"/>
              </w:rPr>
            </w:pPr>
            <w:hyperlink w:anchor="i1a7638ab6a234f3f9d9b0c12d614c521_127"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27" w:history="1">
              <w:r>
                <w:rPr>
                  <w:rStyle w:val="a3"/>
                  <w:rFonts w:eastAsia="Times New Roman"/>
                  <w:sz w:val="20"/>
                  <w:szCs w:val="20"/>
                </w:rPr>
                <w:t>38</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2144304018"/>
              <w:rPr>
                <w:rFonts w:eastAsia="Times New Roman"/>
              </w:rPr>
            </w:pPr>
            <w:hyperlink w:anchor="i1a7638ab6a234f3f9d9b0c12d614c521_133"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868681087"/>
              <w:rPr>
                <w:rFonts w:eastAsia="Times New Roman"/>
              </w:rPr>
            </w:pPr>
            <w:hyperlink w:anchor="i1a7638ab6a234f3f9d9b0c12d614c521_133"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33" w:history="1">
              <w:r>
                <w:rPr>
                  <w:rStyle w:val="a3"/>
                  <w:rFonts w:eastAsia="Times New Roman"/>
                  <w:sz w:val="20"/>
                  <w:szCs w:val="20"/>
                </w:rPr>
                <w:t>38</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774128869"/>
              <w:rPr>
                <w:rFonts w:eastAsia="Times New Roman"/>
              </w:rPr>
            </w:pPr>
            <w:hyperlink w:anchor="i1a7638ab6a234f3f9d9b0c12d614c521_136"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984389446"/>
              <w:rPr>
                <w:rFonts w:eastAsia="Times New Roman"/>
              </w:rPr>
            </w:pPr>
            <w:hyperlink w:anchor="i1a7638ab6a234f3f9d9b0c12d614c521_136"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36" w:history="1">
              <w:r>
                <w:rPr>
                  <w:rStyle w:val="a3"/>
                  <w:rFonts w:eastAsia="Times New Roman"/>
                  <w:sz w:val="20"/>
                  <w:szCs w:val="20"/>
                </w:rPr>
                <w:t>38</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841308035"/>
              <w:rPr>
                <w:rFonts w:eastAsia="Times New Roman"/>
              </w:rPr>
            </w:pPr>
            <w:hyperlink w:anchor="i1a7638ab6a234f3f9d9b0c12d614c521_139"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106853382"/>
              <w:rPr>
                <w:rFonts w:eastAsia="Times New Roman"/>
              </w:rPr>
            </w:pPr>
            <w:hyperlink w:anchor="i1a7638ab6a234f3f9d9b0c12d614c521_139"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39" w:history="1">
              <w:r>
                <w:rPr>
                  <w:rStyle w:val="a3"/>
                  <w:rFonts w:eastAsia="Times New Roman"/>
                  <w:sz w:val="20"/>
                  <w:szCs w:val="20"/>
                </w:rPr>
                <w:t>39</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222446776"/>
              <w:rPr>
                <w:rFonts w:eastAsia="Times New Roman"/>
              </w:rPr>
            </w:pPr>
            <w:hyperlink w:anchor="i1a7638ab6a234f3f9d9b0c12d614c521_142"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694501124"/>
              <w:rPr>
                <w:rFonts w:eastAsia="Times New Roman"/>
              </w:rPr>
            </w:pPr>
            <w:hyperlink w:anchor="i1a7638ab6a234f3f9d9b0c12d614c521_142"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42" w:history="1">
              <w:r>
                <w:rPr>
                  <w:rStyle w:val="a3"/>
                  <w:rFonts w:eastAsia="Times New Roman"/>
                  <w:sz w:val="20"/>
                  <w:szCs w:val="20"/>
                </w:rPr>
                <w:t>39</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847819138"/>
              <w:rPr>
                <w:rFonts w:eastAsia="Times New Roman"/>
              </w:rPr>
            </w:pPr>
            <w:hyperlink w:anchor="i1a7638ab6a234f3f9d9b0c12d614c521_145"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188759925"/>
              <w:rPr>
                <w:rFonts w:eastAsia="Times New Roman"/>
              </w:rPr>
            </w:pPr>
            <w:hyperlink w:anchor="i1a7638ab6a234f3f9d9b0c12d614c521_145"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45" w:history="1">
              <w:r>
                <w:rPr>
                  <w:rStyle w:val="a3"/>
                  <w:rFonts w:eastAsia="Times New Roman"/>
                  <w:sz w:val="20"/>
                  <w:szCs w:val="20"/>
                </w:rPr>
                <w:t>39</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563176061"/>
              <w:rPr>
                <w:rFonts w:eastAsia="Times New Roman"/>
              </w:rPr>
            </w:pPr>
            <w:hyperlink w:anchor="i1a7638ab6a234f3f9d9b0c12d614c521_148"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131360972"/>
              <w:rPr>
                <w:rFonts w:eastAsia="Times New Roman"/>
              </w:rPr>
            </w:pPr>
            <w:hyperlink w:anchor="i1a7638ab6a234f3f9d9b0c12d614c521_148"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48" w:history="1">
              <w:r>
                <w:rPr>
                  <w:rStyle w:val="a3"/>
                  <w:rFonts w:eastAsia="Times New Roman"/>
                  <w:sz w:val="20"/>
                  <w:szCs w:val="20"/>
                </w:rPr>
                <w:t>39</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3"/>
            <w:tcMar>
              <w:top w:w="30" w:type="dxa"/>
              <w:left w:w="20" w:type="dxa"/>
              <w:bottom w:w="30" w:type="dxa"/>
              <w:right w:w="20" w:type="dxa"/>
            </w:tcMar>
            <w:hideMark/>
          </w:tcPr>
          <w:p w:rsidR="00000000" w:rsidRDefault="00BA6B82">
            <w:pPr>
              <w:spacing w:after="100"/>
              <w:divId w:val="1155413407"/>
              <w:rPr>
                <w:rFonts w:eastAsia="Times New Roman"/>
              </w:rPr>
            </w:pPr>
            <w:hyperlink w:anchor="i1a7638ab6a234f3f9d9b0c12d614c521_151"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832842519"/>
              <w:rPr>
                <w:rFonts w:eastAsia="Times New Roman"/>
              </w:rPr>
            </w:pPr>
            <w:hyperlink w:anchor="i1a7638ab6a234f3f9d9b0c12d614c521_151"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51" w:history="1">
              <w:r>
                <w:rPr>
                  <w:rStyle w:val="a3"/>
                  <w:rFonts w:eastAsia="Times New Roman"/>
                  <w:sz w:val="20"/>
                  <w:szCs w:val="20"/>
                </w:rPr>
                <w:t>40</w:t>
              </w:r>
            </w:hyperlink>
          </w:p>
        </w:tc>
      </w:tr>
      <w:tr w:rsidR="00000000">
        <w:trPr>
          <w:divId w:val="978073788"/>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78073788"/>
          <w:jc w:val="center"/>
        </w:trPr>
        <w:tc>
          <w:tcPr>
            <w:tcW w:w="0" w:type="auto"/>
            <w:gridSpan w:val="9"/>
            <w:tcMar>
              <w:top w:w="30" w:type="dxa"/>
              <w:left w:w="20" w:type="dxa"/>
              <w:bottom w:w="30" w:type="dxa"/>
              <w:right w:w="20" w:type="dxa"/>
            </w:tcMar>
            <w:hideMark/>
          </w:tcPr>
          <w:p w:rsidR="00000000" w:rsidRDefault="00BA6B82">
            <w:pPr>
              <w:spacing w:after="100"/>
              <w:divId w:val="479076650"/>
              <w:rPr>
                <w:rFonts w:eastAsia="Times New Roman"/>
              </w:rPr>
            </w:pPr>
            <w:hyperlink w:anchor="i1a7638ab6a234f3f9d9b0c12d614c521_154"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right"/>
              <w:rPr>
                <w:rFonts w:eastAsia="Times New Roman"/>
              </w:rPr>
            </w:pPr>
            <w:hyperlink w:anchor="i1a7638ab6a234f3f9d9b0c12d614c521_154" w:history="1">
              <w:r>
                <w:rPr>
                  <w:rStyle w:val="a3"/>
                  <w:rFonts w:eastAsia="Times New Roman"/>
                  <w:sz w:val="20"/>
                  <w:szCs w:val="20"/>
                </w:rPr>
                <w:t>42</w:t>
              </w:r>
            </w:hyperlink>
          </w:p>
        </w:tc>
      </w:tr>
    </w:tbl>
    <w:p w:rsidR="00000000" w:rsidRDefault="00BA6B82">
      <w:pPr>
        <w:jc w:val="center"/>
        <w:rPr>
          <w:rFonts w:eastAsia="Times New Roman"/>
        </w:rPr>
      </w:pPr>
    </w:p>
    <w:p w:rsidR="00000000" w:rsidRDefault="00BA6B82">
      <w:pPr>
        <w:jc w:val="center"/>
        <w:divId w:val="382677467"/>
        <w:rPr>
          <w:rFonts w:eastAsia="Times New Roman"/>
        </w:rPr>
      </w:pPr>
      <w:r>
        <w:rPr>
          <w:rFonts w:eastAsia="Times New Roman"/>
          <w:color w:val="000000"/>
          <w:sz w:val="20"/>
          <w:szCs w:val="20"/>
        </w:rPr>
        <w:t>2</w:t>
      </w:r>
    </w:p>
    <w:p w:rsidR="00000000" w:rsidRDefault="00BA6B82">
      <w:pPr>
        <w:rPr>
          <w:rFonts w:eastAsia="Times New Roman"/>
        </w:rPr>
      </w:pPr>
      <w:r>
        <w:rPr>
          <w:rFonts w:eastAsia="Times New Roman"/>
        </w:rPr>
        <w:pict>
          <v:rect id="_x0000_i1026" style="width:0;height:1.5pt" o:hralign="center" o:hrstd="t" o:hr="t" fillcolor="#a0a0a0" stroked="f"/>
        </w:pict>
      </w:r>
    </w:p>
    <w:p w:rsidR="00000000" w:rsidRDefault="00BA6B82">
      <w:pPr>
        <w:divId w:val="1317732419"/>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438379269"/>
        <w:rPr>
          <w:rFonts w:eastAsia="Times New Roman"/>
        </w:rPr>
      </w:pPr>
    </w:p>
    <w:p w:rsidR="00000000" w:rsidRDefault="00BA6B82">
      <w:pPr>
        <w:jc w:val="center"/>
        <w:divId w:val="2085641047"/>
        <w:rPr>
          <w:rFonts w:eastAsia="Times New Roman"/>
        </w:rPr>
      </w:pPr>
      <w:r>
        <w:rPr>
          <w:rFonts w:eastAsia="Times New Roman"/>
          <w:b/>
          <w:bCs/>
          <w:color w:val="000000"/>
          <w:sz w:val="20"/>
          <w:szCs w:val="20"/>
        </w:rPr>
        <w:t>THE MACERICH COMPANY</w:t>
      </w:r>
    </w:p>
    <w:p w:rsidR="00000000" w:rsidRDefault="00BA6B82">
      <w:pPr>
        <w:jc w:val="center"/>
        <w:divId w:val="734932914"/>
        <w:rPr>
          <w:rFonts w:eastAsia="Times New Roman"/>
        </w:rPr>
      </w:pPr>
      <w:r>
        <w:rPr>
          <w:rFonts w:eastAsia="Times New Roman"/>
          <w:b/>
          <w:bCs/>
          <w:color w:val="000000"/>
          <w:sz w:val="20"/>
          <w:szCs w:val="20"/>
        </w:rPr>
        <w:t>CONSOLIDATED BALANCE SHEETS</w:t>
      </w:r>
    </w:p>
    <w:p w:rsidR="00000000" w:rsidRDefault="00BA6B82">
      <w:pPr>
        <w:jc w:val="center"/>
        <w:divId w:val="1578053754"/>
        <w:rPr>
          <w:rFonts w:eastAsia="Times New Roman"/>
        </w:rPr>
      </w:pPr>
      <w:r>
        <w:rPr>
          <w:rFonts w:eastAsia="Times New Roman"/>
          <w:b/>
          <w:bCs/>
          <w:color w:val="000000"/>
          <w:sz w:val="20"/>
          <w:szCs w:val="20"/>
        </w:rPr>
        <w:t>(Dollars in thousands, except par value)</w:t>
      </w:r>
    </w:p>
    <w:p w:rsidR="00000000" w:rsidRDefault="00BA6B82">
      <w:pPr>
        <w:jc w:val="center"/>
        <w:divId w:val="753629370"/>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trPr>
          <w:divId w:val="753629370"/>
          <w:jc w:val="center"/>
        </w:trPr>
        <w:tc>
          <w:tcPr>
            <w:tcW w:w="50" w:type="pct"/>
            <w:vAlign w:val="center"/>
            <w:hideMark/>
          </w:tcPr>
          <w:p w:rsidR="00000000" w:rsidRDefault="00BA6B82">
            <w:pPr>
              <w:jc w:val="center"/>
              <w:rPr>
                <w:rFonts w:eastAsia="Times New Roman"/>
              </w:rPr>
            </w:pPr>
          </w:p>
        </w:tc>
        <w:tc>
          <w:tcPr>
            <w:tcW w:w="363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753629370"/>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6,223,984 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6,284,206 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128,244 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55,933 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159,653 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211,361 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131,547 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110,638 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242,890 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254,908 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4,177 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1,263,252 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1,317,571 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60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8,209,680 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4,414,557 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4,423,554 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63,388 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104,811 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58,011 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59,228 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101,236 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80,711 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216,935 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254,279 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130,518 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127,608 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121,531 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118,988 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60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5,106,176 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5,169,506 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Equity:</w:t>
            </w: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75362937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75362937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divId w:val="1400178272"/>
              <w:rPr>
                <w:rFonts w:eastAsia="Times New Roman"/>
              </w:rPr>
            </w:pPr>
            <w:r>
              <w:rPr>
                <w:rFonts w:eastAsia="Times New Roman"/>
                <w:color w:val="000000"/>
                <w:sz w:val="20"/>
                <w:szCs w:val="20"/>
              </w:rPr>
              <w:t xml:space="preserve">Common stock, $0.01 par value, 500,000,000 shares authorized at March 31, 2022 and December 31, 2021, and 214,901,377 and 214,797,057 </w:t>
            </w:r>
            <w:r>
              <w:rPr>
                <w:rFonts w:eastAsia="Times New Roman"/>
                <w:color w:val="000000"/>
                <w:sz w:val="20"/>
                <w:szCs w:val="20"/>
              </w:rPr>
              <w:t>shares issued and outstanding at March 31,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2,148 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5,493,662 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5,488,440 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(2,513,179)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(2,443,696)</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60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2,982,638 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3,046,867 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120,866 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129,282 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FFFFFF"/>
            <w:tcMar>
              <w:top w:w="30" w:type="dxa"/>
              <w:left w:w="60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3,103,504 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3,176,149 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3629370"/>
          <w:jc w:val="center"/>
        </w:trPr>
        <w:tc>
          <w:tcPr>
            <w:tcW w:w="0" w:type="auto"/>
            <w:gridSpan w:val="3"/>
            <w:shd w:val="clear" w:color="auto" w:fill="CCEEFF"/>
            <w:tcMar>
              <w:top w:w="30" w:type="dxa"/>
              <w:left w:w="60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8,209,680 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360"/>
        <w:jc w:val="center"/>
        <w:divId w:val="769741175"/>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BA6B82">
      <w:pPr>
        <w:jc w:val="center"/>
        <w:divId w:val="1676179085"/>
        <w:rPr>
          <w:rFonts w:eastAsia="Times New Roman"/>
        </w:rPr>
      </w:pPr>
      <w:r>
        <w:rPr>
          <w:rFonts w:eastAsia="Times New Roman"/>
          <w:color w:val="000000"/>
          <w:sz w:val="20"/>
          <w:szCs w:val="20"/>
        </w:rPr>
        <w:t>3</w:t>
      </w:r>
    </w:p>
    <w:p w:rsidR="00000000" w:rsidRDefault="00BA6B82">
      <w:pPr>
        <w:rPr>
          <w:rFonts w:eastAsia="Times New Roman"/>
        </w:rPr>
      </w:pPr>
      <w:r>
        <w:rPr>
          <w:rFonts w:eastAsia="Times New Roman"/>
        </w:rPr>
        <w:pict>
          <v:rect id="_x0000_i1027" style="width:0;height:1.5pt" o:hralign="center" o:hrstd="t" o:hr="t" fillcolor="#a0a0a0" stroked="f"/>
        </w:pict>
      </w:r>
    </w:p>
    <w:p w:rsidR="00000000" w:rsidRDefault="00BA6B82">
      <w:pPr>
        <w:divId w:val="381364644"/>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1607734660"/>
        <w:rPr>
          <w:rFonts w:eastAsia="Times New Roman"/>
        </w:rPr>
      </w:pPr>
      <w:r>
        <w:rPr>
          <w:rFonts w:eastAsia="Times New Roman"/>
          <w:b/>
          <w:bCs/>
          <w:color w:val="000000"/>
          <w:sz w:val="20"/>
          <w:szCs w:val="20"/>
        </w:rPr>
        <w:t>THE MACERICH COMPANY</w:t>
      </w:r>
    </w:p>
    <w:p w:rsidR="00000000" w:rsidRDefault="00BA6B82">
      <w:pPr>
        <w:jc w:val="center"/>
        <w:divId w:val="2146584479"/>
        <w:rPr>
          <w:rFonts w:eastAsia="Times New Roman"/>
        </w:rPr>
      </w:pPr>
      <w:r>
        <w:rPr>
          <w:rFonts w:eastAsia="Times New Roman"/>
          <w:b/>
          <w:bCs/>
          <w:color w:val="000000"/>
          <w:sz w:val="20"/>
          <w:szCs w:val="20"/>
        </w:rPr>
        <w:t>CONSOLIDATED STATEMENTS OF OPERATIONS</w:t>
      </w:r>
    </w:p>
    <w:p w:rsidR="00000000" w:rsidRDefault="00BA6B82">
      <w:pPr>
        <w:jc w:val="center"/>
        <w:divId w:val="753093457"/>
        <w:rPr>
          <w:rFonts w:eastAsia="Times New Roman"/>
        </w:rPr>
      </w:pPr>
      <w:r>
        <w:rPr>
          <w:rFonts w:eastAsia="Times New Roman"/>
          <w:b/>
          <w:bCs/>
          <w:color w:val="000000"/>
          <w:sz w:val="20"/>
          <w:szCs w:val="20"/>
        </w:rPr>
        <w:t>(Dollars in thousands, except per share amounts)</w:t>
      </w:r>
    </w:p>
    <w:tbl>
      <w:tblPr>
        <w:tblW w:w="3508" w:type="pct"/>
        <w:jc w:val="center"/>
        <w:tblCellMar>
          <w:top w:w="15" w:type="dxa"/>
          <w:left w:w="15" w:type="dxa"/>
          <w:bottom w:w="15" w:type="dxa"/>
          <w:right w:w="15" w:type="dxa"/>
        </w:tblCellMar>
        <w:tblLook w:val="04A0" w:firstRow="1" w:lastRow="0" w:firstColumn="1" w:lastColumn="0" w:noHBand="0" w:noVBand="1"/>
      </w:tblPr>
      <w:tblGrid>
        <w:gridCol w:w="39"/>
        <w:gridCol w:w="3643"/>
        <w:gridCol w:w="38"/>
        <w:gridCol w:w="36"/>
        <w:gridCol w:w="36"/>
        <w:gridCol w:w="36"/>
        <w:gridCol w:w="36"/>
        <w:gridCol w:w="101"/>
        <w:gridCol w:w="791"/>
        <w:gridCol w:w="36"/>
        <w:gridCol w:w="36"/>
        <w:gridCol w:w="36"/>
        <w:gridCol w:w="36"/>
        <w:gridCol w:w="101"/>
        <w:gridCol w:w="790"/>
        <w:gridCol w:w="36"/>
      </w:tblGrid>
      <w:tr w:rsidR="00000000">
        <w:trPr>
          <w:divId w:val="1112166718"/>
          <w:jc w:val="center"/>
        </w:trPr>
        <w:tc>
          <w:tcPr>
            <w:tcW w:w="50" w:type="pct"/>
            <w:vAlign w:val="center"/>
            <w:hideMark/>
          </w:tcPr>
          <w:p w:rsidR="00000000" w:rsidRDefault="00BA6B82">
            <w:pPr>
              <w:jc w:val="center"/>
              <w:rPr>
                <w:rFonts w:eastAsia="Times New Roman"/>
              </w:rPr>
            </w:pPr>
          </w:p>
        </w:tc>
        <w:tc>
          <w:tcPr>
            <w:tcW w:w="364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1112166718"/>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Revenues: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Leasing revenue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203,412 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179,535 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lastRenderedPageBreak/>
              <w:t>Other</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6,327 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5,321 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Management Companies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6,405 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5,568 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Total revenues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216,144 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190,424 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Shopping center and operating 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72,920 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76,155 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Leasing 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7,611 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5,166 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Management Companies' operating 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16,945 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14,843 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REIT general and administrative 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6,862 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8,087 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Depreciation and amortization</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72,856 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78,396 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177,194 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182,647 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Interest expense: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112166718"/>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Related parties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8,002 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1,319 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Other</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43,859 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52,577 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51,861 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53,896 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shd w:val="clear" w:color="auto" w:fill="CCEE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Total expenses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229,055 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236,543 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Equity in (loss) income of unconsolidated joint ventures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(29,097)</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1,910 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Income tax expense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(1,799)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(2,238)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Gain (loss) on sale or write down of assets, net</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6,453 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(21,283)</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12166718"/>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Net loss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(67,730)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Less: net loss attributable to noncontrolling interests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(172)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(4,126)</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Net loss attributable to the Company</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(63,604)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Loss per common share—</w:t>
            </w:r>
            <w:r>
              <w:rPr>
                <w:rFonts w:eastAsia="Times New Roman"/>
                <w:b/>
                <w:bCs/>
                <w:color w:val="000000"/>
                <w:sz w:val="16"/>
                <w:szCs w:val="16"/>
              </w:rPr>
              <w:t>attributable to common stockholders: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Basic</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(0.17)</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(0.40)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Diluted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(0.17)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(0.40)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Weighted average number of common shares outstanding:</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112166718"/>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Basic</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214,819,000 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158,580,000 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12166718"/>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Diluted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214,819,000 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158,580,000 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360"/>
        <w:jc w:val="center"/>
        <w:divId w:val="1287470896"/>
        <w:rPr>
          <w:rFonts w:eastAsia="Times New Roman"/>
        </w:rPr>
      </w:pPr>
      <w:r>
        <w:rPr>
          <w:rFonts w:eastAsia="Times New Roman"/>
          <w:color w:val="000000"/>
          <w:sz w:val="20"/>
          <w:szCs w:val="20"/>
        </w:rPr>
        <w:t>   The accompanying notes are an integral part of these consolidated financial statements.</w:t>
      </w:r>
    </w:p>
    <w:p w:rsidR="00000000" w:rsidRDefault="00BA6B82">
      <w:pPr>
        <w:jc w:val="center"/>
        <w:divId w:val="776681016"/>
        <w:rPr>
          <w:rFonts w:eastAsia="Times New Roman"/>
        </w:rPr>
      </w:pPr>
      <w:r>
        <w:rPr>
          <w:rFonts w:eastAsia="Times New Roman"/>
          <w:color w:val="000000"/>
          <w:sz w:val="20"/>
          <w:szCs w:val="20"/>
        </w:rPr>
        <w:t>4</w:t>
      </w:r>
    </w:p>
    <w:p w:rsidR="00000000" w:rsidRDefault="00BA6B82">
      <w:pPr>
        <w:rPr>
          <w:rFonts w:eastAsia="Times New Roman"/>
        </w:rPr>
      </w:pPr>
      <w:r>
        <w:rPr>
          <w:rFonts w:eastAsia="Times New Roman"/>
        </w:rPr>
        <w:pict>
          <v:rect id="_x0000_i1028" style="width:0;height:1.5pt" o:hralign="center" o:hrstd="t" o:hr="t" fillcolor="#a0a0a0" stroked="f"/>
        </w:pict>
      </w:r>
    </w:p>
    <w:p w:rsidR="00000000" w:rsidRDefault="00BA6B82">
      <w:pPr>
        <w:divId w:val="165302709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166749097"/>
        <w:rPr>
          <w:rFonts w:eastAsia="Times New Roman"/>
        </w:rPr>
      </w:pPr>
      <w:r>
        <w:rPr>
          <w:rFonts w:eastAsia="Times New Roman"/>
          <w:b/>
          <w:bCs/>
          <w:color w:val="000000"/>
          <w:sz w:val="20"/>
          <w:szCs w:val="20"/>
        </w:rPr>
        <w:t>THE MACERICH COMPANY</w:t>
      </w:r>
    </w:p>
    <w:p w:rsidR="00000000" w:rsidRDefault="00BA6B82">
      <w:pPr>
        <w:jc w:val="center"/>
        <w:divId w:val="1568805205"/>
        <w:rPr>
          <w:rFonts w:eastAsia="Times New Roman"/>
        </w:rPr>
      </w:pPr>
      <w:r>
        <w:rPr>
          <w:rFonts w:eastAsia="Times New Roman"/>
          <w:b/>
          <w:bCs/>
          <w:color w:val="000000"/>
          <w:sz w:val="20"/>
          <w:szCs w:val="20"/>
        </w:rPr>
        <w:t>CONSOLIDATED STATEMENTS OF COMPREHENSIVE LOSS</w:t>
      </w:r>
    </w:p>
    <w:p w:rsidR="00000000" w:rsidRDefault="00BA6B82">
      <w:pPr>
        <w:jc w:val="center"/>
        <w:divId w:val="1720737027"/>
        <w:rPr>
          <w:rFonts w:eastAsia="Times New Roman"/>
        </w:rPr>
      </w:pPr>
      <w:r>
        <w:rPr>
          <w:rFonts w:eastAsia="Times New Roman"/>
          <w:b/>
          <w:bCs/>
          <w:color w:val="000000"/>
          <w:sz w:val="20"/>
          <w:szCs w:val="20"/>
        </w:rPr>
        <w:t>(Dollars in thousands, except per share amounts)</w:t>
      </w:r>
    </w:p>
    <w:tbl>
      <w:tblPr>
        <w:tblW w:w="3516" w:type="pct"/>
        <w:jc w:val="center"/>
        <w:tblCellMar>
          <w:top w:w="15" w:type="dxa"/>
          <w:left w:w="15" w:type="dxa"/>
          <w:bottom w:w="15" w:type="dxa"/>
          <w:right w:w="15" w:type="dxa"/>
        </w:tblCellMar>
        <w:tblLook w:val="04A0" w:firstRow="1" w:lastRow="0" w:firstColumn="1" w:lastColumn="0" w:noHBand="0" w:noVBand="1"/>
      </w:tblPr>
      <w:tblGrid>
        <w:gridCol w:w="38"/>
        <w:gridCol w:w="4067"/>
        <w:gridCol w:w="36"/>
        <w:gridCol w:w="36"/>
        <w:gridCol w:w="36"/>
        <w:gridCol w:w="36"/>
        <w:gridCol w:w="36"/>
        <w:gridCol w:w="100"/>
        <w:gridCol w:w="612"/>
        <w:gridCol w:w="36"/>
        <w:gridCol w:w="36"/>
        <w:gridCol w:w="36"/>
        <w:gridCol w:w="36"/>
        <w:gridCol w:w="100"/>
        <w:gridCol w:w="564"/>
        <w:gridCol w:w="36"/>
      </w:tblGrid>
      <w:tr w:rsidR="00000000">
        <w:trPr>
          <w:divId w:val="296032571"/>
          <w:jc w:val="center"/>
        </w:trPr>
        <w:tc>
          <w:tcPr>
            <w:tcW w:w="50" w:type="pct"/>
            <w:vAlign w:val="center"/>
            <w:hideMark/>
          </w:tcPr>
          <w:p w:rsidR="00000000" w:rsidRDefault="00BA6B82">
            <w:pPr>
              <w:jc w:val="center"/>
              <w:rPr>
                <w:rFonts w:eastAsia="Times New Roman"/>
              </w:rPr>
            </w:pPr>
          </w:p>
        </w:tc>
        <w:tc>
          <w:tcPr>
            <w:tcW w:w="363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6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96032571"/>
          <w:jc w:val="center"/>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296032571"/>
          <w:jc w:val="center"/>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lastRenderedPageBreak/>
              <w:t> </w:t>
            </w:r>
          </w:p>
        </w:tc>
        <w:tc>
          <w:tcPr>
            <w:tcW w:w="0" w:type="auto"/>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296032571"/>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Net loss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(67,730)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96032571"/>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Other comprehensive income: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296032571"/>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Interest rate cap/swap agreements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2,694 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96032571"/>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Comprehensive loss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(65,036)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96032571"/>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Less: net loss attributable to noncontrolling interests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(172)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(4,126)</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96032571"/>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Comprehensive loss attributable to the Company</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(37,151)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(60,910)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360"/>
        <w:jc w:val="center"/>
        <w:divId w:val="137458484"/>
        <w:rPr>
          <w:rFonts w:eastAsia="Times New Roman"/>
        </w:rPr>
      </w:pPr>
      <w:r>
        <w:rPr>
          <w:rFonts w:eastAsia="Times New Roman"/>
          <w:color w:val="000000"/>
          <w:sz w:val="20"/>
          <w:szCs w:val="20"/>
        </w:rPr>
        <w:t>   The accompanying notes are an integral part of these consolidated financial statements.</w:t>
      </w:r>
    </w:p>
    <w:p w:rsidR="00000000" w:rsidRDefault="00BA6B82">
      <w:pPr>
        <w:divId w:val="1228302102"/>
        <w:rPr>
          <w:rFonts w:eastAsia="Times New Roman"/>
        </w:rPr>
      </w:pPr>
    </w:p>
    <w:p w:rsidR="00000000" w:rsidRDefault="00BA6B82">
      <w:pPr>
        <w:divId w:val="1264656117"/>
        <w:rPr>
          <w:rFonts w:eastAsia="Times New Roman"/>
        </w:rPr>
      </w:pPr>
    </w:p>
    <w:p w:rsidR="00000000" w:rsidRDefault="00BA6B82">
      <w:pPr>
        <w:divId w:val="683868466"/>
        <w:rPr>
          <w:rFonts w:eastAsia="Times New Roman"/>
        </w:rPr>
      </w:pPr>
    </w:p>
    <w:p w:rsidR="00000000" w:rsidRDefault="00BA6B82">
      <w:pPr>
        <w:divId w:val="1391997780"/>
        <w:rPr>
          <w:rFonts w:eastAsia="Times New Roman"/>
        </w:rPr>
      </w:pPr>
    </w:p>
    <w:p w:rsidR="00000000" w:rsidRDefault="00BA6B82">
      <w:pPr>
        <w:jc w:val="center"/>
        <w:divId w:val="1119955359"/>
        <w:rPr>
          <w:rFonts w:eastAsia="Times New Roman"/>
        </w:rPr>
      </w:pPr>
      <w:r>
        <w:rPr>
          <w:rFonts w:eastAsia="Times New Roman"/>
          <w:color w:val="000000"/>
          <w:sz w:val="20"/>
          <w:szCs w:val="20"/>
        </w:rPr>
        <w:t>5</w:t>
      </w:r>
    </w:p>
    <w:p w:rsidR="00000000" w:rsidRDefault="00BA6B82">
      <w:pPr>
        <w:rPr>
          <w:rFonts w:eastAsia="Times New Roman"/>
        </w:rPr>
      </w:pPr>
      <w:r>
        <w:rPr>
          <w:rFonts w:eastAsia="Times New Roman"/>
        </w:rPr>
        <w:pict>
          <v:rect id="_x0000_i1029" style="width:0;height:1.5pt" o:hralign="center" o:hrstd="t" o:hr="t" fillcolor="#a0a0a0" stroked="f"/>
        </w:pict>
      </w:r>
    </w:p>
    <w:p w:rsidR="00000000" w:rsidRDefault="00BA6B82">
      <w:pPr>
        <w:divId w:val="355035371"/>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rPr>
          <w:rFonts w:eastAsia="Times New Roman"/>
        </w:rPr>
      </w:pPr>
      <w:r>
        <w:rPr>
          <w:rFonts w:eastAsia="Times New Roman"/>
          <w:b/>
          <w:bCs/>
          <w:color w:val="000000"/>
          <w:sz w:val="20"/>
          <w:szCs w:val="20"/>
        </w:rPr>
        <w:t>THE MACERICH COMPANY</w:t>
      </w:r>
    </w:p>
    <w:p w:rsidR="00000000" w:rsidRDefault="00BA6B82">
      <w:pPr>
        <w:jc w:val="center"/>
        <w:divId w:val="1320620421"/>
        <w:rPr>
          <w:rFonts w:eastAsia="Times New Roman"/>
        </w:rPr>
      </w:pPr>
      <w:r>
        <w:rPr>
          <w:rFonts w:eastAsia="Times New Roman"/>
          <w:b/>
          <w:bCs/>
          <w:color w:val="000000"/>
          <w:sz w:val="20"/>
          <w:szCs w:val="20"/>
        </w:rPr>
        <w:t>CONSOLIDATED STATEMENTS OF EQUITY</w:t>
      </w:r>
    </w:p>
    <w:p w:rsidR="00000000" w:rsidRDefault="00BA6B82">
      <w:pPr>
        <w:jc w:val="center"/>
        <w:divId w:val="961348509"/>
        <w:rPr>
          <w:rFonts w:eastAsia="Times New Roman"/>
        </w:rPr>
      </w:pPr>
      <w:r>
        <w:rPr>
          <w:rFonts w:eastAsia="Times New Roman"/>
          <w:b/>
          <w:bCs/>
          <w:color w:val="000000"/>
          <w:sz w:val="20"/>
          <w:szCs w:val="20"/>
        </w:rPr>
        <w:t>(Dollars in thousands, except per share data)</w:t>
      </w:r>
    </w:p>
    <w:p w:rsidR="00000000" w:rsidRDefault="00BA6B82">
      <w:pPr>
        <w:jc w:val="center"/>
        <w:divId w:val="648360489"/>
        <w:rPr>
          <w:rFonts w:eastAsia="Times New Roman"/>
        </w:rPr>
      </w:pPr>
      <w:r>
        <w:rPr>
          <w:rFonts w:eastAsia="Times New Roman"/>
          <w:b/>
          <w:bCs/>
          <w:color w:val="000000"/>
          <w:sz w:val="20"/>
          <w:szCs w:val="20"/>
        </w:rPr>
        <w:t>(Unaudited)</w:t>
      </w:r>
    </w:p>
    <w:p w:rsidR="00000000" w:rsidRDefault="00BA6B82">
      <w:pPr>
        <w:jc w:val="center"/>
        <w:divId w:val="308366316"/>
        <w:rPr>
          <w:rFonts w:eastAsia="Times New Roman"/>
        </w:rPr>
      </w:pPr>
      <w:r>
        <w:rPr>
          <w:rFonts w:eastAsia="Times New Roman"/>
          <w:b/>
          <w:bCs/>
          <w:color w:val="000000"/>
          <w:sz w:val="20"/>
          <w:szCs w:val="20"/>
        </w:rPr>
        <w:t>Three Months Ended March 31, 2022 and 2021</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308366316"/>
          <w:jc w:val="center"/>
        </w:trPr>
        <w:tc>
          <w:tcPr>
            <w:tcW w:w="50" w:type="pct"/>
            <w:vAlign w:val="center"/>
            <w:hideMark/>
          </w:tcPr>
          <w:p w:rsidR="00000000" w:rsidRDefault="00BA6B82">
            <w:pPr>
              <w:jc w:val="center"/>
              <w:rPr>
                <w:rFonts w:eastAsia="Times New Roman"/>
              </w:rPr>
            </w:pPr>
          </w:p>
        </w:tc>
        <w:tc>
          <w:tcPr>
            <w:tcW w:w="846" w:type="pct"/>
            <w:gridSpan w:val="2"/>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9" w:type="pct"/>
            <w:gridSpan w:val="3"/>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gridSpan w:val="2"/>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384" w:type="pct"/>
            <w:gridSpan w:val="6"/>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gridSpan w:val="2"/>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51" w:type="pct"/>
            <w:gridSpan w:val="4"/>
            <w:vAlign w:val="center"/>
            <w:hideMark/>
          </w:tcPr>
          <w:p w:rsidR="00000000" w:rsidRDefault="00BA6B82">
            <w:pPr>
              <w:spacing w:after="100"/>
              <w:rPr>
                <w:rFonts w:eastAsia="Times New Roman"/>
                <w:sz w:val="20"/>
                <w:szCs w:val="20"/>
              </w:rPr>
            </w:pPr>
          </w:p>
        </w:tc>
        <w:tc>
          <w:tcPr>
            <w:tcW w:w="5" w:type="pct"/>
            <w:gridSpan w:val="2"/>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gridSpan w:val="2"/>
            <w:vAlign w:val="center"/>
            <w:hideMark/>
          </w:tcPr>
          <w:p w:rsidR="00000000" w:rsidRDefault="00BA6B82">
            <w:pPr>
              <w:spacing w:after="100"/>
              <w:rPr>
                <w:rFonts w:eastAsia="Times New Roman"/>
                <w:sz w:val="20"/>
                <w:szCs w:val="20"/>
              </w:rPr>
            </w:pPr>
          </w:p>
        </w:tc>
        <w:tc>
          <w:tcPr>
            <w:tcW w:w="541" w:type="pct"/>
            <w:gridSpan w:val="4"/>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gridSpan w:val="2"/>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1" w:type="pct"/>
            <w:gridSpan w:val="4"/>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1" w:type="pct"/>
            <w:gridSpan w:val="7"/>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362" w:type="pct"/>
            <w:gridSpan w:val="2"/>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r>
      <w:tr w:rsidR="00000000">
        <w:trPr>
          <w:gridAfter w:val="19"/>
          <w:divId w:val="308366316"/>
          <w:trHeight w:val="240"/>
          <w:jc w:val="center"/>
        </w:trPr>
        <w:tc>
          <w:tcPr>
            <w:tcW w:w="0" w:type="auto"/>
            <w:gridSpan w:val="4"/>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Income</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r>
      <w:tr w:rsidR="00000000">
        <w:trPr>
          <w:gridAfter w:val="19"/>
          <w:divId w:val="308366316"/>
          <w:trHeight w:val="420"/>
          <w:jc w:val="center"/>
        </w:trPr>
        <w:tc>
          <w:tcPr>
            <w:tcW w:w="0" w:type="auto"/>
            <w:gridSpan w:val="4"/>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BA6B82">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A6B82">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Equity</w:t>
            </w:r>
          </w:p>
        </w:tc>
      </w:tr>
      <w:tr w:rsidR="00BA6B82">
        <w:trPr>
          <w:gridAfter w:val="19"/>
          <w:divId w:val="308366316"/>
          <w:jc w:val="center"/>
        </w:trPr>
        <w:tc>
          <w:tcPr>
            <w:tcW w:w="0" w:type="auto"/>
            <w:gridSpan w:val="4"/>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Balance at January 1, 2022</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(2,443,696)</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Net loss</w:t>
            </w:r>
          </w:p>
        </w:tc>
        <w:tc>
          <w:tcPr>
            <w:tcW w:w="0" w:type="auto"/>
            <w:gridSpan w:val="5"/>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8"/>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(37,182)</w:t>
            </w:r>
          </w:p>
        </w:tc>
        <w:tc>
          <w:tcPr>
            <w:tcW w:w="0" w:type="auto"/>
            <w:gridSpan w:val="2"/>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(37,182)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(172)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(37,354)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vAlign w:val="center"/>
            <w:hideMark/>
          </w:tcPr>
          <w:p w:rsidR="00000000" w:rsidRDefault="00BA6B82">
            <w:pPr>
              <w:spacing w:after="100"/>
              <w:jc w:val="right"/>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Interest rate cap agreement</w:t>
            </w:r>
          </w:p>
        </w:tc>
        <w:tc>
          <w:tcPr>
            <w:tcW w:w="0" w:type="auto"/>
            <w:gridSpan w:val="5"/>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104,320 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6,061 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6,062 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6,062 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vAlign w:val="center"/>
            <w:hideMark/>
          </w:tcPr>
          <w:p w:rsidR="00000000" w:rsidRDefault="00BA6B82">
            <w:pPr>
              <w:spacing w:after="100"/>
              <w:jc w:val="right"/>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vAlign w:val="center"/>
            <w:hideMark/>
          </w:tcPr>
          <w:p w:rsidR="00000000" w:rsidRDefault="00BA6B82">
            <w:pPr>
              <w:spacing w:after="100"/>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vAlign w:val="center"/>
            <w:hideMark/>
          </w:tcPr>
          <w:p w:rsidR="00000000" w:rsidRDefault="00BA6B82">
            <w:pPr>
              <w:spacing w:after="100"/>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Stock offerings, net</w:t>
            </w:r>
          </w:p>
        </w:tc>
        <w:tc>
          <w:tcPr>
            <w:tcW w:w="0" w:type="auto"/>
            <w:gridSpan w:val="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vAlign w:val="center"/>
            <w:hideMark/>
          </w:tcPr>
          <w:p w:rsidR="00000000" w:rsidRDefault="00BA6B82">
            <w:pPr>
              <w:spacing w:after="100"/>
              <w:jc w:val="right"/>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shd w:val="clear" w:color="auto" w:fill="FFFFFF"/>
            <w:tcMar>
              <w:top w:w="30" w:type="dxa"/>
              <w:left w:w="20" w:type="dxa"/>
              <w:bottom w:w="30" w:type="dxa"/>
              <w:right w:w="20" w:type="dxa"/>
            </w:tcMar>
            <w:vAlign w:val="bottom"/>
            <w:hideMark/>
          </w:tcPr>
          <w:p w:rsidR="00000000" w:rsidRDefault="00BA6B82">
            <w:pPr>
              <w:spacing w:after="100"/>
              <w:divId w:val="1844516206"/>
              <w:rPr>
                <w:rFonts w:eastAsia="Times New Roman"/>
              </w:rPr>
            </w:pPr>
            <w:r>
              <w:rPr>
                <w:rFonts w:eastAsia="Times New Roman"/>
                <w:color w:val="000000"/>
                <w:sz w:val="14"/>
                <w:szCs w:val="14"/>
              </w:rPr>
              <w:t>Distributions paid ($0.15 per share)</w:t>
            </w:r>
          </w:p>
        </w:tc>
        <w:tc>
          <w:tcPr>
            <w:tcW w:w="0" w:type="auto"/>
            <w:gridSpan w:val="5"/>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(32,301)</w:t>
            </w:r>
          </w:p>
        </w:tc>
        <w:tc>
          <w:tcPr>
            <w:tcW w:w="0" w:type="auto"/>
            <w:gridSpan w:val="2"/>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(32,301)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(32,301)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vAlign w:val="center"/>
            <w:hideMark/>
          </w:tcPr>
          <w:p w:rsidR="00000000" w:rsidRDefault="00BA6B82">
            <w:pPr>
              <w:spacing w:after="100"/>
              <w:jc w:val="right"/>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Distributions to noncontrolling interests</w:t>
            </w:r>
          </w:p>
        </w:tc>
        <w:tc>
          <w:tcPr>
            <w:tcW w:w="0" w:type="auto"/>
            <w:gridSpan w:val="5"/>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(9,013)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(9,013)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gridAfter w:val="19"/>
          <w:divId w:val="308366316"/>
          <w:jc w:val="center"/>
        </w:trPr>
        <w:tc>
          <w:tcPr>
            <w:tcW w:w="0" w:type="auto"/>
            <w:gridSpan w:val="4"/>
            <w:vAlign w:val="center"/>
            <w:hideMark/>
          </w:tcPr>
          <w:p w:rsidR="00000000" w:rsidRDefault="00BA6B82">
            <w:pPr>
              <w:spacing w:after="100"/>
              <w:jc w:val="right"/>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vAlign w:val="center"/>
            <w:hideMark/>
          </w:tcPr>
          <w:p w:rsidR="00000000" w:rsidRDefault="00BA6B82">
            <w:pPr>
              <w:spacing w:after="100"/>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vAlign w:val="center"/>
            <w:hideMark/>
          </w:tcPr>
          <w:p w:rsidR="00000000" w:rsidRDefault="00BA6B82">
            <w:pPr>
              <w:spacing w:after="100"/>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vAlign w:val="center"/>
            <w:hideMark/>
          </w:tcPr>
          <w:p w:rsidR="00000000" w:rsidRDefault="00BA6B82">
            <w:pPr>
              <w:spacing w:after="100"/>
              <w:rPr>
                <w:rFonts w:eastAsia="Times New Roman"/>
                <w:sz w:val="20"/>
                <w:szCs w:val="20"/>
              </w:rPr>
            </w:pPr>
          </w:p>
        </w:tc>
        <w:tc>
          <w:tcPr>
            <w:tcW w:w="0" w:type="auto"/>
            <w:gridSpan w:val="5"/>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7"/>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6"/>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r>
      <w:tr w:rsidR="00000000">
        <w:trPr>
          <w:gridAfter w:val="19"/>
          <w:divId w:val="308366316"/>
          <w:jc w:val="center"/>
        </w:trPr>
        <w:tc>
          <w:tcPr>
            <w:tcW w:w="0" w:type="auto"/>
            <w:gridSpan w:val="4"/>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5"/>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(769)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(769)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769 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BA6B82">
        <w:trPr>
          <w:gridAfter w:val="19"/>
          <w:divId w:val="308366316"/>
          <w:jc w:val="center"/>
        </w:trPr>
        <w:tc>
          <w:tcPr>
            <w:tcW w:w="0" w:type="auto"/>
            <w:gridSpan w:val="4"/>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Balance at March 31, 2022</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214,901,377 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5,493,662 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(2,513,179)</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2,982,638 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120,866 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3,103,504 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50" w:type="pct"/>
            <w:gridSpan w:val="2"/>
            <w:vAlign w:val="center"/>
            <w:hideMark/>
          </w:tcPr>
          <w:p w:rsidR="00000000" w:rsidRDefault="00BA6B82">
            <w:pPr>
              <w:jc w:val="center"/>
              <w:rPr>
                <w:rFonts w:eastAsia="Times New Roman"/>
              </w:rPr>
            </w:pPr>
          </w:p>
        </w:tc>
        <w:tc>
          <w:tcPr>
            <w:tcW w:w="846" w:type="pct"/>
            <w:gridSpan w:val="4"/>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gridSpan w:val="5"/>
            <w:vAlign w:val="center"/>
            <w:hideMark/>
          </w:tcPr>
          <w:p w:rsidR="00000000" w:rsidRDefault="00BA6B82">
            <w:pPr>
              <w:spacing w:after="100"/>
              <w:rPr>
                <w:rFonts w:eastAsia="Times New Roman"/>
                <w:sz w:val="20"/>
                <w:szCs w:val="20"/>
              </w:rPr>
            </w:pPr>
          </w:p>
        </w:tc>
        <w:tc>
          <w:tcPr>
            <w:tcW w:w="429" w:type="pct"/>
            <w:gridSpan w:val="9"/>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gridSpan w:val="5"/>
            <w:vAlign w:val="center"/>
            <w:hideMark/>
          </w:tcPr>
          <w:p w:rsidR="00000000" w:rsidRDefault="00BA6B82">
            <w:pPr>
              <w:spacing w:after="100"/>
              <w:rPr>
                <w:rFonts w:eastAsia="Times New Roman"/>
                <w:sz w:val="20"/>
                <w:szCs w:val="20"/>
              </w:rPr>
            </w:pPr>
          </w:p>
        </w:tc>
        <w:tc>
          <w:tcPr>
            <w:tcW w:w="265" w:type="pct"/>
            <w:gridSpan w:val="3"/>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gridSpan w:val="2"/>
            <w:vAlign w:val="center"/>
            <w:hideMark/>
          </w:tcPr>
          <w:p w:rsidR="00000000" w:rsidRDefault="00BA6B82">
            <w:pPr>
              <w:spacing w:after="100"/>
              <w:rPr>
                <w:rFonts w:eastAsia="Times New Roman"/>
                <w:sz w:val="20"/>
                <w:szCs w:val="20"/>
              </w:rPr>
            </w:pPr>
          </w:p>
        </w:tc>
        <w:tc>
          <w:tcPr>
            <w:tcW w:w="5" w:type="pct"/>
            <w:gridSpan w:val="5"/>
            <w:vAlign w:val="center"/>
            <w:hideMark/>
          </w:tcPr>
          <w:p w:rsidR="00000000" w:rsidRDefault="00BA6B82">
            <w:pPr>
              <w:spacing w:after="100"/>
              <w:rPr>
                <w:rFonts w:eastAsia="Times New Roman"/>
                <w:sz w:val="20"/>
                <w:szCs w:val="20"/>
              </w:rPr>
            </w:pPr>
          </w:p>
        </w:tc>
        <w:tc>
          <w:tcPr>
            <w:tcW w:w="50" w:type="pct"/>
            <w:gridSpan w:val="2"/>
            <w:vAlign w:val="center"/>
            <w:hideMark/>
          </w:tcPr>
          <w:p w:rsidR="00000000" w:rsidRDefault="00BA6B82">
            <w:pPr>
              <w:spacing w:after="100"/>
              <w:rPr>
                <w:rFonts w:eastAsia="Times New Roman"/>
                <w:sz w:val="20"/>
                <w:szCs w:val="20"/>
              </w:rPr>
            </w:pPr>
          </w:p>
        </w:tc>
        <w:tc>
          <w:tcPr>
            <w:tcW w:w="38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gridSpan w:val="4"/>
            <w:vAlign w:val="center"/>
            <w:hideMark/>
          </w:tcPr>
          <w:p w:rsidR="00000000" w:rsidRDefault="00BA6B82">
            <w:pPr>
              <w:spacing w:after="100"/>
              <w:rPr>
                <w:rFonts w:eastAsia="Times New Roman"/>
                <w:sz w:val="20"/>
                <w:szCs w:val="20"/>
              </w:rPr>
            </w:pPr>
          </w:p>
        </w:tc>
        <w:tc>
          <w:tcPr>
            <w:tcW w:w="27" w:type="pct"/>
            <w:gridSpan w:val="4"/>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51" w:type="pct"/>
            <w:gridSpan w:val="7"/>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41" w:type="pct"/>
            <w:gridSpan w:val="7"/>
            <w:vAlign w:val="center"/>
            <w:hideMark/>
          </w:tcPr>
          <w:p w:rsidR="00000000" w:rsidRDefault="00BA6B82">
            <w:pPr>
              <w:spacing w:after="100"/>
              <w:rPr>
                <w:rFonts w:eastAsia="Times New Roman"/>
                <w:sz w:val="20"/>
                <w:szCs w:val="20"/>
              </w:rPr>
            </w:pPr>
          </w:p>
        </w:tc>
        <w:tc>
          <w:tcPr>
            <w:tcW w:w="5" w:type="pct"/>
            <w:gridSpan w:val="3"/>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36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BA6B82">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Balance at January 1, 2021</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(8,208)</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Net loss</w:t>
            </w:r>
          </w:p>
        </w:tc>
        <w:tc>
          <w:tcPr>
            <w:tcW w:w="0" w:type="auto"/>
            <w:gridSpan w:val="1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(63,604)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(63,604)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(4,126)</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(67,730)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vAlign w:val="center"/>
            <w:hideMark/>
          </w:tcPr>
          <w:p w:rsidR="00000000" w:rsidRDefault="00BA6B82">
            <w:pPr>
              <w:spacing w:after="100"/>
              <w:jc w:val="right"/>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2,694 </w:t>
            </w:r>
          </w:p>
        </w:tc>
        <w:tc>
          <w:tcPr>
            <w:tcW w:w="0" w:type="auto"/>
            <w:gridSpan w:val="3"/>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2,694 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2,694 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94,753 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5,030 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5,031 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5,031 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vAlign w:val="center"/>
            <w:hideMark/>
          </w:tcPr>
          <w:p w:rsidR="00000000" w:rsidRDefault="00BA6B82">
            <w:pPr>
              <w:spacing w:after="100"/>
              <w:jc w:val="right"/>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vAlign w:val="center"/>
            <w:hideMark/>
          </w:tcPr>
          <w:p w:rsidR="00000000" w:rsidRDefault="00BA6B82">
            <w:pPr>
              <w:spacing w:after="100"/>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vAlign w:val="center"/>
            <w:hideMark/>
          </w:tcPr>
          <w:p w:rsidR="00000000" w:rsidRDefault="00BA6B82">
            <w:pPr>
              <w:spacing w:after="100"/>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Stock offerings, net</w:t>
            </w:r>
          </w:p>
        </w:tc>
        <w:tc>
          <w:tcPr>
            <w:tcW w:w="0" w:type="auto"/>
            <w:gridSpan w:val="1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45,992,318 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460 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637,684 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638,144 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638,144 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vAlign w:val="center"/>
            <w:hideMark/>
          </w:tcPr>
          <w:p w:rsidR="00000000" w:rsidRDefault="00BA6B82">
            <w:pPr>
              <w:spacing w:after="100"/>
              <w:jc w:val="right"/>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divId w:val="942569267"/>
              <w:rPr>
                <w:rFonts w:eastAsia="Times New Roman"/>
              </w:rPr>
            </w:pPr>
            <w:r>
              <w:rPr>
                <w:rFonts w:eastAsia="Times New Roman"/>
                <w:color w:val="000000"/>
                <w:sz w:val="14"/>
                <w:szCs w:val="14"/>
              </w:rPr>
              <w:t>Distributions paid ($0.15 per share)</w:t>
            </w:r>
          </w:p>
        </w:tc>
        <w:tc>
          <w:tcPr>
            <w:tcW w:w="0" w:type="auto"/>
            <w:gridSpan w:val="1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(23,332)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(23,332)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(23,332)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vAlign w:val="center"/>
            <w:hideMark/>
          </w:tcPr>
          <w:p w:rsidR="00000000" w:rsidRDefault="00BA6B82">
            <w:pPr>
              <w:spacing w:after="100"/>
              <w:jc w:val="right"/>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(3,338)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(3,338)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577 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577 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vAlign w:val="center"/>
            <w:hideMark/>
          </w:tcPr>
          <w:p w:rsidR="00000000" w:rsidRDefault="00BA6B82">
            <w:pPr>
              <w:spacing w:after="100"/>
              <w:jc w:val="right"/>
              <w:rPr>
                <w:rFonts w:eastAsia="Times New Roman"/>
                <w:sz w:val="20"/>
                <w:szCs w:val="20"/>
              </w:rPr>
            </w:pPr>
          </w:p>
        </w:tc>
        <w:tc>
          <w:tcPr>
            <w:tcW w:w="0" w:type="auto"/>
            <w:gridSpan w:val="15"/>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8"/>
            <w:vAlign w:val="center"/>
            <w:hideMark/>
          </w:tcPr>
          <w:p w:rsidR="00000000" w:rsidRDefault="00BA6B82">
            <w:pPr>
              <w:spacing w:after="100"/>
              <w:rPr>
                <w:rFonts w:eastAsia="Times New Roman"/>
                <w:sz w:val="20"/>
                <w:szCs w:val="20"/>
              </w:rPr>
            </w:pPr>
          </w:p>
        </w:tc>
        <w:tc>
          <w:tcPr>
            <w:tcW w:w="0" w:type="auto"/>
            <w:gridSpan w:val="4"/>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9"/>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11"/>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1,178,530 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22,206 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22,218 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(22,218)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(4,304)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(4,304)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4,304 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4"/>
                <w:szCs w:val="14"/>
              </w:rPr>
              <w:t>Balance at March 31, 2021</w:t>
            </w:r>
          </w:p>
        </w:tc>
        <w:tc>
          <w:tcPr>
            <w:tcW w:w="0" w:type="auto"/>
            <w:gridSpan w:val="1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197,036,176 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1,971 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5,263,994 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(2,426,555)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(5,514)</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2,833,896 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163,409 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4"/>
                <w:szCs w:val="14"/>
              </w:rPr>
              <w:t>2,997,305 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360"/>
        <w:jc w:val="center"/>
        <w:divId w:val="569656627"/>
        <w:rPr>
          <w:rFonts w:eastAsia="Times New Roman"/>
        </w:rPr>
      </w:pPr>
    </w:p>
    <w:p w:rsidR="00000000" w:rsidRDefault="00BA6B82">
      <w:pPr>
        <w:ind w:firstLine="360"/>
        <w:jc w:val="center"/>
        <w:divId w:val="1358659113"/>
        <w:rPr>
          <w:rFonts w:eastAsia="Times New Roman"/>
        </w:rPr>
      </w:pPr>
      <w:r>
        <w:rPr>
          <w:rFonts w:eastAsia="Times New Roman"/>
          <w:color w:val="000000"/>
          <w:sz w:val="20"/>
          <w:szCs w:val="20"/>
        </w:rPr>
        <w:t>The accompanying notes are an integral part of these consolidated financial statements.</w:t>
      </w:r>
    </w:p>
    <w:p w:rsidR="00000000" w:rsidRDefault="00BA6B82">
      <w:pPr>
        <w:jc w:val="center"/>
        <w:divId w:val="523908328"/>
        <w:rPr>
          <w:rFonts w:eastAsia="Times New Roman"/>
        </w:rPr>
      </w:pPr>
      <w:r>
        <w:rPr>
          <w:rFonts w:eastAsia="Times New Roman"/>
          <w:color w:val="000000"/>
          <w:sz w:val="20"/>
          <w:szCs w:val="20"/>
        </w:rPr>
        <w:t>6</w:t>
      </w:r>
    </w:p>
    <w:p w:rsidR="00000000" w:rsidRDefault="00BA6B82">
      <w:pPr>
        <w:rPr>
          <w:rFonts w:eastAsia="Times New Roman"/>
        </w:rPr>
      </w:pPr>
      <w:r>
        <w:rPr>
          <w:rFonts w:eastAsia="Times New Roman"/>
        </w:rPr>
        <w:pict>
          <v:rect id="_x0000_i1030" style="width:0;height:1.5pt" o:hralign="center" o:hrstd="t" o:hr="t" fillcolor="#a0a0a0" stroked="f"/>
        </w:pict>
      </w:r>
    </w:p>
    <w:p w:rsidR="00000000" w:rsidRDefault="00BA6B82">
      <w:pPr>
        <w:divId w:val="1285311222"/>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0937063"/>
        <w:rPr>
          <w:rFonts w:eastAsia="Times New Roman"/>
        </w:rPr>
      </w:pPr>
      <w:r>
        <w:rPr>
          <w:rFonts w:eastAsia="Times New Roman"/>
          <w:b/>
          <w:bCs/>
          <w:color w:val="000000"/>
          <w:sz w:val="20"/>
          <w:szCs w:val="20"/>
        </w:rPr>
        <w:t>THE MACERICH COMPANY</w:t>
      </w:r>
    </w:p>
    <w:p w:rsidR="00000000" w:rsidRDefault="00BA6B82">
      <w:pPr>
        <w:jc w:val="center"/>
        <w:divId w:val="130486784"/>
        <w:rPr>
          <w:rFonts w:eastAsia="Times New Roman"/>
        </w:rPr>
      </w:pPr>
      <w:r>
        <w:rPr>
          <w:rFonts w:eastAsia="Times New Roman"/>
          <w:b/>
          <w:bCs/>
          <w:color w:val="000000"/>
          <w:sz w:val="20"/>
          <w:szCs w:val="20"/>
        </w:rPr>
        <w:t>CONSOLIDATED STATEMENTS OF CASH FLOWS</w:t>
      </w:r>
    </w:p>
    <w:p w:rsidR="00000000" w:rsidRDefault="00BA6B82">
      <w:pPr>
        <w:jc w:val="center"/>
        <w:divId w:val="259065500"/>
        <w:rPr>
          <w:rFonts w:eastAsia="Times New Roman"/>
        </w:rPr>
      </w:pPr>
      <w:r>
        <w:rPr>
          <w:rFonts w:eastAsia="Times New Roman"/>
          <w:b/>
          <w:bCs/>
          <w:color w:val="000000"/>
          <w:sz w:val="20"/>
          <w:szCs w:val="20"/>
        </w:rPr>
        <w:t>(Dollars in thousands)</w:t>
      </w:r>
    </w:p>
    <w:p w:rsidR="00000000" w:rsidRDefault="00BA6B82">
      <w:pPr>
        <w:jc w:val="center"/>
        <w:divId w:val="1006056830"/>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983"/>
        <w:gridCol w:w="39"/>
        <w:gridCol w:w="120"/>
        <w:gridCol w:w="741"/>
        <w:gridCol w:w="36"/>
        <w:gridCol w:w="36"/>
        <w:gridCol w:w="36"/>
        <w:gridCol w:w="36"/>
        <w:gridCol w:w="120"/>
        <w:gridCol w:w="718"/>
        <w:gridCol w:w="36"/>
      </w:tblGrid>
      <w:tr w:rsidR="00000000">
        <w:trPr>
          <w:divId w:val="1006056830"/>
          <w:jc w:val="center"/>
        </w:trPr>
        <w:tc>
          <w:tcPr>
            <w:tcW w:w="50" w:type="pct"/>
            <w:vAlign w:val="center"/>
            <w:hideMark/>
          </w:tcPr>
          <w:p w:rsidR="00000000" w:rsidRDefault="00BA6B82">
            <w:pPr>
              <w:jc w:val="center"/>
              <w:rPr>
                <w:rFonts w:eastAsia="Times New Roman"/>
              </w:rPr>
            </w:pPr>
          </w:p>
        </w:tc>
        <w:tc>
          <w:tcPr>
            <w:tcW w:w="379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9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For the Three Months Ended March 31,</w:t>
            </w:r>
          </w:p>
        </w:tc>
      </w:tr>
      <w:tr w:rsidR="00000000">
        <w:trPr>
          <w:divId w:val="1006056830"/>
          <w:jc w:val="center"/>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2021</w:t>
            </w:r>
          </w:p>
        </w:tc>
      </w:tr>
      <w:tr w:rsidR="00000000">
        <w:trPr>
          <w:divId w:val="100605683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(37,354)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(67,730)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Adjustments to reconcile net loss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006056830"/>
          <w:jc w:val="center"/>
        </w:trPr>
        <w:tc>
          <w:tcPr>
            <w:tcW w:w="0" w:type="auto"/>
            <w:gridSpan w:val="3"/>
            <w:vAlign w:val="center"/>
            <w:hideMark/>
          </w:tcPr>
          <w:p w:rsidR="00000000" w:rsidRDefault="00BA6B82">
            <w:pPr>
              <w:spacing w:after="100"/>
              <w:rPr>
                <w:rFonts w:eastAsia="Times New Roman"/>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FFFF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(Gain</w:t>
            </w:r>
            <w:r>
              <w:rPr>
                <w:rFonts w:eastAsia="Times New Roman"/>
                <w:color w:val="000000"/>
                <w:sz w:val="20"/>
                <w:szCs w:val="20"/>
              </w:rPr>
              <w:t>) loss on sale or write down of assets, net</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(6,453)</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21,283 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75,673 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80,812 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FFFF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4,869 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4,030 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(4,959)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Provision for doubtful accounts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3,208 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2,238 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Equity in loss (income) of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29,097 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(1,910)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CCEE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24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006056830"/>
          <w:jc w:val="center"/>
        </w:trPr>
        <w:tc>
          <w:tcPr>
            <w:tcW w:w="0" w:type="auto"/>
            <w:gridSpan w:val="3"/>
            <w:shd w:val="clear" w:color="auto" w:fill="CCEEFF"/>
            <w:tcMar>
              <w:top w:w="30" w:type="dxa"/>
              <w:left w:w="51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28,098 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52,684 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51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5,969 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51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Due from affiliates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(4,504)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(3,619)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51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(7,328)</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51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(31,480)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(31,596)</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65,444 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52,219 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006056830"/>
          <w:jc w:val="center"/>
        </w:trPr>
        <w:tc>
          <w:tcPr>
            <w:tcW w:w="0" w:type="auto"/>
            <w:gridSpan w:val="3"/>
            <w:vAlign w:val="center"/>
            <w:hideMark/>
          </w:tcPr>
          <w:p w:rsidR="00000000" w:rsidRDefault="00BA6B82">
            <w:pPr>
              <w:spacing w:after="100"/>
              <w:rPr>
                <w:rFonts w:eastAsia="Times New Roman"/>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(13,377)</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(14,819)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Property improvements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(7,022)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(8,653)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leasing costs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40,062 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21,341 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(19,422)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(25,673)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Proceeds from collection of receivable in connection with sale of joint venture property</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26,085 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100,334 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46,954 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73,739 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006056830"/>
          <w:trHeight w:val="60"/>
          <w:jc w:val="center"/>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jc w:val="center"/>
        <w:divId w:val="807282470"/>
        <w:rPr>
          <w:rFonts w:eastAsia="Times New Roman"/>
        </w:rPr>
      </w:pPr>
      <w:r>
        <w:rPr>
          <w:rFonts w:eastAsia="Times New Roman"/>
          <w:color w:val="000000"/>
          <w:sz w:val="20"/>
          <w:szCs w:val="20"/>
        </w:rPr>
        <w:t>7</w:t>
      </w:r>
    </w:p>
    <w:p w:rsidR="00000000" w:rsidRDefault="00BA6B82">
      <w:pPr>
        <w:rPr>
          <w:rFonts w:eastAsia="Times New Roman"/>
        </w:rPr>
      </w:pPr>
      <w:r>
        <w:rPr>
          <w:rFonts w:eastAsia="Times New Roman"/>
        </w:rPr>
        <w:pict>
          <v:rect id="_x0000_i1031" style="width:0;height:1.5pt" o:hralign="center" o:hrstd="t" o:hr="t" fillcolor="#a0a0a0" stroked="f"/>
        </w:pict>
      </w:r>
    </w:p>
    <w:p w:rsidR="00000000" w:rsidRDefault="00BA6B82">
      <w:pPr>
        <w:divId w:val="50008989"/>
        <w:rPr>
          <w:rFonts w:eastAsia="Times New Roman"/>
        </w:rPr>
      </w:pPr>
      <w:hyperlink w:anchor="i1a7638ab6a234f3f9d9b0c12d614c521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94"/>
        <w:gridCol w:w="38"/>
        <w:gridCol w:w="120"/>
        <w:gridCol w:w="700"/>
        <w:gridCol w:w="36"/>
        <w:gridCol w:w="36"/>
        <w:gridCol w:w="36"/>
        <w:gridCol w:w="36"/>
        <w:gridCol w:w="120"/>
        <w:gridCol w:w="850"/>
        <w:gridCol w:w="36"/>
      </w:tblGrid>
      <w:tr w:rsidR="00000000">
        <w:trPr>
          <w:divId w:val="275987130"/>
          <w:jc w:val="center"/>
        </w:trPr>
        <w:tc>
          <w:tcPr>
            <w:tcW w:w="50" w:type="pct"/>
            <w:vAlign w:val="center"/>
            <w:hideMark/>
          </w:tcPr>
          <w:p w:rsidR="00000000" w:rsidRDefault="00BA6B82">
            <w:pPr>
              <w:rPr>
                <w:rFonts w:eastAsia="Times New Roman"/>
              </w:rPr>
            </w:pPr>
          </w:p>
        </w:tc>
        <w:tc>
          <w:tcPr>
            <w:tcW w:w="379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9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12"/>
            <w:tcMar>
              <w:top w:w="30" w:type="dxa"/>
              <w:left w:w="20" w:type="dxa"/>
              <w:bottom w:w="30" w:type="dxa"/>
              <w:right w:w="20" w:type="dxa"/>
            </w:tcMar>
            <w:vAlign w:val="bottom"/>
            <w:hideMark/>
          </w:tcPr>
          <w:p w:rsidR="00000000" w:rsidRDefault="00BA6B82">
            <w:pPr>
              <w:spacing w:after="100"/>
              <w:jc w:val="center"/>
              <w:divId w:val="1824152683"/>
              <w:rPr>
                <w:rFonts w:eastAsia="Times New Roman"/>
              </w:rPr>
            </w:pPr>
            <w:r>
              <w:rPr>
                <w:rFonts w:eastAsia="Times New Roman"/>
                <w:b/>
                <w:bCs/>
                <w:color w:val="000000"/>
                <w:sz w:val="20"/>
                <w:szCs w:val="20"/>
              </w:rPr>
              <w:t>THE MACERICH COMPANY</w:t>
            </w:r>
          </w:p>
          <w:p w:rsidR="00000000" w:rsidRDefault="00BA6B82">
            <w:pPr>
              <w:spacing w:after="100"/>
              <w:jc w:val="center"/>
              <w:divId w:val="488979078"/>
              <w:rPr>
                <w:rFonts w:eastAsia="Times New Roman"/>
              </w:rPr>
            </w:pPr>
            <w:r>
              <w:rPr>
                <w:rFonts w:eastAsia="Times New Roman"/>
                <w:b/>
                <w:bCs/>
                <w:color w:val="000000"/>
                <w:sz w:val="20"/>
                <w:szCs w:val="20"/>
              </w:rPr>
              <w:t>CONSOLIDATED STATEMENTS OF CASH FLOWS (Continued)</w:t>
            </w:r>
          </w:p>
          <w:p w:rsidR="00000000" w:rsidRDefault="00BA6B82">
            <w:pPr>
              <w:spacing w:after="100"/>
              <w:jc w:val="center"/>
              <w:divId w:val="1181510339"/>
              <w:rPr>
                <w:rFonts w:eastAsia="Times New Roman"/>
              </w:rPr>
            </w:pPr>
            <w:r>
              <w:rPr>
                <w:rFonts w:eastAsia="Times New Roman"/>
                <w:b/>
                <w:bCs/>
                <w:color w:val="000000"/>
                <w:sz w:val="20"/>
                <w:szCs w:val="20"/>
              </w:rPr>
              <w:t>(Dollars in thousands)</w:t>
            </w:r>
          </w:p>
          <w:p w:rsidR="00000000" w:rsidRDefault="00BA6B82">
            <w:pPr>
              <w:spacing w:after="100"/>
              <w:jc w:val="center"/>
              <w:divId w:val="1873104647"/>
              <w:rPr>
                <w:rFonts w:eastAsia="Times New Roman"/>
              </w:rPr>
            </w:pPr>
            <w:r>
              <w:rPr>
                <w:rFonts w:eastAsia="Times New Roman"/>
                <w:b/>
                <w:bCs/>
                <w:color w:val="000000"/>
                <w:sz w:val="20"/>
                <w:szCs w:val="20"/>
              </w:rPr>
              <w:t>(Unaudited)</w:t>
            </w:r>
          </w:p>
        </w:tc>
      </w:tr>
      <w:tr w:rsidR="00000000">
        <w:trPr>
          <w:divId w:val="275987130"/>
          <w:jc w:val="center"/>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For the Three Months Ended March 31,</w:t>
            </w:r>
          </w:p>
        </w:tc>
      </w:tr>
      <w:tr w:rsidR="00000000">
        <w:trPr>
          <w:divId w:val="275987130"/>
          <w:jc w:val="center"/>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20"/>
                <w:szCs w:val="20"/>
              </w:rPr>
              <w:t>2021</w:t>
            </w: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r>
      <w:tr w:rsidR="00000000">
        <w:trPr>
          <w:divId w:val="275987130"/>
          <w:jc w:val="center"/>
        </w:trPr>
        <w:tc>
          <w:tcPr>
            <w:tcW w:w="0" w:type="auto"/>
            <w:gridSpan w:val="3"/>
            <w:vAlign w:val="center"/>
            <w:hideMark/>
          </w:tcPr>
          <w:p w:rsidR="00000000" w:rsidRDefault="00BA6B82">
            <w:pPr>
              <w:spacing w:after="100"/>
              <w:jc w:val="right"/>
              <w:rPr>
                <w:rFonts w:eastAsia="Times New Roman"/>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(53,237)</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(23,986)</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(3,472)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Payments on finance leases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(571)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(552)</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(costs) proceeds from stock offerings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597,007 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Contribution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Dividends and distributions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(41,314)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(26,670)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(95,192)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668,409 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166,971 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482,659 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184,177 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1,151,068 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46,463 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61,041 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18,881 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25,248 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22,218 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Accrued receivable of net proceeds from stock offering</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41,137 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Lease liabilities recorded in connection with right-of-use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24,929 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75987130"/>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bl>
    <w:p w:rsidR="00000000" w:rsidRDefault="00BA6B82">
      <w:pPr>
        <w:jc w:val="center"/>
        <w:divId w:val="379670350"/>
        <w:rPr>
          <w:rFonts w:eastAsia="Times New Roman"/>
        </w:rPr>
      </w:pPr>
      <w:r>
        <w:rPr>
          <w:rFonts w:eastAsia="Times New Roman"/>
          <w:color w:val="000000"/>
          <w:sz w:val="20"/>
          <w:szCs w:val="20"/>
        </w:rPr>
        <w:t>The accompanying notes are an integral part of these consolidated financial statements.</w:t>
      </w:r>
    </w:p>
    <w:p w:rsidR="00000000" w:rsidRDefault="00BA6B82">
      <w:pPr>
        <w:jc w:val="center"/>
        <w:divId w:val="219757712"/>
        <w:rPr>
          <w:rFonts w:eastAsia="Times New Roman"/>
        </w:rPr>
      </w:pPr>
      <w:r>
        <w:rPr>
          <w:rFonts w:eastAsia="Times New Roman"/>
          <w:color w:val="000000"/>
          <w:sz w:val="20"/>
          <w:szCs w:val="20"/>
        </w:rPr>
        <w:t>8</w:t>
      </w:r>
    </w:p>
    <w:p w:rsidR="00000000" w:rsidRDefault="00BA6B82">
      <w:pPr>
        <w:rPr>
          <w:rFonts w:eastAsia="Times New Roman"/>
        </w:rPr>
      </w:pPr>
      <w:r>
        <w:rPr>
          <w:rFonts w:eastAsia="Times New Roman"/>
        </w:rPr>
        <w:pict>
          <v:rect id="_x0000_i1032" style="width:0;height:1.5pt" o:hralign="center" o:hrstd="t" o:hr="t" fillcolor="#a0a0a0" stroked="f"/>
        </w:pict>
      </w:r>
    </w:p>
    <w:p w:rsidR="00000000" w:rsidRDefault="00BA6B82">
      <w:pPr>
        <w:jc w:val="center"/>
        <w:divId w:val="75784584"/>
        <w:rPr>
          <w:rFonts w:eastAsia="Times New Roman"/>
        </w:rPr>
      </w:pPr>
    </w:p>
    <w:p w:rsidR="00000000" w:rsidRDefault="00BA6B82">
      <w:pPr>
        <w:jc w:val="center"/>
        <w:divId w:val="964845695"/>
        <w:rPr>
          <w:rFonts w:eastAsia="Times New Roman"/>
        </w:rPr>
      </w:pPr>
      <w:r>
        <w:rPr>
          <w:rFonts w:eastAsia="Times New Roman"/>
          <w:b/>
          <w:bCs/>
          <w:color w:val="000000"/>
          <w:sz w:val="20"/>
          <w:szCs w:val="20"/>
        </w:rPr>
        <w:t>THE MACERICH COMPANY</w:t>
      </w:r>
    </w:p>
    <w:p w:rsidR="00000000" w:rsidRDefault="00BA6B82">
      <w:pPr>
        <w:jc w:val="center"/>
        <w:divId w:val="275644506"/>
        <w:rPr>
          <w:rFonts w:eastAsia="Times New Roman"/>
        </w:rPr>
      </w:pPr>
      <w:r>
        <w:rPr>
          <w:rFonts w:eastAsia="Times New Roman"/>
          <w:b/>
          <w:bCs/>
          <w:color w:val="000000"/>
          <w:sz w:val="20"/>
          <w:szCs w:val="20"/>
        </w:rPr>
        <w:t>NOTES TO CONSOLIDATED FINANCIAL STATEMENTS</w:t>
      </w:r>
    </w:p>
    <w:p w:rsidR="00000000" w:rsidRDefault="00BA6B82">
      <w:pPr>
        <w:jc w:val="center"/>
        <w:divId w:val="2046249547"/>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832373762"/>
        <w:rPr>
          <w:rFonts w:eastAsia="Times New Roman"/>
        </w:rPr>
      </w:pPr>
      <w:r>
        <w:rPr>
          <w:rFonts w:eastAsia="Times New Roman"/>
          <w:b/>
          <w:bCs/>
          <w:color w:val="000000"/>
          <w:sz w:val="20"/>
          <w:szCs w:val="20"/>
        </w:rPr>
        <w:t>(Unaudited)</w:t>
      </w:r>
    </w:p>
    <w:p w:rsidR="00000000" w:rsidRDefault="00BA6B82">
      <w:pPr>
        <w:jc w:val="center"/>
        <w:divId w:val="121851091"/>
        <w:rPr>
          <w:rFonts w:eastAsia="Times New Roman"/>
        </w:rPr>
      </w:pPr>
    </w:p>
    <w:p w:rsidR="00000000" w:rsidRDefault="00BA6B82">
      <w:pPr>
        <w:divId w:val="1823157813"/>
        <w:rPr>
          <w:rFonts w:eastAsia="Times New Roman"/>
        </w:rPr>
      </w:pPr>
      <w:r>
        <w:rPr>
          <w:rFonts w:eastAsia="Times New Roman"/>
          <w:b/>
          <w:bCs/>
          <w:color w:val="000000"/>
          <w:sz w:val="20"/>
          <w:szCs w:val="20"/>
        </w:rPr>
        <w:t>1. Organization:</w:t>
      </w:r>
    </w:p>
    <w:p w:rsidR="00000000" w:rsidRDefault="00BA6B82">
      <w:pPr>
        <w:ind w:firstLine="495"/>
        <w:divId w:val="797262871"/>
        <w:rPr>
          <w:rFonts w:eastAsia="Times New Roman"/>
        </w:rPr>
      </w:pPr>
      <w:r>
        <w:rPr>
          <w:rFonts w:eastAsia="Times New Roman"/>
          <w:color w:val="000000"/>
          <w:sz w:val="20"/>
          <w:szCs w:val="20"/>
        </w:rPr>
        <w:t>The Macerich Company (the "Company") is involved in the acquisition, ownership, development, redevelopment, management and leasing of regional town centers and community/power shopping centers (the "Centers") located through</w:t>
      </w:r>
      <w:r>
        <w:rPr>
          <w:rFonts w:eastAsia="Times New Roman"/>
          <w:color w:val="000000"/>
          <w:sz w:val="20"/>
          <w:szCs w:val="20"/>
        </w:rPr>
        <w:t>out the United States.</w:t>
      </w:r>
    </w:p>
    <w:p w:rsidR="00000000" w:rsidRDefault="00BA6B82">
      <w:pPr>
        <w:ind w:firstLine="495"/>
        <w:divId w:val="1185560264"/>
        <w:rPr>
          <w:rFonts w:eastAsia="Times New Roman"/>
        </w:rPr>
      </w:pPr>
      <w:r>
        <w:rPr>
          <w:rFonts w:eastAsia="Times New Roman"/>
          <w:color w:val="000000"/>
          <w:sz w:val="20"/>
          <w:szCs w:val="20"/>
        </w:rPr>
        <w:t>The Company commenced operations effective with the completion of its initial public offering on March 16, 1994. As of March 31, 2022, the Company was the sole general partner of and held a 96% ownership interest in The Macerich Part</w:t>
      </w:r>
      <w:r>
        <w:rPr>
          <w:rFonts w:eastAsia="Times New Roman"/>
          <w:color w:val="000000"/>
          <w:sz w:val="20"/>
          <w:szCs w:val="20"/>
        </w:rPr>
        <w:t>nership, L.P. (the "Operating Partnership"). The Company was organized to qualify as a real estate investment trust ("REIT") under the Internal Revenue Code of 1986, as amended (the "Code").</w:t>
      </w:r>
    </w:p>
    <w:p w:rsidR="00000000" w:rsidRDefault="00BA6B82">
      <w:pPr>
        <w:ind w:firstLine="495"/>
        <w:divId w:val="727652681"/>
        <w:rPr>
          <w:rFonts w:eastAsia="Times New Roman"/>
        </w:rPr>
      </w:pPr>
      <w:r>
        <w:rPr>
          <w:rFonts w:eastAsia="Times New Roman"/>
          <w:color w:val="000000"/>
          <w:sz w:val="20"/>
          <w:szCs w:val="20"/>
        </w:rPr>
        <w:t>The property management, leasing and redevelopment of the Company</w:t>
      </w:r>
      <w:r>
        <w:rPr>
          <w:rFonts w:eastAsia="Times New Roman"/>
          <w:color w:val="000000"/>
          <w:sz w:val="20"/>
          <w:szCs w:val="20"/>
        </w:rPr>
        <w:t>'s portfolio is provided by the Company's management companies, Macerich Property Management Company, LLC, a single member Delaware limited liability company, Macerich Management Company, a California corporation, Macerich Arizona Partners LLC, a single me</w:t>
      </w:r>
      <w:r>
        <w:rPr>
          <w:rFonts w:eastAsia="Times New Roman"/>
          <w:color w:val="000000"/>
          <w:sz w:val="20"/>
          <w:szCs w:val="20"/>
        </w:rPr>
        <w:t>mber Arizona limited liability company, Macerich Arizona Management LLC, a single member Delaware limited liability company, Macerich Partners of Colorado LLC, a single member Colorado limited liability company, MACW Mall Management, Inc., a New York corpo</w:t>
      </w:r>
      <w:r>
        <w:rPr>
          <w:rFonts w:eastAsia="Times New Roman"/>
          <w:color w:val="000000"/>
          <w:sz w:val="20"/>
          <w:szCs w:val="20"/>
        </w:rPr>
        <w:t>ration, and MACW Property Management, LLC, a single member New York limited liability company. All seven of the management companies are collectively referred to herein as the "Management Companies."</w:t>
      </w:r>
    </w:p>
    <w:p w:rsidR="00000000" w:rsidRDefault="00BA6B82">
      <w:pPr>
        <w:ind w:firstLine="495"/>
        <w:divId w:val="620460288"/>
        <w:rPr>
          <w:rFonts w:eastAsia="Times New Roman"/>
        </w:rPr>
      </w:pPr>
      <w:r>
        <w:rPr>
          <w:rFonts w:eastAsia="Times New Roman"/>
          <w:color w:val="000000"/>
          <w:sz w:val="20"/>
          <w:szCs w:val="20"/>
        </w:rPr>
        <w:t>All references to the Company in this Quarterly Report o</w:t>
      </w:r>
      <w:r>
        <w:rPr>
          <w:rFonts w:eastAsia="Times New Roman"/>
          <w:color w:val="000000"/>
          <w:sz w:val="20"/>
          <w:szCs w:val="20"/>
        </w:rPr>
        <w:t>n Form 10-Q include the Company, those entities owned or controlled by the Company and predecessors of the Company, unless the context indicates otherwise.</w:t>
      </w:r>
    </w:p>
    <w:p w:rsidR="00000000" w:rsidRDefault="00BA6B82">
      <w:pPr>
        <w:divId w:val="398089902"/>
        <w:rPr>
          <w:rFonts w:eastAsia="Times New Roman"/>
        </w:rPr>
      </w:pPr>
      <w:r>
        <w:rPr>
          <w:rFonts w:eastAsia="Times New Roman"/>
          <w:b/>
          <w:bCs/>
          <w:color w:val="000000"/>
          <w:sz w:val="20"/>
          <w:szCs w:val="20"/>
        </w:rPr>
        <w:t>2. Summary of Significant Accounting Policies:</w:t>
      </w:r>
    </w:p>
    <w:p w:rsidR="00000000" w:rsidRDefault="00BA6B82">
      <w:pPr>
        <w:ind w:firstLine="450"/>
        <w:divId w:val="1815681393"/>
        <w:rPr>
          <w:rFonts w:eastAsia="Times New Roman"/>
        </w:rPr>
      </w:pPr>
      <w:r>
        <w:rPr>
          <w:rFonts w:eastAsia="Times New Roman"/>
          <w:i/>
          <w:iCs/>
          <w:color w:val="000000"/>
          <w:sz w:val="20"/>
          <w:szCs w:val="20"/>
        </w:rPr>
        <w:t>Basis of Presentation:</w:t>
      </w:r>
    </w:p>
    <w:p w:rsidR="00000000" w:rsidRDefault="00BA6B82">
      <w:pPr>
        <w:ind w:firstLine="495"/>
        <w:divId w:val="507213995"/>
        <w:rPr>
          <w:rFonts w:eastAsia="Times New Roman"/>
        </w:rPr>
      </w:pPr>
      <w:r>
        <w:rPr>
          <w:rFonts w:eastAsia="Times New Roman"/>
          <w:color w:val="000000"/>
          <w:sz w:val="20"/>
          <w:szCs w:val="20"/>
        </w:rPr>
        <w:t>The accompanying consolidated financial statements of the Company have been prepared in accordance with generally accepted accounting principles in the United States ("GAAP") for interim financial information and with the instructions to Form 10-Q and Arti</w:t>
      </w:r>
      <w:r>
        <w:rPr>
          <w:rFonts w:eastAsia="Times New Roman"/>
          <w:color w:val="000000"/>
          <w:sz w:val="20"/>
          <w:szCs w:val="20"/>
        </w:rPr>
        <w:t>cle 10 of Regulation S-X. They do not include all of the information and footnotes required by GAAP for complete financial statements and have not been audited by an independent registered public accounting firm.</w:t>
      </w:r>
    </w:p>
    <w:p w:rsidR="00000000" w:rsidRDefault="00BA6B82">
      <w:pPr>
        <w:ind w:firstLine="495"/>
        <w:divId w:val="1917781604"/>
        <w:rPr>
          <w:rFonts w:eastAsia="Times New Roman"/>
        </w:rPr>
      </w:pPr>
      <w:r>
        <w:rPr>
          <w:rFonts w:eastAsia="Times New Roman"/>
          <w:color w:val="000000"/>
          <w:sz w:val="20"/>
          <w:szCs w:val="20"/>
        </w:rPr>
        <w:t>The Company's sole significant asset is its</w:t>
      </w:r>
      <w:r>
        <w:rPr>
          <w:rFonts w:eastAsia="Times New Roman"/>
          <w:color w:val="000000"/>
          <w:sz w:val="20"/>
          <w:szCs w:val="20"/>
        </w:rPr>
        <w:t xml:space="preserve"> investment in the Operating Partnership and as a result, substantially all of the Company's assets and liabilities represent the assets and liabilities of the Operating Partnership. In addition, the Operating Partnership has investments in a number of con</w:t>
      </w:r>
      <w:r>
        <w:rPr>
          <w:rFonts w:eastAsia="Times New Roman"/>
          <w:color w:val="000000"/>
          <w:sz w:val="20"/>
          <w:szCs w:val="20"/>
        </w:rPr>
        <w:t xml:space="preserve">solidated variable interest entities ("VIEs"), including Fashion District Philadelphia and SanTan Village Regional Center. </w:t>
      </w:r>
    </w:p>
    <w:p w:rsidR="00000000" w:rsidRDefault="00BA6B82">
      <w:pPr>
        <w:ind w:firstLine="495"/>
        <w:divId w:val="358701278"/>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trPr>
          <w:divId w:val="358701278"/>
        </w:trPr>
        <w:tc>
          <w:tcPr>
            <w:tcW w:w="50" w:type="pct"/>
            <w:vAlign w:val="center"/>
            <w:hideMark/>
          </w:tcPr>
          <w:p w:rsidR="00000000" w:rsidRDefault="00BA6B82">
            <w:pPr>
              <w:ind w:firstLine="495"/>
              <w:rPr>
                <w:rFonts w:eastAsia="Times New Roman"/>
              </w:rPr>
            </w:pPr>
          </w:p>
        </w:tc>
        <w:tc>
          <w:tcPr>
            <w:tcW w:w="36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5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6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358701278"/>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35870127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35870127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453,841 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458,964 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58701278"/>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86,961 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83,685 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5870127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540,802 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5870127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35870127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413,948 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413,925 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58701278"/>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56,829 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56,947 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5870127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470,777 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470,872 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1501962303"/>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BA6B82">
      <w:pPr>
        <w:ind w:firstLine="495"/>
        <w:divId w:val="309287313"/>
        <w:rPr>
          <w:rFonts w:eastAsia="Times New Roman"/>
        </w:rPr>
      </w:pPr>
    </w:p>
    <w:p w:rsidR="00000000" w:rsidRDefault="00BA6B82">
      <w:pPr>
        <w:jc w:val="center"/>
        <w:divId w:val="1082218524"/>
        <w:rPr>
          <w:rFonts w:eastAsia="Times New Roman"/>
        </w:rPr>
      </w:pPr>
      <w:r>
        <w:rPr>
          <w:rFonts w:eastAsia="Times New Roman"/>
          <w:color w:val="000000"/>
          <w:sz w:val="20"/>
          <w:szCs w:val="20"/>
        </w:rPr>
        <w:t>9</w:t>
      </w:r>
    </w:p>
    <w:p w:rsidR="00000000" w:rsidRDefault="00BA6B82">
      <w:pPr>
        <w:rPr>
          <w:rFonts w:eastAsia="Times New Roman"/>
        </w:rPr>
      </w:pPr>
      <w:r>
        <w:rPr>
          <w:rFonts w:eastAsia="Times New Roman"/>
        </w:rPr>
        <w:pict>
          <v:rect id="_x0000_i1033" style="width:0;height:1.5pt" o:hralign="center" o:hrstd="t" o:hr="t" fillcolor="#a0a0a0" stroked="f"/>
        </w:pict>
      </w:r>
    </w:p>
    <w:p w:rsidR="00000000" w:rsidRDefault="00BA6B82">
      <w:pPr>
        <w:divId w:val="677777095"/>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1660578450"/>
        <w:rPr>
          <w:rFonts w:eastAsia="Times New Roman"/>
        </w:rPr>
      </w:pPr>
      <w:r>
        <w:rPr>
          <w:rFonts w:eastAsia="Times New Roman"/>
          <w:b/>
          <w:bCs/>
          <w:color w:val="000000"/>
          <w:sz w:val="20"/>
          <w:szCs w:val="20"/>
        </w:rPr>
        <w:t>THE MACERICH COMPANY</w:t>
      </w:r>
    </w:p>
    <w:p w:rsidR="00000000" w:rsidRDefault="00BA6B82">
      <w:pPr>
        <w:jc w:val="center"/>
        <w:divId w:val="298808463"/>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330869004"/>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126195410"/>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BA6B82">
      <w:pPr>
        <w:divId w:val="2066370077"/>
        <w:rPr>
          <w:rFonts w:eastAsia="Times New Roman"/>
        </w:rPr>
      </w:pPr>
    </w:p>
    <w:p w:rsidR="00000000" w:rsidRDefault="00BA6B82">
      <w:pPr>
        <w:divId w:val="52513131"/>
        <w:rPr>
          <w:rFonts w:eastAsia="Times New Roman"/>
        </w:rPr>
      </w:pPr>
      <w:r>
        <w:rPr>
          <w:rFonts w:eastAsia="Times New Roman"/>
          <w:b/>
          <w:bCs/>
          <w:color w:val="000000"/>
          <w:sz w:val="20"/>
          <w:szCs w:val="20"/>
        </w:rPr>
        <w:t>2. Summary of Significant Accounting Policies: (Continued)</w:t>
      </w:r>
    </w:p>
    <w:p w:rsidR="00000000" w:rsidRDefault="00BA6B82">
      <w:pPr>
        <w:ind w:firstLine="495"/>
        <w:divId w:val="970751666"/>
        <w:rPr>
          <w:rFonts w:eastAsia="Times New Roman"/>
        </w:rPr>
      </w:pPr>
    </w:p>
    <w:p w:rsidR="00000000" w:rsidRDefault="00BA6B82">
      <w:pPr>
        <w:ind w:firstLine="495"/>
        <w:divId w:val="278344408"/>
        <w:rPr>
          <w:rFonts w:eastAsia="Times New Roman"/>
        </w:rPr>
      </w:pPr>
      <w:r>
        <w:rPr>
          <w:rFonts w:eastAsia="Times New Roman"/>
          <w:color w:val="000000"/>
          <w:sz w:val="20"/>
          <w:szCs w:val="20"/>
        </w:rPr>
        <w:t>The unaudited interim consolidated financial statements should be read in conjunction with the Company's audited consolidated financial statements and notes thereto included in the Com</w:t>
      </w:r>
      <w:r>
        <w:rPr>
          <w:rFonts w:eastAsia="Times New Roman"/>
          <w:color w:val="000000"/>
          <w:sz w:val="20"/>
          <w:szCs w:val="20"/>
        </w:rPr>
        <w:t>pany's Annual Report on Form 10-K for the year ended December 31, 2021. In the opinion of management, all adjustments (consisting of normal recurring adjustments) necessary for a fair presentation of the consolidated financial statements for the interim pe</w:t>
      </w:r>
      <w:r>
        <w:rPr>
          <w:rFonts w:eastAsia="Times New Roman"/>
          <w:color w:val="000000"/>
          <w:sz w:val="20"/>
          <w:szCs w:val="20"/>
        </w:rPr>
        <w:t>riods have been made. The preparation of consolidated financial statements in conformity with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consolidated financial statements and the reported amounts of revenues and expenses during the reporting period. Actual results could differ from those estimates. The accompanying consolidated balance sheet as of December 31, 202</w:t>
      </w:r>
      <w:r>
        <w:rPr>
          <w:rFonts w:eastAsia="Times New Roman"/>
          <w:color w:val="000000"/>
          <w:sz w:val="20"/>
          <w:szCs w:val="20"/>
        </w:rPr>
        <w:t>1 has been derived from the audited financial statements but does not include all disclosures required by GAAP. The following table presents a reconciliation of the beginning of period and end of period cash, cash equivalents and restricted cash reported o</w:t>
      </w:r>
      <w:r>
        <w:rPr>
          <w:rFonts w:eastAsia="Times New Roman"/>
          <w:color w:val="000000"/>
          <w:sz w:val="20"/>
          <w:szCs w:val="20"/>
        </w:rPr>
        <w:t>n the Company's consolidated balance sheets to the totals shown on its consolidated statements of cash flows:</w:t>
      </w:r>
    </w:p>
    <w:p w:rsidR="00000000" w:rsidRDefault="00BA6B82">
      <w:pPr>
        <w:ind w:firstLine="495"/>
        <w:divId w:val="695009494"/>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02"/>
        <w:gridCol w:w="37"/>
        <w:gridCol w:w="120"/>
        <w:gridCol w:w="700"/>
        <w:gridCol w:w="36"/>
        <w:gridCol w:w="36"/>
        <w:gridCol w:w="36"/>
        <w:gridCol w:w="36"/>
        <w:gridCol w:w="120"/>
        <w:gridCol w:w="850"/>
        <w:gridCol w:w="36"/>
      </w:tblGrid>
      <w:tr w:rsidR="00000000">
        <w:trPr>
          <w:divId w:val="909535428"/>
        </w:trPr>
        <w:tc>
          <w:tcPr>
            <w:tcW w:w="50" w:type="pct"/>
            <w:vAlign w:val="center"/>
            <w:hideMark/>
          </w:tcPr>
          <w:p w:rsidR="00000000" w:rsidRDefault="00BA6B82">
            <w:pPr>
              <w:ind w:firstLine="495"/>
              <w:rPr>
                <w:rFonts w:eastAsia="Times New Roman"/>
              </w:rPr>
            </w:pPr>
          </w:p>
        </w:tc>
        <w:tc>
          <w:tcPr>
            <w:tcW w:w="38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8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909535428"/>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r>
      <w:tr w:rsidR="00000000">
        <w:trPr>
          <w:divId w:val="909535428"/>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90953542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09535428"/>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112,454 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90953542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54,517 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90953542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90953542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909535428"/>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128,244 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1,083,813 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90953542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55,933 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67,255 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909535428"/>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184,177 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1,151,068 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50"/>
        <w:divId w:val="1367557848"/>
        <w:rPr>
          <w:rFonts w:eastAsia="Times New Roman"/>
        </w:rPr>
      </w:pPr>
    </w:p>
    <w:p w:rsidR="00000000" w:rsidRDefault="00BA6B82">
      <w:pPr>
        <w:ind w:firstLine="450"/>
        <w:divId w:val="1534877751"/>
        <w:rPr>
          <w:rFonts w:eastAsia="Times New Roman"/>
        </w:rPr>
      </w:pPr>
      <w:r>
        <w:rPr>
          <w:rFonts w:eastAsia="Times New Roman"/>
          <w:i/>
          <w:iCs/>
          <w:color w:val="000000"/>
          <w:sz w:val="20"/>
          <w:szCs w:val="20"/>
        </w:rPr>
        <w:t>COVID-19 Pandemic:</w:t>
      </w:r>
    </w:p>
    <w:p w:rsidR="00000000" w:rsidRDefault="00BA6B82">
      <w:pPr>
        <w:ind w:firstLine="495"/>
        <w:divId w:val="821313943"/>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essentially eliminated across the Company’s market</w:t>
      </w:r>
      <w:r>
        <w:rPr>
          <w:rFonts w:eastAsia="Times New Roman"/>
          <w:color w:val="000000"/>
          <w:sz w:val="20"/>
          <w:szCs w:val="20"/>
        </w:rPr>
        <w:t>s.</w:t>
      </w:r>
    </w:p>
    <w:p w:rsidR="00000000" w:rsidRDefault="00BA6B82">
      <w:pPr>
        <w:ind w:firstLine="450"/>
        <w:divId w:val="1421484760"/>
        <w:rPr>
          <w:rFonts w:eastAsia="Times New Roman"/>
        </w:rPr>
      </w:pPr>
      <w:r>
        <w:rPr>
          <w:rFonts w:eastAsia="Times New Roman"/>
          <w:i/>
          <w:iCs/>
          <w:color w:val="000000"/>
          <w:sz w:val="20"/>
          <w:szCs w:val="20"/>
        </w:rPr>
        <w:t>COVID-19 Lease Accounting:</w:t>
      </w:r>
    </w:p>
    <w:p w:rsidR="00000000" w:rsidRDefault="00BA6B82">
      <w:pPr>
        <w:ind w:firstLine="495"/>
        <w:divId w:val="1512573759"/>
        <w:rPr>
          <w:rFonts w:eastAsia="Times New Roman"/>
        </w:rPr>
      </w:pPr>
      <w:r>
        <w:rPr>
          <w:rFonts w:eastAsia="Times New Roman"/>
          <w:color w:val="000000"/>
          <w:sz w:val="20"/>
          <w:szCs w:val="20"/>
        </w:rPr>
        <w:t>In April 2020, the Financial Accounting Standards Board issued a Staff Question-and-Answer (“Q&amp;A”) to clarify whether lease concessions related to the effects of COVID-19 require the application of the lease modification guida</w:t>
      </w:r>
      <w:r>
        <w:rPr>
          <w:rFonts w:eastAsia="Times New Roman"/>
          <w:color w:val="000000"/>
          <w:sz w:val="20"/>
          <w:szCs w:val="20"/>
        </w:rPr>
        <w:t>nce under Accounting Standards Codification ("ASC") 842, "Leases" ("the lease modification accounting framework"). Under ASC 842, the Company would have to determine, on a lease-by-lease basis, if a lease concession was the result of a new arrangement reac</w:t>
      </w:r>
      <w:r>
        <w:rPr>
          <w:rFonts w:eastAsia="Times New Roman"/>
          <w:color w:val="000000"/>
          <w:sz w:val="20"/>
          <w:szCs w:val="20"/>
        </w:rPr>
        <w:t>hed with the tenant or an enforceable right and obligation within the existing lease. The Q&amp;A allows for the bypass of a lease-by-lease analysis, and allows the Company to elect to either apply the lease modification accounting framework or not to all of i</w:t>
      </w:r>
      <w:r>
        <w:rPr>
          <w:rFonts w:eastAsia="Times New Roman"/>
          <w:color w:val="000000"/>
          <w:sz w:val="20"/>
          <w:szCs w:val="20"/>
        </w:rPr>
        <w:t>ts lease concessions with similar characteristics and circumstances. The Company has elected to apply the lease modification accounting framework to lease concessions that include the abatement of rent in its consolidated financial statements for the three</w:t>
      </w:r>
      <w:r>
        <w:rPr>
          <w:rFonts w:eastAsia="Times New Roman"/>
          <w:color w:val="000000"/>
          <w:sz w:val="20"/>
          <w:szCs w:val="20"/>
        </w:rPr>
        <w:t xml:space="preserve"> months ended March 31, 2022 and 2021.</w:t>
      </w:r>
    </w:p>
    <w:p w:rsidR="00000000" w:rsidRDefault="00BA6B82">
      <w:pPr>
        <w:ind w:firstLine="495"/>
        <w:divId w:val="1949658677"/>
        <w:rPr>
          <w:rFonts w:eastAsia="Times New Roman"/>
        </w:rPr>
      </w:pPr>
    </w:p>
    <w:p w:rsidR="00000000" w:rsidRDefault="00BA6B82">
      <w:pPr>
        <w:ind w:firstLine="450"/>
        <w:divId w:val="212155522"/>
        <w:rPr>
          <w:rFonts w:eastAsia="Times New Roman"/>
        </w:rPr>
      </w:pPr>
    </w:p>
    <w:p w:rsidR="00000000" w:rsidRDefault="00BA6B82">
      <w:pPr>
        <w:jc w:val="center"/>
        <w:divId w:val="1575049283"/>
        <w:rPr>
          <w:rFonts w:eastAsia="Times New Roman"/>
        </w:rPr>
      </w:pPr>
      <w:r>
        <w:rPr>
          <w:rFonts w:eastAsia="Times New Roman"/>
          <w:color w:val="000000"/>
          <w:sz w:val="20"/>
          <w:szCs w:val="20"/>
        </w:rPr>
        <w:t>10</w:t>
      </w:r>
    </w:p>
    <w:p w:rsidR="00000000" w:rsidRDefault="00BA6B82">
      <w:pPr>
        <w:rPr>
          <w:rFonts w:eastAsia="Times New Roman"/>
        </w:rPr>
      </w:pPr>
      <w:r>
        <w:rPr>
          <w:rFonts w:eastAsia="Times New Roman"/>
        </w:rPr>
        <w:pict>
          <v:rect id="_x0000_i1034" style="width:0;height:1.5pt" o:hralign="center" o:hrstd="t" o:hr="t" fillcolor="#a0a0a0" stroked="f"/>
        </w:pict>
      </w:r>
    </w:p>
    <w:p w:rsidR="00000000" w:rsidRDefault="00BA6B82">
      <w:pPr>
        <w:divId w:val="165846262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069572855"/>
        <w:rPr>
          <w:rFonts w:eastAsia="Times New Roman"/>
        </w:rPr>
      </w:pPr>
      <w:r>
        <w:rPr>
          <w:rFonts w:eastAsia="Times New Roman"/>
          <w:b/>
          <w:bCs/>
          <w:color w:val="000000"/>
          <w:sz w:val="20"/>
          <w:szCs w:val="20"/>
        </w:rPr>
        <w:t>THE MACERICH COMPANY</w:t>
      </w:r>
    </w:p>
    <w:p w:rsidR="00000000" w:rsidRDefault="00BA6B82">
      <w:pPr>
        <w:jc w:val="center"/>
        <w:divId w:val="638539992"/>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897626208"/>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756441292"/>
        <w:rPr>
          <w:rFonts w:eastAsia="Times New Roman"/>
        </w:rPr>
      </w:pPr>
      <w:r>
        <w:rPr>
          <w:rFonts w:eastAsia="Times New Roman"/>
          <w:b/>
          <w:bCs/>
          <w:color w:val="000000"/>
          <w:sz w:val="20"/>
          <w:szCs w:val="20"/>
        </w:rPr>
        <w:t>(Unaudited)</w:t>
      </w:r>
    </w:p>
    <w:p w:rsidR="00000000" w:rsidRDefault="00BA6B82">
      <w:pPr>
        <w:divId w:val="1773815603"/>
        <w:rPr>
          <w:rFonts w:eastAsia="Times New Roman"/>
        </w:rPr>
      </w:pPr>
    </w:p>
    <w:p w:rsidR="00000000" w:rsidRDefault="00BA6B82">
      <w:pPr>
        <w:divId w:val="1247574578"/>
        <w:rPr>
          <w:rFonts w:eastAsia="Times New Roman"/>
        </w:rPr>
      </w:pPr>
      <w:r>
        <w:rPr>
          <w:rFonts w:eastAsia="Times New Roman"/>
          <w:b/>
          <w:bCs/>
          <w:color w:val="000000"/>
          <w:sz w:val="20"/>
          <w:szCs w:val="20"/>
        </w:rPr>
        <w:t>3. Earnings Per Share ("EPS"):</w:t>
      </w:r>
    </w:p>
    <w:p w:rsidR="00000000" w:rsidRDefault="00BA6B82">
      <w:pPr>
        <w:ind w:firstLine="495"/>
        <w:divId w:val="1710760755"/>
        <w:rPr>
          <w:rFonts w:eastAsia="Times New Roman"/>
        </w:rPr>
      </w:pPr>
      <w:r>
        <w:rPr>
          <w:rFonts w:eastAsia="Times New Roman"/>
          <w:color w:val="000000"/>
          <w:sz w:val="20"/>
          <w:szCs w:val="20"/>
        </w:rPr>
        <w:t>The following table reconciles the numerator and denominator used in the computation of EPS</w:t>
      </w:r>
      <w:r>
        <w:rPr>
          <w:rFonts w:eastAsia="Times New Roman"/>
          <w:color w:val="000000"/>
          <w:sz w:val="20"/>
          <w:szCs w:val="20"/>
        </w:rPr>
        <w:t xml:space="preserve"> for the three months ended March 31, 2022 and 2021 (shares in thousands):</w:t>
      </w:r>
    </w:p>
    <w:tbl>
      <w:tblPr>
        <w:tblW w:w="3837" w:type="pct"/>
        <w:tblCellMar>
          <w:top w:w="15" w:type="dxa"/>
          <w:left w:w="15" w:type="dxa"/>
          <w:bottom w:w="15" w:type="dxa"/>
          <w:right w:w="15" w:type="dxa"/>
        </w:tblCellMar>
        <w:tblLook w:val="04A0" w:firstRow="1" w:lastRow="0" w:firstColumn="1" w:lastColumn="0" w:noHBand="0" w:noVBand="1"/>
      </w:tblPr>
      <w:tblGrid>
        <w:gridCol w:w="38"/>
        <w:gridCol w:w="4368"/>
        <w:gridCol w:w="36"/>
        <w:gridCol w:w="36"/>
        <w:gridCol w:w="36"/>
        <w:gridCol w:w="36"/>
        <w:gridCol w:w="36"/>
        <w:gridCol w:w="120"/>
        <w:gridCol w:w="684"/>
        <w:gridCol w:w="36"/>
        <w:gridCol w:w="36"/>
        <w:gridCol w:w="36"/>
        <w:gridCol w:w="36"/>
        <w:gridCol w:w="120"/>
        <w:gridCol w:w="684"/>
        <w:gridCol w:w="36"/>
      </w:tblGrid>
      <w:tr w:rsidR="00000000">
        <w:trPr>
          <w:divId w:val="1710760755"/>
        </w:trPr>
        <w:tc>
          <w:tcPr>
            <w:tcW w:w="50" w:type="pct"/>
            <w:vAlign w:val="center"/>
            <w:hideMark/>
          </w:tcPr>
          <w:p w:rsidR="00000000" w:rsidRDefault="00BA6B82">
            <w:pPr>
              <w:ind w:firstLine="495"/>
              <w:rPr>
                <w:rFonts w:eastAsia="Times New Roman"/>
              </w:rPr>
            </w:pPr>
          </w:p>
        </w:tc>
        <w:tc>
          <w:tcPr>
            <w:tcW w:w="36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6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2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710760755"/>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1710760755"/>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17107607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Numerator</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7107607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loss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(37,354)</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(67,730)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net loss attributable to noncontrolling interests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(4,126)</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loss attributable to the Company</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(37,182)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(63,604)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Allocation of earnings to participating securities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Numerator for basic and diluted EPS—net loss attributable to common stockholders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(37,405)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Denominator</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710760755"/>
        </w:trPr>
        <w:tc>
          <w:tcPr>
            <w:tcW w:w="0" w:type="auto"/>
            <w:gridSpan w:val="3"/>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710760755"/>
        </w:trPr>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710760755"/>
        </w:trPr>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7107607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214,819 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158,580 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EPS—</w:t>
            </w:r>
            <w:r>
              <w:rPr>
                <w:rFonts w:eastAsia="Times New Roman"/>
                <w:b/>
                <w:bCs/>
                <w:color w:val="000000"/>
                <w:sz w:val="20"/>
                <w:szCs w:val="20"/>
              </w:rPr>
              <w:t>net loss attributable to common stockholders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710760755"/>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Basic and diluted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(0.17)</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(0.40)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710760755"/>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bl>
    <w:p w:rsidR="00000000" w:rsidRDefault="00BA6B82">
      <w:pPr>
        <w:ind w:hanging="360"/>
        <w:divId w:val="2108040247"/>
        <w:rPr>
          <w:rFonts w:eastAsia="Times New Roman"/>
        </w:rPr>
      </w:pPr>
      <w:r>
        <w:rPr>
          <w:rFonts w:eastAsia="Times New Roman"/>
          <w:color w:val="000000"/>
          <w:sz w:val="16"/>
          <w:szCs w:val="16"/>
        </w:rPr>
        <w:t>(1)</w:t>
      </w:r>
      <w:r>
        <w:rPr>
          <w:rFonts w:eastAsia="Times New Roman"/>
          <w:color w:val="000000"/>
          <w:sz w:val="16"/>
          <w:szCs w:val="16"/>
        </w:rPr>
        <w:t>     Diluted EPS excludes 99,565 and 103,235 convertible preferred partnership units for the three months ended March 31, 2022 and 2021, respectively, as their impact was antidilutive. Diluted EPS also excludes 8,681,751 and 10,855,707 Operating Partnershi</w:t>
      </w:r>
      <w:r>
        <w:rPr>
          <w:rFonts w:eastAsia="Times New Roman"/>
          <w:color w:val="000000"/>
          <w:sz w:val="16"/>
          <w:szCs w:val="16"/>
        </w:rPr>
        <w:t>p units ("OP Units") for the three months ended March 31, 2022 and 2021, respectively, as their impact was antidilutive.</w:t>
      </w:r>
    </w:p>
    <w:p w:rsidR="00000000" w:rsidRDefault="00BA6B82">
      <w:pPr>
        <w:ind w:hanging="360"/>
        <w:divId w:val="1387293302"/>
        <w:rPr>
          <w:rFonts w:eastAsia="Times New Roman"/>
        </w:rPr>
      </w:pPr>
    </w:p>
    <w:p w:rsidR="00000000" w:rsidRDefault="00BA6B82">
      <w:pPr>
        <w:divId w:val="1459839815"/>
        <w:rPr>
          <w:rFonts w:eastAsia="Times New Roman"/>
        </w:rPr>
      </w:pPr>
      <w:r>
        <w:rPr>
          <w:rFonts w:eastAsia="Times New Roman"/>
          <w:b/>
          <w:bCs/>
          <w:color w:val="000000"/>
          <w:sz w:val="20"/>
          <w:szCs w:val="20"/>
        </w:rPr>
        <w:t>4. Investments in Unconsolidated Joint Ventures:</w:t>
      </w:r>
    </w:p>
    <w:p w:rsidR="00000000" w:rsidRDefault="00BA6B82">
      <w:pPr>
        <w:ind w:firstLine="495"/>
        <w:divId w:val="1013070668"/>
        <w:rPr>
          <w:rFonts w:eastAsia="Times New Roman"/>
        </w:rPr>
      </w:pPr>
      <w:r>
        <w:rPr>
          <w:rFonts w:eastAsia="Times New Roman"/>
          <w:color w:val="000000"/>
          <w:sz w:val="20"/>
          <w:szCs w:val="20"/>
        </w:rPr>
        <w:t>The Company has made the following recent financings or other events of its unconsolidated joint ventures:</w:t>
      </w:r>
    </w:p>
    <w:p w:rsidR="00000000" w:rsidRDefault="00BA6B82">
      <w:pPr>
        <w:ind w:firstLine="495"/>
        <w:divId w:val="2095859583"/>
        <w:rPr>
          <w:rFonts w:eastAsia="Times New Roman"/>
        </w:rPr>
      </w:pPr>
      <w:r>
        <w:rPr>
          <w:rFonts w:eastAsia="Times New Roman"/>
          <w:color w:val="000000"/>
          <w:sz w:val="20"/>
          <w:szCs w:val="20"/>
        </w:rPr>
        <w:t>On March 29, 2021, concurrent with the sale of Paradise Valley Mall (see Note 15 – Dispositions), the Company elected to reinvest into the newly form</w:t>
      </w:r>
      <w:r>
        <w:rPr>
          <w:rFonts w:eastAsia="Times New Roman"/>
          <w:color w:val="000000"/>
          <w:sz w:val="20"/>
          <w:szCs w:val="20"/>
        </w:rPr>
        <w:t>ed joint venture at a 5% ownership interest for $3,819 in cash that is accounted for under the equity method of accounting.</w:t>
      </w:r>
    </w:p>
    <w:p w:rsidR="00000000" w:rsidRDefault="00BA6B82">
      <w:pPr>
        <w:ind w:firstLine="495"/>
        <w:divId w:val="1621952134"/>
        <w:rPr>
          <w:rFonts w:eastAsia="Times New Roman"/>
        </w:rPr>
      </w:pPr>
      <w:r>
        <w:rPr>
          <w:rFonts w:eastAsia="Times New Roman"/>
          <w:color w:val="000000"/>
          <w:sz w:val="20"/>
          <w:szCs w:val="20"/>
        </w:rPr>
        <w:t>On October 26, 2021, the Company's joint venture in The Shops at Atlas Park replaced the existing loan on the property with a new $6</w:t>
      </w:r>
      <w:r>
        <w:rPr>
          <w:rFonts w:eastAsia="Times New Roman"/>
          <w:color w:val="000000"/>
          <w:sz w:val="20"/>
          <w:szCs w:val="20"/>
        </w:rPr>
        <w:t>5,000 loan that bears interest at a floating rate of LIBOR plus 4.15% and matures on November 9, 2026, including extension options. The loan is covered by an interest rate cap agreement that effectively prevents LIBOR from exceeding 3.0% through November 7</w:t>
      </w:r>
      <w:r>
        <w:rPr>
          <w:rFonts w:eastAsia="Times New Roman"/>
          <w:color w:val="000000"/>
          <w:sz w:val="20"/>
          <w:szCs w:val="20"/>
        </w:rPr>
        <w:t>, 2023.</w:t>
      </w:r>
    </w:p>
    <w:p w:rsidR="00000000" w:rsidRDefault="00BA6B82">
      <w:pPr>
        <w:ind w:firstLine="495"/>
        <w:divId w:val="1220364955"/>
        <w:rPr>
          <w:rFonts w:eastAsia="Times New Roman"/>
        </w:rPr>
      </w:pPr>
      <w:r>
        <w:rPr>
          <w:rFonts w:eastAsia="Times New Roman"/>
          <w:color w:val="000000"/>
          <w:sz w:val="20"/>
          <w:szCs w:val="20"/>
        </w:rPr>
        <w:t>On December 31, 2021, the Company assigned its joint venture interest in The Shops at North Bridge in Chicago, Illinois to its partner in the joint venture. The assignment included the assumption by the joint venture partner of the Company’s share of the d</w:t>
      </w:r>
      <w:r>
        <w:rPr>
          <w:rFonts w:eastAsia="Times New Roman"/>
          <w:color w:val="000000"/>
          <w:sz w:val="20"/>
          <w:szCs w:val="20"/>
        </w:rPr>
        <w:t>ebt owed by the joint venture and no cash consideration was received by the Company. The Company recognized a loss of approximately $28,276 in connection with the assignment.</w:t>
      </w:r>
    </w:p>
    <w:p w:rsidR="00000000" w:rsidRDefault="00BA6B82">
      <w:pPr>
        <w:ind w:firstLine="495"/>
        <w:divId w:val="1238831084"/>
        <w:rPr>
          <w:rFonts w:eastAsia="Times New Roman"/>
        </w:rPr>
      </w:pPr>
      <w:r>
        <w:rPr>
          <w:rFonts w:eastAsia="Times New Roman"/>
          <w:color w:val="000000"/>
          <w:sz w:val="20"/>
          <w:szCs w:val="20"/>
        </w:rPr>
        <w:t>On December 31, 2021, the Company sold its joint venture interest in the undevelo</w:t>
      </w:r>
      <w:r>
        <w:rPr>
          <w:rFonts w:eastAsia="Times New Roman"/>
          <w:color w:val="000000"/>
          <w:sz w:val="20"/>
          <w:szCs w:val="20"/>
        </w:rPr>
        <w:t xml:space="preserve">ped property at 443 North Wabash Avenue in Chicago, Illinois to its partner in the joint venture for $21,000. The Company recognized an immaterial gain in connection with the sale. </w:t>
      </w:r>
    </w:p>
    <w:p w:rsidR="00000000" w:rsidRDefault="00BA6B82">
      <w:pPr>
        <w:ind w:firstLine="495"/>
        <w:divId w:val="1756826530"/>
        <w:rPr>
          <w:rFonts w:eastAsia="Times New Roman"/>
        </w:rPr>
      </w:pPr>
      <w:r>
        <w:rPr>
          <w:rFonts w:eastAsia="Times New Roman"/>
          <w:color w:val="000000"/>
          <w:sz w:val="20"/>
          <w:szCs w:val="20"/>
        </w:rPr>
        <w:t>On February 2, 2022, the Company’s joint venture in FlatIron Crossing repl</w:t>
      </w:r>
      <w:r>
        <w:rPr>
          <w:rFonts w:eastAsia="Times New Roman"/>
          <w:color w:val="000000"/>
          <w:sz w:val="20"/>
          <w:szCs w:val="20"/>
        </w:rPr>
        <w:t>aced the existing $197,011 loan on the property with a new $175,000 loan that bears interest at the Secured Overnight Financing Rate ("SOFR") plus 3.70% and matures on February 9, 2025, including extension options. The loan is covered by an interest rate c</w:t>
      </w:r>
      <w:r>
        <w:rPr>
          <w:rFonts w:eastAsia="Times New Roman"/>
          <w:color w:val="000000"/>
          <w:sz w:val="20"/>
          <w:szCs w:val="20"/>
        </w:rPr>
        <w:t>ap agreement that effectively prevents SOFR from exceeding 4.0% through February 15, 2024.</w:t>
      </w:r>
    </w:p>
    <w:p w:rsidR="00000000" w:rsidRDefault="00BA6B82">
      <w:pPr>
        <w:jc w:val="center"/>
        <w:divId w:val="1491294241"/>
        <w:rPr>
          <w:rFonts w:eastAsia="Times New Roman"/>
        </w:rPr>
      </w:pPr>
      <w:r>
        <w:rPr>
          <w:rFonts w:eastAsia="Times New Roman"/>
          <w:color w:val="000000"/>
          <w:sz w:val="20"/>
          <w:szCs w:val="20"/>
        </w:rPr>
        <w:t>11</w:t>
      </w:r>
    </w:p>
    <w:p w:rsidR="00000000" w:rsidRDefault="00BA6B82">
      <w:pPr>
        <w:rPr>
          <w:rFonts w:eastAsia="Times New Roman"/>
        </w:rPr>
      </w:pPr>
      <w:r>
        <w:rPr>
          <w:rFonts w:eastAsia="Times New Roman"/>
        </w:rPr>
        <w:pict>
          <v:rect id="_x0000_i1035" style="width:0;height:1.5pt" o:hralign="center" o:hrstd="t" o:hr="t" fillcolor="#a0a0a0" stroked="f"/>
        </w:pict>
      </w:r>
    </w:p>
    <w:p w:rsidR="00000000" w:rsidRDefault="00BA6B82">
      <w:pPr>
        <w:jc w:val="center"/>
        <w:divId w:val="516891597"/>
        <w:rPr>
          <w:rFonts w:eastAsia="Times New Roman"/>
        </w:rPr>
      </w:pPr>
      <w:r>
        <w:rPr>
          <w:rFonts w:eastAsia="Times New Roman"/>
          <w:b/>
          <w:bCs/>
          <w:color w:val="000000"/>
          <w:sz w:val="20"/>
          <w:szCs w:val="20"/>
        </w:rPr>
        <w:t>THE MACERICH COMPANY</w:t>
      </w:r>
    </w:p>
    <w:p w:rsidR="00000000" w:rsidRDefault="00BA6B82">
      <w:pPr>
        <w:jc w:val="center"/>
        <w:divId w:val="1877086336"/>
        <w:rPr>
          <w:rFonts w:eastAsia="Times New Roman"/>
        </w:rPr>
      </w:pPr>
      <w:r>
        <w:rPr>
          <w:rFonts w:eastAsia="Times New Roman"/>
          <w:b/>
          <w:bCs/>
          <w:color w:val="000000"/>
          <w:sz w:val="20"/>
          <w:szCs w:val="20"/>
        </w:rPr>
        <w:t>NOTES TO CONSOLIDATED FINANCIAL STATEMENTS (Continued)</w:t>
      </w:r>
    </w:p>
    <w:p w:rsidR="00000000" w:rsidRDefault="00BA6B82">
      <w:pPr>
        <w:jc w:val="center"/>
        <w:divId w:val="477498773"/>
        <w:rPr>
          <w:rFonts w:eastAsia="Times New Roman"/>
        </w:rPr>
      </w:pPr>
      <w:r>
        <w:rPr>
          <w:rFonts w:eastAsia="Times New Roman"/>
          <w:b/>
          <w:bCs/>
          <w:color w:val="000000"/>
          <w:sz w:val="20"/>
          <w:szCs w:val="20"/>
        </w:rPr>
        <w:t>(Dollars in thousands, except per share and square</w:t>
      </w:r>
      <w:r>
        <w:rPr>
          <w:rFonts w:eastAsia="Times New Roman"/>
          <w:b/>
          <w:bCs/>
          <w:color w:val="000000"/>
          <w:sz w:val="20"/>
          <w:szCs w:val="20"/>
        </w:rPr>
        <w:t xml:space="preserve"> foot amounts)</w:t>
      </w:r>
    </w:p>
    <w:p w:rsidR="00000000" w:rsidRDefault="00BA6B82">
      <w:pPr>
        <w:jc w:val="center"/>
        <w:divId w:val="469249866"/>
        <w:rPr>
          <w:rFonts w:eastAsia="Times New Roman"/>
        </w:rPr>
      </w:pPr>
      <w:r>
        <w:rPr>
          <w:rFonts w:eastAsia="Times New Roman"/>
          <w:b/>
          <w:bCs/>
          <w:color w:val="000000"/>
          <w:sz w:val="20"/>
          <w:szCs w:val="20"/>
        </w:rPr>
        <w:t>(Unaudited)</w:t>
      </w:r>
    </w:p>
    <w:p w:rsidR="00000000" w:rsidRDefault="00BA6B82">
      <w:pPr>
        <w:divId w:val="901017985"/>
        <w:rPr>
          <w:rFonts w:eastAsia="Times New Roman"/>
        </w:rPr>
      </w:pPr>
      <w:r>
        <w:rPr>
          <w:rFonts w:eastAsia="Times New Roman"/>
          <w:b/>
          <w:bCs/>
          <w:color w:val="000000"/>
          <w:sz w:val="20"/>
          <w:szCs w:val="20"/>
        </w:rPr>
        <w:t>4. Investments in Unconsolidated Joint Ventures: (Continued)</w:t>
      </w:r>
    </w:p>
    <w:p w:rsidR="00000000" w:rsidRDefault="00BA6B82">
      <w:pPr>
        <w:ind w:firstLine="495"/>
        <w:divId w:val="1682315909"/>
        <w:rPr>
          <w:rFonts w:eastAsia="Times New Roman"/>
        </w:rPr>
      </w:pPr>
      <w:r>
        <w:rPr>
          <w:rFonts w:eastAsia="Times New Roman"/>
          <w:color w:val="000000"/>
          <w:sz w:val="20"/>
          <w:szCs w:val="20"/>
        </w:rPr>
        <w:t>For the three months ended March 31, 2022, the Company’s joint venture with Seritage Growth Properties (“MS Portfolio LLC”) recorded an impairment loss as a result of s</w:t>
      </w:r>
      <w:r>
        <w:rPr>
          <w:rFonts w:eastAsia="Times New Roman"/>
          <w:color w:val="000000"/>
          <w:sz w:val="20"/>
          <w:szCs w:val="20"/>
        </w:rPr>
        <w:t>hortening the holding periods on certain assets in the joint venture. The Company’s share of the loss was $30,426.</w:t>
      </w:r>
    </w:p>
    <w:p w:rsidR="00000000" w:rsidRDefault="00BA6B82">
      <w:pPr>
        <w:ind w:firstLine="495"/>
        <w:divId w:val="1624120355"/>
        <w:rPr>
          <w:rFonts w:eastAsia="Times New Roman"/>
        </w:rPr>
      </w:pPr>
      <w:r>
        <w:rPr>
          <w:rFonts w:eastAsia="Times New Roman"/>
          <w:color w:val="000000"/>
          <w:sz w:val="20"/>
          <w:szCs w:val="20"/>
        </w:rPr>
        <w:t>Combined and condensed balance sheets and statements of operations are presented below for all unconsolidated joint ventures.</w:t>
      </w:r>
    </w:p>
    <w:p w:rsidR="00000000" w:rsidRDefault="00BA6B82">
      <w:pPr>
        <w:ind w:firstLine="495"/>
        <w:divId w:val="1443261494"/>
        <w:rPr>
          <w:rFonts w:eastAsia="Times New Roman"/>
        </w:rPr>
      </w:pPr>
      <w:r>
        <w:rPr>
          <w:rFonts w:eastAsia="Times New Roman"/>
          <w:b/>
          <w:bCs/>
          <w:color w:val="000000"/>
          <w:sz w:val="20"/>
          <w:szCs w:val="20"/>
        </w:rPr>
        <w:t>Combined and Co</w:t>
      </w:r>
      <w:r>
        <w:rPr>
          <w:rFonts w:eastAsia="Times New Roman"/>
          <w:b/>
          <w:bCs/>
          <w:color w:val="000000"/>
          <w:sz w:val="20"/>
          <w:szCs w:val="20"/>
        </w:rPr>
        <w:t>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1443261494"/>
        </w:trPr>
        <w:tc>
          <w:tcPr>
            <w:tcW w:w="50" w:type="pct"/>
            <w:vAlign w:val="center"/>
            <w:hideMark/>
          </w:tcPr>
          <w:p w:rsidR="00000000" w:rsidRDefault="00BA6B82">
            <w:pPr>
              <w:ind w:firstLine="495"/>
              <w:rPr>
                <w:rFonts w:eastAsia="Times New Roman"/>
              </w:rPr>
            </w:pPr>
          </w:p>
        </w:tc>
        <w:tc>
          <w:tcPr>
            <w:tcW w:w="363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443261494"/>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443261494"/>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8,285,434 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8,289,412 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734,076 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750,629 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9,019,510 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5,650,351 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5,686,500 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416,675 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325,115 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1,579,559 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1,372,925 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1,390,314 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9,019,510 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443261494"/>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1,579,559 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(446,825)</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(448,149)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1,132,734 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Height w:val="300"/>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1443261494"/>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1,263,252 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1,317,571 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(130,518)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(127,608)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443261494"/>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1,132,734 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A6B82">
            <w:pPr>
              <w:ind w:firstLine="495"/>
              <w:rPr>
                <w:rFonts w:eastAsia="Times New Roman"/>
              </w:rPr>
            </w:pPr>
          </w:p>
        </w:tc>
        <w:tc>
          <w:tcPr>
            <w:tcW w:w="14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67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01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ind w:hanging="450"/>
        <w:divId w:val="516817194"/>
        <w:rPr>
          <w:rFonts w:eastAsia="Times New Roman"/>
        </w:rPr>
      </w:pPr>
      <w:r>
        <w:rPr>
          <w:rFonts w:eastAsia="Times New Roman"/>
          <w:color w:val="000000"/>
          <w:sz w:val="16"/>
          <w:szCs w:val="16"/>
        </w:rPr>
        <w:t xml:space="preserve">(1)     These amounts include assets of $2,747,217 and $2,789,568 </w:t>
      </w:r>
      <w:r>
        <w:rPr>
          <w:rFonts w:eastAsia="Times New Roman"/>
          <w:color w:val="000000"/>
          <w:sz w:val="16"/>
          <w:szCs w:val="16"/>
        </w:rPr>
        <w:t>of Pacific Premier Retail LLC (the "PPR Portfolio") as of March 31, 2022 and December 31, 2021, respectively, and liabilities of $1,653,762 and $1,661,110 of the PPR Portfolio as of March 31, 2022 and December 31, 2021, respectively.</w:t>
      </w:r>
    </w:p>
    <w:p w:rsidR="00000000" w:rsidRDefault="00BA6B82">
      <w:pPr>
        <w:ind w:hanging="450"/>
        <w:divId w:val="993097939"/>
        <w:rPr>
          <w:rFonts w:eastAsia="Times New Roman"/>
        </w:rPr>
      </w:pPr>
      <w:r>
        <w:rPr>
          <w:rFonts w:eastAsia="Times New Roman"/>
          <w:color w:val="000000"/>
          <w:sz w:val="16"/>
          <w:szCs w:val="16"/>
        </w:rPr>
        <w:t>(2)     The Company am</w:t>
      </w:r>
      <w:r>
        <w:rPr>
          <w:rFonts w:eastAsia="Times New Roman"/>
          <w:color w:val="000000"/>
          <w:sz w:val="16"/>
          <w:szCs w:val="16"/>
        </w:rPr>
        <w:t>ortizes the difference between the cost of its investments in unconsolidated joint ventures and the book value of the underlying equity into income on a straight-line basis consistent with the lives of the underlying assets. The amortization of this differ</w:t>
      </w:r>
      <w:r>
        <w:rPr>
          <w:rFonts w:eastAsia="Times New Roman"/>
          <w:color w:val="000000"/>
          <w:sz w:val="16"/>
          <w:szCs w:val="16"/>
        </w:rPr>
        <w:t>ence was $2,575 and $2,243 for the three months ended March 31, 2022 and 2021, respectively.</w:t>
      </w:r>
    </w:p>
    <w:p w:rsidR="00000000" w:rsidRDefault="00BA6B82">
      <w:pPr>
        <w:jc w:val="center"/>
        <w:divId w:val="1819608559"/>
        <w:rPr>
          <w:rFonts w:eastAsia="Times New Roman"/>
        </w:rPr>
      </w:pPr>
      <w:r>
        <w:rPr>
          <w:rFonts w:eastAsia="Times New Roman"/>
          <w:color w:val="000000"/>
          <w:sz w:val="20"/>
          <w:szCs w:val="20"/>
        </w:rPr>
        <w:t>12</w:t>
      </w:r>
    </w:p>
    <w:p w:rsidR="00000000" w:rsidRDefault="00BA6B82">
      <w:pPr>
        <w:rPr>
          <w:rFonts w:eastAsia="Times New Roman"/>
        </w:rPr>
      </w:pPr>
      <w:r>
        <w:rPr>
          <w:rFonts w:eastAsia="Times New Roman"/>
        </w:rPr>
        <w:pict>
          <v:rect id="_x0000_i1036" style="width:0;height:1.5pt" o:hralign="center" o:hrstd="t" o:hr="t" fillcolor="#a0a0a0" stroked="f"/>
        </w:pict>
      </w:r>
    </w:p>
    <w:p w:rsidR="00000000" w:rsidRDefault="00BA6B82">
      <w:pPr>
        <w:divId w:val="369498691"/>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430318460"/>
        <w:rPr>
          <w:rFonts w:eastAsia="Times New Roman"/>
        </w:rPr>
      </w:pPr>
      <w:r>
        <w:rPr>
          <w:rFonts w:eastAsia="Times New Roman"/>
          <w:b/>
          <w:bCs/>
          <w:color w:val="000000"/>
          <w:sz w:val="20"/>
          <w:szCs w:val="20"/>
        </w:rPr>
        <w:t>THE MACERICH COMPANY</w:t>
      </w:r>
    </w:p>
    <w:p w:rsidR="00000000" w:rsidRDefault="00BA6B82">
      <w:pPr>
        <w:jc w:val="center"/>
        <w:divId w:val="1811291451"/>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 (Continued)</w:t>
      </w:r>
    </w:p>
    <w:p w:rsidR="00000000" w:rsidRDefault="00BA6B82">
      <w:pPr>
        <w:jc w:val="center"/>
        <w:divId w:val="1658414178"/>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548495537"/>
        <w:rPr>
          <w:rFonts w:eastAsia="Times New Roman"/>
        </w:rPr>
      </w:pPr>
      <w:r>
        <w:rPr>
          <w:rFonts w:eastAsia="Times New Roman"/>
          <w:b/>
          <w:bCs/>
          <w:color w:val="000000"/>
          <w:sz w:val="20"/>
          <w:szCs w:val="20"/>
        </w:rPr>
        <w:t>(Unaudited)</w:t>
      </w:r>
    </w:p>
    <w:p w:rsidR="00000000" w:rsidRDefault="00BA6B82">
      <w:pPr>
        <w:divId w:val="333655200"/>
        <w:rPr>
          <w:rFonts w:eastAsia="Times New Roman"/>
        </w:rPr>
      </w:pPr>
      <w:r>
        <w:rPr>
          <w:rFonts w:eastAsia="Times New Roman"/>
          <w:b/>
          <w:bCs/>
          <w:color w:val="000000"/>
          <w:sz w:val="20"/>
          <w:szCs w:val="20"/>
        </w:rPr>
        <w:t>4. Investments in Unconsolidated Joint Ventures: (Continued)</w:t>
      </w:r>
    </w:p>
    <w:p w:rsidR="00000000" w:rsidRDefault="00BA6B82">
      <w:pPr>
        <w:ind w:firstLine="495"/>
        <w:divId w:val="868757306"/>
        <w:rPr>
          <w:rFonts w:eastAsia="Times New Roman"/>
        </w:rPr>
      </w:pPr>
      <w:r>
        <w:rPr>
          <w:rFonts w:eastAsia="Times New Roman"/>
          <w:b/>
          <w:bCs/>
          <w:color w:val="000000"/>
          <w:sz w:val="20"/>
          <w:szCs w:val="20"/>
        </w:rPr>
        <w:t>Combined and Condensed Statements of Operations of Unconsolidated Joint Ventures:</w:t>
      </w:r>
    </w:p>
    <w:p w:rsidR="00000000" w:rsidRDefault="00BA6B82">
      <w:pPr>
        <w:ind w:firstLine="495"/>
        <w:divId w:val="1371295409"/>
        <w:rPr>
          <w:rFonts w:eastAsia="Times New Roman"/>
        </w:rPr>
      </w:pPr>
    </w:p>
    <w:p w:rsidR="00000000" w:rsidRDefault="00BA6B82">
      <w:pPr>
        <w:ind w:firstLine="495"/>
        <w:divId w:val="1785878307"/>
        <w:rPr>
          <w:rFonts w:eastAsia="Times New Roman"/>
        </w:rPr>
      </w:pP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trPr>
          <w:jc w:val="center"/>
        </w:trPr>
        <w:tc>
          <w:tcPr>
            <w:tcW w:w="50" w:type="pct"/>
            <w:vAlign w:val="center"/>
            <w:hideMark/>
          </w:tcPr>
          <w:p w:rsidR="00000000" w:rsidRDefault="00BA6B82">
            <w:pPr>
              <w:ind w:firstLine="495"/>
              <w:rPr>
                <w:rFonts w:eastAsia="Times New Roman"/>
              </w:rPr>
            </w:pPr>
          </w:p>
        </w:tc>
        <w:tc>
          <w:tcPr>
            <w:tcW w:w="265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i/>
                <w:iCs/>
                <w:color w:val="000000"/>
                <w:sz w:val="20"/>
                <w:szCs w:val="20"/>
              </w:rPr>
              <w:t>Three Months Ended March 31,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43,850 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155,166 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199,016 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7,340 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7,403 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43,913 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162,506 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206,419 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10,719 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57,865 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68,584 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1,321 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15,372 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35,746 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51,118 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24,276 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65,177 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89,453 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50,836 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160,109 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210,945 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(58,691)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(58,691)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(6,923)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(56,294)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(63,217)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(27,305)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(29,097)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i/>
                <w:iCs/>
                <w:color w:val="000000"/>
                <w:sz w:val="20"/>
                <w:szCs w:val="20"/>
              </w:rPr>
              <w:t>Three Months Ended March 31, 2021</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36,771 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149,319 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186,090 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16,965 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17,059 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166,284 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203,149 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9,365 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58,842 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68,207 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1,353 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15,803 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37,213 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53,016 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24,307 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66,540 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90,847 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49,878 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163,948 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(10,623)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(5,507)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7,417 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1,910 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hanging="450"/>
        <w:divId w:val="1393653352"/>
        <w:rPr>
          <w:rFonts w:eastAsia="Times New Roman"/>
        </w:rPr>
      </w:pPr>
    </w:p>
    <w:p w:rsidR="00000000" w:rsidRDefault="00BA6B82">
      <w:pPr>
        <w:ind w:firstLine="495"/>
        <w:divId w:val="662202777"/>
        <w:rPr>
          <w:rFonts w:eastAsia="Times New Roman"/>
        </w:rPr>
      </w:pPr>
      <w:r>
        <w:rPr>
          <w:rFonts w:eastAsia="Times New Roman"/>
          <w:color w:val="000000"/>
          <w:sz w:val="20"/>
          <w:szCs w:val="20"/>
        </w:rPr>
        <w:t>Significant accounting policies used by the unconsolidated joint ventures are similar to those used by the Company.</w:t>
      </w:r>
    </w:p>
    <w:p w:rsidR="00000000" w:rsidRDefault="00BA6B82">
      <w:pPr>
        <w:ind w:firstLine="495"/>
        <w:divId w:val="902788352"/>
        <w:rPr>
          <w:rFonts w:eastAsia="Times New Roman"/>
        </w:rPr>
      </w:pPr>
    </w:p>
    <w:p w:rsidR="00000000" w:rsidRDefault="00BA6B82">
      <w:pPr>
        <w:jc w:val="center"/>
        <w:divId w:val="850989037"/>
        <w:rPr>
          <w:rFonts w:eastAsia="Times New Roman"/>
        </w:rPr>
      </w:pPr>
      <w:r>
        <w:rPr>
          <w:rFonts w:eastAsia="Times New Roman"/>
          <w:color w:val="000000"/>
          <w:sz w:val="20"/>
          <w:szCs w:val="20"/>
        </w:rPr>
        <w:t>13</w:t>
      </w:r>
    </w:p>
    <w:p w:rsidR="00000000" w:rsidRDefault="00BA6B82">
      <w:pPr>
        <w:rPr>
          <w:rFonts w:eastAsia="Times New Roman"/>
        </w:rPr>
      </w:pPr>
      <w:r>
        <w:rPr>
          <w:rFonts w:eastAsia="Times New Roman"/>
        </w:rPr>
        <w:pict>
          <v:rect id="_x0000_i1037" style="width:0;height:1.5pt" o:hralign="center" o:hrstd="t" o:hr="t" fillcolor="#a0a0a0" stroked="f"/>
        </w:pict>
      </w:r>
    </w:p>
    <w:p w:rsidR="00000000" w:rsidRDefault="00BA6B82">
      <w:pPr>
        <w:divId w:val="164785593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1688822012"/>
        <w:rPr>
          <w:rFonts w:eastAsia="Times New Roman"/>
        </w:rPr>
      </w:pPr>
      <w:r>
        <w:rPr>
          <w:rFonts w:eastAsia="Times New Roman"/>
          <w:b/>
          <w:bCs/>
          <w:color w:val="000000"/>
          <w:sz w:val="20"/>
          <w:szCs w:val="20"/>
        </w:rPr>
        <w:t>THE MACERICH COMPANY</w:t>
      </w:r>
    </w:p>
    <w:p w:rsidR="00000000" w:rsidRDefault="00BA6B82">
      <w:pPr>
        <w:jc w:val="center"/>
        <w:divId w:val="928152573"/>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274365496"/>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791582181"/>
        <w:rPr>
          <w:rFonts w:eastAsia="Times New Roman"/>
        </w:rPr>
      </w:pPr>
      <w:r>
        <w:rPr>
          <w:rFonts w:eastAsia="Times New Roman"/>
          <w:b/>
          <w:bCs/>
          <w:color w:val="000000"/>
          <w:sz w:val="20"/>
          <w:szCs w:val="20"/>
        </w:rPr>
        <w:t>(Unaudited)</w:t>
      </w:r>
    </w:p>
    <w:p w:rsidR="00000000" w:rsidRDefault="00BA6B82">
      <w:pPr>
        <w:divId w:val="465976471"/>
        <w:rPr>
          <w:rFonts w:eastAsia="Times New Roman"/>
        </w:rPr>
      </w:pPr>
      <w:r>
        <w:rPr>
          <w:rFonts w:eastAsia="Times New Roman"/>
          <w:b/>
          <w:bCs/>
          <w:color w:val="000000"/>
          <w:sz w:val="20"/>
          <w:szCs w:val="20"/>
        </w:rPr>
        <w:t>5. Derivative I</w:t>
      </w:r>
      <w:r>
        <w:rPr>
          <w:rFonts w:eastAsia="Times New Roman"/>
          <w:b/>
          <w:bCs/>
          <w:color w:val="000000"/>
          <w:sz w:val="20"/>
          <w:szCs w:val="20"/>
        </w:rPr>
        <w:t>nstruments and Hedging Activities:</w:t>
      </w:r>
    </w:p>
    <w:p w:rsidR="00000000" w:rsidRDefault="00BA6B82">
      <w:pPr>
        <w:ind w:firstLine="495"/>
        <w:divId w:val="206451451"/>
        <w:rPr>
          <w:rFonts w:eastAsia="Times New Roman"/>
        </w:rPr>
      </w:pPr>
      <w:r>
        <w:rPr>
          <w:rFonts w:eastAsia="Times New Roman"/>
          <w:color w:val="000000"/>
          <w:sz w:val="20"/>
          <w:szCs w:val="20"/>
        </w:rPr>
        <w:t>The Company uses an interest rate cap agreement to manage the interest rate risk on certain floating rate debt. The Company recorded other comprehensive income related to the marking-to-market of derivative instruments of</w:t>
      </w:r>
      <w:r>
        <w:rPr>
          <w:rFonts w:eastAsia="Times New Roman"/>
          <w:color w:val="000000"/>
          <w:sz w:val="20"/>
          <w:szCs w:val="20"/>
        </w:rPr>
        <w:t xml:space="preserve"> $31 and $2,694 for the three months ended March 31, 2022 and 2021, respectively. </w:t>
      </w:r>
    </w:p>
    <w:p w:rsidR="00000000" w:rsidRDefault="00BA6B82">
      <w:pPr>
        <w:ind w:firstLine="495"/>
        <w:divId w:val="295843227"/>
        <w:rPr>
          <w:rFonts w:eastAsia="Times New Roman"/>
        </w:rPr>
      </w:pPr>
      <w:r>
        <w:rPr>
          <w:rFonts w:eastAsia="Times New Roman"/>
          <w:color w:val="000000"/>
          <w:sz w:val="20"/>
          <w:szCs w:val="20"/>
        </w:rPr>
        <w:t>The following derivative was outstanding at March 31, 2022:</w:t>
      </w:r>
    </w:p>
    <w:tbl>
      <w:tblPr>
        <w:tblW w:w="4261" w:type="pct"/>
        <w:tblCellMar>
          <w:top w:w="15" w:type="dxa"/>
          <w:left w:w="15" w:type="dxa"/>
          <w:bottom w:w="15" w:type="dxa"/>
          <w:right w:w="15" w:type="dxa"/>
        </w:tblCellMar>
        <w:tblLook w:val="04A0" w:firstRow="1" w:lastRow="0" w:firstColumn="1" w:lastColumn="0" w:noHBand="0" w:noVBand="1"/>
      </w:tblPr>
      <w:tblGrid>
        <w:gridCol w:w="37"/>
        <w:gridCol w:w="1737"/>
        <w:gridCol w:w="36"/>
        <w:gridCol w:w="36"/>
        <w:gridCol w:w="36"/>
        <w:gridCol w:w="36"/>
        <w:gridCol w:w="110"/>
        <w:gridCol w:w="767"/>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1"/>
        <w:gridCol w:w="541"/>
        <w:gridCol w:w="36"/>
        <w:gridCol w:w="36"/>
        <w:gridCol w:w="36"/>
        <w:gridCol w:w="36"/>
        <w:gridCol w:w="111"/>
        <w:gridCol w:w="730"/>
        <w:gridCol w:w="36"/>
      </w:tblGrid>
      <w:tr w:rsidR="00000000">
        <w:trPr>
          <w:divId w:val="295843227"/>
        </w:trPr>
        <w:tc>
          <w:tcPr>
            <w:tcW w:w="50" w:type="pct"/>
            <w:vAlign w:val="center"/>
            <w:hideMark/>
          </w:tcPr>
          <w:p w:rsidR="00000000" w:rsidRDefault="00BA6B82">
            <w:pPr>
              <w:ind w:firstLine="495"/>
              <w:rPr>
                <w:rFonts w:eastAsia="Times New Roman"/>
              </w:rPr>
            </w:pPr>
          </w:p>
        </w:tc>
        <w:tc>
          <w:tcPr>
            <w:tcW w:w="129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0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3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5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9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9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95843227"/>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Fair Value</w:t>
            </w:r>
          </w:p>
        </w:tc>
      </w:tr>
      <w:tr w:rsidR="00000000">
        <w:trPr>
          <w:divId w:val="295843227"/>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29584322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8"/>
                <w:szCs w:val="18"/>
              </w:rPr>
              <w:t>12/9/2022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95843227"/>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bl>
    <w:p w:rsidR="00000000" w:rsidRDefault="00BA6B82">
      <w:pPr>
        <w:ind w:firstLine="495"/>
        <w:divId w:val="273221056"/>
        <w:rPr>
          <w:rFonts w:eastAsia="Times New Roman"/>
        </w:rPr>
      </w:pPr>
      <w:r>
        <w:rPr>
          <w:rFonts w:eastAsia="Times New Roman"/>
          <w:color w:val="000000"/>
          <w:sz w:val="20"/>
          <w:szCs w:val="20"/>
        </w:rPr>
        <w:t>The above derivative was valued with an aggregate fair value (Level 2 measurement) and was included in other accrued liabilities. The fair value of the Company's interest rate derivative was determined using discounted cash flow analysis on the expected ca</w:t>
      </w:r>
      <w:r>
        <w:rPr>
          <w:rFonts w:eastAsia="Times New Roman"/>
          <w:color w:val="000000"/>
          <w:sz w:val="20"/>
          <w:szCs w:val="20"/>
        </w:rPr>
        <w:t xml:space="preserve">sh flows of the derivative. This analysis reflects the contractual terms of the derivative, including the period to maturity, and uses observable market-based inputs, including interest rate curves and implied volatilities. The Company incorporates credit </w:t>
      </w:r>
      <w:r>
        <w:rPr>
          <w:rFonts w:eastAsia="Times New Roman"/>
          <w:color w:val="000000"/>
          <w:sz w:val="20"/>
          <w:szCs w:val="20"/>
        </w:rPr>
        <w:t>valuation adjustments to appropriately reflect both its own nonperformance risk and the respective counterparty's nonperformance risk in the fair value measurements.</w:t>
      </w:r>
    </w:p>
    <w:p w:rsidR="00000000" w:rsidRDefault="00BA6B82">
      <w:pPr>
        <w:ind w:firstLine="495"/>
        <w:divId w:val="280695960"/>
        <w:rPr>
          <w:rFonts w:eastAsia="Times New Roman"/>
        </w:rPr>
      </w:pPr>
      <w:r>
        <w:rPr>
          <w:rFonts w:eastAsia="Times New Roman"/>
          <w:color w:val="000000"/>
          <w:sz w:val="20"/>
          <w:szCs w:val="20"/>
        </w:rPr>
        <w:t>Although the Company has determined that the majority of the inputs used to value its deri</w:t>
      </w:r>
      <w:r>
        <w:rPr>
          <w:rFonts w:eastAsia="Times New Roman"/>
          <w:color w:val="000000"/>
          <w:sz w:val="20"/>
          <w:szCs w:val="20"/>
        </w:rPr>
        <w:t>vative fall within Level 2 of the fair value hierarchy, the credit valuation adjustments associated with its derivatives utilize Level 3 inputs, such as estimates of current credit spreads, to evaluate the likelihood of default by the Company and its count</w:t>
      </w:r>
      <w:r>
        <w:rPr>
          <w:rFonts w:eastAsia="Times New Roman"/>
          <w:color w:val="000000"/>
          <w:sz w:val="20"/>
          <w:szCs w:val="20"/>
        </w:rPr>
        <w:t>erparties. The Company has assessed the significance of the impact of the credit valuation adjustments on the overall valuation of its derivative positions and has determined that the credit valuation adjustments are not significant to the overall valuatio</w:t>
      </w:r>
      <w:r>
        <w:rPr>
          <w:rFonts w:eastAsia="Times New Roman"/>
          <w:color w:val="000000"/>
          <w:sz w:val="20"/>
          <w:szCs w:val="20"/>
        </w:rPr>
        <w:t>n of its interest rate swap. As a result, the Company determined that its interest rate cap valuation in its entirety is classified in Level 2 of the fair value hierarchy.</w:t>
      </w:r>
    </w:p>
    <w:p w:rsidR="00000000" w:rsidRDefault="00BA6B82">
      <w:pPr>
        <w:divId w:val="344140634"/>
        <w:rPr>
          <w:rFonts w:eastAsia="Times New Roman"/>
        </w:rPr>
      </w:pPr>
      <w:r>
        <w:rPr>
          <w:rFonts w:eastAsia="Times New Roman"/>
          <w:b/>
          <w:bCs/>
          <w:color w:val="000000"/>
          <w:sz w:val="20"/>
          <w:szCs w:val="20"/>
        </w:rPr>
        <w:t>6. Property, net:</w:t>
      </w:r>
    </w:p>
    <w:p w:rsidR="00000000" w:rsidRDefault="00BA6B82">
      <w:pPr>
        <w:ind w:firstLine="495"/>
        <w:divId w:val="960919383"/>
        <w:rPr>
          <w:rFonts w:eastAsia="Times New Roman"/>
        </w:rPr>
      </w:pPr>
      <w:r>
        <w:rPr>
          <w:rFonts w:eastAsia="Times New Roman"/>
          <w:color w:val="000000"/>
          <w:sz w:val="20"/>
          <w:szCs w:val="20"/>
        </w:rPr>
        <w:t>Property, net consists of the following: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trPr>
          <w:divId w:val="336276133"/>
        </w:trPr>
        <w:tc>
          <w:tcPr>
            <w:tcW w:w="50" w:type="pct"/>
            <w:vAlign w:val="center"/>
            <w:hideMark/>
          </w:tcPr>
          <w:p w:rsidR="00000000" w:rsidRDefault="00BA6B82">
            <w:pPr>
              <w:ind w:firstLine="495"/>
              <w:rPr>
                <w:rFonts w:eastAsia="Times New Roman"/>
              </w:rPr>
            </w:pPr>
          </w:p>
        </w:tc>
        <w:tc>
          <w:tcPr>
            <w:tcW w:w="34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336276133"/>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336276133"/>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1,433,989 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1,441,858 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6,341,408 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6,306,764 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690,166 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685,242 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190,498 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191,266 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191,208 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222,420 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8,847,269 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(2,623,285)</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(2,563,344)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336276133"/>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6,223,984 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6,284,206 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hanging="540"/>
        <w:divId w:val="202325056"/>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March 31, 2022 and December 31, 2021 (See Note 8—Leases). </w:t>
      </w:r>
    </w:p>
    <w:p w:rsidR="00000000" w:rsidRDefault="00BA6B82">
      <w:pPr>
        <w:ind w:firstLine="495"/>
        <w:divId w:val="1983777028"/>
        <w:rPr>
          <w:rFonts w:eastAsia="Times New Roman"/>
        </w:rPr>
      </w:pPr>
      <w:r>
        <w:rPr>
          <w:rFonts w:eastAsia="Times New Roman"/>
          <w:color w:val="000000"/>
          <w:sz w:val="20"/>
          <w:szCs w:val="20"/>
        </w:rPr>
        <w:t>Depreciation expense was $67,786 and $71,664 for the three months ended March 31, 2022 and 2021, respectively.</w:t>
      </w:r>
    </w:p>
    <w:p w:rsidR="00000000" w:rsidRDefault="00BA6B82">
      <w:pPr>
        <w:ind w:firstLine="495"/>
        <w:divId w:val="1615014652"/>
        <w:rPr>
          <w:rFonts w:eastAsia="Times New Roman"/>
        </w:rPr>
      </w:pPr>
    </w:p>
    <w:p w:rsidR="00000000" w:rsidRDefault="00BA6B82">
      <w:pPr>
        <w:ind w:firstLine="495"/>
        <w:divId w:val="581109107"/>
        <w:rPr>
          <w:rFonts w:eastAsia="Times New Roman"/>
        </w:rPr>
      </w:pPr>
    </w:p>
    <w:p w:rsidR="00000000" w:rsidRDefault="00BA6B82">
      <w:pPr>
        <w:ind w:firstLine="495"/>
        <w:divId w:val="385297997"/>
        <w:rPr>
          <w:rFonts w:eastAsia="Times New Roman"/>
        </w:rPr>
      </w:pPr>
    </w:p>
    <w:p w:rsidR="00000000" w:rsidRDefault="00BA6B82">
      <w:pPr>
        <w:jc w:val="center"/>
        <w:divId w:val="1653482828"/>
        <w:rPr>
          <w:rFonts w:eastAsia="Times New Roman"/>
        </w:rPr>
      </w:pPr>
      <w:r>
        <w:rPr>
          <w:rFonts w:eastAsia="Times New Roman"/>
          <w:color w:val="000000"/>
          <w:sz w:val="20"/>
          <w:szCs w:val="20"/>
        </w:rPr>
        <w:t>14</w:t>
      </w:r>
    </w:p>
    <w:p w:rsidR="00000000" w:rsidRDefault="00BA6B82">
      <w:pPr>
        <w:rPr>
          <w:rFonts w:eastAsia="Times New Roman"/>
        </w:rPr>
      </w:pPr>
      <w:r>
        <w:rPr>
          <w:rFonts w:eastAsia="Times New Roman"/>
        </w:rPr>
        <w:pict>
          <v:rect id="_x0000_i1038" style="width:0;height:1.5pt" o:hralign="center" o:hrstd="t" o:hr="t" fillcolor="#a0a0a0" stroked="f"/>
        </w:pict>
      </w:r>
    </w:p>
    <w:p w:rsidR="00000000" w:rsidRDefault="00BA6B82">
      <w:pPr>
        <w:divId w:val="119179507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1263338782"/>
        <w:rPr>
          <w:rFonts w:eastAsia="Times New Roman"/>
        </w:rPr>
      </w:pPr>
      <w:r>
        <w:rPr>
          <w:rFonts w:eastAsia="Times New Roman"/>
          <w:b/>
          <w:bCs/>
          <w:color w:val="000000"/>
          <w:sz w:val="20"/>
          <w:szCs w:val="20"/>
        </w:rPr>
        <w:t>THE MACERICH COMPANY</w:t>
      </w:r>
    </w:p>
    <w:p w:rsidR="00000000" w:rsidRDefault="00BA6B82">
      <w:pPr>
        <w:jc w:val="center"/>
        <w:divId w:val="1656642830"/>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980568206"/>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548178132"/>
        <w:rPr>
          <w:rFonts w:eastAsia="Times New Roman"/>
        </w:rPr>
      </w:pPr>
      <w:r>
        <w:rPr>
          <w:rFonts w:eastAsia="Times New Roman"/>
          <w:b/>
          <w:bCs/>
          <w:color w:val="000000"/>
          <w:sz w:val="20"/>
          <w:szCs w:val="20"/>
        </w:rPr>
        <w:t>(Unaudited)</w:t>
      </w:r>
    </w:p>
    <w:p w:rsidR="00000000" w:rsidRDefault="00BA6B82">
      <w:pPr>
        <w:divId w:val="565650483"/>
        <w:rPr>
          <w:rFonts w:eastAsia="Times New Roman"/>
        </w:rPr>
      </w:pPr>
      <w:r>
        <w:rPr>
          <w:rFonts w:eastAsia="Times New Roman"/>
          <w:b/>
          <w:bCs/>
          <w:color w:val="000000"/>
          <w:sz w:val="20"/>
          <w:szCs w:val="20"/>
        </w:rPr>
        <w:t>6. Property, net: (Continued)</w:t>
      </w:r>
    </w:p>
    <w:p w:rsidR="00000000" w:rsidRDefault="00BA6B82">
      <w:pPr>
        <w:divId w:val="1155075500"/>
        <w:rPr>
          <w:rFonts w:eastAsia="Times New Roman"/>
        </w:rPr>
      </w:pPr>
    </w:p>
    <w:p w:rsidR="00000000" w:rsidRDefault="00BA6B82">
      <w:pPr>
        <w:ind w:firstLine="495"/>
        <w:divId w:val="1616252291"/>
        <w:rPr>
          <w:rFonts w:eastAsia="Times New Roman"/>
        </w:rPr>
      </w:pPr>
      <w:r>
        <w:rPr>
          <w:rFonts w:eastAsia="Times New Roman"/>
          <w:color w:val="000000"/>
          <w:sz w:val="20"/>
          <w:szCs w:val="20"/>
        </w:rPr>
        <w:t>Gain (loss) on sale or write-down of assets, net for the three months e</w:t>
      </w:r>
      <w:r>
        <w:rPr>
          <w:rFonts w:eastAsia="Times New Roman"/>
          <w:color w:val="000000"/>
          <w:sz w:val="20"/>
          <w:szCs w:val="20"/>
        </w:rPr>
        <w:t>nded March 31, 2022 and 2021 consist of the following:</w:t>
      </w:r>
    </w:p>
    <w:tbl>
      <w:tblPr>
        <w:tblW w:w="3479" w:type="pct"/>
        <w:tblCellMar>
          <w:top w:w="15" w:type="dxa"/>
          <w:left w:w="15" w:type="dxa"/>
          <w:bottom w:w="15" w:type="dxa"/>
          <w:right w:w="15" w:type="dxa"/>
        </w:tblCellMar>
        <w:tblLook w:val="04A0" w:firstRow="1" w:lastRow="0" w:firstColumn="1" w:lastColumn="0" w:noHBand="0" w:noVBand="1"/>
      </w:tblPr>
      <w:tblGrid>
        <w:gridCol w:w="37"/>
        <w:gridCol w:w="3712"/>
        <w:gridCol w:w="36"/>
        <w:gridCol w:w="36"/>
        <w:gridCol w:w="36"/>
        <w:gridCol w:w="36"/>
        <w:gridCol w:w="36"/>
        <w:gridCol w:w="36"/>
        <w:gridCol w:w="36"/>
        <w:gridCol w:w="36"/>
        <w:gridCol w:w="120"/>
        <w:gridCol w:w="638"/>
        <w:gridCol w:w="36"/>
        <w:gridCol w:w="36"/>
        <w:gridCol w:w="36"/>
        <w:gridCol w:w="36"/>
        <w:gridCol w:w="120"/>
        <w:gridCol w:w="684"/>
        <w:gridCol w:w="36"/>
      </w:tblGrid>
      <w:tr w:rsidR="00000000">
        <w:trPr>
          <w:divId w:val="1510948141"/>
        </w:trPr>
        <w:tc>
          <w:tcPr>
            <w:tcW w:w="50" w:type="pct"/>
            <w:vAlign w:val="center"/>
            <w:hideMark/>
          </w:tcPr>
          <w:p w:rsidR="00000000" w:rsidRDefault="00BA6B82">
            <w:pPr>
              <w:ind w:firstLine="495"/>
              <w:rPr>
                <w:rFonts w:eastAsia="Times New Roman"/>
              </w:rPr>
            </w:pPr>
          </w:p>
        </w:tc>
        <w:tc>
          <w:tcPr>
            <w:tcW w:w="339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6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4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6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4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510948141"/>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1510948141"/>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1510948141"/>
        </w:trPr>
        <w:tc>
          <w:tcPr>
            <w:tcW w:w="0" w:type="auto"/>
            <w:gridSpan w:val="3"/>
            <w:vAlign w:val="center"/>
            <w:hideMark/>
          </w:tcPr>
          <w:p w:rsidR="00000000" w:rsidRDefault="00BA6B82">
            <w:pPr>
              <w:spacing w:after="100"/>
              <w:jc w:val="center"/>
              <w:rPr>
                <w:rFonts w:eastAsia="Times New Roman"/>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51094814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Gain on property sales, net(1)</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1094814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Loss on write-down of assets(2)</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(8,629)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(29,608)</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10948141"/>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51094814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Gain on land sales, net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15,082 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4,096 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10948141"/>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(21,283)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hanging="450"/>
        <w:divId w:val="1920094770"/>
        <w:rPr>
          <w:rFonts w:eastAsia="Times New Roman"/>
        </w:rPr>
      </w:pPr>
      <w:r>
        <w:rPr>
          <w:rFonts w:eastAsia="Times New Roman"/>
          <w:color w:val="000000"/>
          <w:sz w:val="16"/>
          <w:szCs w:val="16"/>
        </w:rPr>
        <w:t>(1)    Includes $4,229 of gain related to the sale of Paradise Valley Mall (See Note 15-Dispositions).</w:t>
      </w:r>
    </w:p>
    <w:p w:rsidR="00000000" w:rsidRDefault="00BA6B82">
      <w:pPr>
        <w:ind w:hanging="450"/>
        <w:divId w:val="1951086721"/>
        <w:rPr>
          <w:rFonts w:eastAsia="Times New Roman"/>
        </w:rPr>
      </w:pPr>
      <w:r>
        <w:rPr>
          <w:rFonts w:eastAsia="Times New Roman"/>
          <w:color w:val="000000"/>
          <w:sz w:val="16"/>
          <w:szCs w:val="16"/>
        </w:rPr>
        <w:t xml:space="preserve">(2)    Includes impairment loss of $5,492 </w:t>
      </w:r>
      <w:r>
        <w:rPr>
          <w:rFonts w:eastAsia="Times New Roman"/>
          <w:color w:val="000000"/>
          <w:sz w:val="16"/>
          <w:szCs w:val="16"/>
        </w:rPr>
        <w:t>relating to the Company's investment in MS Portfolio LLC (See Note 4-Investments in Unconsolidated Joint Ventures) during the three months ended March 31, 2022 and impairment loss of $27,281 on Estrella Falls during the three months ended March 31, 2021. T</w:t>
      </w:r>
      <w:r>
        <w:rPr>
          <w:rFonts w:eastAsia="Times New Roman"/>
          <w:color w:val="000000"/>
          <w:sz w:val="16"/>
          <w:szCs w:val="16"/>
        </w:rPr>
        <w:t>he impairment losses were due to the reduction of the estimated holding periods of the properties. The remaining amounts for the three months ended March 31, 2022 and 2021 mainly pertain to the write off of development costs.</w:t>
      </w:r>
    </w:p>
    <w:p w:rsidR="00000000" w:rsidRDefault="00BA6B82">
      <w:pPr>
        <w:ind w:hanging="450"/>
        <w:divId w:val="1111626987"/>
        <w:rPr>
          <w:rFonts w:eastAsia="Times New Roman"/>
        </w:rPr>
      </w:pPr>
    </w:p>
    <w:p w:rsidR="00000000" w:rsidRDefault="00BA6B82">
      <w:pPr>
        <w:ind w:firstLine="720"/>
        <w:divId w:val="2129664484"/>
        <w:rPr>
          <w:rFonts w:eastAsia="Times New Roman"/>
        </w:rPr>
      </w:pPr>
      <w:r>
        <w:rPr>
          <w:rFonts w:eastAsia="Times New Roman"/>
          <w:color w:val="000000"/>
          <w:sz w:val="20"/>
          <w:szCs w:val="20"/>
        </w:rPr>
        <w:t>The following table summariz</w:t>
      </w:r>
      <w:r>
        <w:rPr>
          <w:rFonts w:eastAsia="Times New Roman"/>
          <w:color w:val="000000"/>
          <w:sz w:val="20"/>
          <w:szCs w:val="20"/>
        </w:rPr>
        <w:t>es certain of the Company's assets that were measured on a nonrecurring basis as a result of the impairment losses recorded for the three months ended March 31, 2022 and 2021,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trPr>
          <w:divId w:val="2129664484"/>
        </w:trPr>
        <w:tc>
          <w:tcPr>
            <w:tcW w:w="50" w:type="pct"/>
            <w:vAlign w:val="center"/>
            <w:hideMark/>
          </w:tcPr>
          <w:p w:rsidR="00000000" w:rsidRDefault="00BA6B82">
            <w:pPr>
              <w:ind w:firstLine="720"/>
              <w:rPr>
                <w:rFonts w:eastAsia="Times New Roman"/>
              </w:rPr>
            </w:pPr>
          </w:p>
        </w:tc>
        <w:tc>
          <w:tcPr>
            <w:tcW w:w="145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7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5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129664484"/>
          <w:trHeight w:val="880"/>
        </w:trPr>
        <w:tc>
          <w:tcPr>
            <w:tcW w:w="0" w:type="auto"/>
            <w:gridSpan w:val="3"/>
            <w:vMerge w:val="restart"/>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Significant Unobservable Inputs</w:t>
            </w:r>
          </w:p>
        </w:tc>
      </w:tr>
      <w:tr w:rsidR="00000000">
        <w:trPr>
          <w:divId w:val="2129664484"/>
          <w:trHeight w:val="300"/>
        </w:trPr>
        <w:tc>
          <w:tcPr>
            <w:tcW w:w="0" w:type="auto"/>
            <w:gridSpan w:val="3"/>
            <w:vMerge/>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vMerge/>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(Level 3)</w:t>
            </w:r>
          </w:p>
        </w:tc>
      </w:tr>
      <w:tr w:rsidR="00000000">
        <w:trPr>
          <w:divId w:val="2129664484"/>
        </w:trPr>
        <w:tc>
          <w:tcPr>
            <w:tcW w:w="0" w:type="auto"/>
            <w:gridSpan w:val="3"/>
            <w:vAlign w:val="center"/>
            <w:hideMark/>
          </w:tcPr>
          <w:p w:rsidR="00000000" w:rsidRDefault="00BA6B82">
            <w:pPr>
              <w:spacing w:after="100"/>
              <w:jc w:val="center"/>
              <w:rPr>
                <w:rFonts w:eastAsia="Times New Roman"/>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129664484"/>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March 31, 2022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29664484"/>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2129664484"/>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bl>
    <w:p w:rsidR="00000000" w:rsidRDefault="00BA6B82">
      <w:pPr>
        <w:ind w:firstLine="495"/>
        <w:divId w:val="1539049246"/>
        <w:rPr>
          <w:rFonts w:eastAsia="Times New Roman"/>
        </w:rPr>
      </w:pPr>
      <w:r>
        <w:rPr>
          <w:rFonts w:eastAsia="Times New Roman"/>
          <w:color w:val="000000"/>
          <w:sz w:val="20"/>
          <w:szCs w:val="20"/>
        </w:rPr>
        <w:t>The fair values relating to the 2022 impairment was based on a sales contract and is classified within Level 2 of the fair value hierarchy.</w:t>
      </w:r>
    </w:p>
    <w:p w:rsidR="00000000" w:rsidRDefault="00BA6B82">
      <w:pPr>
        <w:divId w:val="250353047"/>
        <w:rPr>
          <w:rFonts w:eastAsia="Times New Roman"/>
        </w:rPr>
      </w:pPr>
      <w:r>
        <w:rPr>
          <w:rFonts w:eastAsia="Times New Roman"/>
          <w:b/>
          <w:bCs/>
          <w:color w:val="000000"/>
          <w:sz w:val="20"/>
          <w:szCs w:val="20"/>
        </w:rPr>
        <w:t>7. Tenant and Other Receivables, net:</w:t>
      </w:r>
    </w:p>
    <w:p w:rsidR="00000000" w:rsidRDefault="00BA6B82">
      <w:pPr>
        <w:ind w:firstLine="495"/>
        <w:divId w:val="1522819575"/>
        <w:rPr>
          <w:rFonts w:eastAsia="Times New Roman"/>
        </w:rPr>
      </w:pPr>
      <w:r>
        <w:rPr>
          <w:rFonts w:eastAsia="Times New Roman"/>
          <w:color w:val="000000"/>
          <w:sz w:val="20"/>
          <w:szCs w:val="20"/>
        </w:rPr>
        <w:t>Included in tenant and other receivables, net is an allowance for doubtful acc</w:t>
      </w:r>
      <w:r>
        <w:rPr>
          <w:rFonts w:eastAsia="Times New Roman"/>
          <w:color w:val="000000"/>
          <w:sz w:val="20"/>
          <w:szCs w:val="20"/>
        </w:rPr>
        <w:t xml:space="preserve">ounts of $13,899 and $14,917 at March 31, 2022 and December 31, 2021, respectively. Also included in tenant and other receivables, net are accrued percentage rents of $3,725 and $19,907 at March 31, 2022 and December 31, 2021, respectively, and a deferred </w:t>
      </w:r>
      <w:r>
        <w:rPr>
          <w:rFonts w:eastAsia="Times New Roman"/>
          <w:color w:val="000000"/>
          <w:sz w:val="20"/>
          <w:szCs w:val="20"/>
        </w:rPr>
        <w:t>rent receivable due to straight-line rent adjustments of $108,926 and $110,969 at March 31, 2022 and December 31, 2021, respectively.</w:t>
      </w:r>
    </w:p>
    <w:p w:rsidR="00000000" w:rsidRDefault="00BA6B82">
      <w:pPr>
        <w:divId w:val="1888447860"/>
        <w:rPr>
          <w:rFonts w:eastAsia="Times New Roman"/>
        </w:rPr>
      </w:pPr>
      <w:r>
        <w:rPr>
          <w:rFonts w:eastAsia="Times New Roman"/>
          <w:b/>
          <w:bCs/>
          <w:color w:val="000000"/>
          <w:sz w:val="20"/>
          <w:szCs w:val="20"/>
        </w:rPr>
        <w:t>8. Leases:</w:t>
      </w:r>
    </w:p>
    <w:p w:rsidR="00000000" w:rsidRDefault="00BA6B82">
      <w:pPr>
        <w:ind w:firstLine="450"/>
        <w:divId w:val="329723049"/>
        <w:rPr>
          <w:rFonts w:eastAsia="Times New Roman"/>
        </w:rPr>
      </w:pPr>
      <w:r>
        <w:rPr>
          <w:rFonts w:eastAsia="Times New Roman"/>
          <w:i/>
          <w:iCs/>
          <w:color w:val="000000"/>
          <w:sz w:val="20"/>
          <w:szCs w:val="20"/>
        </w:rPr>
        <w:t>Lessor Leases:</w:t>
      </w:r>
    </w:p>
    <w:p w:rsidR="00000000" w:rsidRDefault="00BA6B82">
      <w:pPr>
        <w:ind w:firstLine="495"/>
        <w:divId w:val="1717004523"/>
        <w:rPr>
          <w:rFonts w:eastAsia="Times New Roman"/>
        </w:rPr>
      </w:pPr>
      <w:r>
        <w:rPr>
          <w:rFonts w:eastAsia="Times New Roman"/>
          <w:color w:val="000000"/>
          <w:sz w:val="20"/>
          <w:szCs w:val="20"/>
        </w:rPr>
        <w:t>The Company leases its Centers under agreements that are classified as operating leases. These l</w:t>
      </w:r>
      <w:r>
        <w:rPr>
          <w:rFonts w:eastAsia="Times New Roman"/>
          <w:color w:val="000000"/>
          <w:sz w:val="20"/>
          <w:szCs w:val="20"/>
        </w:rPr>
        <w:t>eases generally include minimum rents, percentage rents and recoveries of real estate taxes, insurance and other shopping center operating expenses. Minimum rental revenues are recognized on a straight-line basis over the terms of the related leases. Perce</w:t>
      </w:r>
      <w:r>
        <w:rPr>
          <w:rFonts w:eastAsia="Times New Roman"/>
          <w:color w:val="000000"/>
          <w:sz w:val="20"/>
          <w:szCs w:val="20"/>
        </w:rPr>
        <w:t>ntage rents are recognized and accrued when tenants' specified sales targets have been met. Estimated recoveries from certain tenants for their pro rata share of real estate taxes, insurance and other shopping center operating expenses are recognized as re</w:t>
      </w:r>
      <w:r>
        <w:rPr>
          <w:rFonts w:eastAsia="Times New Roman"/>
          <w:color w:val="000000"/>
          <w:sz w:val="20"/>
          <w:szCs w:val="20"/>
        </w:rPr>
        <w:t>venues in the period the applicable expenses are incurred. Other tenants pay a fixed rate and these tenant recoveries are recognized as revenues on a straight-line basis over the term of the related leases. For leasing revenues in which collectability is n</w:t>
      </w:r>
      <w:r>
        <w:rPr>
          <w:rFonts w:eastAsia="Times New Roman"/>
          <w:color w:val="000000"/>
          <w:sz w:val="20"/>
          <w:szCs w:val="20"/>
        </w:rPr>
        <w:t>ot considered probable, lease income is recognized on a cash basis and all previously recognized tenant accounts receivables, including straight-line rent, are fully reserved in the period in which the lease income is determined not to be probable of colle</w:t>
      </w:r>
      <w:r>
        <w:rPr>
          <w:rFonts w:eastAsia="Times New Roman"/>
          <w:color w:val="000000"/>
          <w:sz w:val="20"/>
          <w:szCs w:val="20"/>
        </w:rPr>
        <w:t xml:space="preserve">ction. </w:t>
      </w:r>
    </w:p>
    <w:p w:rsidR="00000000" w:rsidRDefault="00BA6B82">
      <w:pPr>
        <w:ind w:firstLine="495"/>
        <w:divId w:val="647706385"/>
        <w:rPr>
          <w:rFonts w:eastAsia="Times New Roman"/>
        </w:rPr>
      </w:pPr>
    </w:p>
    <w:p w:rsidR="00000000" w:rsidRDefault="00BA6B82">
      <w:pPr>
        <w:jc w:val="center"/>
        <w:divId w:val="716971965"/>
        <w:rPr>
          <w:rFonts w:eastAsia="Times New Roman"/>
        </w:rPr>
      </w:pPr>
      <w:r>
        <w:rPr>
          <w:rFonts w:eastAsia="Times New Roman"/>
          <w:color w:val="000000"/>
          <w:sz w:val="20"/>
          <w:szCs w:val="20"/>
        </w:rPr>
        <w:t>15</w:t>
      </w:r>
    </w:p>
    <w:p w:rsidR="00000000" w:rsidRDefault="00BA6B82">
      <w:pPr>
        <w:rPr>
          <w:rFonts w:eastAsia="Times New Roman"/>
        </w:rPr>
      </w:pPr>
      <w:r>
        <w:rPr>
          <w:rFonts w:eastAsia="Times New Roman"/>
        </w:rPr>
        <w:pict>
          <v:rect id="_x0000_i1039" style="width:0;height:1.5pt" o:hralign="center" o:hrstd="t" o:hr="t" fillcolor="#a0a0a0" stroked="f"/>
        </w:pict>
      </w:r>
    </w:p>
    <w:p w:rsidR="00000000" w:rsidRDefault="00BA6B82">
      <w:pPr>
        <w:divId w:val="586960925"/>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392194909"/>
        <w:rPr>
          <w:rFonts w:eastAsia="Times New Roman"/>
        </w:rPr>
      </w:pPr>
      <w:r>
        <w:rPr>
          <w:rFonts w:eastAsia="Times New Roman"/>
          <w:b/>
          <w:bCs/>
          <w:color w:val="000000"/>
          <w:sz w:val="20"/>
          <w:szCs w:val="20"/>
        </w:rPr>
        <w:t>THE MACERICH COMPANY</w:t>
      </w:r>
    </w:p>
    <w:p w:rsidR="00000000" w:rsidRDefault="00BA6B82">
      <w:pPr>
        <w:jc w:val="center"/>
        <w:divId w:val="121119013"/>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30943769"/>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053426146"/>
        <w:rPr>
          <w:rFonts w:eastAsia="Times New Roman"/>
        </w:rPr>
      </w:pPr>
      <w:r>
        <w:rPr>
          <w:rFonts w:eastAsia="Times New Roman"/>
          <w:b/>
          <w:bCs/>
          <w:color w:val="000000"/>
          <w:sz w:val="20"/>
          <w:szCs w:val="20"/>
        </w:rPr>
        <w:t>(Unaudited)</w:t>
      </w:r>
    </w:p>
    <w:p w:rsidR="00000000" w:rsidRDefault="00BA6B82">
      <w:pPr>
        <w:divId w:val="1036930709"/>
        <w:rPr>
          <w:rFonts w:eastAsia="Times New Roman"/>
        </w:rPr>
      </w:pPr>
      <w:r>
        <w:rPr>
          <w:rFonts w:eastAsia="Times New Roman"/>
          <w:b/>
          <w:bCs/>
          <w:color w:val="000000"/>
          <w:sz w:val="20"/>
          <w:szCs w:val="20"/>
        </w:rPr>
        <w:t>8. Leases: (Continued)</w:t>
      </w:r>
    </w:p>
    <w:p w:rsidR="00000000" w:rsidRDefault="00BA6B82">
      <w:pPr>
        <w:divId w:val="1418550809"/>
        <w:rPr>
          <w:rFonts w:eastAsia="Times New Roman"/>
        </w:rPr>
      </w:pPr>
    </w:p>
    <w:p w:rsidR="00000000" w:rsidRDefault="00BA6B82">
      <w:pPr>
        <w:ind w:firstLine="495"/>
        <w:divId w:val="1138457627"/>
        <w:rPr>
          <w:rFonts w:eastAsia="Times New Roman"/>
        </w:rPr>
      </w:pPr>
      <w:r>
        <w:rPr>
          <w:rFonts w:eastAsia="Times New Roman"/>
          <w:color w:val="000000"/>
          <w:sz w:val="20"/>
          <w:szCs w:val="20"/>
        </w:rPr>
        <w:t>The following table summarizes the components of leasing revenue for the three months ended March 31, 2022 and 2021:</w:t>
      </w:r>
    </w:p>
    <w:tbl>
      <w:tblPr>
        <w:tblW w:w="2967" w:type="pct"/>
        <w:tblCellMar>
          <w:top w:w="15" w:type="dxa"/>
          <w:left w:w="15" w:type="dxa"/>
          <w:bottom w:w="15" w:type="dxa"/>
          <w:right w:w="15" w:type="dxa"/>
        </w:tblCellMar>
        <w:tblLook w:val="04A0" w:firstRow="1" w:lastRow="0" w:firstColumn="1" w:lastColumn="0" w:noHBand="0" w:noVBand="1"/>
      </w:tblPr>
      <w:tblGrid>
        <w:gridCol w:w="37"/>
        <w:gridCol w:w="2892"/>
        <w:gridCol w:w="36"/>
        <w:gridCol w:w="36"/>
        <w:gridCol w:w="36"/>
        <w:gridCol w:w="36"/>
        <w:gridCol w:w="36"/>
        <w:gridCol w:w="120"/>
        <w:gridCol w:w="700"/>
        <w:gridCol w:w="36"/>
        <w:gridCol w:w="36"/>
        <w:gridCol w:w="36"/>
        <w:gridCol w:w="36"/>
        <w:gridCol w:w="120"/>
        <w:gridCol w:w="700"/>
        <w:gridCol w:w="36"/>
      </w:tblGrid>
      <w:tr w:rsidR="00000000">
        <w:trPr>
          <w:divId w:val="851803048"/>
        </w:trPr>
        <w:tc>
          <w:tcPr>
            <w:tcW w:w="50" w:type="pct"/>
            <w:vAlign w:val="center"/>
            <w:hideMark/>
          </w:tcPr>
          <w:p w:rsidR="00000000" w:rsidRDefault="00BA6B82">
            <w:pPr>
              <w:ind w:firstLine="495"/>
              <w:rPr>
                <w:rFonts w:eastAsia="Times New Roman"/>
              </w:rPr>
            </w:pPr>
          </w:p>
        </w:tc>
        <w:tc>
          <w:tcPr>
            <w:tcW w:w="340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851803048"/>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851803048"/>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85180304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revenue—fixed payments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135,209 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131,495 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851803048"/>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revenue—variable payments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68,770 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51,248 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851803048"/>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Provision for doubtful accounts, net</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(567)</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(3,208)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851803048"/>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203,412 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2119256131"/>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7"/>
        <w:gridCol w:w="36"/>
        <w:gridCol w:w="238"/>
        <w:gridCol w:w="36"/>
        <w:gridCol w:w="120"/>
        <w:gridCol w:w="957"/>
        <w:gridCol w:w="36"/>
      </w:tblGrid>
      <w:tr w:rsidR="00000000">
        <w:trPr>
          <w:divId w:val="2100052671"/>
        </w:trPr>
        <w:tc>
          <w:tcPr>
            <w:tcW w:w="50" w:type="pct"/>
            <w:vAlign w:val="center"/>
            <w:hideMark/>
          </w:tcPr>
          <w:p w:rsidR="00000000" w:rsidRDefault="00BA6B82">
            <w:pPr>
              <w:ind w:firstLine="495"/>
              <w:rPr>
                <w:rFonts w:eastAsia="Times New Roman"/>
              </w:rPr>
            </w:pPr>
          </w:p>
        </w:tc>
        <w:tc>
          <w:tcPr>
            <w:tcW w:w="386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0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6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10005267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Twelve months ending March 31,</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 </w:t>
            </w:r>
          </w:p>
        </w:tc>
      </w:tr>
      <w:tr w:rsidR="00000000">
        <w:trPr>
          <w:divId w:val="21000526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366,783 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322,512 </w:t>
            </w:r>
          </w:p>
        </w:tc>
        <w:tc>
          <w:tcPr>
            <w:tcW w:w="0" w:type="auto"/>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262,720 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214,103 </w:t>
            </w:r>
          </w:p>
        </w:tc>
        <w:tc>
          <w:tcPr>
            <w:tcW w:w="0" w:type="auto"/>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165,702 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473,307 </w:t>
            </w:r>
          </w:p>
        </w:tc>
        <w:tc>
          <w:tcPr>
            <w:tcW w:w="0" w:type="auto"/>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100052671"/>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1,805,127 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697043170"/>
        <w:rPr>
          <w:rFonts w:eastAsia="Times New Roman"/>
        </w:rPr>
      </w:pPr>
    </w:p>
    <w:p w:rsidR="00000000" w:rsidRDefault="00BA6B82">
      <w:pPr>
        <w:ind w:firstLine="495"/>
        <w:divId w:val="1667975909"/>
        <w:rPr>
          <w:rFonts w:eastAsia="Times New Roman"/>
        </w:rPr>
      </w:pPr>
      <w:r>
        <w:rPr>
          <w:rFonts w:eastAsia="Times New Roman"/>
          <w:i/>
          <w:iCs/>
          <w:color w:val="000000"/>
          <w:sz w:val="20"/>
          <w:szCs w:val="20"/>
        </w:rPr>
        <w:t>Lessee Leases:</w:t>
      </w:r>
    </w:p>
    <w:p w:rsidR="00000000" w:rsidRDefault="00BA6B82">
      <w:pPr>
        <w:ind w:firstLine="495"/>
        <w:divId w:val="1394542275"/>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rsidR="00000000" w:rsidRDefault="00BA6B82">
      <w:pPr>
        <w:ind w:firstLine="495"/>
        <w:divId w:val="2133941662"/>
        <w:rPr>
          <w:rFonts w:eastAsia="Times New Roman"/>
        </w:rPr>
      </w:pPr>
      <w:r>
        <w:rPr>
          <w:rFonts w:eastAsia="Times New Roman"/>
          <w:color w:val="000000"/>
          <w:sz w:val="20"/>
          <w:szCs w:val="20"/>
        </w:rPr>
        <w:t xml:space="preserve">The following table summarizes the lease costs for the three months ended March 31, 2022 and </w:t>
      </w:r>
      <w:r>
        <w:rPr>
          <w:rFonts w:eastAsia="Times New Roman"/>
          <w:color w:val="000000"/>
          <w:sz w:val="20"/>
          <w:szCs w:val="20"/>
        </w:rPr>
        <w:t>2021:</w:t>
      </w:r>
    </w:p>
    <w:tbl>
      <w:tblPr>
        <w:tblW w:w="2975" w:type="pct"/>
        <w:tblCellMar>
          <w:top w:w="15" w:type="dxa"/>
          <w:left w:w="15" w:type="dxa"/>
          <w:bottom w:w="15" w:type="dxa"/>
          <w:right w:w="15" w:type="dxa"/>
        </w:tblCellMar>
        <w:tblLook w:val="04A0" w:firstRow="1" w:lastRow="0" w:firstColumn="1" w:lastColumn="0" w:noHBand="0" w:noVBand="1"/>
      </w:tblPr>
      <w:tblGrid>
        <w:gridCol w:w="38"/>
        <w:gridCol w:w="3139"/>
        <w:gridCol w:w="37"/>
        <w:gridCol w:w="36"/>
        <w:gridCol w:w="36"/>
        <w:gridCol w:w="36"/>
        <w:gridCol w:w="36"/>
        <w:gridCol w:w="120"/>
        <w:gridCol w:w="582"/>
        <w:gridCol w:w="36"/>
        <w:gridCol w:w="36"/>
        <w:gridCol w:w="36"/>
        <w:gridCol w:w="36"/>
        <w:gridCol w:w="120"/>
        <w:gridCol w:w="582"/>
        <w:gridCol w:w="36"/>
      </w:tblGrid>
      <w:tr w:rsidR="00000000">
        <w:trPr>
          <w:divId w:val="152837719"/>
        </w:trPr>
        <w:tc>
          <w:tcPr>
            <w:tcW w:w="50" w:type="pct"/>
            <w:vAlign w:val="center"/>
            <w:hideMark/>
          </w:tcPr>
          <w:p w:rsidR="00000000" w:rsidRDefault="00BA6B82">
            <w:pPr>
              <w:ind w:firstLine="495"/>
              <w:rPr>
                <w:rFonts w:eastAsia="Times New Roman"/>
              </w:rPr>
            </w:pPr>
          </w:p>
        </w:tc>
        <w:tc>
          <w:tcPr>
            <w:tcW w:w="338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6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8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52837719"/>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152837719"/>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152837719"/>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Operating lease costs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2837719"/>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Finance lease costs: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152837719"/>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r>
              <w:rPr>
                <w:rFonts w:eastAsia="Times New Roman"/>
                <w:color w:val="000000"/>
                <w:sz w:val="20"/>
                <w:szCs w:val="20"/>
              </w:rPr>
              <w:t>Amortization of ROU assets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2837719"/>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Interest on lease liabilities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2837719"/>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jc w:val="center"/>
        <w:divId w:val="2018072920"/>
        <w:rPr>
          <w:rFonts w:eastAsia="Times New Roman"/>
        </w:rPr>
      </w:pPr>
      <w:r>
        <w:rPr>
          <w:rFonts w:eastAsia="Times New Roman"/>
          <w:color w:val="000000"/>
          <w:sz w:val="20"/>
          <w:szCs w:val="20"/>
        </w:rPr>
        <w:t>16</w:t>
      </w:r>
    </w:p>
    <w:p w:rsidR="00000000" w:rsidRDefault="00BA6B82">
      <w:pPr>
        <w:rPr>
          <w:rFonts w:eastAsia="Times New Roman"/>
        </w:rPr>
      </w:pPr>
      <w:r>
        <w:rPr>
          <w:rFonts w:eastAsia="Times New Roman"/>
        </w:rPr>
        <w:pict>
          <v:rect id="_x0000_i1040" style="width:0;height:1.5pt" o:hralign="center" o:hrstd="t" o:hr="t" fillcolor="#a0a0a0" stroked="f"/>
        </w:pict>
      </w:r>
    </w:p>
    <w:p w:rsidR="00000000" w:rsidRDefault="00BA6B82">
      <w:pPr>
        <w:divId w:val="960763772"/>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41988682"/>
        <w:rPr>
          <w:rFonts w:eastAsia="Times New Roman"/>
        </w:rPr>
      </w:pPr>
      <w:r>
        <w:rPr>
          <w:rFonts w:eastAsia="Times New Roman"/>
          <w:b/>
          <w:bCs/>
          <w:color w:val="000000"/>
          <w:sz w:val="20"/>
          <w:szCs w:val="20"/>
        </w:rPr>
        <w:t>THE MACERICH COMPANY</w:t>
      </w:r>
    </w:p>
    <w:p w:rsidR="00000000" w:rsidRDefault="00BA6B82">
      <w:pPr>
        <w:jc w:val="center"/>
        <w:divId w:val="1854102349"/>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079523337"/>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472401309"/>
        <w:rPr>
          <w:rFonts w:eastAsia="Times New Roman"/>
        </w:rPr>
      </w:pPr>
      <w:r>
        <w:rPr>
          <w:rFonts w:eastAsia="Times New Roman"/>
          <w:b/>
          <w:bCs/>
          <w:color w:val="000000"/>
          <w:sz w:val="20"/>
          <w:szCs w:val="20"/>
        </w:rPr>
        <w:t>(Unaudited)</w:t>
      </w:r>
    </w:p>
    <w:p w:rsidR="00000000" w:rsidRDefault="00BA6B82">
      <w:pPr>
        <w:divId w:val="321784244"/>
        <w:rPr>
          <w:rFonts w:eastAsia="Times New Roman"/>
        </w:rPr>
      </w:pPr>
      <w:r>
        <w:rPr>
          <w:rFonts w:eastAsia="Times New Roman"/>
          <w:b/>
          <w:bCs/>
          <w:color w:val="000000"/>
          <w:sz w:val="20"/>
          <w:szCs w:val="20"/>
        </w:rPr>
        <w:t>8. Leases: (Continued)</w:t>
      </w:r>
    </w:p>
    <w:p w:rsidR="00000000" w:rsidRDefault="00BA6B82">
      <w:pPr>
        <w:divId w:val="1067150589"/>
        <w:rPr>
          <w:rFonts w:eastAsia="Times New Roman"/>
        </w:rPr>
      </w:pPr>
    </w:p>
    <w:p w:rsidR="00000000" w:rsidRDefault="00BA6B82">
      <w:pPr>
        <w:ind w:firstLine="720"/>
        <w:divId w:val="1863785930"/>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trPr>
          <w:divId w:val="1863785930"/>
        </w:trPr>
        <w:tc>
          <w:tcPr>
            <w:tcW w:w="50" w:type="pct"/>
            <w:vAlign w:val="center"/>
            <w:hideMark/>
          </w:tcPr>
          <w:p w:rsidR="00000000" w:rsidRDefault="00BA6B82">
            <w:pPr>
              <w:ind w:firstLine="720"/>
              <w:rPr>
                <w:rFonts w:eastAsia="Times New Roman"/>
              </w:rPr>
            </w:pPr>
          </w:p>
        </w:tc>
        <w:tc>
          <w:tcPr>
            <w:tcW w:w="21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5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9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0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863785930"/>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 2021</w:t>
            </w:r>
          </w:p>
        </w:tc>
      </w:tr>
      <w:tr w:rsidR="00000000">
        <w:trPr>
          <w:divId w:val="1863785930"/>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Finance Leases</w:t>
            </w:r>
          </w:p>
        </w:tc>
      </w:tr>
      <w:tr w:rsidR="00000000">
        <w:trPr>
          <w:divId w:val="186378593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11,352 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11,876 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8,452 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11,054 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6,471 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11,231 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6,513 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2027</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11,343 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6,470 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120,534 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109,358 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177,390 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151,566 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(90,111)</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(1,619)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(85,383)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87,279 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66,183 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86378593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32.0 years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1.9 years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36.3 years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2.1 years</w:t>
            </w:r>
          </w:p>
        </w:tc>
      </w:tr>
      <w:tr w:rsidR="00000000">
        <w:trPr>
          <w:divId w:val="186378593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r>
    </w:tbl>
    <w:p w:rsidR="00000000" w:rsidRDefault="00BA6B82">
      <w:pPr>
        <w:ind w:firstLine="495"/>
        <w:divId w:val="1914390479"/>
        <w:rPr>
          <w:rFonts w:eastAsia="Times New Roman"/>
        </w:rPr>
      </w:pPr>
    </w:p>
    <w:p w:rsidR="00000000" w:rsidRDefault="00BA6B82">
      <w:pPr>
        <w:divId w:val="2076665329"/>
        <w:rPr>
          <w:rFonts w:eastAsia="Times New Roman"/>
        </w:rPr>
      </w:pPr>
      <w:r>
        <w:rPr>
          <w:rFonts w:eastAsia="Times New Roman"/>
          <w:b/>
          <w:bCs/>
          <w:color w:val="000000"/>
          <w:sz w:val="20"/>
          <w:szCs w:val="20"/>
        </w:rPr>
        <w:t>9. Deferred Charges and Oth</w:t>
      </w:r>
      <w:r>
        <w:rPr>
          <w:rFonts w:eastAsia="Times New Roman"/>
          <w:b/>
          <w:bCs/>
          <w:color w:val="000000"/>
          <w:sz w:val="20"/>
          <w:szCs w:val="20"/>
        </w:rPr>
        <w:t>er Assets, net:</w:t>
      </w:r>
    </w:p>
    <w:p w:rsidR="00000000" w:rsidRDefault="00BA6B82">
      <w:pPr>
        <w:ind w:firstLine="720"/>
        <w:divId w:val="160851412"/>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trPr>
          <w:divId w:val="160851412"/>
        </w:trPr>
        <w:tc>
          <w:tcPr>
            <w:tcW w:w="50" w:type="pct"/>
            <w:vAlign w:val="center"/>
            <w:hideMark/>
          </w:tcPr>
          <w:p w:rsidR="00000000" w:rsidRDefault="00BA6B82">
            <w:pPr>
              <w:ind w:firstLine="720"/>
              <w:rPr>
                <w:rFonts w:eastAsia="Times New Roman"/>
              </w:rPr>
            </w:pPr>
          </w:p>
        </w:tc>
        <w:tc>
          <w:tcPr>
            <w:tcW w:w="34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60851412"/>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60851412"/>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112,670 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160851412"/>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60,975 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62,826 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16,433 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16,710 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70,481 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72,289 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22,020 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23,406 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63,051 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68,807 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47,725 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46,319 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393,355 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425,244 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(150,465)</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(170,336)</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60851412"/>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242,890 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A6B82">
            <w:pPr>
              <w:ind w:firstLine="720"/>
              <w:rPr>
                <w:rFonts w:eastAsia="Times New Roman"/>
              </w:rPr>
            </w:pPr>
          </w:p>
        </w:tc>
        <w:tc>
          <w:tcPr>
            <w:tcW w:w="14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67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01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ind w:hanging="360"/>
        <w:divId w:val="1114785023"/>
        <w:rPr>
          <w:rFonts w:eastAsia="Times New Roman"/>
        </w:rPr>
      </w:pPr>
      <w:r>
        <w:rPr>
          <w:rFonts w:eastAsia="Times New Roman"/>
          <w:color w:val="000000"/>
          <w:sz w:val="16"/>
          <w:szCs w:val="16"/>
        </w:rPr>
        <w:t xml:space="preserve">(1)   Accumulated amortization includes $43,517 and $43,978 </w:t>
      </w:r>
      <w:r>
        <w:rPr>
          <w:rFonts w:eastAsia="Times New Roman"/>
          <w:color w:val="000000"/>
          <w:sz w:val="16"/>
          <w:szCs w:val="16"/>
        </w:rPr>
        <w:t>relating to in-place lease values, leasing commissions and legal costs at March 31, 2022 and December 31, 2021, respectively. Amortization expense of in-place lease values, leasing commissions and legal costs was $1,667 and $2,203 for the three months ende</w:t>
      </w:r>
      <w:r>
        <w:rPr>
          <w:rFonts w:eastAsia="Times New Roman"/>
          <w:color w:val="000000"/>
          <w:sz w:val="16"/>
          <w:szCs w:val="16"/>
        </w:rPr>
        <w:t>d March 31, 2022 and 2021, respectively.</w:t>
      </w:r>
    </w:p>
    <w:p w:rsidR="00000000" w:rsidRDefault="00BA6B82">
      <w:pPr>
        <w:ind w:hanging="360"/>
        <w:divId w:val="2033341640"/>
        <w:rPr>
          <w:rFonts w:eastAsia="Times New Roman"/>
        </w:rPr>
      </w:pPr>
    </w:p>
    <w:p w:rsidR="00000000" w:rsidRDefault="00BA6B82">
      <w:pPr>
        <w:jc w:val="center"/>
        <w:divId w:val="346911482"/>
        <w:rPr>
          <w:rFonts w:eastAsia="Times New Roman"/>
        </w:rPr>
      </w:pPr>
      <w:r>
        <w:rPr>
          <w:rFonts w:eastAsia="Times New Roman"/>
          <w:color w:val="000000"/>
          <w:sz w:val="20"/>
          <w:szCs w:val="20"/>
        </w:rPr>
        <w:t>17</w:t>
      </w:r>
    </w:p>
    <w:p w:rsidR="00000000" w:rsidRDefault="00BA6B82">
      <w:pPr>
        <w:rPr>
          <w:rFonts w:eastAsia="Times New Roman"/>
        </w:rPr>
      </w:pPr>
      <w:r>
        <w:rPr>
          <w:rFonts w:eastAsia="Times New Roman"/>
        </w:rPr>
        <w:pict>
          <v:rect id="_x0000_i1041" style="width:0;height:1.5pt" o:hralign="center" o:hrstd="t" o:hr="t" fillcolor="#a0a0a0" stroked="f"/>
        </w:pict>
      </w:r>
    </w:p>
    <w:p w:rsidR="00000000" w:rsidRDefault="00BA6B82">
      <w:pPr>
        <w:divId w:val="197855774"/>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667907129"/>
        <w:rPr>
          <w:rFonts w:eastAsia="Times New Roman"/>
        </w:rPr>
      </w:pPr>
      <w:r>
        <w:rPr>
          <w:rFonts w:eastAsia="Times New Roman"/>
          <w:b/>
          <w:bCs/>
          <w:color w:val="000000"/>
          <w:sz w:val="20"/>
          <w:szCs w:val="20"/>
        </w:rPr>
        <w:t>THE MACERICH COMPANY</w:t>
      </w:r>
    </w:p>
    <w:p w:rsidR="00000000" w:rsidRDefault="00BA6B82">
      <w:pPr>
        <w:jc w:val="center"/>
        <w:divId w:val="1318723349"/>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13252727"/>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69562038"/>
        <w:rPr>
          <w:rFonts w:eastAsia="Times New Roman"/>
        </w:rPr>
      </w:pPr>
      <w:r>
        <w:rPr>
          <w:rFonts w:eastAsia="Times New Roman"/>
          <w:b/>
          <w:bCs/>
          <w:color w:val="000000"/>
          <w:sz w:val="20"/>
          <w:szCs w:val="20"/>
        </w:rPr>
        <w:t>(Unaudited)</w:t>
      </w:r>
    </w:p>
    <w:p w:rsidR="00000000" w:rsidRDefault="00BA6B82">
      <w:pPr>
        <w:divId w:val="386878468"/>
        <w:rPr>
          <w:rFonts w:eastAsia="Times New Roman"/>
        </w:rPr>
      </w:pPr>
      <w:r>
        <w:rPr>
          <w:rFonts w:eastAsia="Times New Roman"/>
          <w:b/>
          <w:bCs/>
          <w:color w:val="000000"/>
          <w:sz w:val="20"/>
          <w:szCs w:val="20"/>
        </w:rPr>
        <w:t>9. Deferred Charges and Other Assets, net: (Continued)</w:t>
      </w:r>
    </w:p>
    <w:p w:rsidR="00000000" w:rsidRDefault="00BA6B82">
      <w:pPr>
        <w:ind w:hanging="360"/>
        <w:divId w:val="625087870"/>
        <w:rPr>
          <w:rFonts w:eastAsia="Times New Roman"/>
        </w:rPr>
      </w:pPr>
      <w:r>
        <w:rPr>
          <w:rFonts w:eastAsia="Times New Roman"/>
          <w:color w:val="000000"/>
          <w:sz w:val="20"/>
          <w:szCs w:val="20"/>
        </w:rPr>
        <w:t>The allocated values of above-market leases and below-market leases c</w:t>
      </w:r>
      <w:r>
        <w:rPr>
          <w:rFonts w:eastAsia="Times New Roman"/>
          <w:color w:val="000000"/>
          <w:sz w:val="20"/>
          <w:szCs w:val="20"/>
        </w:rPr>
        <w:t>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0"/>
        <w:gridCol w:w="929"/>
        <w:gridCol w:w="36"/>
        <w:gridCol w:w="36"/>
        <w:gridCol w:w="36"/>
        <w:gridCol w:w="36"/>
        <w:gridCol w:w="120"/>
        <w:gridCol w:w="891"/>
        <w:gridCol w:w="36"/>
      </w:tblGrid>
      <w:tr w:rsidR="00000000">
        <w:trPr>
          <w:divId w:val="625087870"/>
        </w:trPr>
        <w:tc>
          <w:tcPr>
            <w:tcW w:w="50" w:type="pct"/>
            <w:vAlign w:val="center"/>
            <w:hideMark/>
          </w:tcPr>
          <w:p w:rsidR="00000000" w:rsidRDefault="00BA6B82">
            <w:pPr>
              <w:ind w:hanging="360"/>
              <w:rPr>
                <w:rFonts w:eastAsia="Times New Roman"/>
              </w:rPr>
            </w:pPr>
          </w:p>
        </w:tc>
        <w:tc>
          <w:tcPr>
            <w:tcW w:w="343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8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625087870"/>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62508787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62508787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70,481 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72,289 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2508787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(32,259)</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(32,484)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25087870"/>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38,222 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2508787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62508787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98,069 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99,332 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2508787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(38,084)</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(37,122)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25087870"/>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59,985 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A6B82">
            <w:pPr>
              <w:ind w:hanging="360"/>
              <w:rPr>
                <w:rFonts w:eastAsia="Times New Roman"/>
              </w:rPr>
            </w:pPr>
          </w:p>
        </w:tc>
        <w:tc>
          <w:tcPr>
            <w:tcW w:w="14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67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01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ind w:hanging="360"/>
        <w:divId w:val="757366781"/>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p>
    <w:p w:rsidR="00000000" w:rsidRDefault="00BA6B82">
      <w:pPr>
        <w:ind w:hanging="360"/>
        <w:divId w:val="785739853"/>
        <w:rPr>
          <w:rFonts w:eastAsia="Times New Roman"/>
        </w:rPr>
      </w:pPr>
    </w:p>
    <w:p w:rsidR="00000000" w:rsidRDefault="00BA6B82">
      <w:pPr>
        <w:divId w:val="1509054073"/>
        <w:rPr>
          <w:rFonts w:eastAsia="Times New Roman"/>
        </w:rPr>
      </w:pPr>
      <w:r>
        <w:rPr>
          <w:rFonts w:eastAsia="Times New Roman"/>
          <w:b/>
          <w:bCs/>
          <w:color w:val="000000"/>
          <w:sz w:val="20"/>
          <w:szCs w:val="20"/>
        </w:rPr>
        <w:t>10. Mortgage Notes Payable:</w:t>
      </w:r>
    </w:p>
    <w:p w:rsidR="00000000" w:rsidRDefault="00BA6B82">
      <w:pPr>
        <w:ind w:firstLine="495"/>
        <w:divId w:val="1080129546"/>
        <w:rPr>
          <w:rFonts w:eastAsia="Times New Roman"/>
        </w:rPr>
      </w:pPr>
      <w:r>
        <w:rPr>
          <w:rFonts w:eastAsia="Times New Roman"/>
          <w:color w:val="000000"/>
          <w:sz w:val="20"/>
          <w:szCs w:val="20"/>
        </w:rPr>
        <w:t>Mortgage notes payable at March 31, 2022 and December 31, 2021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40"/>
        <w:gridCol w:w="2368"/>
        <w:gridCol w:w="39"/>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trPr>
          <w:divId w:val="1080129546"/>
        </w:trPr>
        <w:tc>
          <w:tcPr>
            <w:tcW w:w="50" w:type="pct"/>
            <w:vAlign w:val="center"/>
            <w:hideMark/>
          </w:tcPr>
          <w:p w:rsidR="00000000" w:rsidRDefault="00BA6B82">
            <w:pPr>
              <w:ind w:firstLine="495"/>
              <w:rPr>
                <w:rFonts w:eastAsia="Times New Roman"/>
              </w:rPr>
            </w:pPr>
          </w:p>
        </w:tc>
        <w:tc>
          <w:tcPr>
            <w:tcW w:w="19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6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1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5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5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3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080129546"/>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108012954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trPr>
          <w:divId w:val="108012954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255,595 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255,548 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2024</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165,873 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168,037 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2022</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Fashion District Philadelphia</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2024</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299,294 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299,274 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2031</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93,885 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95,329 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2023</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398,753 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398,711 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2029</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324,106 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324,056 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2026</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Green Acres Commons(7)</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124,971 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124,875 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2023</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Green Acres Mall(8)</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244,073 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246,061 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2023</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Kings Plaza Shopping Center</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536,056 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535,928 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2030</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Oaks, The(9)</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175,356 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176,721 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2024</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Pacific View(10)</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110,597 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111,481 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2032</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Queens Center</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1,744 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2025</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Santa Monica Place(11)</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299,501 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299,314 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2022</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219,346 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219,323 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2029</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Towne Mall</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19,190 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19,320 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2022</w:t>
            </w:r>
          </w:p>
        </w:tc>
      </w:tr>
      <w:tr w:rsidR="00000000">
        <w:trPr>
          <w:divId w:val="10801295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114,864 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114,850 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2024</w:t>
            </w:r>
          </w:p>
        </w:tc>
      </w:tr>
      <w:tr w:rsidR="00000000">
        <w:trPr>
          <w:divId w:val="10801295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238,495 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240,124 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2026</w:t>
            </w:r>
          </w:p>
        </w:tc>
      </w:tr>
      <w:tr w:rsidR="00000000">
        <w:trPr>
          <w:divId w:val="1080129546"/>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4,414,557 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4,423,554 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r>
    </w:tbl>
    <w:p w:rsidR="00000000" w:rsidRDefault="00BA6B82">
      <w:pPr>
        <w:jc w:val="center"/>
        <w:rPr>
          <w:rFonts w:eastAsia="Times New Roman"/>
        </w:rPr>
      </w:pPr>
    </w:p>
    <w:p w:rsidR="00000000" w:rsidRDefault="00BA6B82">
      <w:pPr>
        <w:ind w:hanging="450"/>
        <w:divId w:val="896669467"/>
        <w:rPr>
          <w:rFonts w:eastAsia="Times New Roman"/>
        </w:rPr>
      </w:pPr>
      <w:r>
        <w:rPr>
          <w:rFonts w:eastAsia="Times New Roman"/>
          <w:color w:val="000000"/>
          <w:sz w:val="16"/>
          <w:szCs w:val="16"/>
        </w:rPr>
        <w:t>(1)The mortgage notes payable also include unamortized deferred f</w:t>
      </w:r>
      <w:r>
        <w:rPr>
          <w:rFonts w:eastAsia="Times New Roman"/>
          <w:color w:val="000000"/>
          <w:sz w:val="16"/>
          <w:szCs w:val="16"/>
        </w:rPr>
        <w:t>inance costs that are amortized into interest expense over the remaining term of the related debt in a manner that approximates the effective interest method. Unamortized deferred finance costs were $10,706 and $11,946 at March 31, 2022 and December 31, 20</w:t>
      </w:r>
      <w:r>
        <w:rPr>
          <w:rFonts w:eastAsia="Times New Roman"/>
          <w:color w:val="000000"/>
          <w:sz w:val="16"/>
          <w:szCs w:val="16"/>
        </w:rPr>
        <w:t>21, respectively.</w:t>
      </w:r>
    </w:p>
    <w:p w:rsidR="00000000" w:rsidRDefault="00BA6B82">
      <w:pPr>
        <w:ind w:hanging="450"/>
        <w:divId w:val="2108428773"/>
        <w:rPr>
          <w:rFonts w:eastAsia="Times New Roman"/>
        </w:rPr>
      </w:pPr>
      <w:r>
        <w:rPr>
          <w:rFonts w:eastAsia="Times New Roman"/>
          <w:color w:val="000000"/>
          <w:sz w:val="16"/>
          <w:szCs w:val="16"/>
        </w:rPr>
        <w:t>(2)</w:t>
      </w:r>
      <w:r>
        <w:rPr>
          <w:rFonts w:eastAsia="Times New Roman"/>
          <w:color w:val="000000"/>
          <w:sz w:val="16"/>
          <w:szCs w:val="16"/>
        </w:rPr>
        <w:t>The interest rate disclosed represents the effective interest rate, including the impact of debt premium and deferred finance costs.</w:t>
      </w:r>
    </w:p>
    <w:p w:rsidR="00000000" w:rsidRDefault="00BA6B82">
      <w:pPr>
        <w:jc w:val="center"/>
        <w:divId w:val="452018141"/>
        <w:rPr>
          <w:rFonts w:eastAsia="Times New Roman"/>
        </w:rPr>
      </w:pPr>
      <w:r>
        <w:rPr>
          <w:rFonts w:eastAsia="Times New Roman"/>
          <w:color w:val="000000"/>
          <w:sz w:val="20"/>
          <w:szCs w:val="20"/>
        </w:rPr>
        <w:t>18</w:t>
      </w:r>
    </w:p>
    <w:p w:rsidR="00000000" w:rsidRDefault="00BA6B82">
      <w:pPr>
        <w:rPr>
          <w:rFonts w:eastAsia="Times New Roman"/>
        </w:rPr>
      </w:pPr>
      <w:r>
        <w:rPr>
          <w:rFonts w:eastAsia="Times New Roman"/>
        </w:rPr>
        <w:pict>
          <v:rect id="_x0000_i1042" style="width:0;height:1.5pt" o:hralign="center" o:hrstd="t" o:hr="t" fillcolor="#a0a0a0" stroked="f"/>
        </w:pict>
      </w:r>
    </w:p>
    <w:p w:rsidR="00000000" w:rsidRDefault="00BA6B82">
      <w:pPr>
        <w:divId w:val="2128355868"/>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01669811"/>
        <w:rPr>
          <w:rFonts w:eastAsia="Times New Roman"/>
        </w:rPr>
      </w:pPr>
      <w:r>
        <w:rPr>
          <w:rFonts w:eastAsia="Times New Roman"/>
          <w:b/>
          <w:bCs/>
          <w:color w:val="000000"/>
          <w:sz w:val="20"/>
          <w:szCs w:val="20"/>
        </w:rPr>
        <w:t>THE MACE</w:t>
      </w:r>
      <w:r>
        <w:rPr>
          <w:rFonts w:eastAsia="Times New Roman"/>
          <w:b/>
          <w:bCs/>
          <w:color w:val="000000"/>
          <w:sz w:val="20"/>
          <w:szCs w:val="20"/>
        </w:rPr>
        <w:t>RICH COMPANY</w:t>
      </w:r>
    </w:p>
    <w:p w:rsidR="00000000" w:rsidRDefault="00BA6B82">
      <w:pPr>
        <w:jc w:val="center"/>
        <w:divId w:val="1091391907"/>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782457158"/>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452938380"/>
        <w:rPr>
          <w:rFonts w:eastAsia="Times New Roman"/>
        </w:rPr>
      </w:pPr>
      <w:r>
        <w:rPr>
          <w:rFonts w:eastAsia="Times New Roman"/>
          <w:b/>
          <w:bCs/>
          <w:color w:val="000000"/>
          <w:sz w:val="20"/>
          <w:szCs w:val="20"/>
        </w:rPr>
        <w:t>(Unaudited)</w:t>
      </w:r>
    </w:p>
    <w:p w:rsidR="00000000" w:rsidRDefault="00BA6B82">
      <w:pPr>
        <w:divId w:val="1247113967"/>
        <w:rPr>
          <w:rFonts w:eastAsia="Times New Roman"/>
        </w:rPr>
      </w:pPr>
      <w:r>
        <w:rPr>
          <w:rFonts w:eastAsia="Times New Roman"/>
          <w:b/>
          <w:bCs/>
          <w:color w:val="000000"/>
          <w:sz w:val="20"/>
          <w:szCs w:val="20"/>
        </w:rPr>
        <w:t>10. Mortgage Notes Payable: (Continued)</w:t>
      </w:r>
    </w:p>
    <w:p w:rsidR="00000000" w:rsidRDefault="00BA6B82">
      <w:pPr>
        <w:ind w:hanging="450"/>
        <w:divId w:val="1041320256"/>
        <w:rPr>
          <w:rFonts w:eastAsia="Times New Roman"/>
        </w:rPr>
      </w:pPr>
      <w:r>
        <w:rPr>
          <w:rFonts w:eastAsia="Times New Roman"/>
          <w:color w:val="000000"/>
          <w:sz w:val="16"/>
          <w:szCs w:val="16"/>
        </w:rPr>
        <w:t>(3)</w:t>
      </w:r>
      <w:r>
        <w:rPr>
          <w:rFonts w:eastAsia="Times New Roman"/>
          <w:color w:val="000000"/>
          <w:sz w:val="16"/>
          <w:szCs w:val="16"/>
        </w:rPr>
        <w:t>The monthly debt service represents the payment of principal and interest.</w:t>
      </w:r>
    </w:p>
    <w:p w:rsidR="00000000" w:rsidRDefault="00BA6B82">
      <w:pPr>
        <w:ind w:hanging="450"/>
        <w:divId w:val="1116096791"/>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extension options are</w:t>
      </w:r>
      <w:r>
        <w:rPr>
          <w:rFonts w:eastAsia="Times New Roman"/>
          <w:color w:val="000000"/>
          <w:sz w:val="16"/>
          <w:szCs w:val="16"/>
        </w:rPr>
        <w:t xml:space="preserve"> at the Company's discretion, subject to certain conditions, which the Company believes will be met.</w:t>
      </w:r>
    </w:p>
    <w:p w:rsidR="00000000" w:rsidRDefault="00BA6B82">
      <w:pPr>
        <w:ind w:hanging="450"/>
        <w:divId w:val="336083018"/>
        <w:rPr>
          <w:rFonts w:eastAsia="Times New Roman"/>
        </w:rPr>
      </w:pPr>
      <w:r>
        <w:rPr>
          <w:rFonts w:eastAsia="Times New Roman"/>
          <w:color w:val="000000"/>
          <w:sz w:val="16"/>
          <w:szCs w:val="16"/>
        </w:rPr>
        <w:t>(5)A 49.9% interest in the loan has been assumed by a third party in connection with the Company's joint venture in Chandler Freehold (See Note 12—Financin</w:t>
      </w:r>
      <w:r>
        <w:rPr>
          <w:rFonts w:eastAsia="Times New Roman"/>
          <w:color w:val="000000"/>
          <w:sz w:val="16"/>
          <w:szCs w:val="16"/>
        </w:rPr>
        <w:t>g Arrangement).</w:t>
      </w:r>
    </w:p>
    <w:p w:rsidR="00000000" w:rsidRDefault="00BA6B82">
      <w:pPr>
        <w:ind w:hanging="450"/>
        <w:divId w:val="327055014"/>
        <w:rPr>
          <w:rFonts w:eastAsia="Times New Roman"/>
        </w:rPr>
      </w:pPr>
      <w:r>
        <w:rPr>
          <w:rFonts w:eastAsia="Times New Roman"/>
          <w:color w:val="000000"/>
          <w:sz w:val="16"/>
          <w:szCs w:val="16"/>
        </w:rPr>
        <w:t>(6)On September 15, 2020, the Company closed on a loan extension agreement for Danbury Fair Mall. Under the extension agreement, the original loan maturity date of October 1, 2020 was extended to April 1, 2021 and subsequently to October 1,</w:t>
      </w:r>
      <w:r>
        <w:rPr>
          <w:rFonts w:eastAsia="Times New Roman"/>
          <w:color w:val="000000"/>
          <w:sz w:val="16"/>
          <w:szCs w:val="16"/>
        </w:rPr>
        <w:t xml:space="preserve"> 2021. The loan amount and interest rate remained unchanged following these extensions. On September 15, 2021, the Company further extended the loan maturity to July 1, 2022. The interest rate remained unchanged, and the Company repaid $10,000 of the outst</w:t>
      </w:r>
      <w:r>
        <w:rPr>
          <w:rFonts w:eastAsia="Times New Roman"/>
          <w:color w:val="000000"/>
          <w:sz w:val="16"/>
          <w:szCs w:val="16"/>
        </w:rPr>
        <w:t>anding loan balance at closing.</w:t>
      </w:r>
    </w:p>
    <w:p w:rsidR="00000000" w:rsidRDefault="00BA6B82">
      <w:pPr>
        <w:ind w:hanging="450"/>
        <w:divId w:val="1743872595"/>
        <w:rPr>
          <w:rFonts w:eastAsia="Times New Roman"/>
        </w:rPr>
      </w:pPr>
      <w:r>
        <w:rPr>
          <w:rFonts w:eastAsia="Times New Roman"/>
          <w:color w:val="000000"/>
          <w:sz w:val="16"/>
          <w:szCs w:val="16"/>
        </w:rPr>
        <w:t xml:space="preserve">(7)On March 25, 2021, the Company closed on a two-year extension of the loan to March 29, 2023. The interest rate is LIBOR plus 2.75% and the Company repaid $4,680 of the outstanding loan balance at closing. </w:t>
      </w:r>
    </w:p>
    <w:p w:rsidR="00000000" w:rsidRDefault="00BA6B82">
      <w:pPr>
        <w:ind w:hanging="450"/>
        <w:divId w:val="495073356"/>
        <w:rPr>
          <w:rFonts w:eastAsia="Times New Roman"/>
        </w:rPr>
      </w:pPr>
      <w:r>
        <w:rPr>
          <w:rFonts w:eastAsia="Times New Roman"/>
          <w:color w:val="000000"/>
          <w:sz w:val="16"/>
          <w:szCs w:val="16"/>
        </w:rPr>
        <w:t>(8)On January 2</w:t>
      </w:r>
      <w:r>
        <w:rPr>
          <w:rFonts w:eastAsia="Times New Roman"/>
          <w:color w:val="000000"/>
          <w:sz w:val="16"/>
          <w:szCs w:val="16"/>
        </w:rPr>
        <w:t>2, 2021, the Company closed on a one-year extension of the loan to February 3, 2022, which also included a one-year extension option to February 3, 2023 which has been exercised. The interest rate remained unchanged, and the Company repaid $9,000 of the ou</w:t>
      </w:r>
      <w:r>
        <w:rPr>
          <w:rFonts w:eastAsia="Times New Roman"/>
          <w:color w:val="000000"/>
          <w:sz w:val="16"/>
          <w:szCs w:val="16"/>
        </w:rPr>
        <w:t>tstanding loan balance at closing.</w:t>
      </w:r>
    </w:p>
    <w:p w:rsidR="00000000" w:rsidRDefault="00BA6B82">
      <w:pPr>
        <w:ind w:hanging="450"/>
        <w:divId w:val="1661762895"/>
        <w:rPr>
          <w:rFonts w:eastAsia="Times New Roman"/>
        </w:rPr>
      </w:pPr>
      <w:r>
        <w:rPr>
          <w:rFonts w:eastAsia="Times New Roman"/>
          <w:color w:val="000000"/>
          <w:sz w:val="16"/>
          <w:szCs w:val="16"/>
        </w:rPr>
        <w:t>(9)On May 6, 2022, the Company closed on a two-year extension of the loan to June 5, 2024 at a new fixed interest rate of 5.25%. The Company repaid $5,000 of the outstanding loan balance at closing.</w:t>
      </w:r>
    </w:p>
    <w:p w:rsidR="00000000" w:rsidRDefault="00BA6B82">
      <w:pPr>
        <w:ind w:hanging="450"/>
        <w:divId w:val="1822698307"/>
        <w:rPr>
          <w:rFonts w:eastAsia="Times New Roman"/>
        </w:rPr>
      </w:pPr>
      <w:r>
        <w:rPr>
          <w:rFonts w:eastAsia="Times New Roman"/>
          <w:color w:val="000000"/>
          <w:sz w:val="16"/>
          <w:szCs w:val="16"/>
        </w:rPr>
        <w:t>(10)On April 29, 2022,</w:t>
      </w:r>
      <w:r>
        <w:rPr>
          <w:rFonts w:eastAsia="Times New Roman"/>
          <w:color w:val="000000"/>
          <w:sz w:val="16"/>
          <w:szCs w:val="16"/>
        </w:rPr>
        <w:t xml:space="preserve"> the Company closed on a new $72,000 loan with a fixed rate of 5.29% that matures on May 6, 2032.</w:t>
      </w:r>
    </w:p>
    <w:p w:rsidR="00000000" w:rsidRDefault="00BA6B82">
      <w:pPr>
        <w:ind w:hanging="450"/>
        <w:divId w:val="1000693347"/>
        <w:rPr>
          <w:rFonts w:eastAsia="Times New Roman"/>
        </w:rPr>
      </w:pPr>
      <w:r>
        <w:rPr>
          <w:rFonts w:eastAsia="Times New Roman"/>
          <w:color w:val="000000"/>
          <w:sz w:val="16"/>
          <w:szCs w:val="16"/>
        </w:rPr>
        <w:t>(11)The loan bears interest at LIBOR plus 1.48%. The loan is covered by an interest rate cap agreement that effectively prevents LIBOR from exceeding 4.0% dur</w:t>
      </w:r>
      <w:r>
        <w:rPr>
          <w:rFonts w:eastAsia="Times New Roman"/>
          <w:color w:val="000000"/>
          <w:sz w:val="16"/>
          <w:szCs w:val="16"/>
        </w:rPr>
        <w:t>ing the period ending December 9, 2022.</w:t>
      </w:r>
    </w:p>
    <w:p w:rsidR="00000000" w:rsidRDefault="00BA6B82">
      <w:pPr>
        <w:ind w:firstLine="495"/>
        <w:divId w:val="662121586"/>
        <w:rPr>
          <w:rFonts w:eastAsia="Times New Roman"/>
        </w:rPr>
      </w:pPr>
      <w:r>
        <w:rPr>
          <w:rFonts w:eastAsia="Times New Roman"/>
          <w:color w:val="000000"/>
          <w:sz w:val="20"/>
          <w:szCs w:val="20"/>
        </w:rPr>
        <w:t>Most of the mortgage loan agreements contain a prepayment penalty provision for the early extinguishment of the debt.</w:t>
      </w:r>
    </w:p>
    <w:p w:rsidR="00000000" w:rsidRDefault="00BA6B82">
      <w:pPr>
        <w:ind w:firstLine="495"/>
        <w:divId w:val="697314096"/>
        <w:rPr>
          <w:rFonts w:eastAsia="Times New Roman"/>
        </w:rPr>
      </w:pPr>
      <w:r>
        <w:rPr>
          <w:rFonts w:eastAsia="Times New Roman"/>
          <w:color w:val="000000"/>
          <w:sz w:val="20"/>
          <w:szCs w:val="20"/>
        </w:rPr>
        <w:t>The Company's mortgage notes payable are secured by the properties on which they are placed and ar</w:t>
      </w:r>
      <w:r>
        <w:rPr>
          <w:rFonts w:eastAsia="Times New Roman"/>
          <w:color w:val="000000"/>
          <w:sz w:val="20"/>
          <w:szCs w:val="20"/>
        </w:rPr>
        <w:t xml:space="preserve">e non-recourse to the Company. </w:t>
      </w:r>
    </w:p>
    <w:p w:rsidR="00000000" w:rsidRDefault="00BA6B82">
      <w:pPr>
        <w:ind w:firstLine="495"/>
        <w:divId w:val="1803648698"/>
        <w:rPr>
          <w:rFonts w:eastAsia="Times New Roman"/>
        </w:rPr>
      </w:pPr>
      <w:r>
        <w:rPr>
          <w:rFonts w:eastAsia="Times New Roman"/>
          <w:color w:val="000000"/>
          <w:sz w:val="20"/>
          <w:szCs w:val="20"/>
        </w:rPr>
        <w:t>The Company expects that all loan maturities during the next twelve months will be refinanced, restructured, extended and/or paid off from the Company's line of credit or with cash on hand.</w:t>
      </w:r>
    </w:p>
    <w:p w:rsidR="00000000" w:rsidRDefault="00BA6B82">
      <w:pPr>
        <w:ind w:firstLine="495"/>
        <w:divId w:val="1282152234"/>
        <w:rPr>
          <w:rFonts w:eastAsia="Times New Roman"/>
        </w:rPr>
      </w:pPr>
      <w:r>
        <w:rPr>
          <w:rFonts w:eastAsia="Times New Roman"/>
          <w:color w:val="000000"/>
          <w:sz w:val="20"/>
          <w:szCs w:val="20"/>
        </w:rPr>
        <w:t>Total interest expense capitalized</w:t>
      </w:r>
      <w:r>
        <w:rPr>
          <w:rFonts w:eastAsia="Times New Roman"/>
          <w:color w:val="000000"/>
          <w:sz w:val="20"/>
          <w:szCs w:val="20"/>
        </w:rPr>
        <w:t xml:space="preserve"> was $1,851 and $1,462 for the three months ended March 31, 2022 and 2021, respectively.</w:t>
      </w:r>
    </w:p>
    <w:p w:rsidR="00000000" w:rsidRDefault="00BA6B82">
      <w:pPr>
        <w:ind w:firstLine="495"/>
        <w:divId w:val="891189489"/>
        <w:rPr>
          <w:rFonts w:eastAsia="Times New Roman"/>
        </w:rPr>
      </w:pPr>
      <w:r>
        <w:rPr>
          <w:rFonts w:eastAsia="Times New Roman"/>
          <w:color w:val="000000"/>
          <w:sz w:val="20"/>
          <w:szCs w:val="20"/>
        </w:rPr>
        <w:t xml:space="preserve">The estimated fair value (Level 2 measurement) of mortgage notes payable at March 31, 2022 and December 31, 2021 was $4,250,602 and $4,261,429, respectively, based on </w:t>
      </w:r>
      <w:r>
        <w:rPr>
          <w:rFonts w:eastAsia="Times New Roman"/>
          <w:color w:val="000000"/>
          <w:sz w:val="20"/>
          <w:szCs w:val="20"/>
        </w:rPr>
        <w:t>current interest rates for comparable loans. Fair value was determined using a present value model and an interest rate that included a credit value adjustment based on the estimated value of the property that serves as collateral for the underlying debt.</w:t>
      </w:r>
    </w:p>
    <w:p w:rsidR="00000000" w:rsidRDefault="00BA6B82">
      <w:pPr>
        <w:divId w:val="1815482954"/>
        <w:rPr>
          <w:rFonts w:eastAsia="Times New Roman"/>
        </w:rPr>
      </w:pPr>
      <w:r>
        <w:rPr>
          <w:rFonts w:eastAsia="Times New Roman"/>
          <w:b/>
          <w:bCs/>
          <w:color w:val="000000"/>
          <w:sz w:val="20"/>
          <w:szCs w:val="20"/>
        </w:rPr>
        <w:t>11. Bank and Other Notes Payable:</w:t>
      </w:r>
    </w:p>
    <w:p w:rsidR="00000000" w:rsidRDefault="00BA6B82">
      <w:pPr>
        <w:ind w:firstLine="495"/>
        <w:divId w:val="1037925434"/>
        <w:rPr>
          <w:rFonts w:eastAsia="Times New Roman"/>
        </w:rPr>
      </w:pPr>
      <w:r>
        <w:rPr>
          <w:rFonts w:eastAsia="Times New Roman"/>
          <w:color w:val="000000"/>
          <w:sz w:val="20"/>
          <w:szCs w:val="20"/>
        </w:rPr>
        <w:t>Bank and other notes payable consist of the following:</w:t>
      </w:r>
    </w:p>
    <w:p w:rsidR="00000000" w:rsidRDefault="00BA6B82">
      <w:pPr>
        <w:ind w:firstLine="450"/>
        <w:divId w:val="1997293269"/>
        <w:rPr>
          <w:rFonts w:eastAsia="Times New Roman"/>
        </w:rPr>
      </w:pPr>
      <w:r>
        <w:rPr>
          <w:rFonts w:eastAsia="Times New Roman"/>
          <w:i/>
          <w:iCs/>
          <w:color w:val="000000"/>
          <w:sz w:val="20"/>
          <w:szCs w:val="20"/>
        </w:rPr>
        <w:t>Credit Facility:</w:t>
      </w:r>
    </w:p>
    <w:p w:rsidR="00000000" w:rsidRDefault="00BA6B82">
      <w:pPr>
        <w:ind w:firstLine="495"/>
        <w:divId w:val="1965889961"/>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$700,000 facility, including a $525,000 revolving loan facility that matures on April 14, 2023, with a one-year </w:t>
      </w:r>
      <w:r>
        <w:rPr>
          <w:rFonts w:eastAsia="Times New Roman"/>
          <w:color w:val="000000"/>
          <w:sz w:val="20"/>
          <w:szCs w:val="20"/>
        </w:rPr>
        <w:t>extension option, and a $175,000 term loan facility that matures on April 14, 2024. The revolving loan facility can be expanded up to $800,000, subject to receipt of lender commitments and other conditions. Concurrently with entering into the new credit ag</w:t>
      </w:r>
      <w:r>
        <w:rPr>
          <w:rFonts w:eastAsia="Times New Roman"/>
          <w:color w:val="000000"/>
          <w:sz w:val="20"/>
          <w:szCs w:val="20"/>
        </w:rPr>
        <w:t>reement, the Company drew the $175,000 term loan facility in its entirety and drew $320,000 of the amount available under the revolving loan facility. Simultaneously with entering into the new credit agreement, the Company repaid $985,000 of debt, which in</w:t>
      </w:r>
      <w:r>
        <w:rPr>
          <w:rFonts w:eastAsia="Times New Roman"/>
          <w:color w:val="000000"/>
          <w:sz w:val="20"/>
          <w:szCs w:val="20"/>
        </w:rPr>
        <w:t>cluded terminating and repaying all amounts outstanding under its prior revolving line of credit facility. All obligations under the facility are guaranteed unconditionally by the Company and are secured in the form of mortgages on certain wholly-owned ass</w:t>
      </w:r>
      <w:r>
        <w:rPr>
          <w:rFonts w:eastAsia="Times New Roman"/>
          <w:color w:val="000000"/>
          <w:sz w:val="20"/>
          <w:szCs w:val="20"/>
        </w:rPr>
        <w:t>ets and pledges of equity interests held by certain of the Company’s subsidiaries. The credit facility bears interest at LIBOR plus a spread of 2.25% to 3.25% depending on the Company’s overall leverage level. As of March 31, 2022, the borrowing rate was L</w:t>
      </w:r>
      <w:r>
        <w:rPr>
          <w:rFonts w:eastAsia="Times New Roman"/>
          <w:color w:val="000000"/>
          <w:sz w:val="20"/>
          <w:szCs w:val="20"/>
        </w:rPr>
        <w:t xml:space="preserve">IBOR plus 2.25%. As of March 31, 2022, borrowings under the facility were </w:t>
      </w:r>
    </w:p>
    <w:p w:rsidR="00000000" w:rsidRDefault="00BA6B82">
      <w:pPr>
        <w:jc w:val="center"/>
        <w:divId w:val="2109695633"/>
        <w:rPr>
          <w:rFonts w:eastAsia="Times New Roman"/>
        </w:rPr>
      </w:pPr>
      <w:r>
        <w:rPr>
          <w:rFonts w:eastAsia="Times New Roman"/>
          <w:color w:val="000000"/>
          <w:sz w:val="20"/>
          <w:szCs w:val="20"/>
        </w:rPr>
        <w:t>19</w:t>
      </w:r>
    </w:p>
    <w:p w:rsidR="00000000" w:rsidRDefault="00BA6B82">
      <w:pPr>
        <w:rPr>
          <w:rFonts w:eastAsia="Times New Roman"/>
        </w:rPr>
      </w:pPr>
      <w:r>
        <w:rPr>
          <w:rFonts w:eastAsia="Times New Roman"/>
        </w:rPr>
        <w:pict>
          <v:rect id="_x0000_i1043" style="width:0;height:1.5pt" o:hralign="center" o:hrstd="t" o:hr="t" fillcolor="#a0a0a0" stroked="f"/>
        </w:pict>
      </w:r>
    </w:p>
    <w:p w:rsidR="00000000" w:rsidRDefault="00BA6B82">
      <w:pPr>
        <w:divId w:val="942955237"/>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814759794"/>
        <w:rPr>
          <w:rFonts w:eastAsia="Times New Roman"/>
        </w:rPr>
      </w:pPr>
      <w:r>
        <w:rPr>
          <w:rFonts w:eastAsia="Times New Roman"/>
          <w:b/>
          <w:bCs/>
          <w:color w:val="000000"/>
          <w:sz w:val="20"/>
          <w:szCs w:val="20"/>
        </w:rPr>
        <w:t>THE MACERICH COMPANY</w:t>
      </w:r>
    </w:p>
    <w:p w:rsidR="00000000" w:rsidRDefault="00BA6B82">
      <w:pPr>
        <w:jc w:val="center"/>
        <w:divId w:val="5718369"/>
        <w:rPr>
          <w:rFonts w:eastAsia="Times New Roman"/>
        </w:rPr>
      </w:pPr>
      <w:r>
        <w:rPr>
          <w:rFonts w:eastAsia="Times New Roman"/>
          <w:b/>
          <w:bCs/>
          <w:color w:val="000000"/>
          <w:sz w:val="20"/>
          <w:szCs w:val="20"/>
        </w:rPr>
        <w:t>NOTES TO CONSOLIDATED FINANCIAL STATEMENTS (C</w:t>
      </w:r>
      <w:r>
        <w:rPr>
          <w:rFonts w:eastAsia="Times New Roman"/>
          <w:b/>
          <w:bCs/>
          <w:color w:val="000000"/>
          <w:sz w:val="20"/>
          <w:szCs w:val="20"/>
        </w:rPr>
        <w:t>ontinued)</w:t>
      </w:r>
    </w:p>
    <w:p w:rsidR="00000000" w:rsidRDefault="00BA6B82">
      <w:pPr>
        <w:jc w:val="center"/>
        <w:divId w:val="962543710"/>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693725944"/>
        <w:rPr>
          <w:rFonts w:eastAsia="Times New Roman"/>
        </w:rPr>
      </w:pPr>
      <w:r>
        <w:rPr>
          <w:rFonts w:eastAsia="Times New Roman"/>
          <w:b/>
          <w:bCs/>
          <w:color w:val="000000"/>
          <w:sz w:val="20"/>
          <w:szCs w:val="20"/>
        </w:rPr>
        <w:t>(Unaudited)</w:t>
      </w:r>
    </w:p>
    <w:p w:rsidR="00000000" w:rsidRDefault="00BA6B82">
      <w:pPr>
        <w:divId w:val="504437770"/>
        <w:rPr>
          <w:rFonts w:eastAsia="Times New Roman"/>
        </w:rPr>
      </w:pPr>
      <w:r>
        <w:rPr>
          <w:rFonts w:eastAsia="Times New Roman"/>
          <w:b/>
          <w:bCs/>
          <w:color w:val="000000"/>
          <w:sz w:val="20"/>
          <w:szCs w:val="20"/>
        </w:rPr>
        <w:t>11. Bank and Other Notes Payable: (Continued)</w:t>
      </w:r>
    </w:p>
    <w:p w:rsidR="00000000" w:rsidRDefault="00BA6B82">
      <w:pPr>
        <w:divId w:val="871573071"/>
        <w:rPr>
          <w:rFonts w:eastAsia="Times New Roman"/>
        </w:rPr>
      </w:pPr>
      <w:r>
        <w:rPr>
          <w:rFonts w:eastAsia="Times New Roman"/>
          <w:color w:val="000000"/>
          <w:sz w:val="20"/>
          <w:szCs w:val="20"/>
        </w:rPr>
        <w:t>$76,000, less unamortized deferred finance costs of $12,612, for the revolving loan facility at a total interest rate of 3.</w:t>
      </w:r>
      <w:r>
        <w:rPr>
          <w:rFonts w:eastAsia="Times New Roman"/>
          <w:color w:val="000000"/>
          <w:sz w:val="20"/>
          <w:szCs w:val="20"/>
        </w:rPr>
        <w:t>76%. As of March 31, 2022, the Company's availability under the revolving loan facility for additional borrowings was $448,719. On September 20, 2021, the Company paid off the remaining balance outstanding on the term loan facility with proceeds from the s</w:t>
      </w:r>
      <w:r>
        <w:rPr>
          <w:rFonts w:eastAsia="Times New Roman"/>
          <w:color w:val="000000"/>
          <w:sz w:val="20"/>
          <w:szCs w:val="20"/>
        </w:rPr>
        <w:t>ale of Tucson La Encantada (See Note 15—Dispositions). The estimated fair value (Level 2 measurement) of borrowings under the credit facility at March 31, 2022 was $72,916 for the revolving loan facility based on a present value model using a credit intere</w:t>
      </w:r>
      <w:r>
        <w:rPr>
          <w:rFonts w:eastAsia="Times New Roman"/>
          <w:color w:val="000000"/>
          <w:sz w:val="20"/>
          <w:szCs w:val="20"/>
        </w:rPr>
        <w:t>st rate spread offered to the Company for comparable debt.</w:t>
      </w:r>
    </w:p>
    <w:p w:rsidR="00000000" w:rsidRDefault="00BA6B82">
      <w:pPr>
        <w:ind w:firstLine="495"/>
        <w:divId w:val="668405795"/>
        <w:rPr>
          <w:rFonts w:eastAsia="Times New Roman"/>
        </w:rPr>
      </w:pPr>
      <w:r>
        <w:rPr>
          <w:rFonts w:eastAsia="Times New Roman"/>
          <w:color w:val="000000"/>
          <w:sz w:val="20"/>
          <w:szCs w:val="20"/>
        </w:rPr>
        <w:t>As of March 31, 2022 and December </w:t>
      </w:r>
      <w:r>
        <w:rPr>
          <w:rFonts w:eastAsia="Times New Roman"/>
          <w:color w:val="000000"/>
          <w:sz w:val="20"/>
          <w:szCs w:val="20"/>
        </w:rPr>
        <w:t>31, 2021, the Company was in compliance with all applicable financial loan covenants.</w:t>
      </w:r>
    </w:p>
    <w:p w:rsidR="00000000" w:rsidRDefault="00BA6B82">
      <w:pPr>
        <w:divId w:val="778719534"/>
        <w:rPr>
          <w:rFonts w:eastAsia="Times New Roman"/>
        </w:rPr>
      </w:pPr>
      <w:r>
        <w:rPr>
          <w:rFonts w:eastAsia="Times New Roman"/>
          <w:b/>
          <w:bCs/>
          <w:color w:val="000000"/>
          <w:sz w:val="20"/>
          <w:szCs w:val="20"/>
        </w:rPr>
        <w:t>12. Financing Arrangement:</w:t>
      </w:r>
    </w:p>
    <w:p w:rsidR="00000000" w:rsidRDefault="00BA6B82">
      <w:pPr>
        <w:ind w:firstLine="495"/>
        <w:divId w:val="60637744"/>
        <w:rPr>
          <w:rFonts w:eastAsia="Times New Roman"/>
        </w:rPr>
      </w:pPr>
      <w:r>
        <w:rPr>
          <w:rFonts w:eastAsia="Times New Roman"/>
          <w:color w:val="000000"/>
          <w:sz w:val="20"/>
          <w:szCs w:val="20"/>
        </w:rPr>
        <w:t>On September 30, 2009, the Company formed a joint venture whereby a third party acquired a 49.9% interest in Chandler Fashion Center, a 1,319,0</w:t>
      </w:r>
      <w:r>
        <w:rPr>
          <w:rFonts w:eastAsia="Times New Roman"/>
          <w:color w:val="000000"/>
          <w:sz w:val="20"/>
          <w:szCs w:val="20"/>
        </w:rPr>
        <w:t>00 square foot regional shopping center in Chandler, Arizona, and Freehold Raceway Mall, a 1,553,000 square foot regional shopping center in Freehold, New Jersey (collectively referred to herein as "Chandler Freehold"). As a result of the Company having ce</w:t>
      </w:r>
      <w:r>
        <w:rPr>
          <w:rFonts w:eastAsia="Times New Roman"/>
          <w:color w:val="000000"/>
          <w:sz w:val="20"/>
          <w:szCs w:val="20"/>
        </w:rPr>
        <w:t>rtain rights under the agreement to repurchase the assets after the seventh year of the formation of Chandler Freehold, the transaction did not qualify for sale treatment. The Company, however, is not obligated to repurchase the assets. The Company account</w:t>
      </w:r>
      <w:r>
        <w:rPr>
          <w:rFonts w:eastAsia="Times New Roman"/>
          <w:color w:val="000000"/>
          <w:sz w:val="20"/>
          <w:szCs w:val="20"/>
        </w:rPr>
        <w:t>s for its investment in Chandler Freehold as a financing arrangement. The fair value (Level 3 measurement) of the financing arrangement obligation at each of March 31, 2022 and December 31, 2021 was based upon a terminal capitalization rate of approximatel</w:t>
      </w:r>
      <w:r>
        <w:rPr>
          <w:rFonts w:eastAsia="Times New Roman"/>
          <w:color w:val="000000"/>
          <w:sz w:val="20"/>
          <w:szCs w:val="20"/>
        </w:rPr>
        <w:t>y 5.75%, a discount rate of approximately 7.25% and market rents per square foot of $35 to $105. The fair value of the financing arrangement obligation is sensitive to these significant unobservable inputs and a change in these inputs may result in a signi</w:t>
      </w:r>
      <w:r>
        <w:rPr>
          <w:rFonts w:eastAsia="Times New Roman"/>
          <w:color w:val="000000"/>
          <w:sz w:val="20"/>
          <w:szCs w:val="20"/>
        </w:rPr>
        <w:t>ficantly higher or lower fair value measurement. Distributions to the partner, excluding distributions of excess loan proceeds, and changes in fair value of the financing arrangement obligation are recognized as interest (income) expense in the Company's c</w:t>
      </w:r>
      <w:r>
        <w:rPr>
          <w:rFonts w:eastAsia="Times New Roman"/>
          <w:color w:val="000000"/>
          <w:sz w:val="20"/>
          <w:szCs w:val="20"/>
        </w:rPr>
        <w:t xml:space="preserve">onsolidated statements of operations. </w:t>
      </w:r>
    </w:p>
    <w:p w:rsidR="00000000" w:rsidRDefault="00BA6B82">
      <w:pPr>
        <w:ind w:firstLine="495"/>
        <w:divId w:val="1266696169"/>
        <w:rPr>
          <w:rFonts w:eastAsia="Times New Roman"/>
        </w:rPr>
      </w:pPr>
      <w:r>
        <w:rPr>
          <w:rFonts w:eastAsia="Times New Roman"/>
          <w:color w:val="000000"/>
          <w:sz w:val="20"/>
          <w:szCs w:val="20"/>
        </w:rPr>
        <w:t>During the three months ended March 31, 2022 and 2021, the Company recognized interest expense (income) in the Company's consolidated statements of operations in connection with the financing arrangement as follows:</w:t>
      </w:r>
    </w:p>
    <w:p w:rsidR="00000000" w:rsidRDefault="00BA6B82">
      <w:pPr>
        <w:ind w:firstLine="495"/>
        <w:divId w:val="2026860581"/>
        <w:rPr>
          <w:rFonts w:eastAsia="Times New Roman"/>
        </w:rPr>
      </w:pPr>
    </w:p>
    <w:tbl>
      <w:tblPr>
        <w:tblW w:w="3662" w:type="pct"/>
        <w:tblCellMar>
          <w:top w:w="15" w:type="dxa"/>
          <w:left w:w="15" w:type="dxa"/>
          <w:bottom w:w="15" w:type="dxa"/>
          <w:right w:w="15" w:type="dxa"/>
        </w:tblCellMar>
        <w:tblLook w:val="04A0" w:firstRow="1" w:lastRow="0" w:firstColumn="1" w:lastColumn="0" w:noHBand="0" w:noVBand="1"/>
      </w:tblPr>
      <w:tblGrid>
        <w:gridCol w:w="37"/>
        <w:gridCol w:w="4337"/>
        <w:gridCol w:w="36"/>
        <w:gridCol w:w="36"/>
        <w:gridCol w:w="36"/>
        <w:gridCol w:w="36"/>
        <w:gridCol w:w="36"/>
        <w:gridCol w:w="120"/>
        <w:gridCol w:w="525"/>
        <w:gridCol w:w="36"/>
        <w:gridCol w:w="36"/>
        <w:gridCol w:w="36"/>
        <w:gridCol w:w="36"/>
        <w:gridCol w:w="120"/>
        <w:gridCol w:w="584"/>
        <w:gridCol w:w="36"/>
      </w:tblGrid>
      <w:tr w:rsidR="00000000">
        <w:trPr>
          <w:divId w:val="688024287"/>
        </w:trPr>
        <w:tc>
          <w:tcPr>
            <w:tcW w:w="50" w:type="pct"/>
            <w:vAlign w:val="center"/>
            <w:hideMark/>
          </w:tcPr>
          <w:p w:rsidR="00000000" w:rsidRDefault="00BA6B82">
            <w:pPr>
              <w:ind w:firstLine="495"/>
              <w:rPr>
                <w:rFonts w:eastAsia="Times New Roman"/>
              </w:rPr>
            </w:pPr>
          </w:p>
        </w:tc>
        <w:tc>
          <w:tcPr>
            <w:tcW w:w="373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688024287"/>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688024287"/>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688024287"/>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Distributions equal to the partner's share of net income (loss)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88024287"/>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Distributions in excess of the partner's share of net income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4,962 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3,414 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88024287"/>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Adjustment to fair value of financing arrangement obligation</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688024287"/>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divId w:val="168908256"/>
        <w:rPr>
          <w:rFonts w:eastAsia="Times New Roman"/>
        </w:rPr>
      </w:pPr>
      <w:r>
        <w:rPr>
          <w:rFonts w:eastAsia="Times New Roman"/>
          <w:b/>
          <w:bCs/>
          <w:color w:val="000000"/>
          <w:sz w:val="20"/>
          <w:szCs w:val="20"/>
        </w:rPr>
        <w:t>13. Noncontrolling Interests:</w:t>
      </w:r>
    </w:p>
    <w:p w:rsidR="00000000" w:rsidRDefault="00BA6B82">
      <w:pPr>
        <w:ind w:firstLine="495"/>
        <w:divId w:val="616831329"/>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Company is reflec</w:t>
      </w:r>
      <w:r>
        <w:rPr>
          <w:rFonts w:eastAsia="Times New Roman"/>
          <w:color w:val="000000"/>
          <w:sz w:val="20"/>
          <w:szCs w:val="20"/>
        </w:rPr>
        <w:t>ted in the consolidated statements of operations as noncontrolling interests. The Company adjusts the noncontrolling interests in the Operating Partnership at the end of each period to reflect its ownership interest in the Company. The Company had a 96% ow</w:t>
      </w:r>
      <w:r>
        <w:rPr>
          <w:rFonts w:eastAsia="Times New Roman"/>
          <w:color w:val="000000"/>
          <w:sz w:val="20"/>
          <w:szCs w:val="20"/>
        </w:rPr>
        <w:t xml:space="preserve">nership interest in the Operating Partnership as of each of March 31, 2022 and December 31, 2021. The remaining 4% limited partnership interest as of each of March 31, 2022 and December 31, 2021 was owned by certain of the Company's executive officers and </w:t>
      </w:r>
      <w:r>
        <w:rPr>
          <w:rFonts w:eastAsia="Times New Roman"/>
          <w:color w:val="000000"/>
          <w:sz w:val="20"/>
          <w:szCs w:val="20"/>
        </w:rPr>
        <w:t>directors, certain of their affiliates and other third party investors in the form of OP Units. The OP Units may be redeemed for shares of stock or cash, at the Company's option. The redemption value for each OP Unit as of any balance sheet date is the amo</w:t>
      </w:r>
      <w:r>
        <w:rPr>
          <w:rFonts w:eastAsia="Times New Roman"/>
          <w:color w:val="000000"/>
          <w:sz w:val="20"/>
          <w:szCs w:val="20"/>
        </w:rPr>
        <w:t>unt equal to the average of the closing price per share of the Company's common stock, par value $0.01 per share, as reported on the New York Stock Exchange for the 10 trading days ending on the respective balance sheet date. Accordingly, as of March 31, 2</w:t>
      </w:r>
      <w:r>
        <w:rPr>
          <w:rFonts w:eastAsia="Times New Roman"/>
          <w:color w:val="000000"/>
          <w:sz w:val="20"/>
          <w:szCs w:val="20"/>
        </w:rPr>
        <w:t>022 and December 31, 2021, the aggregate redemption value of the then-outstanding OP Units not owned by the Company was $131,584 and $147,259, respectively.</w:t>
      </w:r>
    </w:p>
    <w:p w:rsidR="00000000" w:rsidRDefault="00BA6B82">
      <w:pPr>
        <w:jc w:val="center"/>
        <w:divId w:val="584850543"/>
        <w:rPr>
          <w:rFonts w:eastAsia="Times New Roman"/>
        </w:rPr>
      </w:pPr>
      <w:r>
        <w:rPr>
          <w:rFonts w:eastAsia="Times New Roman"/>
          <w:color w:val="000000"/>
          <w:sz w:val="20"/>
          <w:szCs w:val="20"/>
        </w:rPr>
        <w:t>20</w:t>
      </w:r>
    </w:p>
    <w:p w:rsidR="00000000" w:rsidRDefault="00BA6B82">
      <w:pPr>
        <w:rPr>
          <w:rFonts w:eastAsia="Times New Roman"/>
        </w:rPr>
      </w:pPr>
      <w:r>
        <w:rPr>
          <w:rFonts w:eastAsia="Times New Roman"/>
        </w:rPr>
        <w:pict>
          <v:rect id="_x0000_i1044" style="width:0;height:1.5pt" o:hralign="center" o:hrstd="t" o:hr="t" fillcolor="#a0a0a0" stroked="f"/>
        </w:pict>
      </w:r>
    </w:p>
    <w:p w:rsidR="00000000" w:rsidRDefault="00BA6B82">
      <w:pPr>
        <w:divId w:val="102999015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111772479"/>
        <w:rPr>
          <w:rFonts w:eastAsia="Times New Roman"/>
        </w:rPr>
      </w:pPr>
      <w:r>
        <w:rPr>
          <w:rFonts w:eastAsia="Times New Roman"/>
          <w:b/>
          <w:bCs/>
          <w:color w:val="000000"/>
          <w:sz w:val="20"/>
          <w:szCs w:val="20"/>
        </w:rPr>
        <w:t>THE MACERICH COMPANY</w:t>
      </w:r>
    </w:p>
    <w:p w:rsidR="00000000" w:rsidRDefault="00BA6B82">
      <w:pPr>
        <w:jc w:val="center"/>
        <w:divId w:val="1299140890"/>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955285418"/>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421727894"/>
        <w:rPr>
          <w:rFonts w:eastAsia="Times New Roman"/>
        </w:rPr>
      </w:pPr>
      <w:r>
        <w:rPr>
          <w:rFonts w:eastAsia="Times New Roman"/>
          <w:b/>
          <w:bCs/>
          <w:color w:val="000000"/>
          <w:sz w:val="20"/>
          <w:szCs w:val="20"/>
        </w:rPr>
        <w:t>(Unaudited)</w:t>
      </w:r>
    </w:p>
    <w:p w:rsidR="00000000" w:rsidRDefault="00BA6B82">
      <w:pPr>
        <w:divId w:val="764232424"/>
        <w:rPr>
          <w:rFonts w:eastAsia="Times New Roman"/>
        </w:rPr>
      </w:pPr>
      <w:r>
        <w:rPr>
          <w:rFonts w:eastAsia="Times New Roman"/>
          <w:b/>
          <w:bCs/>
          <w:color w:val="000000"/>
          <w:sz w:val="20"/>
          <w:szCs w:val="20"/>
        </w:rPr>
        <w:t>13. Noncontrolling Interests: (Continued)</w:t>
      </w:r>
    </w:p>
    <w:p w:rsidR="00000000" w:rsidRDefault="00BA6B82">
      <w:pPr>
        <w:ind w:firstLine="495"/>
        <w:divId w:val="404569302"/>
        <w:rPr>
          <w:rFonts w:eastAsia="Times New Roman"/>
        </w:rPr>
      </w:pPr>
      <w:r>
        <w:rPr>
          <w:rFonts w:eastAsia="Times New Roman"/>
          <w:color w:val="000000"/>
          <w:sz w:val="20"/>
          <w:szCs w:val="20"/>
        </w:rPr>
        <w:t>The Company issued common and preferred units of MACWH, LP in April 2005 in connection with the acquisition of the Wilmorite portfolio. T</w:t>
      </w:r>
      <w:r>
        <w:rPr>
          <w:rFonts w:eastAsia="Times New Roman"/>
          <w:color w:val="000000"/>
          <w:sz w:val="20"/>
          <w:szCs w:val="20"/>
        </w:rPr>
        <w:t>he common and preferred units of MACWH, LP are redeemable at the election of the holder. The Company may redeem them for cash or shares of the Company's stock at the Company's option and they are classified as permanent equity.</w:t>
      </w:r>
    </w:p>
    <w:p w:rsidR="00000000" w:rsidRDefault="00BA6B82">
      <w:pPr>
        <w:ind w:firstLine="495"/>
        <w:divId w:val="1907497527"/>
        <w:rPr>
          <w:rFonts w:eastAsia="Times New Roman"/>
        </w:rPr>
      </w:pPr>
      <w:r>
        <w:rPr>
          <w:rFonts w:eastAsia="Times New Roman"/>
          <w:color w:val="000000"/>
          <w:sz w:val="20"/>
          <w:szCs w:val="20"/>
        </w:rPr>
        <w:t>Included in permanent equity</w:t>
      </w:r>
      <w:r>
        <w:rPr>
          <w:rFonts w:eastAsia="Times New Roman"/>
          <w:color w:val="000000"/>
          <w:sz w:val="20"/>
          <w:szCs w:val="20"/>
        </w:rPr>
        <w:t xml:space="preserve"> are outside ownership interests in various consolidated joint ventures. The joint ventures do not have rights that require the Company to redeem the ownership interests in either cash or stock.</w:t>
      </w:r>
    </w:p>
    <w:p w:rsidR="00000000" w:rsidRDefault="00BA6B82">
      <w:pPr>
        <w:divId w:val="1013919544"/>
        <w:rPr>
          <w:rFonts w:eastAsia="Times New Roman"/>
        </w:rPr>
      </w:pPr>
      <w:r>
        <w:rPr>
          <w:rFonts w:eastAsia="Times New Roman"/>
          <w:b/>
          <w:bCs/>
          <w:color w:val="000000"/>
          <w:sz w:val="20"/>
          <w:szCs w:val="20"/>
        </w:rPr>
        <w:t>14. Stockholders' Equity:</w:t>
      </w:r>
    </w:p>
    <w:p w:rsidR="00000000" w:rsidRDefault="00BA6B82">
      <w:pPr>
        <w:ind w:firstLine="495"/>
        <w:divId w:val="2105179083"/>
        <w:rPr>
          <w:rFonts w:eastAsia="Times New Roman"/>
        </w:rPr>
      </w:pPr>
      <w:r>
        <w:rPr>
          <w:rFonts w:eastAsia="Times New Roman"/>
          <w:i/>
          <w:iCs/>
          <w:color w:val="000000"/>
          <w:sz w:val="20"/>
          <w:szCs w:val="20"/>
        </w:rPr>
        <w:t>Stock Offerings</w:t>
      </w:r>
    </w:p>
    <w:p w:rsidR="00000000" w:rsidRDefault="00BA6B82">
      <w:pPr>
        <w:ind w:firstLine="495"/>
        <w:divId w:val="1181970726"/>
        <w:rPr>
          <w:rFonts w:eastAsia="Times New Roman"/>
        </w:rPr>
      </w:pPr>
      <w:r>
        <w:rPr>
          <w:rFonts w:eastAsia="Times New Roman"/>
          <w:color w:val="000000"/>
          <w:sz w:val="20"/>
          <w:szCs w:val="20"/>
        </w:rPr>
        <w:t xml:space="preserve">In connection with </w:t>
      </w:r>
      <w:r>
        <w:rPr>
          <w:rFonts w:eastAsia="Times New Roman"/>
          <w:color w:val="000000"/>
          <w:sz w:val="20"/>
          <w:szCs w:val="20"/>
        </w:rPr>
        <w:t>the commencement of separate “at the market” offering programs, on each of February 1, 2021 and March 26, 2021, which are referred to as the “February 2021 ATM Program” and the “March 2021 ATM Program,” respectively, and collectively as the “ATM Programs,”</w:t>
      </w:r>
      <w:r>
        <w:rPr>
          <w:rFonts w:eastAsia="Times New Roman"/>
          <w:color w:val="000000"/>
          <w:sz w:val="20"/>
          <w:szCs w:val="20"/>
        </w:rPr>
        <w:t xml:space="preserve"> the Company entered into separate equity distribution agreements with certain sales agents pursuant to which the Company may issue and sell shares of its common stock having an aggregate offering price of up to $500,000 under each of the February 2021 ATM</w:t>
      </w:r>
      <w:r>
        <w:rPr>
          <w:rFonts w:eastAsia="Times New Roman"/>
          <w:color w:val="000000"/>
          <w:sz w:val="20"/>
          <w:szCs w:val="20"/>
        </w:rPr>
        <w:t xml:space="preserve"> Program and the March 2021 ATM Program, or a total of $1,000,000 under the ATM Programs. The February 2021 ATM Program was fully utilized as of June 30, 2021 and is no longer active.</w:t>
      </w:r>
    </w:p>
    <w:p w:rsidR="00000000" w:rsidRDefault="00BA6B82">
      <w:pPr>
        <w:ind w:firstLine="495"/>
        <w:divId w:val="1958640536"/>
        <w:rPr>
          <w:rFonts w:eastAsia="Times New Roman"/>
        </w:rPr>
      </w:pPr>
      <w:r>
        <w:rPr>
          <w:rFonts w:eastAsia="Times New Roman"/>
          <w:color w:val="000000"/>
          <w:sz w:val="20"/>
          <w:szCs w:val="20"/>
        </w:rPr>
        <w:t xml:space="preserve">During the three months ended March 31, 2022, the Company did not issue </w:t>
      </w:r>
      <w:r>
        <w:rPr>
          <w:rFonts w:eastAsia="Times New Roman"/>
          <w:color w:val="000000"/>
          <w:sz w:val="20"/>
          <w:szCs w:val="20"/>
        </w:rPr>
        <w:t>any shares of common stock under the March 2021 ATM Program. As of March 31, 2022, $151,699 remained available to be sold under the March 2021 ATM Program. Actual future sales will depend upon a variety of factors including, but not limited to, market cond</w:t>
      </w:r>
      <w:r>
        <w:rPr>
          <w:rFonts w:eastAsia="Times New Roman"/>
          <w:color w:val="000000"/>
          <w:sz w:val="20"/>
          <w:szCs w:val="20"/>
        </w:rPr>
        <w:t xml:space="preserve">itions, the trading price of the Company’s common stock and the Company’s capital needs. The Company has no obligation to sell the remaining shares available for sale under the March 2021 ATM Program. </w:t>
      </w:r>
    </w:p>
    <w:p w:rsidR="00000000" w:rsidRDefault="00BA6B82">
      <w:pPr>
        <w:ind w:firstLine="495"/>
        <w:divId w:val="724062296"/>
        <w:rPr>
          <w:rFonts w:eastAsia="Times New Roman"/>
        </w:rPr>
      </w:pPr>
      <w:r>
        <w:rPr>
          <w:rFonts w:eastAsia="Times New Roman"/>
          <w:color w:val="000000"/>
          <w:sz w:val="20"/>
          <w:szCs w:val="20"/>
        </w:rPr>
        <w:t>During the three months ended March 31, 2021, the Comp</w:t>
      </w:r>
      <w:r>
        <w:rPr>
          <w:rFonts w:eastAsia="Times New Roman"/>
          <w:color w:val="000000"/>
          <w:sz w:val="20"/>
          <w:szCs w:val="20"/>
        </w:rPr>
        <w:t>any issued 45,992,318 shares of common stock under the ATM Programs for aggregate gross proceeds of $609,739 and net proceeds of $597,007 after commissions and other transaction costs. In addition, under the ATM Programs, the Company sold additional common</w:t>
      </w:r>
      <w:r>
        <w:rPr>
          <w:rFonts w:eastAsia="Times New Roman"/>
          <w:color w:val="000000"/>
          <w:sz w:val="20"/>
          <w:szCs w:val="20"/>
        </w:rPr>
        <w:t xml:space="preserve"> shares at the end of the quarter ending March 31, 2021 for aggregate gross proceeds of $41,977 and net proceeds of $41,137 after commissions, of which the shares settled and the proceeds were received in April 2021.</w:t>
      </w:r>
    </w:p>
    <w:p w:rsidR="00000000" w:rsidRDefault="00BA6B82">
      <w:pPr>
        <w:ind w:firstLine="495"/>
        <w:divId w:val="1445349459"/>
        <w:rPr>
          <w:rFonts w:eastAsia="Times New Roman"/>
        </w:rPr>
      </w:pPr>
      <w:r>
        <w:rPr>
          <w:rFonts w:eastAsia="Times New Roman"/>
          <w:i/>
          <w:iCs/>
          <w:color w:val="000000"/>
          <w:sz w:val="20"/>
          <w:szCs w:val="20"/>
        </w:rPr>
        <w:t>Stock Buyback Program</w:t>
      </w:r>
    </w:p>
    <w:p w:rsidR="00000000" w:rsidRDefault="00BA6B82">
      <w:pPr>
        <w:ind w:firstLine="495"/>
        <w:divId w:val="722943556"/>
        <w:rPr>
          <w:rFonts w:eastAsia="Times New Roman"/>
        </w:rPr>
      </w:pPr>
      <w:r>
        <w:rPr>
          <w:rFonts w:eastAsia="Times New Roman"/>
          <w:color w:val="000000"/>
          <w:sz w:val="20"/>
          <w:szCs w:val="20"/>
        </w:rPr>
        <w:t>On February 12, 2</w:t>
      </w:r>
      <w:r>
        <w:rPr>
          <w:rFonts w:eastAsia="Times New Roman"/>
          <w:color w:val="000000"/>
          <w:sz w:val="20"/>
          <w:szCs w:val="20"/>
        </w:rPr>
        <w:t>017, the Company's Board of Directors authorized the repurchase of up to $500,000 of its outstanding common shares as market conditions and the Company’s liquidity warrant. Repurchases may be made through open market purchases, privately negotiated transac</w:t>
      </w:r>
      <w:r>
        <w:rPr>
          <w:rFonts w:eastAsia="Times New Roman"/>
          <w:color w:val="000000"/>
          <w:sz w:val="20"/>
          <w:szCs w:val="20"/>
        </w:rPr>
        <w:t>tions, structured or derivative transactions, including ASR transactions, or other methods of acquiring shares, from time to time as permitted by securities laws and other legal requirements. The program is referred to herein as the "Stock Buyback Program"</w:t>
      </w:r>
      <w:r>
        <w:rPr>
          <w:rFonts w:eastAsia="Times New Roman"/>
          <w:color w:val="000000"/>
          <w:sz w:val="20"/>
          <w:szCs w:val="20"/>
        </w:rPr>
        <w:t>.</w:t>
      </w:r>
    </w:p>
    <w:p w:rsidR="00000000" w:rsidRDefault="00BA6B82">
      <w:pPr>
        <w:ind w:firstLine="495"/>
        <w:divId w:val="1420902748"/>
        <w:rPr>
          <w:rFonts w:eastAsia="Times New Roman"/>
        </w:rPr>
      </w:pPr>
      <w:r>
        <w:rPr>
          <w:rFonts w:eastAsia="Times New Roman"/>
          <w:color w:val="000000"/>
          <w:sz w:val="20"/>
          <w:szCs w:val="20"/>
        </w:rPr>
        <w:t xml:space="preserve">There were no repurchases under the Stock Buyback Program during the three months ended March 31, 2022 or 2021. </w:t>
      </w:r>
    </w:p>
    <w:p w:rsidR="00000000" w:rsidRDefault="00BA6B82">
      <w:pPr>
        <w:divId w:val="1869218304"/>
        <w:rPr>
          <w:rFonts w:eastAsia="Times New Roman"/>
        </w:rPr>
      </w:pPr>
      <w:r>
        <w:rPr>
          <w:rFonts w:eastAsia="Times New Roman"/>
          <w:b/>
          <w:bCs/>
          <w:color w:val="000000"/>
          <w:sz w:val="20"/>
          <w:szCs w:val="20"/>
        </w:rPr>
        <w:t>15. Dispositions:</w:t>
      </w:r>
    </w:p>
    <w:p w:rsidR="00000000" w:rsidRDefault="00BA6B82">
      <w:pPr>
        <w:ind w:firstLine="495"/>
        <w:divId w:val="1130712498"/>
        <w:rPr>
          <w:rFonts w:eastAsia="Times New Roman"/>
        </w:rPr>
      </w:pPr>
      <w:r>
        <w:rPr>
          <w:rFonts w:eastAsia="Times New Roman"/>
          <w:color w:val="000000"/>
          <w:sz w:val="20"/>
          <w:szCs w:val="20"/>
        </w:rPr>
        <w:t>On March 29, 2021, the Company sold Paradise Valley Mall in Phoenix, Arizona to a newly formed joint venture for $100,000 r</w:t>
      </w:r>
      <w:r>
        <w:rPr>
          <w:rFonts w:eastAsia="Times New Roman"/>
          <w:color w:val="000000"/>
          <w:sz w:val="20"/>
          <w:szCs w:val="20"/>
        </w:rPr>
        <w:t>esulting in a gain on sale of assets and land of $5,563. Concurrent with the sale, the Company elected to reinvest into the new joint venture at a 5% ownership interest (see Note 4 – Investments in Unconsolidated Joint Ventures). The Company used the proce</w:t>
      </w:r>
      <w:r>
        <w:rPr>
          <w:rFonts w:eastAsia="Times New Roman"/>
          <w:color w:val="000000"/>
          <w:sz w:val="20"/>
          <w:szCs w:val="20"/>
        </w:rPr>
        <w:t>eds from the sale to pay down its line of credit and for other general corporate purposes.</w:t>
      </w:r>
    </w:p>
    <w:p w:rsidR="00000000" w:rsidRDefault="00BA6B82">
      <w:pPr>
        <w:ind w:firstLine="495"/>
        <w:divId w:val="1117481830"/>
        <w:rPr>
          <w:rFonts w:eastAsia="Times New Roman"/>
        </w:rPr>
      </w:pPr>
      <w:r>
        <w:rPr>
          <w:rFonts w:eastAsia="Times New Roman"/>
          <w:color w:val="000000"/>
          <w:sz w:val="20"/>
          <w:szCs w:val="20"/>
        </w:rPr>
        <w:t>On September 17, 2021, the Company sold Tucson La Encantada in Tucson, Arizona for $165,250, resulting in a gain on sale of assets of approximately $117,242. The Com</w:t>
      </w:r>
      <w:r>
        <w:rPr>
          <w:rFonts w:eastAsia="Times New Roman"/>
          <w:color w:val="000000"/>
          <w:sz w:val="20"/>
          <w:szCs w:val="20"/>
        </w:rPr>
        <w:t>pany used the net cash proceeds of $100,142 to pay down debt.</w:t>
      </w:r>
    </w:p>
    <w:p w:rsidR="00000000" w:rsidRDefault="00BA6B82">
      <w:pPr>
        <w:ind w:firstLine="495"/>
        <w:divId w:val="1025862101"/>
        <w:rPr>
          <w:rFonts w:eastAsia="Times New Roman"/>
        </w:rPr>
      </w:pPr>
      <w:r>
        <w:rPr>
          <w:rFonts w:eastAsia="Times New Roman"/>
          <w:color w:val="000000"/>
          <w:sz w:val="20"/>
          <w:szCs w:val="20"/>
        </w:rPr>
        <w:t>For the three months ended March 31, 2022 and 2021, the Company sold various land parcels in separate transactions, resulting in gains on sale of land of $15,082 and $4,096, respectively. The Co</w:t>
      </w:r>
      <w:r>
        <w:rPr>
          <w:rFonts w:eastAsia="Times New Roman"/>
          <w:color w:val="000000"/>
          <w:sz w:val="20"/>
          <w:szCs w:val="20"/>
        </w:rPr>
        <w:t xml:space="preserve">mpany used its share of the proceeds from these sales to pay down debt and for other general corporate purposes. </w:t>
      </w:r>
    </w:p>
    <w:p w:rsidR="00000000" w:rsidRDefault="00BA6B82">
      <w:pPr>
        <w:jc w:val="center"/>
        <w:divId w:val="678582651"/>
        <w:rPr>
          <w:rFonts w:eastAsia="Times New Roman"/>
        </w:rPr>
      </w:pPr>
      <w:r>
        <w:rPr>
          <w:rFonts w:eastAsia="Times New Roman"/>
          <w:color w:val="000000"/>
          <w:sz w:val="20"/>
          <w:szCs w:val="20"/>
        </w:rPr>
        <w:t>21</w:t>
      </w:r>
    </w:p>
    <w:p w:rsidR="00000000" w:rsidRDefault="00BA6B82">
      <w:pPr>
        <w:rPr>
          <w:rFonts w:eastAsia="Times New Roman"/>
        </w:rPr>
      </w:pPr>
      <w:r>
        <w:rPr>
          <w:rFonts w:eastAsia="Times New Roman"/>
        </w:rPr>
        <w:pict>
          <v:rect id="_x0000_i1045" style="width:0;height:1.5pt" o:hralign="center" o:hrstd="t" o:hr="t" fillcolor="#a0a0a0" stroked="f"/>
        </w:pict>
      </w:r>
    </w:p>
    <w:p w:rsidR="00000000" w:rsidRDefault="00BA6B82">
      <w:pPr>
        <w:divId w:val="581333964"/>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047871276"/>
        <w:rPr>
          <w:rFonts w:eastAsia="Times New Roman"/>
        </w:rPr>
      </w:pPr>
      <w:r>
        <w:rPr>
          <w:rFonts w:eastAsia="Times New Roman"/>
          <w:b/>
          <w:bCs/>
          <w:color w:val="000000"/>
          <w:sz w:val="20"/>
          <w:szCs w:val="20"/>
        </w:rPr>
        <w:t>THE MACERICH COMPANY</w:t>
      </w:r>
    </w:p>
    <w:p w:rsidR="00000000" w:rsidRDefault="00BA6B82">
      <w:pPr>
        <w:jc w:val="center"/>
        <w:divId w:val="1734234109"/>
        <w:rPr>
          <w:rFonts w:eastAsia="Times New Roman"/>
        </w:rPr>
      </w:pPr>
      <w:r>
        <w:rPr>
          <w:rFonts w:eastAsia="Times New Roman"/>
          <w:b/>
          <w:bCs/>
          <w:color w:val="000000"/>
          <w:sz w:val="20"/>
          <w:szCs w:val="20"/>
        </w:rPr>
        <w:t>NOTES</w:t>
      </w:r>
      <w:r>
        <w:rPr>
          <w:rFonts w:eastAsia="Times New Roman"/>
          <w:b/>
          <w:bCs/>
          <w:color w:val="000000"/>
          <w:sz w:val="20"/>
          <w:szCs w:val="20"/>
        </w:rPr>
        <w:t xml:space="preserve"> TO CONSOLIDATED FINANCIAL STATEMENTS (Continued)</w:t>
      </w:r>
    </w:p>
    <w:p w:rsidR="00000000" w:rsidRDefault="00BA6B82">
      <w:pPr>
        <w:jc w:val="center"/>
        <w:divId w:val="1006323289"/>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596867106"/>
        <w:rPr>
          <w:rFonts w:eastAsia="Times New Roman"/>
        </w:rPr>
      </w:pPr>
      <w:r>
        <w:rPr>
          <w:rFonts w:eastAsia="Times New Roman"/>
          <w:b/>
          <w:bCs/>
          <w:color w:val="000000"/>
          <w:sz w:val="20"/>
          <w:szCs w:val="20"/>
        </w:rPr>
        <w:t>(Unaudited)</w:t>
      </w:r>
    </w:p>
    <w:p w:rsidR="00000000" w:rsidRDefault="00BA6B82">
      <w:pPr>
        <w:divId w:val="1544756407"/>
        <w:rPr>
          <w:rFonts w:eastAsia="Times New Roman"/>
        </w:rPr>
      </w:pPr>
    </w:p>
    <w:p w:rsidR="00000000" w:rsidRDefault="00BA6B82">
      <w:pPr>
        <w:divId w:val="412245515"/>
        <w:rPr>
          <w:rFonts w:eastAsia="Times New Roman"/>
        </w:rPr>
      </w:pPr>
      <w:r>
        <w:rPr>
          <w:rFonts w:eastAsia="Times New Roman"/>
          <w:b/>
          <w:bCs/>
          <w:color w:val="000000"/>
          <w:sz w:val="20"/>
          <w:szCs w:val="20"/>
        </w:rPr>
        <w:t>16. Commitments and Contingencies:</w:t>
      </w:r>
    </w:p>
    <w:p w:rsidR="00000000" w:rsidRDefault="00BA6B82">
      <w:pPr>
        <w:ind w:firstLine="495"/>
        <w:divId w:val="707873368"/>
        <w:rPr>
          <w:rFonts w:eastAsia="Times New Roman"/>
        </w:rPr>
      </w:pPr>
      <w:r>
        <w:rPr>
          <w:rFonts w:eastAsia="Times New Roman"/>
          <w:color w:val="000000"/>
          <w:sz w:val="20"/>
          <w:szCs w:val="20"/>
        </w:rPr>
        <w:t>As of March </w:t>
      </w:r>
      <w:r>
        <w:rPr>
          <w:rFonts w:eastAsia="Times New Roman"/>
          <w:color w:val="000000"/>
          <w:sz w:val="20"/>
          <w:szCs w:val="20"/>
        </w:rPr>
        <w:t>31, 2022, the Company was contingently liable for $40,997 in letters of credit guaranteeing performance by the Company of certain obligations relating to the Centers. As of March 31, 2022, $40,680 of these letters of credit were secured by restricted cash.</w:t>
      </w:r>
      <w:r>
        <w:rPr>
          <w:rFonts w:eastAsia="Times New Roman"/>
          <w:color w:val="000000"/>
          <w:sz w:val="20"/>
          <w:szCs w:val="20"/>
        </w:rPr>
        <w:t xml:space="preserve"> The Company does not believe that these letters of credit will result in a liability to the Company.</w:t>
      </w:r>
    </w:p>
    <w:p w:rsidR="00000000" w:rsidRDefault="00BA6B82">
      <w:pPr>
        <w:ind w:firstLine="495"/>
        <w:divId w:val="860826060"/>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w:t>
      </w:r>
      <w:r>
        <w:rPr>
          <w:rFonts w:eastAsia="Times New Roman"/>
          <w:color w:val="000000"/>
          <w:sz w:val="20"/>
          <w:szCs w:val="20"/>
        </w:rPr>
        <w:t>ts are contingent upon the completion of the services within the guidelines specified in the relevant agreement. At March 31, 2022, the Company had $10,351 in outstanding obligations, which it believes will be settled in the next twelve months.</w:t>
      </w:r>
    </w:p>
    <w:p w:rsidR="00000000" w:rsidRDefault="00BA6B82">
      <w:pPr>
        <w:divId w:val="339241880"/>
        <w:rPr>
          <w:rFonts w:eastAsia="Times New Roman"/>
        </w:rPr>
      </w:pPr>
      <w:r>
        <w:rPr>
          <w:rFonts w:eastAsia="Times New Roman"/>
          <w:b/>
          <w:bCs/>
          <w:color w:val="000000"/>
          <w:sz w:val="20"/>
          <w:szCs w:val="20"/>
        </w:rPr>
        <w:t xml:space="preserve">17. </w:t>
      </w:r>
      <w:r>
        <w:rPr>
          <w:rFonts w:eastAsia="Times New Roman"/>
          <w:b/>
          <w:bCs/>
          <w:color w:val="000000"/>
          <w:sz w:val="20"/>
          <w:szCs w:val="20"/>
        </w:rPr>
        <w:t>Related Party Transactions:</w:t>
      </w:r>
    </w:p>
    <w:p w:rsidR="00000000" w:rsidRDefault="00BA6B82">
      <w:pPr>
        <w:ind w:firstLine="495"/>
        <w:divId w:val="1387609545"/>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 employees, l</w:t>
      </w:r>
      <w:r>
        <w:rPr>
          <w:rFonts w:eastAsia="Times New Roman"/>
          <w:color w:val="000000"/>
          <w:sz w:val="20"/>
          <w:szCs w:val="20"/>
        </w:rPr>
        <w:t xml:space="preserve">easing agents and project managers at the Centers, as well as insurance costs and other administrative expenses. </w:t>
      </w:r>
    </w:p>
    <w:p w:rsidR="00000000" w:rsidRDefault="00BA6B82">
      <w:pPr>
        <w:ind w:firstLine="495"/>
        <w:divId w:val="1794908260"/>
        <w:rPr>
          <w:rFonts w:eastAsia="Times New Roman"/>
        </w:rPr>
      </w:pPr>
      <w:r>
        <w:rPr>
          <w:rFonts w:eastAsia="Times New Roman"/>
          <w:color w:val="000000"/>
          <w:sz w:val="20"/>
          <w:szCs w:val="20"/>
        </w:rPr>
        <w:t>The following are fees charged to unconsolidated joint ventures:</w:t>
      </w:r>
    </w:p>
    <w:tbl>
      <w:tblPr>
        <w:tblW w:w="2616" w:type="pct"/>
        <w:tblCellMar>
          <w:top w:w="15" w:type="dxa"/>
          <w:left w:w="15" w:type="dxa"/>
          <w:bottom w:w="15" w:type="dxa"/>
          <w:right w:w="15" w:type="dxa"/>
        </w:tblCellMar>
        <w:tblLook w:val="04A0" w:firstRow="1" w:lastRow="0" w:firstColumn="1" w:lastColumn="0" w:noHBand="0" w:noVBand="1"/>
      </w:tblPr>
      <w:tblGrid>
        <w:gridCol w:w="37"/>
        <w:gridCol w:w="2568"/>
        <w:gridCol w:w="36"/>
        <w:gridCol w:w="36"/>
        <w:gridCol w:w="36"/>
        <w:gridCol w:w="36"/>
        <w:gridCol w:w="36"/>
        <w:gridCol w:w="120"/>
        <w:gridCol w:w="594"/>
        <w:gridCol w:w="36"/>
        <w:gridCol w:w="36"/>
        <w:gridCol w:w="36"/>
        <w:gridCol w:w="36"/>
        <w:gridCol w:w="120"/>
        <w:gridCol w:w="547"/>
        <w:gridCol w:w="36"/>
      </w:tblGrid>
      <w:tr w:rsidR="00000000">
        <w:trPr>
          <w:divId w:val="742678403"/>
        </w:trPr>
        <w:tc>
          <w:tcPr>
            <w:tcW w:w="50" w:type="pct"/>
            <w:vAlign w:val="center"/>
            <w:hideMark/>
          </w:tcPr>
          <w:p w:rsidR="00000000" w:rsidRDefault="00BA6B82">
            <w:pPr>
              <w:ind w:firstLine="495"/>
              <w:rPr>
                <w:rFonts w:eastAsia="Times New Roman"/>
              </w:rPr>
            </w:pPr>
          </w:p>
        </w:tc>
        <w:tc>
          <w:tcPr>
            <w:tcW w:w="319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8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8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742678403"/>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742678403"/>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742678403"/>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Management fees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42678403"/>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Development and leasing fees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1,383 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1,430 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42678403"/>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5,744 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1098285041"/>
        <w:rPr>
          <w:rFonts w:eastAsia="Times New Roman"/>
        </w:rPr>
      </w:pPr>
    </w:p>
    <w:p w:rsidR="00000000" w:rsidRDefault="00BA6B82">
      <w:pPr>
        <w:ind w:firstLine="495"/>
        <w:divId w:val="2130856651"/>
        <w:rPr>
          <w:rFonts w:eastAsia="Times New Roman"/>
        </w:rPr>
      </w:pPr>
      <w:r>
        <w:rPr>
          <w:rFonts w:eastAsia="Times New Roman"/>
          <w:color w:val="000000"/>
          <w:sz w:val="20"/>
          <w:szCs w:val="20"/>
        </w:rPr>
        <w:t xml:space="preserve">Interest expense from related party transactions includes $8,002 and $1,319 for the three months ended March 31, 2022 and 2021, respectively, in connection with the Financing Arrangement (See Note 12—Financing Arrangement). </w:t>
      </w:r>
    </w:p>
    <w:p w:rsidR="00000000" w:rsidRDefault="00BA6B82">
      <w:pPr>
        <w:ind w:firstLine="495"/>
        <w:divId w:val="1636835144"/>
        <w:rPr>
          <w:rFonts w:eastAsia="Times New Roman"/>
        </w:rPr>
      </w:pPr>
      <w:r>
        <w:rPr>
          <w:rFonts w:eastAsia="Times New Roman"/>
          <w:color w:val="000000"/>
          <w:sz w:val="20"/>
          <w:szCs w:val="20"/>
        </w:rPr>
        <w:t>Due from (to) affiliates i</w:t>
      </w:r>
      <w:r>
        <w:rPr>
          <w:rFonts w:eastAsia="Times New Roman"/>
          <w:color w:val="000000"/>
          <w:sz w:val="20"/>
          <w:szCs w:val="20"/>
        </w:rPr>
        <w:t>ncludes $4,177 and $(327) of unreimbursed (prepaid) costs and fees from unconsolidated joint ventures due to (from) the Management Companies at March 31, 2022 and December 31, 2021, respectively.</w:t>
      </w:r>
    </w:p>
    <w:p w:rsidR="00000000" w:rsidRDefault="00BA6B82">
      <w:pPr>
        <w:ind w:hanging="360"/>
        <w:divId w:val="266157800"/>
        <w:rPr>
          <w:rFonts w:eastAsia="Times New Roman"/>
        </w:rPr>
      </w:pPr>
      <w:r>
        <w:rPr>
          <w:rFonts w:eastAsia="Times New Roman"/>
          <w:b/>
          <w:bCs/>
          <w:color w:val="000000"/>
          <w:sz w:val="20"/>
          <w:szCs w:val="20"/>
        </w:rPr>
        <w:t>18. Share and Unit-Based Plans:</w:t>
      </w:r>
    </w:p>
    <w:p w:rsidR="00000000" w:rsidRDefault="00BA6B82">
      <w:pPr>
        <w:ind w:firstLine="495"/>
        <w:divId w:val="1976833379"/>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or form of restricted stock units (together with the LTIP Units the "LTI Units"). Upon the occurre</w:t>
      </w:r>
      <w:r>
        <w:rPr>
          <w:rFonts w:eastAsia="Times New Roman"/>
          <w:color w:val="000000"/>
          <w:sz w:val="20"/>
          <w:szCs w:val="20"/>
        </w:rPr>
        <w:t>nce of specified events and subject to the satisfaction of applicable vesting conditions, LTIP Units (after conversion into OP Units) are ultimately redeemable for common stock of the Company, or cash at the Company's option, on a one-unit for one-share ba</w:t>
      </w:r>
      <w:r>
        <w:rPr>
          <w:rFonts w:eastAsia="Times New Roman"/>
          <w:color w:val="000000"/>
          <w:sz w:val="20"/>
          <w:szCs w:val="20"/>
        </w:rPr>
        <w:t xml:space="preserve">sis. LTI Units receive cash dividends based on the dividend amount paid on the common stock of the Company. The LTIP may include market-indexed awards, performance-based awards and service-based awards. </w:t>
      </w:r>
    </w:p>
    <w:p w:rsidR="00000000" w:rsidRDefault="00BA6B82">
      <w:pPr>
        <w:ind w:firstLine="495"/>
        <w:divId w:val="2051146725"/>
        <w:rPr>
          <w:rFonts w:eastAsia="Times New Roman"/>
        </w:rPr>
      </w:pPr>
      <w:r>
        <w:rPr>
          <w:rFonts w:eastAsia="Times New Roman"/>
          <w:color w:val="000000"/>
          <w:sz w:val="20"/>
          <w:szCs w:val="20"/>
        </w:rPr>
        <w:t>The market-indexed LTI Units vest over the service p</w:t>
      </w:r>
      <w:r>
        <w:rPr>
          <w:rFonts w:eastAsia="Times New Roman"/>
          <w:color w:val="000000"/>
          <w:sz w:val="20"/>
          <w:szCs w:val="20"/>
        </w:rPr>
        <w:t>eriod of the award based on the percentile ranking of the Company in terms of total return to stockholders (the "Total Return") per share of common stock relative to the Total Return of a group of peer REITs, as measured at the end of the measurement perio</w:t>
      </w:r>
      <w:r>
        <w:rPr>
          <w:rFonts w:eastAsia="Times New Roman"/>
          <w:color w:val="000000"/>
          <w:sz w:val="20"/>
          <w:szCs w:val="20"/>
        </w:rPr>
        <w:t>d. The performance-based LTI Units vest over a specified period based on the Company's operational performance over that period.</w:t>
      </w:r>
    </w:p>
    <w:p w:rsidR="00000000" w:rsidRDefault="00BA6B82">
      <w:pPr>
        <w:ind w:firstLine="495"/>
        <w:divId w:val="1258559302"/>
        <w:rPr>
          <w:rFonts w:eastAsia="Times New Roman"/>
        </w:rPr>
      </w:pPr>
      <w:r>
        <w:rPr>
          <w:rFonts w:eastAsia="Times New Roman"/>
          <w:color w:val="000000"/>
          <w:sz w:val="20"/>
          <w:szCs w:val="20"/>
        </w:rPr>
        <w:t>During the three months ended March 31, 2022, the Company granted the following LTI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45"/>
        <w:gridCol w:w="1251"/>
        <w:gridCol w:w="37"/>
        <w:gridCol w:w="36"/>
        <w:gridCol w:w="36"/>
        <w:gridCol w:w="36"/>
        <w:gridCol w:w="120"/>
        <w:gridCol w:w="874"/>
        <w:gridCol w:w="36"/>
        <w:gridCol w:w="36"/>
        <w:gridCol w:w="36"/>
        <w:gridCol w:w="36"/>
        <w:gridCol w:w="56"/>
        <w:gridCol w:w="891"/>
        <w:gridCol w:w="36"/>
      </w:tblGrid>
      <w:tr w:rsidR="00000000">
        <w:trPr>
          <w:divId w:val="1258559302"/>
        </w:trPr>
        <w:tc>
          <w:tcPr>
            <w:tcW w:w="50" w:type="pct"/>
            <w:vAlign w:val="center"/>
            <w:hideMark/>
          </w:tcPr>
          <w:p w:rsidR="00000000" w:rsidRDefault="00BA6B82">
            <w:pPr>
              <w:ind w:firstLine="495"/>
              <w:rPr>
                <w:rFonts w:eastAsia="Times New Roman"/>
              </w:rPr>
            </w:pPr>
          </w:p>
        </w:tc>
        <w:tc>
          <w:tcPr>
            <w:tcW w:w="80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7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7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7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20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7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82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80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258559302"/>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Fair Value per LTI Unit</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Vest Date</w:t>
            </w:r>
          </w:p>
        </w:tc>
      </w:tr>
      <w:tr w:rsidR="00000000">
        <w:trPr>
          <w:divId w:val="125855930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1/1/2022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376,153 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12/31/2024</w:t>
            </w:r>
          </w:p>
        </w:tc>
      </w:tr>
      <w:tr w:rsidR="00000000">
        <w:trPr>
          <w:divId w:val="1258559302"/>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1/1/2022</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716,545 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20"/>
                <w:szCs w:val="20"/>
              </w:rPr>
              <w:t>12/31/2024</w:t>
            </w:r>
          </w:p>
        </w:tc>
      </w:tr>
      <w:tr w:rsidR="00000000">
        <w:trPr>
          <w:divId w:val="1258559302"/>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1,092,698 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jc w:val="center"/>
        <w:divId w:val="1467428638"/>
        <w:rPr>
          <w:rFonts w:eastAsia="Times New Roman"/>
        </w:rPr>
      </w:pPr>
      <w:r>
        <w:rPr>
          <w:rFonts w:eastAsia="Times New Roman"/>
          <w:color w:val="000000"/>
          <w:sz w:val="20"/>
          <w:szCs w:val="20"/>
        </w:rPr>
        <w:t>22</w:t>
      </w:r>
    </w:p>
    <w:p w:rsidR="00000000" w:rsidRDefault="00BA6B82">
      <w:pPr>
        <w:rPr>
          <w:rFonts w:eastAsia="Times New Roman"/>
        </w:rPr>
      </w:pPr>
      <w:r>
        <w:rPr>
          <w:rFonts w:eastAsia="Times New Roman"/>
        </w:rPr>
        <w:pict>
          <v:rect id="_x0000_i1046" style="width:0;height:1.5pt" o:hralign="center" o:hrstd="t" o:hr="t" fillcolor="#a0a0a0" stroked="f"/>
        </w:pict>
      </w:r>
    </w:p>
    <w:p w:rsidR="00000000" w:rsidRDefault="00BA6B82">
      <w:pPr>
        <w:divId w:val="1566724969"/>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2134052255"/>
        <w:rPr>
          <w:rFonts w:eastAsia="Times New Roman"/>
        </w:rPr>
      </w:pPr>
      <w:r>
        <w:rPr>
          <w:rFonts w:eastAsia="Times New Roman"/>
          <w:b/>
          <w:bCs/>
          <w:color w:val="000000"/>
          <w:sz w:val="20"/>
          <w:szCs w:val="20"/>
        </w:rPr>
        <w:t>THE MACERICH COMPANY</w:t>
      </w:r>
    </w:p>
    <w:p w:rsidR="00000000" w:rsidRDefault="00BA6B82">
      <w:pPr>
        <w:jc w:val="center"/>
        <w:divId w:val="648945566"/>
        <w:rPr>
          <w:rFonts w:eastAsia="Times New Roman"/>
        </w:rPr>
      </w:pPr>
      <w:r>
        <w:rPr>
          <w:rFonts w:eastAsia="Times New Roman"/>
          <w:b/>
          <w:bCs/>
          <w:color w:val="000000"/>
          <w:sz w:val="20"/>
          <w:szCs w:val="20"/>
        </w:rPr>
        <w:t>NOTES TO CONSOLIDATED FINANCIAL STATEMENTS (Continued)</w:t>
      </w:r>
    </w:p>
    <w:p w:rsidR="00000000" w:rsidRDefault="00BA6B82">
      <w:pPr>
        <w:jc w:val="center"/>
        <w:divId w:val="231237021"/>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1155343062"/>
        <w:rPr>
          <w:rFonts w:eastAsia="Times New Roman"/>
        </w:rPr>
      </w:pPr>
      <w:r>
        <w:rPr>
          <w:rFonts w:eastAsia="Times New Roman"/>
          <w:b/>
          <w:bCs/>
          <w:color w:val="000000"/>
          <w:sz w:val="20"/>
          <w:szCs w:val="20"/>
        </w:rPr>
        <w:t>(Unaudited)</w:t>
      </w:r>
    </w:p>
    <w:p w:rsidR="00000000" w:rsidRDefault="00BA6B82">
      <w:pPr>
        <w:ind w:hanging="360"/>
        <w:divId w:val="1601834016"/>
        <w:rPr>
          <w:rFonts w:eastAsia="Times New Roman"/>
        </w:rPr>
      </w:pPr>
      <w:r>
        <w:rPr>
          <w:rFonts w:eastAsia="Times New Roman"/>
          <w:b/>
          <w:bCs/>
          <w:color w:val="000000"/>
          <w:sz w:val="20"/>
          <w:szCs w:val="20"/>
        </w:rPr>
        <w:t>18. Share and Unit-Based Plans: (Continued)</w:t>
      </w:r>
    </w:p>
    <w:p w:rsidR="00000000" w:rsidRDefault="00BA6B82">
      <w:pPr>
        <w:ind w:firstLine="495"/>
        <w:divId w:val="1874272091"/>
        <w:rPr>
          <w:rFonts w:eastAsia="Times New Roman"/>
        </w:rPr>
      </w:pPr>
      <w:r>
        <w:rPr>
          <w:rFonts w:eastAsia="Times New Roman"/>
          <w:color w:val="000000"/>
          <w:sz w:val="20"/>
          <w:szCs w:val="20"/>
        </w:rPr>
        <w:t>The fair value of the service-based LTI Units was determined by the market price of the Company's common stock on the date of grant. The fair value of the performance-based LTI Units granted on January 1, 2022 was estimated on the date of grant using a Mon</w:t>
      </w:r>
      <w:r>
        <w:rPr>
          <w:rFonts w:eastAsia="Times New Roman"/>
          <w:color w:val="000000"/>
          <w:sz w:val="20"/>
          <w:szCs w:val="20"/>
        </w:rPr>
        <w:t>te Carlo Simulation model that assumed a risk-free interest rate of 0.97% and an expected volatility of 70.83%.</w:t>
      </w:r>
    </w:p>
    <w:p w:rsidR="00000000" w:rsidRDefault="00BA6B82">
      <w:pPr>
        <w:ind w:firstLine="495"/>
        <w:divId w:val="438598736"/>
        <w:rPr>
          <w:rFonts w:eastAsia="Times New Roman"/>
        </w:rPr>
      </w:pPr>
      <w:r>
        <w:rPr>
          <w:rFonts w:eastAsia="Times New Roman"/>
          <w:color w:val="000000"/>
          <w:sz w:val="20"/>
          <w:szCs w:val="20"/>
        </w:rPr>
        <w:t>The following table summarizes the activity of the non-vested LTI Units, phantom stock units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928"/>
        <w:gridCol w:w="38"/>
        <w:gridCol w:w="79"/>
        <w:gridCol w:w="791"/>
        <w:gridCol w:w="36"/>
        <w:gridCol w:w="36"/>
        <w:gridCol w:w="36"/>
        <w:gridCol w:w="36"/>
        <w:gridCol w:w="121"/>
        <w:gridCol w:w="627"/>
        <w:gridCol w:w="36"/>
        <w:gridCol w:w="36"/>
        <w:gridCol w:w="36"/>
        <w:gridCol w:w="36"/>
        <w:gridCol w:w="36"/>
        <w:gridCol w:w="36"/>
        <w:gridCol w:w="330"/>
        <w:gridCol w:w="330"/>
        <w:gridCol w:w="56"/>
        <w:gridCol w:w="564"/>
        <w:gridCol w:w="36"/>
        <w:gridCol w:w="36"/>
        <w:gridCol w:w="36"/>
        <w:gridCol w:w="36"/>
        <w:gridCol w:w="121"/>
        <w:gridCol w:w="624"/>
        <w:gridCol w:w="37"/>
        <w:gridCol w:w="36"/>
        <w:gridCol w:w="36"/>
        <w:gridCol w:w="36"/>
        <w:gridCol w:w="65"/>
        <w:gridCol w:w="655"/>
        <w:gridCol w:w="36"/>
        <w:gridCol w:w="36"/>
        <w:gridCol w:w="36"/>
        <w:gridCol w:w="36"/>
        <w:gridCol w:w="121"/>
        <w:gridCol w:w="627"/>
        <w:gridCol w:w="36"/>
      </w:tblGrid>
      <w:tr w:rsidR="00000000">
        <w:trPr>
          <w:divId w:val="438598736"/>
        </w:trPr>
        <w:tc>
          <w:tcPr>
            <w:tcW w:w="50" w:type="pct"/>
            <w:vAlign w:val="center"/>
            <w:hideMark/>
          </w:tcPr>
          <w:p w:rsidR="00000000" w:rsidRDefault="00BA6B82">
            <w:pPr>
              <w:ind w:firstLine="495"/>
              <w:rPr>
                <w:rFonts w:eastAsia="Times New Roman"/>
              </w:rPr>
            </w:pPr>
          </w:p>
        </w:tc>
        <w:tc>
          <w:tcPr>
            <w:tcW w:w="147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6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6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04"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6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43859873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LTI Units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Stock Units</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43859873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Value(1)</w:t>
            </w:r>
          </w:p>
        </w:tc>
      </w:tr>
      <w:tr w:rsidR="00000000">
        <w:trPr>
          <w:divId w:val="43859873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438598736"/>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1,092,698 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35,730 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16.91 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77,935 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16.26 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438598736"/>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(16,467)</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29.86 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(5,213)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(88,313)</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23.34 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438598736"/>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43859873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2,913,922 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30,517 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16.97 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256,127 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16.72 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438598736"/>
          <w:trHeight w:val="240"/>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43859873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438598736"/>
        </w:trPr>
        <w:tc>
          <w:tcPr>
            <w:tcW w:w="0" w:type="auto"/>
            <w:gridSpan w:val="28"/>
            <w:tcMar>
              <w:top w:w="30" w:type="dxa"/>
              <w:left w:w="20" w:type="dxa"/>
              <w:bottom w:w="30" w:type="dxa"/>
              <w:right w:w="20" w:type="dxa"/>
            </w:tcMar>
            <w:vAlign w:val="bottom"/>
            <w:hideMark/>
          </w:tcPr>
          <w:p w:rsidR="00000000" w:rsidRDefault="00BA6B82">
            <w:pPr>
              <w:spacing w:after="100"/>
              <w:ind w:hanging="450"/>
              <w:divId w:val="145240944"/>
              <w:rPr>
                <w:rFonts w:eastAsia="Times New Roman"/>
              </w:rPr>
            </w:pPr>
            <w:r>
              <w:rPr>
                <w:rFonts w:eastAsia="Times New Roman"/>
                <w:color w:val="000000"/>
                <w:sz w:val="16"/>
                <w:szCs w:val="16"/>
              </w:rPr>
              <w:t>(1) Value represents the weighted average grant date fair value.</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bl>
    <w:p w:rsidR="00000000" w:rsidRDefault="00BA6B82">
      <w:pPr>
        <w:ind w:firstLine="270"/>
        <w:divId w:val="725376542"/>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9"/>
        <w:gridCol w:w="1672"/>
        <w:gridCol w:w="38"/>
        <w:gridCol w:w="36"/>
        <w:gridCol w:w="46"/>
        <w:gridCol w:w="520"/>
        <w:gridCol w:w="36"/>
        <w:gridCol w:w="36"/>
        <w:gridCol w:w="36"/>
        <w:gridCol w:w="38"/>
        <w:gridCol w:w="587"/>
        <w:gridCol w:w="36"/>
        <w:gridCol w:w="36"/>
        <w:gridCol w:w="36"/>
        <w:gridCol w:w="36"/>
        <w:gridCol w:w="121"/>
        <w:gridCol w:w="658"/>
        <w:gridCol w:w="36"/>
      </w:tblGrid>
      <w:tr w:rsidR="00000000">
        <w:trPr>
          <w:divId w:val="757746950"/>
        </w:trPr>
        <w:tc>
          <w:tcPr>
            <w:tcW w:w="50" w:type="pct"/>
            <w:vAlign w:val="center"/>
            <w:hideMark/>
          </w:tcPr>
          <w:p w:rsidR="00000000" w:rsidRDefault="00BA6B82">
            <w:pPr>
              <w:ind w:firstLine="270"/>
              <w:rPr>
                <w:rFonts w:eastAsia="Times New Roman"/>
              </w:rPr>
            </w:pPr>
          </w:p>
        </w:tc>
        <w:tc>
          <w:tcPr>
            <w:tcW w:w="293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90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84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757746950"/>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BA6B82">
            <w:pPr>
              <w:spacing w:after="100"/>
              <w:rPr>
                <w:rFonts w:eastAsia="Times New Roman"/>
              </w:rPr>
            </w:pPr>
          </w:p>
        </w:tc>
        <w:tc>
          <w:tcPr>
            <w:tcW w:w="0" w:type="auto"/>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757746950"/>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Value(1)</w:t>
            </w:r>
          </w:p>
        </w:tc>
      </w:tr>
      <w:tr w:rsidR="00000000">
        <w:trPr>
          <w:divId w:val="757746950"/>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Balance at January 1, 2022</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7746950"/>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Granted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7746950"/>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Exercised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7746950"/>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57746950"/>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Balance at March 31, 2022</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57746950"/>
          <w:trHeight w:val="300"/>
        </w:trPr>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75774695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757746950"/>
        </w:trPr>
        <w:tc>
          <w:tcPr>
            <w:tcW w:w="0" w:type="auto"/>
            <w:gridSpan w:val="9"/>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bl>
    <w:p w:rsidR="00000000" w:rsidRDefault="00BA6B82">
      <w:pPr>
        <w:ind w:firstLine="495"/>
        <w:divId w:val="149369729"/>
        <w:rPr>
          <w:rFonts w:eastAsia="Times New Roman"/>
        </w:rPr>
      </w:pPr>
    </w:p>
    <w:p w:rsidR="00000000" w:rsidRDefault="00BA6B82">
      <w:pPr>
        <w:jc w:val="center"/>
        <w:divId w:val="2037123137"/>
        <w:rPr>
          <w:rFonts w:eastAsia="Times New Roman"/>
        </w:rPr>
      </w:pPr>
      <w:r>
        <w:rPr>
          <w:rFonts w:eastAsia="Times New Roman"/>
          <w:color w:val="000000"/>
          <w:sz w:val="20"/>
          <w:szCs w:val="20"/>
        </w:rPr>
        <w:t>23</w:t>
      </w:r>
    </w:p>
    <w:p w:rsidR="00000000" w:rsidRDefault="00BA6B82">
      <w:pPr>
        <w:rPr>
          <w:rFonts w:eastAsia="Times New Roman"/>
        </w:rPr>
      </w:pPr>
      <w:r>
        <w:rPr>
          <w:rFonts w:eastAsia="Times New Roman"/>
        </w:rPr>
        <w:pict>
          <v:rect id="_x0000_i1047" style="width:0;height:1.5pt" o:hralign="center" o:hrstd="t" o:hr="t" fillcolor="#a0a0a0" stroked="f"/>
        </w:pict>
      </w:r>
    </w:p>
    <w:p w:rsidR="00000000" w:rsidRDefault="00BA6B82">
      <w:pPr>
        <w:divId w:val="1752970372"/>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jc w:val="center"/>
        <w:divId w:val="925579860"/>
        <w:rPr>
          <w:rFonts w:eastAsia="Times New Roman"/>
        </w:rPr>
      </w:pPr>
      <w:r>
        <w:rPr>
          <w:rFonts w:eastAsia="Times New Roman"/>
          <w:b/>
          <w:bCs/>
          <w:color w:val="000000"/>
          <w:sz w:val="20"/>
          <w:szCs w:val="20"/>
        </w:rPr>
        <w:t>THE MACERICH COMPANY</w:t>
      </w:r>
    </w:p>
    <w:p w:rsidR="00000000" w:rsidRDefault="00BA6B82">
      <w:pPr>
        <w:jc w:val="center"/>
        <w:divId w:val="1226069327"/>
        <w:rPr>
          <w:rFonts w:eastAsia="Times New Roman"/>
        </w:rPr>
      </w:pPr>
      <w:r>
        <w:rPr>
          <w:rFonts w:eastAsia="Times New Roman"/>
          <w:b/>
          <w:bCs/>
          <w:color w:val="000000"/>
          <w:sz w:val="20"/>
          <w:szCs w:val="20"/>
        </w:rPr>
        <w:t>NOTES TO CONSOLIDATED FINANCIAL STATEMENTS (Continued)</w:t>
      </w:r>
    </w:p>
    <w:p w:rsidR="00000000" w:rsidRDefault="00BA6B82">
      <w:pPr>
        <w:jc w:val="center"/>
        <w:divId w:val="1503663162"/>
        <w:rPr>
          <w:rFonts w:eastAsia="Times New Roman"/>
        </w:rPr>
      </w:pPr>
      <w:r>
        <w:rPr>
          <w:rFonts w:eastAsia="Times New Roman"/>
          <w:b/>
          <w:bCs/>
          <w:color w:val="000000"/>
          <w:sz w:val="20"/>
          <w:szCs w:val="20"/>
        </w:rPr>
        <w:t>(Dollars in thousands, except per share and square foot amounts)</w:t>
      </w:r>
    </w:p>
    <w:p w:rsidR="00000000" w:rsidRDefault="00BA6B82">
      <w:pPr>
        <w:jc w:val="center"/>
        <w:divId w:val="2120371580"/>
        <w:rPr>
          <w:rFonts w:eastAsia="Times New Roman"/>
        </w:rPr>
      </w:pPr>
      <w:r>
        <w:rPr>
          <w:rFonts w:eastAsia="Times New Roman"/>
          <w:b/>
          <w:bCs/>
          <w:color w:val="000000"/>
          <w:sz w:val="20"/>
          <w:szCs w:val="20"/>
        </w:rPr>
        <w:t>(Unaudited)</w:t>
      </w:r>
    </w:p>
    <w:p w:rsidR="00000000" w:rsidRDefault="00BA6B82">
      <w:pPr>
        <w:ind w:hanging="360"/>
        <w:divId w:val="331103279"/>
        <w:rPr>
          <w:rFonts w:eastAsia="Times New Roman"/>
        </w:rPr>
      </w:pPr>
      <w:r>
        <w:rPr>
          <w:rFonts w:eastAsia="Times New Roman"/>
          <w:b/>
          <w:bCs/>
          <w:color w:val="000000"/>
          <w:sz w:val="20"/>
          <w:szCs w:val="20"/>
        </w:rPr>
        <w:t>18. Share and Unit-Based Plans: (Continued)</w:t>
      </w:r>
    </w:p>
    <w:p w:rsidR="00000000" w:rsidRDefault="00BA6B82">
      <w:pPr>
        <w:ind w:firstLine="495"/>
        <w:divId w:val="1100106476"/>
        <w:rPr>
          <w:rFonts w:eastAsia="Times New Roman"/>
        </w:rPr>
      </w:pPr>
      <w:r>
        <w:rPr>
          <w:rFonts w:eastAsia="Times New Roman"/>
          <w:color w:val="000000"/>
          <w:sz w:val="20"/>
          <w:szCs w:val="20"/>
        </w:rPr>
        <w:t>The following summarizes the compensation cost under the share and unit-based plans:</w:t>
      </w:r>
    </w:p>
    <w:tbl>
      <w:tblPr>
        <w:tblW w:w="3245" w:type="pct"/>
        <w:tblCellMar>
          <w:top w:w="15" w:type="dxa"/>
          <w:left w:w="15" w:type="dxa"/>
          <w:bottom w:w="15" w:type="dxa"/>
          <w:right w:w="15" w:type="dxa"/>
        </w:tblCellMar>
        <w:tblLook w:val="04A0" w:firstRow="1" w:lastRow="0" w:firstColumn="1" w:lastColumn="0" w:noHBand="0" w:noVBand="1"/>
      </w:tblPr>
      <w:tblGrid>
        <w:gridCol w:w="38"/>
        <w:gridCol w:w="3623"/>
        <w:gridCol w:w="37"/>
        <w:gridCol w:w="36"/>
        <w:gridCol w:w="36"/>
        <w:gridCol w:w="36"/>
        <w:gridCol w:w="36"/>
        <w:gridCol w:w="120"/>
        <w:gridCol w:w="593"/>
        <w:gridCol w:w="36"/>
        <w:gridCol w:w="36"/>
        <w:gridCol w:w="36"/>
        <w:gridCol w:w="36"/>
        <w:gridCol w:w="120"/>
        <w:gridCol w:w="536"/>
        <w:gridCol w:w="36"/>
      </w:tblGrid>
      <w:tr w:rsidR="00000000">
        <w:trPr>
          <w:divId w:val="1100106476"/>
        </w:trPr>
        <w:tc>
          <w:tcPr>
            <w:tcW w:w="50" w:type="pct"/>
            <w:vAlign w:val="center"/>
            <w:hideMark/>
          </w:tcPr>
          <w:p w:rsidR="00000000" w:rsidRDefault="00BA6B82">
            <w:pPr>
              <w:ind w:firstLine="495"/>
              <w:rPr>
                <w:rFonts w:eastAsia="Times New Roman"/>
              </w:rPr>
            </w:pPr>
          </w:p>
        </w:tc>
        <w:tc>
          <w:tcPr>
            <w:tcW w:w="354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2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0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10010647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110010647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110010647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LTI Units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00106476"/>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0010647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Stock units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1,291 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1,327 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00106476"/>
        </w:trPr>
        <w:tc>
          <w:tcPr>
            <w:tcW w:w="0" w:type="auto"/>
            <w:gridSpan w:val="3"/>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00106476"/>
        </w:trPr>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110010647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Phantom stock units</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100106476"/>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6,062 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5,031 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1621764013"/>
        <w:rPr>
          <w:rFonts w:eastAsia="Times New Roman"/>
        </w:rPr>
      </w:pPr>
      <w:r>
        <w:rPr>
          <w:rFonts w:eastAsia="Times New Roman"/>
          <w:color w:val="000000"/>
          <w:sz w:val="20"/>
          <w:szCs w:val="20"/>
        </w:rPr>
        <w:t>The Company capitalized share and unit-based compensation costs of $1,193 and $1,001 for the three months ended March 31, 2022 and 2021, respectively. Unrecognized compensation costs of share and unit-based plans at March 31, 2022 consisted of $17,724 f</w:t>
      </w:r>
      <w:r>
        <w:rPr>
          <w:rFonts w:eastAsia="Times New Roman"/>
          <w:color w:val="000000"/>
          <w:sz w:val="20"/>
          <w:szCs w:val="20"/>
        </w:rPr>
        <w:t xml:space="preserve">rom LTI Units, $1,508 from stock units and $0 from phantom stock units. </w:t>
      </w:r>
    </w:p>
    <w:p w:rsidR="00000000" w:rsidRDefault="00BA6B82">
      <w:pPr>
        <w:divId w:val="742147292"/>
        <w:rPr>
          <w:rFonts w:eastAsia="Times New Roman"/>
        </w:rPr>
      </w:pPr>
      <w:r>
        <w:rPr>
          <w:rFonts w:eastAsia="Times New Roman"/>
          <w:b/>
          <w:bCs/>
          <w:color w:val="000000"/>
          <w:sz w:val="20"/>
          <w:szCs w:val="20"/>
        </w:rPr>
        <w:t>19. Income Taxes:</w:t>
      </w:r>
    </w:p>
    <w:p w:rsidR="00000000" w:rsidRDefault="00BA6B82">
      <w:pPr>
        <w:ind w:firstLine="495"/>
        <w:divId w:val="1110777355"/>
        <w:rPr>
          <w:rFonts w:eastAsia="Times New Roman"/>
        </w:rPr>
      </w:pPr>
      <w:r>
        <w:rPr>
          <w:rFonts w:eastAsia="Times New Roman"/>
          <w:color w:val="000000"/>
          <w:sz w:val="20"/>
          <w:szCs w:val="20"/>
        </w:rPr>
        <w:t>The Company has made taxable REIT subsidiary elections for all of its corporate subsidiaries other than its qualified REIT subsidiaries. The elections, effective for</w:t>
      </w:r>
      <w:r>
        <w:rPr>
          <w:rFonts w:eastAsia="Times New Roman"/>
          <w:color w:val="000000"/>
          <w:sz w:val="20"/>
          <w:szCs w:val="20"/>
        </w:rPr>
        <w:t xml:space="preserve"> the year beginning January 1, 2001 and future years, were made pursuant to Section 856(l) of the Code. The Company's taxable REIT subsidiaries ("TRSs") are subject to corporate level income taxes which are provided for in the Company's consolidated financ</w:t>
      </w:r>
      <w:r>
        <w:rPr>
          <w:rFonts w:eastAsia="Times New Roman"/>
          <w:color w:val="000000"/>
          <w:sz w:val="20"/>
          <w:szCs w:val="20"/>
        </w:rPr>
        <w:t>ial statements. The Company's primary TRSs include Macerich Management Company and Macerich Arizona Partners LLC.</w:t>
      </w:r>
    </w:p>
    <w:p w:rsidR="00000000" w:rsidRDefault="00BA6B82">
      <w:pPr>
        <w:ind w:firstLine="495"/>
        <w:divId w:val="24259306"/>
        <w:rPr>
          <w:rFonts w:eastAsia="Times New Roman"/>
        </w:rPr>
      </w:pPr>
      <w:r>
        <w:rPr>
          <w:rFonts w:eastAsia="Times New Roman"/>
          <w:color w:val="000000"/>
          <w:sz w:val="20"/>
          <w:szCs w:val="20"/>
        </w:rPr>
        <w:t>The income tax provision of the TRSs are as follows:</w:t>
      </w:r>
    </w:p>
    <w:tbl>
      <w:tblPr>
        <w:tblW w:w="3070" w:type="pct"/>
        <w:tblCellMar>
          <w:top w:w="15" w:type="dxa"/>
          <w:left w:w="15" w:type="dxa"/>
          <w:bottom w:w="15" w:type="dxa"/>
          <w:right w:w="15" w:type="dxa"/>
        </w:tblCellMar>
        <w:tblLook w:val="04A0" w:firstRow="1" w:lastRow="0" w:firstColumn="1" w:lastColumn="0" w:noHBand="0" w:noVBand="1"/>
      </w:tblPr>
      <w:tblGrid>
        <w:gridCol w:w="38"/>
        <w:gridCol w:w="3036"/>
        <w:gridCol w:w="36"/>
        <w:gridCol w:w="36"/>
        <w:gridCol w:w="36"/>
        <w:gridCol w:w="36"/>
        <w:gridCol w:w="36"/>
        <w:gridCol w:w="120"/>
        <w:gridCol w:w="736"/>
        <w:gridCol w:w="36"/>
        <w:gridCol w:w="36"/>
        <w:gridCol w:w="36"/>
        <w:gridCol w:w="36"/>
        <w:gridCol w:w="120"/>
        <w:gridCol w:w="690"/>
        <w:gridCol w:w="36"/>
      </w:tblGrid>
      <w:tr w:rsidR="00000000">
        <w:trPr>
          <w:divId w:val="24259306"/>
        </w:trPr>
        <w:tc>
          <w:tcPr>
            <w:tcW w:w="50" w:type="pct"/>
            <w:vAlign w:val="center"/>
            <w:hideMark/>
          </w:tcPr>
          <w:p w:rsidR="00000000" w:rsidRDefault="00BA6B82">
            <w:pPr>
              <w:ind w:firstLine="495"/>
              <w:rPr>
                <w:rFonts w:eastAsia="Times New Roman"/>
              </w:rPr>
            </w:pPr>
          </w:p>
        </w:tc>
        <w:tc>
          <w:tcPr>
            <w:tcW w:w="317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80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4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80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2425930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2425930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2425930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Current</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425930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(1,799)</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(2,238)</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2425930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Total expense</w:t>
            </w:r>
          </w:p>
        </w:tc>
        <w:tc>
          <w:tcPr>
            <w:tcW w:w="0" w:type="auto"/>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1611014922"/>
        <w:rPr>
          <w:rFonts w:eastAsia="Times New Roman"/>
        </w:rPr>
      </w:pPr>
      <w:r>
        <w:rPr>
          <w:rFonts w:eastAsia="Times New Roman"/>
          <w:color w:val="000000"/>
          <w:sz w:val="20"/>
          <w:szCs w:val="20"/>
        </w:rPr>
        <w:t>The net operating loss ("NOL") carryforwards generated through the 2017 tax year are scheduled to expire through 2037, beginning in 2025. Pursuant to the Tax Cuts and Jobs Act of 2017, NOLs generated in 2018 and subsequent tax years are carried forwa</w:t>
      </w:r>
      <w:r>
        <w:rPr>
          <w:rFonts w:eastAsia="Times New Roman"/>
          <w:color w:val="000000"/>
          <w:sz w:val="20"/>
          <w:szCs w:val="20"/>
        </w:rPr>
        <w:t>rd indefinitely. The Coronavirus Aid, Relief and Economic Security Act removed the 80% of taxable income limitation, imposed by the Tax Cuts and Jobs Act, for NOLs generated in 2018, 2019 and 2020. Net deferred tax assets of $22,020 and $23,406 were includ</w:t>
      </w:r>
      <w:r>
        <w:rPr>
          <w:rFonts w:eastAsia="Times New Roman"/>
          <w:color w:val="000000"/>
          <w:sz w:val="20"/>
          <w:szCs w:val="20"/>
        </w:rPr>
        <w:t>ed in deferred charges and other assets, net at March 31, 2022 and December 31, 2021, respectively.</w:t>
      </w:r>
    </w:p>
    <w:p w:rsidR="00000000" w:rsidRDefault="00BA6B82">
      <w:pPr>
        <w:ind w:firstLine="495"/>
        <w:divId w:val="1095713113"/>
        <w:rPr>
          <w:rFonts w:eastAsia="Times New Roman"/>
        </w:rPr>
      </w:pPr>
      <w:r>
        <w:rPr>
          <w:rFonts w:eastAsia="Times New Roman"/>
          <w:color w:val="000000"/>
          <w:sz w:val="20"/>
          <w:szCs w:val="20"/>
        </w:rPr>
        <w:t>The Company is required to establish a valuation allowance for any portion of the deferred tax asset that the Company concludes is more likely than not to b</w:t>
      </w:r>
      <w:r>
        <w:rPr>
          <w:rFonts w:eastAsia="Times New Roman"/>
          <w:color w:val="000000"/>
          <w:sz w:val="20"/>
          <w:szCs w:val="20"/>
        </w:rPr>
        <w:t>e unrealizable. The Company’s assessment considers all evidence, both positive and negative, including the nature, frequency and severity of any current and cumulative losses, taxable income in carry back years, the scheduled reversal of deferred tax liabi</w:t>
      </w:r>
      <w:r>
        <w:rPr>
          <w:rFonts w:eastAsia="Times New Roman"/>
          <w:color w:val="000000"/>
          <w:sz w:val="20"/>
          <w:szCs w:val="20"/>
        </w:rPr>
        <w:t>lities, tax planning strategies and projected future taxable income in making this assessment. As of March 31, 2022, the Company had no valuation allowance recorded.</w:t>
      </w:r>
    </w:p>
    <w:p w:rsidR="00000000" w:rsidRDefault="00BA6B82">
      <w:pPr>
        <w:ind w:firstLine="495"/>
        <w:divId w:val="456071762"/>
        <w:rPr>
          <w:rFonts w:eastAsia="Times New Roman"/>
        </w:rPr>
      </w:pPr>
      <w:r>
        <w:rPr>
          <w:rFonts w:eastAsia="Times New Roman"/>
          <w:color w:val="000000"/>
          <w:sz w:val="20"/>
          <w:szCs w:val="20"/>
        </w:rPr>
        <w:t xml:space="preserve">The tax years 2018 through 2020 remain open to examination by the taxing jurisdictions to </w:t>
      </w:r>
      <w:r>
        <w:rPr>
          <w:rFonts w:eastAsia="Times New Roman"/>
          <w:color w:val="000000"/>
          <w:sz w:val="20"/>
          <w:szCs w:val="20"/>
        </w:rPr>
        <w:t>which the Company is subject. The Company does not expect that the total amount of unrecognized tax benefit will materially change within the next twelve months.</w:t>
      </w:r>
    </w:p>
    <w:p w:rsidR="00000000" w:rsidRDefault="00BA6B82">
      <w:pPr>
        <w:divId w:val="959989829"/>
        <w:rPr>
          <w:rFonts w:eastAsia="Times New Roman"/>
        </w:rPr>
      </w:pPr>
      <w:r>
        <w:rPr>
          <w:rFonts w:eastAsia="Times New Roman"/>
          <w:b/>
          <w:bCs/>
          <w:color w:val="000000"/>
          <w:sz w:val="20"/>
          <w:szCs w:val="20"/>
        </w:rPr>
        <w:t>20. Subsequent Events:</w:t>
      </w:r>
    </w:p>
    <w:p w:rsidR="00000000" w:rsidRDefault="00BA6B82">
      <w:pPr>
        <w:ind w:firstLine="495"/>
        <w:divId w:val="480735142"/>
        <w:rPr>
          <w:rFonts w:eastAsia="Times New Roman"/>
        </w:rPr>
      </w:pPr>
      <w:r>
        <w:rPr>
          <w:rFonts w:eastAsia="Times New Roman"/>
          <w:color w:val="000000"/>
          <w:sz w:val="20"/>
          <w:szCs w:val="20"/>
        </w:rPr>
        <w:t>On May 9, 2022, the Company announced a dividend/distribution of $0.15 per share for common stockholders and OP Unitholders of record on May 20, 2022. All dividends/distributions will be paid 100% in cash on June 3, 2022.</w:t>
      </w:r>
    </w:p>
    <w:p w:rsidR="00000000" w:rsidRDefault="00BA6B82">
      <w:pPr>
        <w:jc w:val="center"/>
        <w:divId w:val="1823156036"/>
        <w:rPr>
          <w:rFonts w:eastAsia="Times New Roman"/>
        </w:rPr>
      </w:pPr>
      <w:r>
        <w:rPr>
          <w:rFonts w:eastAsia="Times New Roman"/>
          <w:color w:val="000000"/>
          <w:sz w:val="20"/>
          <w:szCs w:val="20"/>
        </w:rPr>
        <w:t>24</w:t>
      </w:r>
    </w:p>
    <w:p w:rsidR="00000000" w:rsidRDefault="00BA6B82">
      <w:pPr>
        <w:rPr>
          <w:rFonts w:eastAsia="Times New Roman"/>
        </w:rPr>
      </w:pPr>
      <w:r>
        <w:rPr>
          <w:rFonts w:eastAsia="Times New Roman"/>
        </w:rPr>
        <w:pict>
          <v:rect id="_x0000_i1048" style="width:0;height:1.5pt" o:hralign="center" o:hrstd="t" o:hr="t" fillcolor="#a0a0a0" stroked="f"/>
        </w:pict>
      </w:r>
    </w:p>
    <w:p w:rsidR="00000000" w:rsidRDefault="00BA6B82">
      <w:pPr>
        <w:divId w:val="374086117"/>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hanging="360"/>
        <w:divId w:val="452988277"/>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w:t>
      </w:r>
    </w:p>
    <w:p w:rsidR="00000000" w:rsidRDefault="00BA6B82">
      <w:pPr>
        <w:divId w:val="1583485339"/>
        <w:rPr>
          <w:rFonts w:eastAsia="Times New Roman"/>
        </w:rPr>
      </w:pPr>
      <w:r>
        <w:rPr>
          <w:rFonts w:eastAsia="Times New Roman"/>
          <w:b/>
          <w:bCs/>
          <w:color w:val="000000"/>
          <w:sz w:val="20"/>
          <w:szCs w:val="20"/>
        </w:rPr>
        <w:t>IMPORTANT INFORMATION RELATED TO FORWARD-LOOKING STATEMENTS</w:t>
      </w:r>
    </w:p>
    <w:p w:rsidR="00000000" w:rsidRDefault="00BA6B82">
      <w:pPr>
        <w:ind w:firstLine="495"/>
        <w:divId w:val="2019380155"/>
        <w:rPr>
          <w:rFonts w:eastAsia="Times New Roman"/>
        </w:rPr>
      </w:pPr>
      <w:r>
        <w:rPr>
          <w:rFonts w:eastAsia="Times New Roman"/>
          <w:color w:val="000000"/>
          <w:sz w:val="20"/>
          <w:szCs w:val="20"/>
        </w:rPr>
        <w:t>This Quarterly Report on Form 10-Q of The Macerich Company (the "Company") contains or incorporates statements</w:t>
      </w:r>
      <w:r>
        <w:rPr>
          <w:rFonts w:eastAsia="Times New Roman"/>
          <w:color w:val="000000"/>
          <w:sz w:val="20"/>
          <w:szCs w:val="20"/>
        </w:rPr>
        <w:t xml:space="preserve"> that constitute forward-looking statements within the meaning of the federal securities laws. Any statements that do not relate to historical or current facts or matters are forward-looking statements. You can identify some of the forward-looking statemen</w:t>
      </w:r>
      <w:r>
        <w:rPr>
          <w:rFonts w:eastAsia="Times New Roman"/>
          <w:color w:val="000000"/>
          <w:sz w:val="20"/>
          <w:szCs w:val="20"/>
        </w:rPr>
        <w:t>ts by the use of forward-looking words, such as "may," "will," "could," "should," "expects," "anticipates," "intends," "projects," "predicts," "plans," "believes," "seeks," "estimates," "scheduled" and variations of these words and similar expressions. Sta</w:t>
      </w:r>
      <w:r>
        <w:rPr>
          <w:rFonts w:eastAsia="Times New Roman"/>
          <w:color w:val="000000"/>
          <w:sz w:val="20"/>
          <w:szCs w:val="20"/>
        </w:rPr>
        <w:t>tements concerning current conditions may also be forward-looking if they imply a continuation of current conditions. Forward-looking statements appear in a number of places in this Form 10-Q and include statements regarding, among other matters:</w:t>
      </w:r>
    </w:p>
    <w:p w:rsidR="00000000" w:rsidRDefault="00BA6B82">
      <w:pPr>
        <w:ind w:hanging="720"/>
        <w:divId w:val="1430153511"/>
        <w:rPr>
          <w:rFonts w:eastAsia="Times New Roman"/>
        </w:rPr>
      </w:pPr>
      <w:r>
        <w:rPr>
          <w:rFonts w:eastAsia="Times New Roman"/>
          <w:color w:val="000000"/>
          <w:sz w:val="20"/>
          <w:szCs w:val="20"/>
        </w:rPr>
        <w:t>•expectat</w:t>
      </w:r>
      <w:r>
        <w:rPr>
          <w:rFonts w:eastAsia="Times New Roman"/>
          <w:color w:val="000000"/>
          <w:sz w:val="20"/>
          <w:szCs w:val="20"/>
        </w:rPr>
        <w:t>ions regarding the Company's growth;</w:t>
      </w:r>
    </w:p>
    <w:p w:rsidR="00000000" w:rsidRDefault="00BA6B82">
      <w:pPr>
        <w:ind w:hanging="720"/>
        <w:divId w:val="595676187"/>
        <w:rPr>
          <w:rFonts w:eastAsia="Times New Roman"/>
        </w:rPr>
      </w:pPr>
      <w:r>
        <w:rPr>
          <w:rFonts w:eastAsia="Times New Roman"/>
          <w:color w:val="000000"/>
          <w:sz w:val="20"/>
          <w:szCs w:val="20"/>
        </w:rPr>
        <w:t>•the Company's beliefs regarding its acquisition, redevelopment, development, leasing and operational activities and opportunities, including the performance and financial stability of its retailers;</w:t>
      </w:r>
    </w:p>
    <w:p w:rsidR="00000000" w:rsidRDefault="00BA6B82">
      <w:pPr>
        <w:ind w:hanging="720"/>
        <w:divId w:val="1146825334"/>
        <w:rPr>
          <w:rFonts w:eastAsia="Times New Roman"/>
        </w:rPr>
      </w:pPr>
      <w:r>
        <w:rPr>
          <w:rFonts w:eastAsia="Times New Roman"/>
          <w:color w:val="000000"/>
          <w:sz w:val="20"/>
          <w:szCs w:val="20"/>
        </w:rPr>
        <w:t>•the Company's acqu</w:t>
      </w:r>
      <w:r>
        <w:rPr>
          <w:rFonts w:eastAsia="Times New Roman"/>
          <w:color w:val="000000"/>
          <w:sz w:val="20"/>
          <w:szCs w:val="20"/>
        </w:rPr>
        <w:t>isition, disposition and other strategies;</w:t>
      </w:r>
    </w:p>
    <w:p w:rsidR="00000000" w:rsidRDefault="00BA6B82">
      <w:pPr>
        <w:ind w:hanging="720"/>
        <w:divId w:val="374548562"/>
        <w:rPr>
          <w:rFonts w:eastAsia="Times New Roman"/>
        </w:rPr>
      </w:pPr>
      <w:r>
        <w:rPr>
          <w:rFonts w:eastAsia="Times New Roman"/>
          <w:color w:val="000000"/>
          <w:sz w:val="20"/>
          <w:szCs w:val="20"/>
        </w:rPr>
        <w:t>•regulatory matters pertaining to compliance with governmental regulations;</w:t>
      </w:r>
    </w:p>
    <w:p w:rsidR="00000000" w:rsidRDefault="00BA6B82">
      <w:pPr>
        <w:ind w:hanging="720"/>
        <w:divId w:val="1929775286"/>
        <w:rPr>
          <w:rFonts w:eastAsia="Times New Roman"/>
        </w:rPr>
      </w:pPr>
      <w:r>
        <w:rPr>
          <w:rFonts w:eastAsia="Times New Roman"/>
          <w:color w:val="000000"/>
          <w:sz w:val="20"/>
          <w:szCs w:val="20"/>
        </w:rPr>
        <w:t>•the Company's capital expenditure plans and expectations for obtaining capital for expenditures;</w:t>
      </w:r>
    </w:p>
    <w:p w:rsidR="00000000" w:rsidRDefault="00BA6B82">
      <w:pPr>
        <w:ind w:hanging="720"/>
        <w:divId w:val="720010052"/>
        <w:rPr>
          <w:rFonts w:eastAsia="Times New Roman"/>
        </w:rPr>
      </w:pPr>
      <w:r>
        <w:rPr>
          <w:rFonts w:eastAsia="Times New Roman"/>
          <w:color w:val="000000"/>
          <w:sz w:val="20"/>
          <w:szCs w:val="20"/>
        </w:rPr>
        <w:t>•the Company's expectations regarding i</w:t>
      </w:r>
      <w:r>
        <w:rPr>
          <w:rFonts w:eastAsia="Times New Roman"/>
          <w:color w:val="000000"/>
          <w:sz w:val="20"/>
          <w:szCs w:val="20"/>
        </w:rPr>
        <w:t>ncome tax benefits;</w:t>
      </w:r>
    </w:p>
    <w:p w:rsidR="00000000" w:rsidRDefault="00BA6B82">
      <w:pPr>
        <w:ind w:hanging="720"/>
        <w:divId w:val="138768081"/>
        <w:rPr>
          <w:rFonts w:eastAsia="Times New Roman"/>
        </w:rPr>
      </w:pPr>
      <w:r>
        <w:rPr>
          <w:rFonts w:eastAsia="Times New Roman"/>
          <w:color w:val="000000"/>
          <w:sz w:val="20"/>
          <w:szCs w:val="20"/>
        </w:rPr>
        <w:t>•the Company's expectations regarding its financial condition or results of operations; and</w:t>
      </w:r>
    </w:p>
    <w:p w:rsidR="00000000" w:rsidRDefault="00BA6B82">
      <w:pPr>
        <w:ind w:hanging="720"/>
        <w:divId w:val="1652830256"/>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w:t>
      </w:r>
      <w:r>
        <w:rPr>
          <w:rFonts w:eastAsia="Times New Roman"/>
          <w:color w:val="000000"/>
          <w:sz w:val="20"/>
          <w:szCs w:val="20"/>
        </w:rPr>
        <w:t>gements.</w:t>
      </w:r>
    </w:p>
    <w:p w:rsidR="00000000" w:rsidRDefault="00BA6B82">
      <w:pPr>
        <w:ind w:firstLine="495"/>
        <w:divId w:val="1241671680"/>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may cause actual results, performance or achievements of the Company or the indust</w:t>
      </w:r>
      <w:r>
        <w:rPr>
          <w:rFonts w:eastAsia="Times New Roman"/>
          <w:color w:val="000000"/>
          <w:sz w:val="20"/>
          <w:szCs w:val="20"/>
        </w:rPr>
        <w:t>ry to differ materially from the Company's future results, performance or achievements, or those of the industry, expressed or implied in such forward-looking statements. Such factors include, among others, general industry, as well as global, national, re</w:t>
      </w:r>
      <w:r>
        <w:rPr>
          <w:rFonts w:eastAsia="Times New Roman"/>
          <w:color w:val="000000"/>
          <w:sz w:val="20"/>
          <w:szCs w:val="20"/>
        </w:rPr>
        <w:t>gional and local economic and business conditions, which will, among other things, affect demand for retail space or retail goods, availability and creditworthiness of current and prospective tenants, anchor or tenant bankruptcies, closures, mergers or con</w:t>
      </w:r>
      <w:r>
        <w:rPr>
          <w:rFonts w:eastAsia="Times New Roman"/>
          <w:color w:val="000000"/>
          <w:sz w:val="20"/>
          <w:szCs w:val="20"/>
        </w:rPr>
        <w:t>solidations, lease rates, terms and payments, interest rate fluctuations, availability, terms and cost of financing and operating expenses; adverse changes in the real estate markets including, among other things, competition from other companies, retail f</w:t>
      </w:r>
      <w:r>
        <w:rPr>
          <w:rFonts w:eastAsia="Times New Roman"/>
          <w:color w:val="000000"/>
          <w:sz w:val="20"/>
          <w:szCs w:val="20"/>
        </w:rPr>
        <w:t>ormats and technology, risks of real estate development and redevelopment, acquisitions and dispositions; the continuing adverse impact of the novel coronavirus ("COVID-19") on the U.S., regional and global economies and the financial condition and results</w:t>
      </w:r>
      <w:r>
        <w:rPr>
          <w:rFonts w:eastAsia="Times New Roman"/>
          <w:color w:val="000000"/>
          <w:sz w:val="20"/>
          <w:szCs w:val="20"/>
        </w:rPr>
        <w:t xml:space="preserve"> of operations of the Company and its tenants; the liquidity of real estate investments, governmental actions and initiatives (including legislative and regulatory changes); environmental and safety requirements; and terrorist activities or other acts of v</w:t>
      </w:r>
      <w:r>
        <w:rPr>
          <w:rFonts w:eastAsia="Times New Roman"/>
          <w:color w:val="000000"/>
          <w:sz w:val="20"/>
          <w:szCs w:val="20"/>
        </w:rPr>
        <w:t>iolence which could adversely affect all of the above factors. You are urged to carefully review the disclosures we make concerning these risks and other factors that may affect our business and operating results, including those made in "Item 1A. Risk Fac</w:t>
      </w:r>
      <w:r>
        <w:rPr>
          <w:rFonts w:eastAsia="Times New Roman"/>
          <w:color w:val="000000"/>
          <w:sz w:val="20"/>
          <w:szCs w:val="20"/>
        </w:rPr>
        <w:t>tors" in our Annual Report on Form 10-K for the year ended December 31, 2021, as well as our other reports filed with the Securities and Exchange Commission (the "SEC"), which disclosures are incorporated herein by reference. You are cautioned not to place</w:t>
      </w:r>
      <w:r>
        <w:rPr>
          <w:rFonts w:eastAsia="Times New Roman"/>
          <w:color w:val="000000"/>
          <w:sz w:val="20"/>
          <w:szCs w:val="20"/>
        </w:rPr>
        <w:t xml:space="preserve"> undue reliance on these forward-looking statements, which speak only as of the date of this document. The Company does not intend, and undertakes no obligation, to update any forward-looking information to reflect events or circumstances after the date of</w:t>
      </w:r>
      <w:r>
        <w:rPr>
          <w:rFonts w:eastAsia="Times New Roman"/>
          <w:color w:val="000000"/>
          <w:sz w:val="20"/>
          <w:szCs w:val="20"/>
        </w:rPr>
        <w:t xml:space="preserve"> this document or to reflect the occurrence of unanticipated events, unless required by law to do so.</w:t>
      </w:r>
    </w:p>
    <w:p w:rsidR="00000000" w:rsidRDefault="00BA6B82">
      <w:pPr>
        <w:divId w:val="2117557498"/>
        <w:rPr>
          <w:rFonts w:eastAsia="Times New Roman"/>
        </w:rPr>
      </w:pPr>
      <w:r>
        <w:rPr>
          <w:rFonts w:eastAsia="Times New Roman"/>
          <w:b/>
          <w:bCs/>
          <w:color w:val="000000"/>
          <w:sz w:val="20"/>
          <w:szCs w:val="20"/>
        </w:rPr>
        <w:t>Management's Overview and Summary</w:t>
      </w:r>
    </w:p>
    <w:p w:rsidR="00000000" w:rsidRDefault="00BA6B82">
      <w:pPr>
        <w:ind w:firstLine="495"/>
        <w:divId w:val="47610911"/>
        <w:rPr>
          <w:rFonts w:eastAsia="Times New Roman"/>
        </w:rPr>
      </w:pPr>
      <w:r>
        <w:rPr>
          <w:rFonts w:eastAsia="Times New Roman"/>
          <w:color w:val="000000"/>
          <w:sz w:val="20"/>
          <w:szCs w:val="20"/>
        </w:rPr>
        <w:t>The Company is involved in the acquisition, ownership, development, redevelopment, management and leasing of regional an</w:t>
      </w:r>
      <w:r>
        <w:rPr>
          <w:rFonts w:eastAsia="Times New Roman"/>
          <w:color w:val="000000"/>
          <w:sz w:val="20"/>
          <w:szCs w:val="20"/>
        </w:rPr>
        <w:t xml:space="preserve">d community/power shopping centers located throughout the United States. The Company is the sole general partner of, and owns a majority of the ownership interests in, The Macerich Partnership, L.P. (the "Operating Partnership"). As of March 31, 2022, the </w:t>
      </w:r>
      <w:r>
        <w:rPr>
          <w:rFonts w:eastAsia="Times New Roman"/>
          <w:color w:val="000000"/>
          <w:sz w:val="20"/>
          <w:szCs w:val="20"/>
        </w:rPr>
        <w:t>Operating Partnership owned or had an ownership interest in 44 regional town centers and five community/power shopping centers. These 49 regional town centers and community/power shopping centers (which include any adjoining mixed use improvements) consist</w:t>
      </w:r>
      <w:r>
        <w:rPr>
          <w:rFonts w:eastAsia="Times New Roman"/>
          <w:color w:val="000000"/>
          <w:sz w:val="20"/>
          <w:szCs w:val="20"/>
        </w:rPr>
        <w:t xml:space="preserve"> of approximately 48 million square feet of gross leasable area ("GLA") and are referred to herein as the "Centers". The Centers consist of consolidated Centers ("Consolidated Centers") and unconsolidated joint venture Centers ("Unconsolidated Joint Ventur</w:t>
      </w:r>
      <w:r>
        <w:rPr>
          <w:rFonts w:eastAsia="Times New Roman"/>
          <w:color w:val="000000"/>
          <w:sz w:val="20"/>
          <w:szCs w:val="20"/>
        </w:rPr>
        <w:t>e Centers"), unless the context otherwise requires. The property management, leasing and redevelopment of the Company's portfolio is provided by the Company's seven management companies (collectively referred to herein as the "Management Companies"). The C</w:t>
      </w:r>
      <w:r>
        <w:rPr>
          <w:rFonts w:eastAsia="Times New Roman"/>
          <w:color w:val="000000"/>
          <w:sz w:val="20"/>
          <w:szCs w:val="20"/>
        </w:rPr>
        <w:t>ompany is a self-administered and self-managed real estate investment trust ("REIT") and conducts all of its operations through the Operating Partnership and the Management Companies.</w:t>
      </w:r>
    </w:p>
    <w:p w:rsidR="00000000" w:rsidRDefault="00BA6B82">
      <w:pPr>
        <w:jc w:val="center"/>
        <w:divId w:val="1546212806"/>
        <w:rPr>
          <w:rFonts w:eastAsia="Times New Roman"/>
        </w:rPr>
      </w:pPr>
    </w:p>
    <w:p w:rsidR="00000000" w:rsidRDefault="00BA6B82">
      <w:pPr>
        <w:jc w:val="center"/>
        <w:divId w:val="1546212806"/>
        <w:rPr>
          <w:rFonts w:eastAsia="Times New Roman"/>
        </w:rPr>
      </w:pPr>
      <w:r>
        <w:rPr>
          <w:rFonts w:eastAsia="Times New Roman"/>
          <w:color w:val="000000"/>
          <w:sz w:val="20"/>
          <w:szCs w:val="20"/>
        </w:rPr>
        <w:t>25</w:t>
      </w:r>
    </w:p>
    <w:p w:rsidR="00000000" w:rsidRDefault="00BA6B82">
      <w:pPr>
        <w:rPr>
          <w:rFonts w:eastAsia="Times New Roman"/>
        </w:rPr>
      </w:pPr>
      <w:r>
        <w:rPr>
          <w:rFonts w:eastAsia="Times New Roman"/>
        </w:rPr>
        <w:pict>
          <v:rect id="_x0000_i1049" style="width:0;height:1.5pt" o:hralign="center" o:hrstd="t" o:hr="t" fillcolor="#a0a0a0" stroked="f"/>
        </w:pict>
      </w:r>
    </w:p>
    <w:p w:rsidR="00000000" w:rsidRDefault="00BA6B82">
      <w:pPr>
        <w:divId w:val="976372926"/>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1717007871"/>
        <w:rPr>
          <w:rFonts w:eastAsia="Times New Roman"/>
        </w:rPr>
      </w:pPr>
      <w:r>
        <w:rPr>
          <w:rFonts w:eastAsia="Times New Roman"/>
          <w:color w:val="000000"/>
          <w:sz w:val="20"/>
          <w:szCs w:val="20"/>
        </w:rPr>
        <w:t>The following discussion is based primarily on the consolidated financial statements of the Company for the three months ended March 31, 2022 and 2021. It compares the results of operations for the three months</w:t>
      </w:r>
      <w:r>
        <w:rPr>
          <w:rFonts w:eastAsia="Times New Roman"/>
          <w:color w:val="000000"/>
          <w:sz w:val="20"/>
          <w:szCs w:val="20"/>
        </w:rPr>
        <w:t xml:space="preserve"> ended March 31, 2022 to the results of operations for the three months ended March 31, 2021. It also compares the results of operations and cash flows for the three months ended March 31, 2022 to the results of operations and cash flows for the three mont</w:t>
      </w:r>
      <w:r>
        <w:rPr>
          <w:rFonts w:eastAsia="Times New Roman"/>
          <w:color w:val="000000"/>
          <w:sz w:val="20"/>
          <w:szCs w:val="20"/>
        </w:rPr>
        <w:t xml:space="preserve">hs ended March 31, 2021. </w:t>
      </w:r>
    </w:p>
    <w:p w:rsidR="00000000" w:rsidRDefault="00BA6B82">
      <w:pPr>
        <w:ind w:firstLine="495"/>
        <w:divId w:val="1533613970"/>
        <w:rPr>
          <w:rFonts w:eastAsia="Times New Roman"/>
        </w:rPr>
      </w:pPr>
      <w:r>
        <w:rPr>
          <w:rFonts w:eastAsia="Times New Roman"/>
          <w:color w:val="000000"/>
          <w:sz w:val="20"/>
          <w:szCs w:val="20"/>
        </w:rPr>
        <w:t>This information should be read in conjunction with the accompanying consolidated financial statements and notes thereto.</w:t>
      </w:r>
    </w:p>
    <w:p w:rsidR="00000000" w:rsidRDefault="00BA6B82">
      <w:pPr>
        <w:ind w:firstLine="450"/>
        <w:divId w:val="1055353328"/>
        <w:rPr>
          <w:rFonts w:eastAsia="Times New Roman"/>
        </w:rPr>
      </w:pPr>
      <w:r>
        <w:rPr>
          <w:rFonts w:eastAsia="Times New Roman"/>
          <w:i/>
          <w:iCs/>
          <w:color w:val="000000"/>
          <w:sz w:val="20"/>
          <w:szCs w:val="20"/>
        </w:rPr>
        <w:t>Dispositions:</w:t>
      </w:r>
    </w:p>
    <w:p w:rsidR="00000000" w:rsidRDefault="00BA6B82">
      <w:pPr>
        <w:ind w:firstLine="495"/>
        <w:divId w:val="1356347889"/>
        <w:rPr>
          <w:rFonts w:eastAsia="Times New Roman"/>
        </w:rPr>
      </w:pPr>
      <w:r>
        <w:rPr>
          <w:rFonts w:eastAsia="Times New Roman"/>
          <w:color w:val="000000"/>
          <w:sz w:val="20"/>
          <w:szCs w:val="20"/>
        </w:rPr>
        <w:t xml:space="preserve">On March 29, 2021, the Company sold Paradise Valley Mall in Phoenix, Arizona to a newly formed joint venture for $100.0 million, resulting in a gain on sale of assets of approximately $5.6 million. Concurrent with the sale, the Company elected to reinvest </w:t>
      </w:r>
      <w:r>
        <w:rPr>
          <w:rFonts w:eastAsia="Times New Roman"/>
          <w:color w:val="000000"/>
          <w:sz w:val="20"/>
          <w:szCs w:val="20"/>
        </w:rPr>
        <w:t>into the new joint venture at a 5% ownership interest. The Company used the $95.3 million of net proceeds from the sale to pay down its line of credit (See "—Liquidity and Capital Resources").</w:t>
      </w:r>
    </w:p>
    <w:p w:rsidR="00000000" w:rsidRDefault="00BA6B82">
      <w:pPr>
        <w:ind w:firstLine="495"/>
        <w:divId w:val="1780903604"/>
        <w:rPr>
          <w:rFonts w:eastAsia="Times New Roman"/>
        </w:rPr>
      </w:pPr>
      <w:r>
        <w:rPr>
          <w:rFonts w:eastAsia="Times New Roman"/>
          <w:color w:val="000000"/>
          <w:sz w:val="20"/>
          <w:szCs w:val="20"/>
        </w:rPr>
        <w:t xml:space="preserve">On September 17, 2021, the Company sold Tucson La Encantada in </w:t>
      </w:r>
      <w:r>
        <w:rPr>
          <w:rFonts w:eastAsia="Times New Roman"/>
          <w:color w:val="000000"/>
          <w:sz w:val="20"/>
          <w:szCs w:val="20"/>
        </w:rPr>
        <w:t>Tucson, Arizona for $165.3 million, resulting in a gain on sale of assets of approximately $117.2 million. The Company used the net cash proceeds of approximately $100.1 million to pay down debt (See "—Liquidity and Capital Resources").</w:t>
      </w:r>
    </w:p>
    <w:p w:rsidR="00000000" w:rsidRDefault="00BA6B82">
      <w:pPr>
        <w:ind w:firstLine="495"/>
        <w:divId w:val="229776044"/>
        <w:rPr>
          <w:rFonts w:eastAsia="Times New Roman"/>
        </w:rPr>
      </w:pPr>
      <w:r>
        <w:rPr>
          <w:rFonts w:eastAsia="Times New Roman"/>
          <w:color w:val="000000"/>
          <w:sz w:val="20"/>
          <w:szCs w:val="20"/>
        </w:rPr>
        <w:t>On December 31, 202</w:t>
      </w:r>
      <w:r>
        <w:rPr>
          <w:rFonts w:eastAsia="Times New Roman"/>
          <w:color w:val="000000"/>
          <w:sz w:val="20"/>
          <w:szCs w:val="20"/>
        </w:rPr>
        <w:t>1, the Company assigned its joint venture interest in The Shops at North Bridge in Chicago, Illinois to its partner in the joint venture. The assignment included the assumption by the joint venture partner of the Company’s share of the debt owed by the joi</w:t>
      </w:r>
      <w:r>
        <w:rPr>
          <w:rFonts w:eastAsia="Times New Roman"/>
          <w:color w:val="000000"/>
          <w:sz w:val="20"/>
          <w:szCs w:val="20"/>
        </w:rPr>
        <w:t>nt venture and no cash consideration was received by the Company. The Company recognized a loss of approximately $28.3 million in connection with the assignment.</w:t>
      </w:r>
    </w:p>
    <w:p w:rsidR="00000000" w:rsidRDefault="00BA6B82">
      <w:pPr>
        <w:ind w:firstLine="495"/>
        <w:divId w:val="1122115132"/>
        <w:rPr>
          <w:rFonts w:eastAsia="Times New Roman"/>
        </w:rPr>
      </w:pPr>
      <w:r>
        <w:rPr>
          <w:rFonts w:eastAsia="Times New Roman"/>
          <w:color w:val="000000"/>
          <w:sz w:val="20"/>
          <w:szCs w:val="20"/>
        </w:rPr>
        <w:t xml:space="preserve">On December 31, 2021, the Company sold its joint venture interest in the undeveloped property </w:t>
      </w:r>
      <w:r>
        <w:rPr>
          <w:rFonts w:eastAsia="Times New Roman"/>
          <w:color w:val="000000"/>
          <w:sz w:val="20"/>
          <w:szCs w:val="20"/>
        </w:rPr>
        <w:t>at 443 North Wabash Avenue in Chicago, Illinois to its partner in the joint venture for $21.0 million. The Company recognized an immaterial gain in connection with the sale.</w:t>
      </w:r>
    </w:p>
    <w:p w:rsidR="00000000" w:rsidRDefault="00BA6B82">
      <w:pPr>
        <w:ind w:firstLine="495"/>
        <w:divId w:val="120660900"/>
        <w:rPr>
          <w:rFonts w:eastAsia="Times New Roman"/>
        </w:rPr>
      </w:pPr>
      <w:r>
        <w:rPr>
          <w:rFonts w:eastAsia="Times New Roman"/>
          <w:color w:val="000000"/>
          <w:sz w:val="20"/>
          <w:szCs w:val="20"/>
        </w:rPr>
        <w:t>For the twelve months ended December 31, 2021, the Company and certain joint ventu</w:t>
      </w:r>
      <w:r>
        <w:rPr>
          <w:rFonts w:eastAsia="Times New Roman"/>
          <w:color w:val="000000"/>
          <w:sz w:val="20"/>
          <w:szCs w:val="20"/>
        </w:rPr>
        <w:t>re partners sold various land parcels in separate transactions, resulting in the Company’s share of the gain on sale of land of $19.6 million. The Company used its share of the proceeds from these sales of $46.5 million to pay down debt and for other gener</w:t>
      </w:r>
      <w:r>
        <w:rPr>
          <w:rFonts w:eastAsia="Times New Roman"/>
          <w:color w:val="000000"/>
          <w:sz w:val="20"/>
          <w:szCs w:val="20"/>
        </w:rPr>
        <w:t>al corporate purposes.</w:t>
      </w:r>
    </w:p>
    <w:p w:rsidR="00000000" w:rsidRDefault="00BA6B82">
      <w:pPr>
        <w:ind w:firstLine="495"/>
        <w:divId w:val="1422919586"/>
        <w:rPr>
          <w:rFonts w:eastAsia="Times New Roman"/>
        </w:rPr>
      </w:pPr>
      <w:r>
        <w:rPr>
          <w:rFonts w:eastAsia="Times New Roman"/>
          <w:color w:val="000000"/>
          <w:sz w:val="20"/>
          <w:szCs w:val="20"/>
        </w:rPr>
        <w:t xml:space="preserve">For the three months ended March 31, 2022, the Company and certain joint venture partners sold various land parcels in separate transactions, resulting in the Company’s share of the gain on sale of land of $11.3 million. The Company </w:t>
      </w:r>
      <w:r>
        <w:rPr>
          <w:rFonts w:eastAsia="Times New Roman"/>
          <w:color w:val="000000"/>
          <w:sz w:val="20"/>
          <w:szCs w:val="20"/>
        </w:rPr>
        <w:t xml:space="preserve">used its share of the proceeds from these sales of $20.3 million to pay down debt and for other general corporate purposes. </w:t>
      </w:r>
    </w:p>
    <w:p w:rsidR="00000000" w:rsidRDefault="00BA6B82">
      <w:pPr>
        <w:ind w:firstLine="450"/>
        <w:divId w:val="1442455012"/>
        <w:rPr>
          <w:rFonts w:eastAsia="Times New Roman"/>
        </w:rPr>
      </w:pPr>
      <w:r>
        <w:rPr>
          <w:rFonts w:eastAsia="Times New Roman"/>
          <w:i/>
          <w:iCs/>
          <w:color w:val="000000"/>
          <w:sz w:val="20"/>
          <w:szCs w:val="20"/>
        </w:rPr>
        <w:t>Financing Activities:</w:t>
      </w:r>
    </w:p>
    <w:p w:rsidR="00000000" w:rsidRDefault="00BA6B82">
      <w:pPr>
        <w:ind w:firstLine="495"/>
        <w:divId w:val="949361844"/>
        <w:rPr>
          <w:rFonts w:eastAsia="Times New Roman"/>
        </w:rPr>
      </w:pPr>
      <w:r>
        <w:rPr>
          <w:rFonts w:eastAsia="Times New Roman"/>
          <w:color w:val="000000"/>
          <w:sz w:val="20"/>
          <w:szCs w:val="20"/>
        </w:rPr>
        <w:t xml:space="preserve">On January 22, 2021, the Company closed on a one-year extension for the Green Acres Mall $258.2 million loan </w:t>
      </w:r>
      <w:r>
        <w:rPr>
          <w:rFonts w:eastAsia="Times New Roman"/>
          <w:color w:val="000000"/>
          <w:sz w:val="20"/>
          <w:szCs w:val="20"/>
        </w:rPr>
        <w:t>to February 3, 2022, which also included a one-year extension option to February 3, 2023 that has been exercised. The interest rate remained unchanged, and the Company repaid $9 million of the outstanding loan balance at closing.</w:t>
      </w:r>
    </w:p>
    <w:p w:rsidR="00000000" w:rsidRDefault="00BA6B82">
      <w:pPr>
        <w:ind w:firstLine="495"/>
        <w:divId w:val="676613373"/>
        <w:rPr>
          <w:rFonts w:eastAsia="Times New Roman"/>
        </w:rPr>
      </w:pPr>
      <w:r>
        <w:rPr>
          <w:rFonts w:eastAsia="Times New Roman"/>
          <w:color w:val="000000"/>
          <w:sz w:val="20"/>
          <w:szCs w:val="20"/>
        </w:rPr>
        <w:t>On March 25, 2021, the Com</w:t>
      </w:r>
      <w:r>
        <w:rPr>
          <w:rFonts w:eastAsia="Times New Roman"/>
          <w:color w:val="000000"/>
          <w:sz w:val="20"/>
          <w:szCs w:val="20"/>
        </w:rPr>
        <w:t>pany closed on a two-year extension for the Green Acres Commons $124.6 million loan to March 29, 2023. The interest rate is LIBOR plus 2.75% and the Company repaid $4.7 million of the outstanding loan balance at closing.</w:t>
      </w:r>
    </w:p>
    <w:p w:rsidR="00000000" w:rsidRDefault="00BA6B82">
      <w:pPr>
        <w:ind w:firstLine="495"/>
        <w:divId w:val="349070507"/>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facility that matures on April 14, 2023, with a o</w:t>
      </w:r>
      <w:r>
        <w:rPr>
          <w:rFonts w:eastAsia="Times New Roman"/>
          <w:color w:val="000000"/>
          <w:sz w:val="20"/>
          <w:szCs w:val="20"/>
        </w:rPr>
        <w:t>ne-year extension option, and a $175 million term loan facility that matures on April 14, 2024. The Company drew the $175 million term loan facility in its entirety simultaneously with entering into the new credit agreement in April 2021 and subsequently p</w:t>
      </w:r>
      <w:r>
        <w:rPr>
          <w:rFonts w:eastAsia="Times New Roman"/>
          <w:color w:val="000000"/>
          <w:sz w:val="20"/>
          <w:szCs w:val="20"/>
        </w:rPr>
        <w:t>aid off the remaining balance outstanding on the term loan facility with proceeds from the sale of Tucson La Encantada in September 2021.</w:t>
      </w:r>
    </w:p>
    <w:p w:rsidR="00000000" w:rsidRDefault="00BA6B82">
      <w:pPr>
        <w:ind w:firstLine="495"/>
        <w:divId w:val="441459764"/>
        <w:rPr>
          <w:rFonts w:eastAsia="Times New Roman"/>
        </w:rPr>
      </w:pPr>
      <w:r>
        <w:rPr>
          <w:rFonts w:eastAsia="Times New Roman"/>
          <w:color w:val="000000"/>
          <w:sz w:val="20"/>
          <w:szCs w:val="20"/>
        </w:rPr>
        <w:t>On September 15, 2021, the Company further extended the loan maturity on Danbury Fair Mall to July 1, 2022. The intere</w:t>
      </w:r>
      <w:r>
        <w:rPr>
          <w:rFonts w:eastAsia="Times New Roman"/>
          <w:color w:val="000000"/>
          <w:sz w:val="20"/>
          <w:szCs w:val="20"/>
        </w:rPr>
        <w:t>st rate remained unchanged, and the Company repaid $10.0 million of the outstanding loan balance at closing.</w:t>
      </w:r>
    </w:p>
    <w:p w:rsidR="00000000" w:rsidRDefault="00BA6B82">
      <w:pPr>
        <w:ind w:firstLine="495"/>
        <w:divId w:val="1901281676"/>
        <w:rPr>
          <w:rFonts w:eastAsia="Times New Roman"/>
        </w:rPr>
      </w:pPr>
      <w:r>
        <w:rPr>
          <w:rFonts w:eastAsia="Times New Roman"/>
          <w:color w:val="000000"/>
          <w:sz w:val="20"/>
          <w:szCs w:val="20"/>
        </w:rPr>
        <w:t xml:space="preserve">On October 26, 2021, the Company's joint venture in The Shops at Atlas Park replaced the existing loan on the property with a new $65 million loan </w:t>
      </w:r>
      <w:r>
        <w:rPr>
          <w:rFonts w:eastAsia="Times New Roman"/>
          <w:color w:val="000000"/>
          <w:sz w:val="20"/>
          <w:szCs w:val="20"/>
        </w:rPr>
        <w:t>that bears interest at a floating rate of LIBOR plus 4.15% and matures on November 9, 2026, including extension options. The loan is covered by an interest rate cap agreement that effectively prevents LIBOR from exceeding 3.0% through November 7, 2023.</w:t>
      </w:r>
    </w:p>
    <w:p w:rsidR="00000000" w:rsidRDefault="00BA6B82">
      <w:pPr>
        <w:ind w:firstLine="495"/>
        <w:divId w:val="804852742"/>
        <w:rPr>
          <w:rFonts w:eastAsia="Times New Roman"/>
        </w:rPr>
      </w:pPr>
      <w:r>
        <w:rPr>
          <w:rFonts w:eastAsia="Times New Roman"/>
          <w:color w:val="000000"/>
          <w:sz w:val="20"/>
          <w:szCs w:val="20"/>
        </w:rPr>
        <w:t>Dur</w:t>
      </w:r>
      <w:r>
        <w:rPr>
          <w:rFonts w:eastAsia="Times New Roman"/>
          <w:color w:val="000000"/>
          <w:sz w:val="20"/>
          <w:szCs w:val="20"/>
        </w:rPr>
        <w:t>ing the year ended December 31, 2021, the Company repaid $1.7 billion of debt then outstanding, including the $985 million repaid in connection with entering into the new credit agreement in April 2021. These repaid amounts represented an approximately 20%</w:t>
      </w:r>
      <w:r>
        <w:rPr>
          <w:rFonts w:eastAsia="Times New Roman"/>
          <w:color w:val="000000"/>
          <w:sz w:val="20"/>
          <w:szCs w:val="20"/>
        </w:rPr>
        <w:t xml:space="preserve"> reduction in the debt outstanding, at the Company’s share, since December 31, 2020. </w:t>
      </w:r>
    </w:p>
    <w:p w:rsidR="00000000" w:rsidRDefault="00BA6B82">
      <w:pPr>
        <w:jc w:val="center"/>
        <w:divId w:val="1060636631"/>
        <w:rPr>
          <w:rFonts w:eastAsia="Times New Roman"/>
        </w:rPr>
      </w:pPr>
    </w:p>
    <w:p w:rsidR="00000000" w:rsidRDefault="00BA6B82">
      <w:pPr>
        <w:jc w:val="center"/>
        <w:divId w:val="1060636631"/>
        <w:rPr>
          <w:rFonts w:eastAsia="Times New Roman"/>
        </w:rPr>
      </w:pPr>
      <w:r>
        <w:rPr>
          <w:rFonts w:eastAsia="Times New Roman"/>
          <w:color w:val="000000"/>
          <w:sz w:val="20"/>
          <w:szCs w:val="20"/>
        </w:rPr>
        <w:t>26</w:t>
      </w:r>
    </w:p>
    <w:p w:rsidR="00000000" w:rsidRDefault="00BA6B82">
      <w:pPr>
        <w:rPr>
          <w:rFonts w:eastAsia="Times New Roman"/>
        </w:rPr>
      </w:pPr>
      <w:r>
        <w:rPr>
          <w:rFonts w:eastAsia="Times New Roman"/>
        </w:rPr>
        <w:pict>
          <v:rect id="_x0000_i1050" style="width:0;height:1.5pt" o:hralign="center" o:hrstd="t" o:hr="t" fillcolor="#a0a0a0" stroked="f"/>
        </w:pict>
      </w:r>
    </w:p>
    <w:p w:rsidR="00000000" w:rsidRDefault="00BA6B82">
      <w:pPr>
        <w:divId w:val="17334887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1664578338"/>
        <w:rPr>
          <w:rFonts w:eastAsia="Times New Roman"/>
        </w:rPr>
      </w:pPr>
      <w:r>
        <w:rPr>
          <w:rFonts w:eastAsia="Times New Roman"/>
          <w:color w:val="000000"/>
          <w:sz w:val="20"/>
          <w:szCs w:val="20"/>
        </w:rPr>
        <w:t xml:space="preserve">On February 2, 2022, the Company’s joint venture in </w:t>
      </w:r>
      <w:r>
        <w:rPr>
          <w:rFonts w:eastAsia="Times New Roman"/>
          <w:color w:val="000000"/>
          <w:sz w:val="20"/>
          <w:szCs w:val="20"/>
        </w:rPr>
        <w:t>FlatIron Crossing replaced the existing $197 million loan on the property with a new $175 million loan that bears interest at SOFR plus 3.70% and matures on February 9, 2025, including extension options. The loan is covered by an interest rate cap agreemen</w:t>
      </w:r>
      <w:r>
        <w:rPr>
          <w:rFonts w:eastAsia="Times New Roman"/>
          <w:color w:val="000000"/>
          <w:sz w:val="20"/>
          <w:szCs w:val="20"/>
        </w:rPr>
        <w:t>t that effectively prevents SOFR from exceeding 4.0% through February 15, 2024.</w:t>
      </w:r>
    </w:p>
    <w:p w:rsidR="00000000" w:rsidRDefault="00BA6B82">
      <w:pPr>
        <w:ind w:firstLine="495"/>
        <w:divId w:val="55855665"/>
        <w:rPr>
          <w:rFonts w:eastAsia="Times New Roman"/>
        </w:rPr>
      </w:pPr>
      <w:r>
        <w:rPr>
          <w:rFonts w:eastAsia="Times New Roman"/>
          <w:color w:val="000000"/>
          <w:sz w:val="20"/>
          <w:szCs w:val="20"/>
        </w:rPr>
        <w:t xml:space="preserve">On April 29, 2022, the Company replaced the existing $110.6 million loan on Pacific View with a new $72.0 million loan that bears interest at a fixed rate of 5.29% and matures </w:t>
      </w:r>
      <w:r>
        <w:rPr>
          <w:rFonts w:eastAsia="Times New Roman"/>
          <w:color w:val="000000"/>
          <w:sz w:val="20"/>
          <w:szCs w:val="20"/>
        </w:rPr>
        <w:t>on May 6, 2032.</w:t>
      </w:r>
    </w:p>
    <w:p w:rsidR="00000000" w:rsidRDefault="00BA6B82">
      <w:pPr>
        <w:ind w:firstLine="495"/>
        <w:divId w:val="1674989786"/>
        <w:rPr>
          <w:rFonts w:eastAsia="Times New Roman"/>
        </w:rPr>
      </w:pPr>
      <w:r>
        <w:rPr>
          <w:rFonts w:eastAsia="Times New Roman"/>
          <w:color w:val="000000"/>
          <w:sz w:val="20"/>
          <w:szCs w:val="20"/>
        </w:rPr>
        <w:t>On May 6, 2022, the Company closed on a two-year extension for The Oaks $175.4 million loan to June 5, 2024, at a new fixed interest rate of 5.25%. The Company repaid $5.0 million of the outstanding loan balance at closing.</w:t>
      </w:r>
    </w:p>
    <w:p w:rsidR="00000000" w:rsidRDefault="00BA6B82">
      <w:pPr>
        <w:ind w:firstLine="495"/>
        <w:divId w:val="1210386600"/>
        <w:rPr>
          <w:rFonts w:eastAsia="Times New Roman"/>
        </w:rPr>
      </w:pPr>
      <w:r>
        <w:rPr>
          <w:rFonts w:eastAsia="Times New Roman"/>
          <w:i/>
          <w:iCs/>
          <w:color w:val="000000"/>
          <w:sz w:val="20"/>
          <w:szCs w:val="20"/>
        </w:rPr>
        <w:t>Redevelopment an</w:t>
      </w:r>
      <w:r>
        <w:rPr>
          <w:rFonts w:eastAsia="Times New Roman"/>
          <w:i/>
          <w:iCs/>
          <w:color w:val="000000"/>
          <w:sz w:val="20"/>
          <w:szCs w:val="20"/>
        </w:rPr>
        <w:t>d Development Activities:</w:t>
      </w:r>
    </w:p>
    <w:p w:rsidR="00000000" w:rsidRDefault="00BA6B82">
      <w:pPr>
        <w:ind w:firstLine="495"/>
        <w:divId w:val="542252258"/>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creative office space h</w:t>
      </w:r>
      <w:r>
        <w:rPr>
          <w:rFonts w:eastAsia="Times New Roman"/>
          <w:color w:val="000000"/>
          <w:sz w:val="20"/>
          <w:szCs w:val="20"/>
        </w:rPr>
        <w:t xml:space="preserve">as been leased to Google and is expected to be completed in the third quarter of 2022. During the fourth quarter of 2021, the joint venture delivered the office space to Google for tenant improvement work, which Google has commenced. The total cost of the </w:t>
      </w:r>
      <w:r>
        <w:rPr>
          <w:rFonts w:eastAsia="Times New Roman"/>
          <w:color w:val="000000"/>
          <w:sz w:val="20"/>
          <w:szCs w:val="20"/>
        </w:rPr>
        <w:t>project is estimated to be between $500.0 million and $550.0 million, with $125.0 million to $137.5 million estimated to be the Company's pro rata share. The Company has incurred $112.2 million of the total $448.9 million incurred by the joint venture as o</w:t>
      </w:r>
      <w:r>
        <w:rPr>
          <w:rFonts w:eastAsia="Times New Roman"/>
          <w:color w:val="000000"/>
          <w:sz w:val="20"/>
          <w:szCs w:val="20"/>
        </w:rPr>
        <w:t xml:space="preserve">f March 31, 2022. The joint venture expects to fund the remaining costs of the development with its $414.6 million construction loan. </w:t>
      </w:r>
    </w:p>
    <w:p w:rsidR="00000000" w:rsidRDefault="00BA6B82">
      <w:pPr>
        <w:ind w:firstLine="495"/>
        <w:divId w:val="251546186"/>
        <w:rPr>
          <w:rFonts w:eastAsia="Times New Roman"/>
        </w:rPr>
      </w:pPr>
      <w:r>
        <w:rPr>
          <w:rFonts w:eastAsia="Times New Roman"/>
          <w:color w:val="000000"/>
          <w:sz w:val="20"/>
          <w:szCs w:val="20"/>
        </w:rPr>
        <w:t>The Company has a 50/50 joint venture with Simon Property Group, which was initially formed to develop Los Angeles Premiu</w:t>
      </w:r>
      <w:r>
        <w:rPr>
          <w:rFonts w:eastAsia="Times New Roman"/>
          <w:color w:val="000000"/>
          <w:sz w:val="20"/>
          <w:szCs w:val="20"/>
        </w:rPr>
        <w:t>m Outlets, a premium outlet center in Carson, California. The Company has funded $40.5 million of the total $81.0 million incurred by the joint venture as of March 31, 2022.</w:t>
      </w:r>
    </w:p>
    <w:p w:rsidR="00000000" w:rsidRDefault="00BA6B82">
      <w:pPr>
        <w:ind w:firstLine="495"/>
        <w:divId w:val="354380766"/>
        <w:rPr>
          <w:rFonts w:eastAsia="Times New Roman"/>
        </w:rPr>
      </w:pPr>
      <w:r>
        <w:rPr>
          <w:rFonts w:eastAsia="Times New Roman"/>
          <w:color w:val="000000"/>
          <w:sz w:val="20"/>
          <w:szCs w:val="20"/>
        </w:rPr>
        <w:t>In connection with the closures and lease rejections of several Sears stores owned</w:t>
      </w:r>
      <w:r>
        <w:rPr>
          <w:rFonts w:eastAsia="Times New Roman"/>
          <w:color w:val="000000"/>
          <w:sz w:val="20"/>
          <w:szCs w:val="20"/>
        </w:rPr>
        <w:t xml:space="preserve"> or partially owned by the Company, the Company anticipates spending between $130.0 million to $160.0 million at the Company’s pro rata share to redevelop the Sears stores. The anticipated openings of such redevelopments are expected to occur over several </w:t>
      </w:r>
      <w:r>
        <w:rPr>
          <w:rFonts w:eastAsia="Times New Roman"/>
          <w:color w:val="000000"/>
          <w:sz w:val="20"/>
          <w:szCs w:val="20"/>
        </w:rPr>
        <w:t xml:space="preserve">years. The estimated range of redevelopment costs could increase if the Company or its joint venture decides to expand the scope of the redevelopments. The Company has funded $41.1 million at its pro rata share as of March 31, 2022. </w:t>
      </w:r>
    </w:p>
    <w:p w:rsidR="00000000" w:rsidRDefault="00BA6B82">
      <w:pPr>
        <w:ind w:firstLine="495"/>
        <w:divId w:val="1332098970"/>
        <w:rPr>
          <w:rFonts w:eastAsia="Times New Roman"/>
        </w:rPr>
      </w:pPr>
      <w:r>
        <w:rPr>
          <w:rFonts w:eastAsia="Times New Roman"/>
          <w:i/>
          <w:iCs/>
          <w:color w:val="000000"/>
          <w:sz w:val="20"/>
          <w:szCs w:val="20"/>
        </w:rPr>
        <w:t>Other Transactions and</w:t>
      </w:r>
      <w:r>
        <w:rPr>
          <w:rFonts w:eastAsia="Times New Roman"/>
          <w:i/>
          <w:iCs/>
          <w:color w:val="000000"/>
          <w:sz w:val="20"/>
          <w:szCs w:val="20"/>
        </w:rPr>
        <w:t xml:space="preserve"> Events:</w:t>
      </w:r>
    </w:p>
    <w:p w:rsidR="00000000" w:rsidRDefault="00BA6B82">
      <w:pPr>
        <w:ind w:firstLine="495"/>
        <w:divId w:val="879051254"/>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w:t>
      </w:r>
      <w:r>
        <w:rPr>
          <w:rFonts w:eastAsia="Times New Roman"/>
          <w:color w:val="000000"/>
          <w:sz w:val="20"/>
          <w:szCs w:val="20"/>
        </w:rPr>
        <w:t xml:space="preserve">osed in part or completely. Following staggered re-openings during 2020, all Centers have been open and operating since October 7, 2020. As of the date of this Quarterly Report on Form 10-Q, government-imposed capacity restrictions resulting from COVID-19 </w:t>
      </w:r>
      <w:r>
        <w:rPr>
          <w:rFonts w:eastAsia="Times New Roman"/>
          <w:color w:val="000000"/>
          <w:sz w:val="20"/>
          <w:szCs w:val="20"/>
        </w:rPr>
        <w:t xml:space="preserve">have been essentially eliminated across the Company's markets. Although overall fundamentals at the Centers continued to improve during 2021 and into the first quarter of 2022, the Company expects that the COVID-19 pandemic, including the emergence of new </w:t>
      </w:r>
      <w:r>
        <w:rPr>
          <w:rFonts w:eastAsia="Times New Roman"/>
          <w:color w:val="000000"/>
          <w:sz w:val="20"/>
          <w:szCs w:val="20"/>
        </w:rPr>
        <w:t>variants, will continue to negatively impact its results for the remainder of 2022 due, in part, to reduced occupancy relative to pre-COVID levels and additional Anchor closures, among other factors.</w:t>
      </w:r>
    </w:p>
    <w:p w:rsidR="00000000" w:rsidRDefault="00BA6B82">
      <w:pPr>
        <w:ind w:firstLine="495"/>
        <w:divId w:val="641694311"/>
        <w:rPr>
          <w:rFonts w:eastAsia="Times New Roman"/>
        </w:rPr>
      </w:pPr>
      <w:r>
        <w:rPr>
          <w:rFonts w:eastAsia="Times New Roman"/>
          <w:color w:val="000000"/>
          <w:sz w:val="20"/>
          <w:szCs w:val="20"/>
        </w:rPr>
        <w:t xml:space="preserve">The Company declared a cash dividend of $0.15 per share </w:t>
      </w:r>
      <w:r>
        <w:rPr>
          <w:rFonts w:eastAsia="Times New Roman"/>
          <w:color w:val="000000"/>
          <w:sz w:val="20"/>
          <w:szCs w:val="20"/>
        </w:rPr>
        <w:t xml:space="preserve">of its common stock for each quarter in the year ended December 31, 2021. On January 27, 2022, the Company declared a first quarter cash dividend of $0.15 per share of its common stock, which was paid on March 3, 2022 to stockholders of record on February </w:t>
      </w:r>
      <w:r>
        <w:rPr>
          <w:rFonts w:eastAsia="Times New Roman"/>
          <w:color w:val="000000"/>
          <w:sz w:val="20"/>
          <w:szCs w:val="20"/>
        </w:rPr>
        <w:t>18, 2022. On May 9, 2022, the Company declared a second quarter cash dividend of $0.15 per share of its common stock, which will be paid on June 3, 2022 to stockholders of record on May 20, 2022. The dividend amount will be reviewed by the Board on a quart</w:t>
      </w:r>
      <w:r>
        <w:rPr>
          <w:rFonts w:eastAsia="Times New Roman"/>
          <w:color w:val="000000"/>
          <w:sz w:val="20"/>
          <w:szCs w:val="20"/>
        </w:rPr>
        <w:t>erly basis.</w:t>
      </w:r>
    </w:p>
    <w:p w:rsidR="00000000" w:rsidRDefault="00BA6B82">
      <w:pPr>
        <w:ind w:firstLine="495"/>
        <w:divId w:val="1673218414"/>
        <w:rPr>
          <w:rFonts w:eastAsia="Times New Roman"/>
        </w:rPr>
      </w:pPr>
      <w:r>
        <w:rPr>
          <w:rFonts w:eastAsia="Times New Roman"/>
          <w:color w:val="000000"/>
          <w:sz w:val="20"/>
          <w:szCs w:val="20"/>
        </w:rPr>
        <w:t xml:space="preserve">In connection with the commencement of separate "at the market" offering programs, on each of February 1, 2021 and March 26, 2021, which are referred to as the "February 2021 ATM Program" and the "March 2021 ATM Program," respectively, and collectively as </w:t>
      </w:r>
      <w:r>
        <w:rPr>
          <w:rFonts w:eastAsia="Times New Roman"/>
          <w:color w:val="000000"/>
          <w:sz w:val="20"/>
          <w:szCs w:val="20"/>
        </w:rPr>
        <w:t>the "ATM Programs," the Company entered into separate equity distribution agreements with certain sales agents pursuant to which the Company may issue and sell shares of its common stock having an aggregate offering price of up to $500 million under each o</w:t>
      </w:r>
      <w:r>
        <w:rPr>
          <w:rFonts w:eastAsia="Times New Roman"/>
          <w:color w:val="000000"/>
          <w:sz w:val="20"/>
          <w:szCs w:val="20"/>
        </w:rPr>
        <w:t>f the February 2021 ATM Program and the March 2021 ATM Program, or a total of $1 billion under the ATM Programs. As of March 31, 2022, the Company had approximately $151.7 million of gross sales of its common stock available under the March 2021 ATM Progra</w:t>
      </w:r>
      <w:r>
        <w:rPr>
          <w:rFonts w:eastAsia="Times New Roman"/>
          <w:color w:val="000000"/>
          <w:sz w:val="20"/>
          <w:szCs w:val="20"/>
        </w:rPr>
        <w:t xml:space="preserve">m. The February 2021 ATM Program was fully utilized as of June 30, 2021 and is no longer active. </w:t>
      </w:r>
    </w:p>
    <w:p w:rsidR="00000000" w:rsidRDefault="00BA6B82">
      <w:pPr>
        <w:ind w:firstLine="495"/>
        <w:divId w:val="558715150"/>
        <w:rPr>
          <w:rFonts w:eastAsia="Times New Roman"/>
        </w:rPr>
      </w:pPr>
      <w:r>
        <w:rPr>
          <w:rFonts w:eastAsia="Times New Roman"/>
          <w:color w:val="000000"/>
          <w:sz w:val="20"/>
          <w:szCs w:val="20"/>
        </w:rPr>
        <w:t>See “—Liquidity and Capital Resources” for a further discussion of the Company’s anticipated liquidity needs, and the measures taken by the Company to meet th</w:t>
      </w:r>
      <w:r>
        <w:rPr>
          <w:rFonts w:eastAsia="Times New Roman"/>
          <w:color w:val="000000"/>
          <w:sz w:val="20"/>
          <w:szCs w:val="20"/>
        </w:rPr>
        <w:t>ose needs.</w:t>
      </w:r>
    </w:p>
    <w:p w:rsidR="00000000" w:rsidRDefault="00BA6B82">
      <w:pPr>
        <w:ind w:firstLine="495"/>
        <w:divId w:val="957640213"/>
        <w:rPr>
          <w:rFonts w:eastAsia="Times New Roman"/>
        </w:rPr>
      </w:pPr>
    </w:p>
    <w:p w:rsidR="00000000" w:rsidRDefault="00BA6B82">
      <w:pPr>
        <w:jc w:val="center"/>
        <w:divId w:val="1225215266"/>
        <w:rPr>
          <w:rFonts w:eastAsia="Times New Roman"/>
        </w:rPr>
      </w:pPr>
    </w:p>
    <w:p w:rsidR="00000000" w:rsidRDefault="00BA6B82">
      <w:pPr>
        <w:jc w:val="center"/>
        <w:divId w:val="1225215266"/>
        <w:rPr>
          <w:rFonts w:eastAsia="Times New Roman"/>
        </w:rPr>
      </w:pPr>
      <w:r>
        <w:rPr>
          <w:rFonts w:eastAsia="Times New Roman"/>
          <w:color w:val="000000"/>
          <w:sz w:val="20"/>
          <w:szCs w:val="20"/>
        </w:rPr>
        <w:t>27</w:t>
      </w:r>
    </w:p>
    <w:p w:rsidR="00000000" w:rsidRDefault="00BA6B82">
      <w:pPr>
        <w:rPr>
          <w:rFonts w:eastAsia="Times New Roman"/>
        </w:rPr>
      </w:pPr>
      <w:r>
        <w:rPr>
          <w:rFonts w:eastAsia="Times New Roman"/>
        </w:rPr>
        <w:pict>
          <v:rect id="_x0000_i1051" style="width:0;height:1.5pt" o:hralign="center" o:hrstd="t" o:hr="t" fillcolor="#a0a0a0" stroked="f"/>
        </w:pict>
      </w:r>
    </w:p>
    <w:p w:rsidR="00000000" w:rsidRDefault="00BA6B82">
      <w:pPr>
        <w:divId w:val="222525218"/>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116873109"/>
        <w:rPr>
          <w:rFonts w:eastAsia="Times New Roman"/>
        </w:rPr>
      </w:pPr>
      <w:r>
        <w:rPr>
          <w:rFonts w:eastAsia="Times New Roman"/>
          <w:i/>
          <w:iCs/>
          <w:color w:val="000000"/>
          <w:sz w:val="20"/>
          <w:szCs w:val="20"/>
        </w:rPr>
        <w:t>Inflation:</w:t>
      </w:r>
    </w:p>
    <w:p w:rsidR="00000000" w:rsidRDefault="00BA6B82">
      <w:pPr>
        <w:ind w:firstLine="495"/>
        <w:divId w:val="453448323"/>
        <w:rPr>
          <w:rFonts w:eastAsia="Times New Roman"/>
        </w:rPr>
      </w:pPr>
      <w:r>
        <w:rPr>
          <w:rFonts w:eastAsia="Times New Roman"/>
          <w:color w:val="000000"/>
          <w:sz w:val="20"/>
          <w:szCs w:val="20"/>
        </w:rPr>
        <w:t>In the last five years, inflation has not had a significant impact on the Company. Most of the leases at the Center</w:t>
      </w:r>
      <w:r>
        <w:rPr>
          <w:rFonts w:eastAsia="Times New Roman"/>
          <w:color w:val="000000"/>
          <w:sz w:val="20"/>
          <w:szCs w:val="20"/>
        </w:rPr>
        <w:t>s have rent adjustments periodically throughout the lease term. These rent increases are either in fixed increments or based on using an annual multiple of increases in the Consumer Price Index. In addition, the routine expiration of leases for spaces 10,0</w:t>
      </w:r>
      <w:r>
        <w:rPr>
          <w:rFonts w:eastAsia="Times New Roman"/>
          <w:color w:val="000000"/>
          <w:sz w:val="20"/>
          <w:szCs w:val="20"/>
        </w:rPr>
        <w:t>00 square feet and under each year enables the Company to replace existing leases with new leases at higher base rents if the rents of the existing leases are below the then existing market rate. The Company has generally entered into leases that require t</w:t>
      </w:r>
      <w:r>
        <w:rPr>
          <w:rFonts w:eastAsia="Times New Roman"/>
          <w:color w:val="000000"/>
          <w:sz w:val="20"/>
          <w:szCs w:val="20"/>
        </w:rPr>
        <w:t>enants to pay a stated amount for operating expenses, generally excluding property taxes, regardless of the expenses actually incurred at any Center, which places the burden of cost control on the Company. Additionally, most leases require the tenants to p</w:t>
      </w:r>
      <w:r>
        <w:rPr>
          <w:rFonts w:eastAsia="Times New Roman"/>
          <w:color w:val="000000"/>
          <w:sz w:val="20"/>
          <w:szCs w:val="20"/>
        </w:rPr>
        <w:t>ay their pro rata share of property taxes and utilities.</w:t>
      </w:r>
    </w:p>
    <w:p w:rsidR="00000000" w:rsidRDefault="00BA6B82">
      <w:pPr>
        <w:divId w:val="1194149614"/>
        <w:rPr>
          <w:rFonts w:eastAsia="Times New Roman"/>
        </w:rPr>
      </w:pPr>
      <w:r>
        <w:rPr>
          <w:rFonts w:eastAsia="Times New Roman"/>
          <w:b/>
          <w:bCs/>
          <w:color w:val="000000"/>
          <w:sz w:val="20"/>
          <w:szCs w:val="20"/>
        </w:rPr>
        <w:t>Critical Accounting Policies and Estimates</w:t>
      </w:r>
    </w:p>
    <w:p w:rsidR="00000000" w:rsidRDefault="00BA6B82">
      <w:pPr>
        <w:ind w:firstLine="495"/>
        <w:divId w:val="1007637440"/>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w:t>
      </w:r>
      <w:r>
        <w:rPr>
          <w:rFonts w:eastAsia="Times New Roman"/>
          <w:color w:val="000000"/>
          <w:sz w:val="20"/>
          <w:szCs w:val="20"/>
        </w:rPr>
        <w:t>ment to make estimates and assumptions that affect the reported amounts of assets and liabilities and disclosure of contingent assets and liabilities at the date of the financial statements and the reported amounts of revenues and expenses during the repor</w:t>
      </w:r>
      <w:r>
        <w:rPr>
          <w:rFonts w:eastAsia="Times New Roman"/>
          <w:color w:val="000000"/>
          <w:sz w:val="20"/>
          <w:szCs w:val="20"/>
        </w:rPr>
        <w:t>ting period. Actual results could differ from those estimates.</w:t>
      </w:r>
    </w:p>
    <w:p w:rsidR="00000000" w:rsidRDefault="00BA6B82">
      <w:pPr>
        <w:ind w:firstLine="495"/>
        <w:divId w:val="436096592"/>
        <w:rPr>
          <w:rFonts w:eastAsia="Times New Roman"/>
        </w:rPr>
      </w:pPr>
      <w:r>
        <w:rPr>
          <w:rFonts w:eastAsia="Times New Roman"/>
          <w:color w:val="000000"/>
          <w:sz w:val="20"/>
          <w:szCs w:val="20"/>
        </w:rPr>
        <w:t>Some of these estimates and assumptions include judgments on revenue recognition, estimates for common area maintenance and real estate tax accruals, provisions for uncollectible accounts, impa</w:t>
      </w:r>
      <w:r>
        <w:rPr>
          <w:rFonts w:eastAsia="Times New Roman"/>
          <w:color w:val="000000"/>
          <w:sz w:val="20"/>
          <w:szCs w:val="20"/>
        </w:rPr>
        <w:t>irment of long-lived assets, the allocation of purchase price between tangible and intangible assets, capitalization of costs and fair value measurements. The Company's significant accounting policies and estimates are described in more detail in Note 2—Su</w:t>
      </w:r>
      <w:r>
        <w:rPr>
          <w:rFonts w:eastAsia="Times New Roman"/>
          <w:color w:val="000000"/>
          <w:sz w:val="20"/>
          <w:szCs w:val="20"/>
        </w:rPr>
        <w:t>mmary of Significant Accounting Policies in the Company's Notes to the Consolidated Financial Statements. However, the following policies are deemed to be critical.</w:t>
      </w:r>
    </w:p>
    <w:p w:rsidR="00000000" w:rsidRDefault="00BA6B82">
      <w:pPr>
        <w:ind w:firstLine="495"/>
        <w:divId w:val="1942764004"/>
        <w:rPr>
          <w:rFonts w:eastAsia="Times New Roman"/>
        </w:rPr>
      </w:pPr>
      <w:r>
        <w:rPr>
          <w:rFonts w:eastAsia="Times New Roman"/>
          <w:i/>
          <w:iCs/>
          <w:color w:val="000000"/>
          <w:sz w:val="20"/>
          <w:szCs w:val="20"/>
        </w:rPr>
        <w:t>Acquisitions:</w:t>
      </w:r>
    </w:p>
    <w:p w:rsidR="00000000" w:rsidRDefault="00BA6B82">
      <w:pPr>
        <w:ind w:firstLine="495"/>
        <w:divId w:val="2079134746"/>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acquisitions, the Company allocates the purchase price of properties to a</w:t>
      </w:r>
      <w:r>
        <w:rPr>
          <w:rFonts w:eastAsia="Times New Roman"/>
          <w:color w:val="000000"/>
          <w:sz w:val="20"/>
          <w:szCs w:val="20"/>
        </w:rPr>
        <w:t>cquired tangible assets and intangible assets and liabilities. For asset acquisitions, the Company capitalizes transaction costs and allocates the purchase price using a relative fair value method allocating all accumulated costs. For business combinations</w:t>
      </w:r>
      <w:r>
        <w:rPr>
          <w:rFonts w:eastAsia="Times New Roman"/>
          <w:color w:val="000000"/>
          <w:sz w:val="20"/>
          <w:szCs w:val="20"/>
        </w:rPr>
        <w:t>, the Company expenses transaction costs incurred and allocates purchase price based on the estimated fair value of each separately identified asset and liability. The Company allocates the estimated fair value of acquisitions to land, building, tenant imp</w:t>
      </w:r>
      <w:r>
        <w:rPr>
          <w:rFonts w:eastAsia="Times New Roman"/>
          <w:color w:val="000000"/>
          <w:sz w:val="20"/>
          <w:szCs w:val="20"/>
        </w:rPr>
        <w:t xml:space="preserve">rovements and identified intangible assets and liabilities, based on their estimated fair values. In addition, any assumed mortgage notes payable are recorded at their estimated fair values. The estimated fair value of the land and buildings is determined </w:t>
      </w:r>
      <w:r>
        <w:rPr>
          <w:rFonts w:eastAsia="Times New Roman"/>
          <w:color w:val="000000"/>
          <w:sz w:val="20"/>
          <w:szCs w:val="20"/>
        </w:rPr>
        <w:t>utilizing an “as if vacant” methodology. Tenant improvements represent the tangible assets associated with the existing leases valued on a fair value basis at the acquisition date prorated over the remaining lease terms. The tenant improvements are classif</w:t>
      </w:r>
      <w:r>
        <w:rPr>
          <w:rFonts w:eastAsia="Times New Roman"/>
          <w:color w:val="000000"/>
          <w:sz w:val="20"/>
          <w:szCs w:val="20"/>
        </w:rPr>
        <w:t>ied as an asset under property and are depreciated over the remaining lease terms. Identifiable intangible assets and liabilities relate to the value of in-place operating leases which come in three forms: (i) leasing commissions and legal costs, which rep</w:t>
      </w:r>
      <w:r>
        <w:rPr>
          <w:rFonts w:eastAsia="Times New Roman"/>
          <w:color w:val="000000"/>
          <w:sz w:val="20"/>
          <w:szCs w:val="20"/>
        </w:rPr>
        <w:t xml:space="preserve">resent the value associated with “cost avoidance” of acquiring in-place leases, such as lease commissions paid under terms generally experienced in the Company's markets; (ii) value of in-place leases, which represents the estimated loss of revenue and of </w:t>
      </w:r>
      <w:r>
        <w:rPr>
          <w:rFonts w:eastAsia="Times New Roman"/>
          <w:color w:val="000000"/>
          <w:sz w:val="20"/>
          <w:szCs w:val="20"/>
        </w:rPr>
        <w:t>costs incurred for the period required to lease the “assumed vacant” property to the occupancy level when purchased; and (iii) above or below-market value of in-place leases, which represents the difference between the contractual rents and market rents at</w:t>
      </w:r>
      <w:r>
        <w:rPr>
          <w:rFonts w:eastAsia="Times New Roman"/>
          <w:color w:val="000000"/>
          <w:sz w:val="20"/>
          <w:szCs w:val="20"/>
        </w:rPr>
        <w:t xml:space="preserve"> the time of the acquisition, discounted for tenant credit risks. Leasing commissions and legal costs are recorded in deferred charges and other assets and are amortized over the remaining lease terms. The value of in-place leases are recorded in deferred </w:t>
      </w:r>
      <w:r>
        <w:rPr>
          <w:rFonts w:eastAsia="Times New Roman"/>
          <w:color w:val="000000"/>
          <w:sz w:val="20"/>
          <w:szCs w:val="20"/>
        </w:rPr>
        <w:t>charges and other assets and amortized over the remaining lease terms plus any below-market fixed rate renewal options. Above or below-market leases are classified in deferred charges and other assets or in other accrued liabilities, depending on whether t</w:t>
      </w:r>
      <w:r>
        <w:rPr>
          <w:rFonts w:eastAsia="Times New Roman"/>
          <w:color w:val="000000"/>
          <w:sz w:val="20"/>
          <w:szCs w:val="20"/>
        </w:rPr>
        <w:t>he contractual terms are above or below-market, and the asset or liability is amortized to minimum rents over the remaining terms of the leases. The remaining lease terms of below-market leases may include certain below-market fixed-rate renewal periods. I</w:t>
      </w:r>
      <w:r>
        <w:rPr>
          <w:rFonts w:eastAsia="Times New Roman"/>
          <w:color w:val="000000"/>
          <w:sz w:val="20"/>
          <w:szCs w:val="20"/>
        </w:rPr>
        <w:t>n considering whether or not a lessee will execute a below-market fixed-rate lease renewal option, the Company evaluates economic factors and certain qualitative factors at the time of acquisition such as tenant mix in the Center, the Company's relationshi</w:t>
      </w:r>
      <w:r>
        <w:rPr>
          <w:rFonts w:eastAsia="Times New Roman"/>
          <w:color w:val="000000"/>
          <w:sz w:val="20"/>
          <w:szCs w:val="20"/>
        </w:rPr>
        <w:t>p with the tenant and the availability of competing tenant space.</w:t>
      </w:r>
    </w:p>
    <w:p w:rsidR="00000000" w:rsidRDefault="00BA6B82">
      <w:pPr>
        <w:ind w:firstLine="495"/>
        <w:divId w:val="762336701"/>
        <w:rPr>
          <w:rFonts w:eastAsia="Times New Roman"/>
        </w:rPr>
      </w:pPr>
      <w:r>
        <w:rPr>
          <w:rFonts w:eastAsia="Times New Roman"/>
          <w:color w:val="000000"/>
          <w:sz w:val="20"/>
          <w:szCs w:val="20"/>
        </w:rPr>
        <w:t>Remeasurement gains and losses are recognized when the Company becomes the primary beneficiary of an existing equity method investment that is a variable interest entity to the extent that t</w:t>
      </w:r>
      <w:r>
        <w:rPr>
          <w:rFonts w:eastAsia="Times New Roman"/>
          <w:color w:val="000000"/>
          <w:sz w:val="20"/>
          <w:szCs w:val="20"/>
        </w:rPr>
        <w:t>he fair value of the existing equity investment exceeds the carrying value of the investment, and remeasurement losses to the extent the carrying value of the investment exceeds the fair value. The fair value is determined based on a discounted cash flow m</w:t>
      </w:r>
      <w:r>
        <w:rPr>
          <w:rFonts w:eastAsia="Times New Roman"/>
          <w:color w:val="000000"/>
          <w:sz w:val="20"/>
          <w:szCs w:val="20"/>
        </w:rPr>
        <w:t xml:space="preserve">odel, with the significant unobservable inputs including discount rate, terminal capitalization rate and market rents. </w:t>
      </w:r>
    </w:p>
    <w:p w:rsidR="00000000" w:rsidRDefault="00BA6B82">
      <w:pPr>
        <w:ind w:firstLine="495"/>
        <w:divId w:val="1345279199"/>
        <w:rPr>
          <w:rFonts w:eastAsia="Times New Roman"/>
        </w:rPr>
      </w:pPr>
    </w:p>
    <w:p w:rsidR="00000000" w:rsidRDefault="00BA6B82">
      <w:pPr>
        <w:jc w:val="center"/>
        <w:divId w:val="348600547"/>
        <w:rPr>
          <w:rFonts w:eastAsia="Times New Roman"/>
        </w:rPr>
      </w:pPr>
    </w:p>
    <w:p w:rsidR="00000000" w:rsidRDefault="00BA6B82">
      <w:pPr>
        <w:jc w:val="center"/>
        <w:divId w:val="348600547"/>
        <w:rPr>
          <w:rFonts w:eastAsia="Times New Roman"/>
        </w:rPr>
      </w:pPr>
      <w:r>
        <w:rPr>
          <w:rFonts w:eastAsia="Times New Roman"/>
          <w:color w:val="000000"/>
          <w:sz w:val="20"/>
          <w:szCs w:val="20"/>
        </w:rPr>
        <w:t>28</w:t>
      </w:r>
    </w:p>
    <w:p w:rsidR="00000000" w:rsidRDefault="00BA6B82">
      <w:pPr>
        <w:rPr>
          <w:rFonts w:eastAsia="Times New Roman"/>
        </w:rPr>
      </w:pPr>
      <w:r>
        <w:rPr>
          <w:rFonts w:eastAsia="Times New Roman"/>
        </w:rPr>
        <w:pict>
          <v:rect id="_x0000_i1052" style="width:0;height:1.5pt" o:hralign="center" o:hrstd="t" o:hr="t" fillcolor="#a0a0a0" stroked="f"/>
        </w:pict>
      </w:r>
    </w:p>
    <w:p w:rsidR="00000000" w:rsidRDefault="00BA6B82">
      <w:pPr>
        <w:divId w:val="68324231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1875533987"/>
        <w:rPr>
          <w:rFonts w:eastAsia="Times New Roman"/>
        </w:rPr>
      </w:pPr>
      <w:r>
        <w:rPr>
          <w:rFonts w:eastAsia="Times New Roman"/>
          <w:i/>
          <w:iCs/>
          <w:color w:val="000000"/>
          <w:sz w:val="20"/>
          <w:szCs w:val="20"/>
        </w:rPr>
        <w:t>Asset Impairment</w:t>
      </w:r>
      <w:r>
        <w:rPr>
          <w:rFonts w:eastAsia="Times New Roman"/>
          <w:i/>
          <w:iCs/>
          <w:color w:val="000000"/>
          <w:sz w:val="20"/>
          <w:szCs w:val="20"/>
        </w:rPr>
        <w:t>:</w:t>
      </w:r>
    </w:p>
    <w:p w:rsidR="00000000" w:rsidRDefault="00BA6B82">
      <w:pPr>
        <w:ind w:firstLine="495"/>
        <w:divId w:val="2055614395"/>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w:t>
      </w:r>
      <w:r>
        <w:rPr>
          <w:rFonts w:eastAsia="Times New Roman"/>
          <w:color w:val="000000"/>
          <w:sz w:val="20"/>
          <w:szCs w:val="20"/>
        </w:rPr>
        <w:t>clude projected rental revenue, operating costs and capital expenditures as well as estimated holding periods and capitalization rates. If an impairment indicator exists, the determination of recoverability is made based upon the estimated undiscounted fut</w:t>
      </w:r>
      <w:r>
        <w:rPr>
          <w:rFonts w:eastAsia="Times New Roman"/>
          <w:color w:val="000000"/>
          <w:sz w:val="20"/>
          <w:szCs w:val="20"/>
        </w:rPr>
        <w:t xml:space="preserve">ure net cash flows, excluding interest expense. The amount of impairment loss, if any, is determined by comparing the fair value, as determined by a discounted cash flows analysis or a contracted sales price, with the carrying value of the related assets. </w:t>
      </w:r>
      <w:r>
        <w:rPr>
          <w:rFonts w:eastAsia="Times New Roman"/>
          <w:color w:val="000000"/>
          <w:sz w:val="20"/>
          <w:szCs w:val="20"/>
        </w:rPr>
        <w:t>The Company generally holds and operates its properties long-term, which decreases the likelihood of their carrying values not being recoverable. A shortened holding period increases the risk that the carrying value of a long-lived asset is not recoverable</w:t>
      </w:r>
      <w:r>
        <w:rPr>
          <w:rFonts w:eastAsia="Times New Roman"/>
          <w:color w:val="000000"/>
          <w:sz w:val="20"/>
          <w:szCs w:val="20"/>
        </w:rPr>
        <w:t>. Properties classified as held for sale are measured at the lower of the carrying amount or fair value less cost to sell.</w:t>
      </w:r>
    </w:p>
    <w:p w:rsidR="00000000" w:rsidRDefault="00BA6B82">
      <w:pPr>
        <w:ind w:firstLine="495"/>
        <w:divId w:val="705566539"/>
        <w:rPr>
          <w:rFonts w:eastAsia="Times New Roman"/>
        </w:rPr>
      </w:pPr>
      <w:r>
        <w:rPr>
          <w:rFonts w:eastAsia="Times New Roman"/>
          <w:color w:val="000000"/>
          <w:sz w:val="20"/>
          <w:szCs w:val="20"/>
        </w:rPr>
        <w:t>The Company reviews its investments in unconsolidated joint ventures for a series of operating losses and other factors that may indi</w:t>
      </w:r>
      <w:r>
        <w:rPr>
          <w:rFonts w:eastAsia="Times New Roman"/>
          <w:color w:val="000000"/>
          <w:sz w:val="20"/>
          <w:szCs w:val="20"/>
        </w:rPr>
        <w:t>cate that a decrease in the value of its investments has occurred which is other-than-temporary. The investment in each unconsolidated joint venture is evaluated periodically, and as deemed necessary, for recoverability and valuation declines that are othe</w:t>
      </w:r>
      <w:r>
        <w:rPr>
          <w:rFonts w:eastAsia="Times New Roman"/>
          <w:color w:val="000000"/>
          <w:sz w:val="20"/>
          <w:szCs w:val="20"/>
        </w:rPr>
        <w:t>r-than-temporary.</w:t>
      </w:r>
    </w:p>
    <w:p w:rsidR="00000000" w:rsidRDefault="00BA6B82">
      <w:pPr>
        <w:ind w:firstLine="495"/>
        <w:divId w:val="603998477"/>
        <w:rPr>
          <w:rFonts w:eastAsia="Times New Roman"/>
        </w:rPr>
      </w:pPr>
      <w:r>
        <w:rPr>
          <w:rFonts w:eastAsia="Times New Roman"/>
          <w:i/>
          <w:iCs/>
          <w:color w:val="000000"/>
          <w:sz w:val="20"/>
          <w:szCs w:val="20"/>
        </w:rPr>
        <w:t>Fair Value of Financial Instruments:</w:t>
      </w:r>
    </w:p>
    <w:p w:rsidR="00000000" w:rsidRDefault="00BA6B82">
      <w:pPr>
        <w:ind w:firstLine="495"/>
        <w:divId w:val="437719053"/>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entity and the reporting entity's own assumptions a</w:t>
      </w:r>
      <w:r>
        <w:rPr>
          <w:rFonts w:eastAsia="Times New Roman"/>
          <w:color w:val="000000"/>
          <w:sz w:val="20"/>
          <w:szCs w:val="20"/>
        </w:rPr>
        <w:t>bout market participant assumptions. Level 1 inputs utilize quoted prices in active markets for identical assets or liabilities that the Company has the ability to access. Level 2 inputs are inputs other than quoted prices included in Level 1 that are obse</w:t>
      </w:r>
      <w:r>
        <w:rPr>
          <w:rFonts w:eastAsia="Times New Roman"/>
          <w:color w:val="000000"/>
          <w:sz w:val="20"/>
          <w:szCs w:val="20"/>
        </w:rPr>
        <w:t>rvable for the asset or liability, either directly or indirectly. Level 2 inputs may include quoted prices for similar assets and liabilities in active markets, as well as inputs that are observable for the asset or liability (other than quoted prices), su</w:t>
      </w:r>
      <w:r>
        <w:rPr>
          <w:rFonts w:eastAsia="Times New Roman"/>
          <w:color w:val="000000"/>
          <w:sz w:val="20"/>
          <w:szCs w:val="20"/>
        </w:rPr>
        <w:t xml:space="preserve">ch as interest rates, foreign exchange rates and yield curves that are observable at commonly quoted intervals. Level 3 inputs are unobservable inputs for the asset or liability, which is typically based on an entity's own assumptions, as there is little, </w:t>
      </w:r>
      <w:r>
        <w:rPr>
          <w:rFonts w:eastAsia="Times New Roman"/>
          <w:color w:val="000000"/>
          <w:sz w:val="20"/>
          <w:szCs w:val="20"/>
        </w:rPr>
        <w:t>if any, related market activity. In instances where the determination of the fair value measurement is based on inputs from different levels of the fair value hierarchy, the level in the fair value hierarchy within which the entire fair value measurement f</w:t>
      </w:r>
      <w:r>
        <w:rPr>
          <w:rFonts w:eastAsia="Times New Roman"/>
          <w:color w:val="000000"/>
          <w:sz w:val="20"/>
          <w:szCs w:val="20"/>
        </w:rPr>
        <w:t>alls is based on the lowest level input that is significant to the fair value measurement in its entirety. The Company's assessment of the significance of a particular input to the fair value measurement in its entirety requires judgment, and considers fac</w:t>
      </w:r>
      <w:r>
        <w:rPr>
          <w:rFonts w:eastAsia="Times New Roman"/>
          <w:color w:val="000000"/>
          <w:sz w:val="20"/>
          <w:szCs w:val="20"/>
        </w:rPr>
        <w:t>tors specific to the asset or liability.</w:t>
      </w:r>
    </w:p>
    <w:p w:rsidR="00000000" w:rsidRDefault="00BA6B82">
      <w:pPr>
        <w:ind w:firstLine="495"/>
        <w:divId w:val="1299605887"/>
        <w:rPr>
          <w:rFonts w:eastAsia="Times New Roman"/>
        </w:rPr>
      </w:pPr>
      <w:r>
        <w:rPr>
          <w:rFonts w:eastAsia="Times New Roman"/>
          <w:color w:val="000000"/>
          <w:sz w:val="20"/>
          <w:szCs w:val="20"/>
        </w:rPr>
        <w:t xml:space="preserve">The Company calculates the fair value of financial instruments and includes this additional information in the Notes to the Consolidated Financial Statements when the fair value is different than the carrying value </w:t>
      </w:r>
      <w:r>
        <w:rPr>
          <w:rFonts w:eastAsia="Times New Roman"/>
          <w:color w:val="000000"/>
          <w:sz w:val="20"/>
          <w:szCs w:val="20"/>
        </w:rPr>
        <w:t>of those financial instruments. When the fair value reasonably approximates the carrying value, no additional disclosure is made.</w:t>
      </w:r>
    </w:p>
    <w:p w:rsidR="00000000" w:rsidRDefault="00BA6B82">
      <w:pPr>
        <w:ind w:firstLine="495"/>
        <w:divId w:val="1136216159"/>
        <w:rPr>
          <w:rFonts w:eastAsia="Times New Roman"/>
        </w:rPr>
      </w:pPr>
      <w:r>
        <w:rPr>
          <w:rFonts w:eastAsia="Times New Roman"/>
          <w:color w:val="000000"/>
          <w:sz w:val="20"/>
          <w:szCs w:val="20"/>
        </w:rPr>
        <w:t>The Company records its financing arrangement (See Note 12—Financing Arrangement in the Company's Notes to the Consolidated Fi</w:t>
      </w:r>
      <w:r>
        <w:rPr>
          <w:rFonts w:eastAsia="Times New Roman"/>
          <w:color w:val="000000"/>
          <w:sz w:val="20"/>
          <w:szCs w:val="20"/>
        </w:rPr>
        <w:t>nancial Statements) obligation at fair value on a recurring basis with changes in fair value being recorded as interest expense in the Company’s consolidated statements of operations. The fair value is determined based on a discounted cash flow model, with</w:t>
      </w:r>
      <w:r>
        <w:rPr>
          <w:rFonts w:eastAsia="Times New Roman"/>
          <w:color w:val="000000"/>
          <w:sz w:val="20"/>
          <w:szCs w:val="20"/>
        </w:rPr>
        <w:t xml:space="preserve"> the significant unobservable inputs including discount rate, terminal capitalization rate, and market rents. The fair value of the financing arrangement obligation is sensitive to these significant unobservable inputs and a change in these inputs may resu</w:t>
      </w:r>
      <w:r>
        <w:rPr>
          <w:rFonts w:eastAsia="Times New Roman"/>
          <w:color w:val="000000"/>
          <w:sz w:val="20"/>
          <w:szCs w:val="20"/>
        </w:rPr>
        <w:t xml:space="preserve">lt in a significantly higher or lower fair value measurement. </w:t>
      </w:r>
    </w:p>
    <w:p w:rsidR="00000000" w:rsidRDefault="00BA6B82">
      <w:pPr>
        <w:divId w:val="67114634"/>
        <w:rPr>
          <w:rFonts w:eastAsia="Times New Roman"/>
        </w:rPr>
      </w:pPr>
      <w:r>
        <w:rPr>
          <w:rFonts w:eastAsia="Times New Roman"/>
          <w:b/>
          <w:bCs/>
          <w:color w:val="000000"/>
          <w:sz w:val="20"/>
          <w:szCs w:val="20"/>
        </w:rPr>
        <w:t>Results of Operations</w:t>
      </w:r>
    </w:p>
    <w:p w:rsidR="00000000" w:rsidRDefault="00BA6B82">
      <w:pPr>
        <w:ind w:firstLine="495"/>
        <w:divId w:val="740753738"/>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in Management’s Overview and Summary above, including the Redevelopment Properties and the Disposition P</w:t>
      </w:r>
      <w:r>
        <w:rPr>
          <w:rFonts w:eastAsia="Times New Roman"/>
          <w:color w:val="000000"/>
          <w:sz w:val="20"/>
          <w:szCs w:val="20"/>
        </w:rPr>
        <w:t>roperties (as defined below).</w:t>
      </w:r>
    </w:p>
    <w:p w:rsidR="00000000" w:rsidRDefault="00BA6B82">
      <w:pPr>
        <w:ind w:firstLine="495"/>
        <w:divId w:val="1875077007"/>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comparison pur</w:t>
      </w:r>
      <w:r>
        <w:rPr>
          <w:rFonts w:eastAsia="Times New Roman"/>
          <w:color w:val="000000"/>
          <w:sz w:val="20"/>
          <w:szCs w:val="20"/>
        </w:rPr>
        <w:t>poses include those Centers or properties that are going through a substantial redevelopment often resulting in the closing of a portion of the Center (“Redevelopment Properties”) and properties that have been disposed of (“Disposition Properties”). The Co</w:t>
      </w:r>
      <w:r>
        <w:rPr>
          <w:rFonts w:eastAsia="Times New Roman"/>
          <w:color w:val="000000"/>
          <w:sz w:val="20"/>
          <w:szCs w:val="20"/>
        </w:rPr>
        <w:t>mpany moves a Center in and out of Same Centers based on whether the Center is substantially complete and in operation for the entirety of both periods of the comparison. Accordingly, the Same Centers consist of all consolidated Centers, excluding the Rede</w:t>
      </w:r>
      <w:r>
        <w:rPr>
          <w:rFonts w:eastAsia="Times New Roman"/>
          <w:color w:val="000000"/>
          <w:sz w:val="20"/>
          <w:szCs w:val="20"/>
        </w:rPr>
        <w:t>velopment Properties and the Disposition Properties, for the periods of comparison.</w:t>
      </w:r>
    </w:p>
    <w:p w:rsidR="00000000" w:rsidRDefault="00BA6B82">
      <w:pPr>
        <w:ind w:firstLine="495"/>
        <w:divId w:val="53479869"/>
        <w:rPr>
          <w:rFonts w:eastAsia="Times New Roman"/>
        </w:rPr>
      </w:pPr>
      <w:r>
        <w:rPr>
          <w:rFonts w:eastAsia="Times New Roman"/>
          <w:color w:val="000000"/>
          <w:sz w:val="20"/>
          <w:szCs w:val="20"/>
        </w:rPr>
        <w:t>For the comparison of the three months ended March 31, 2022 to the three months ended March 31, 2021, the Disposition Properties are Paradise Valley Mall and Tucson La Enca</w:t>
      </w:r>
      <w:r>
        <w:rPr>
          <w:rFonts w:eastAsia="Times New Roman"/>
          <w:color w:val="000000"/>
          <w:sz w:val="20"/>
          <w:szCs w:val="20"/>
        </w:rPr>
        <w:t>ntada.</w:t>
      </w:r>
    </w:p>
    <w:p w:rsidR="00000000" w:rsidRDefault="00BA6B82">
      <w:pPr>
        <w:jc w:val="center"/>
        <w:divId w:val="832841071"/>
        <w:rPr>
          <w:rFonts w:eastAsia="Times New Roman"/>
        </w:rPr>
      </w:pPr>
    </w:p>
    <w:p w:rsidR="00000000" w:rsidRDefault="00BA6B82">
      <w:pPr>
        <w:jc w:val="center"/>
        <w:divId w:val="832841071"/>
        <w:rPr>
          <w:rFonts w:eastAsia="Times New Roman"/>
        </w:rPr>
      </w:pPr>
      <w:r>
        <w:rPr>
          <w:rFonts w:eastAsia="Times New Roman"/>
          <w:color w:val="000000"/>
          <w:sz w:val="20"/>
          <w:szCs w:val="20"/>
        </w:rPr>
        <w:t>29</w:t>
      </w:r>
    </w:p>
    <w:p w:rsidR="00000000" w:rsidRDefault="00BA6B82">
      <w:pPr>
        <w:rPr>
          <w:rFonts w:eastAsia="Times New Roman"/>
        </w:rPr>
      </w:pPr>
      <w:r>
        <w:rPr>
          <w:rFonts w:eastAsia="Times New Roman"/>
        </w:rPr>
        <w:pict>
          <v:rect id="_x0000_i1053" style="width:0;height:1.5pt" o:hralign="center" o:hrstd="t" o:hr="t" fillcolor="#a0a0a0" stroked="f"/>
        </w:pict>
      </w:r>
    </w:p>
    <w:p w:rsidR="00000000" w:rsidRDefault="00BA6B82">
      <w:pPr>
        <w:divId w:val="1135370137"/>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1047267238"/>
        <w:rPr>
          <w:rFonts w:eastAsia="Times New Roman"/>
        </w:rPr>
      </w:pPr>
      <w:r>
        <w:rPr>
          <w:rFonts w:eastAsia="Times New Roman"/>
          <w:color w:val="000000"/>
          <w:sz w:val="20"/>
          <w:szCs w:val="20"/>
        </w:rPr>
        <w:t xml:space="preserve">Unconsolidated joint ventures are reflected using the equity method of accounting. The Company’s pro rata share of the results from </w:t>
      </w:r>
      <w:r>
        <w:rPr>
          <w:rFonts w:eastAsia="Times New Roman"/>
          <w:color w:val="000000"/>
          <w:sz w:val="20"/>
          <w:szCs w:val="20"/>
        </w:rPr>
        <w:t>these Centers is reflected in the Consolidated Statements of Operations as equity in (loss) income of unconsolidated joint ventures.</w:t>
      </w:r>
    </w:p>
    <w:p w:rsidR="00000000" w:rsidRDefault="00BA6B82">
      <w:pPr>
        <w:ind w:firstLine="495"/>
        <w:divId w:val="74910433"/>
        <w:rPr>
          <w:rFonts w:eastAsia="Times New Roman"/>
        </w:rPr>
      </w:pPr>
      <w:r>
        <w:rPr>
          <w:rFonts w:eastAsia="Times New Roman"/>
          <w:color w:val="000000"/>
          <w:sz w:val="20"/>
          <w:szCs w:val="20"/>
        </w:rPr>
        <w:t>The Company considers tenant annual sales, occupancy rates (excluding large retail stores or “Anchors”) and releasing sprea</w:t>
      </w:r>
      <w:r>
        <w:rPr>
          <w:rFonts w:eastAsia="Times New Roman"/>
          <w:color w:val="000000"/>
          <w:sz w:val="20"/>
          <w:szCs w:val="20"/>
        </w:rPr>
        <w:t>ds (i.e., a comparison of initial average base rent per square foot on leases executed during the trailing twelve months to average base rent per square foot at expiration for the leases expiring during the trailing twelve months based on the spaces 10,000</w:t>
      </w:r>
      <w:r>
        <w:rPr>
          <w:rFonts w:eastAsia="Times New Roman"/>
          <w:color w:val="000000"/>
          <w:sz w:val="20"/>
          <w:szCs w:val="20"/>
        </w:rPr>
        <w:t xml:space="preserve"> square feet and under) to be key performance indicators of the Company’s internal growth.</w:t>
      </w:r>
    </w:p>
    <w:p w:rsidR="00000000" w:rsidRDefault="00BA6B82">
      <w:pPr>
        <w:ind w:firstLine="495"/>
        <w:divId w:val="1481920086"/>
        <w:rPr>
          <w:rFonts w:eastAsia="Times New Roman"/>
        </w:rPr>
      </w:pPr>
      <w:r>
        <w:rPr>
          <w:rFonts w:eastAsia="Times New Roman"/>
          <w:color w:val="000000"/>
          <w:sz w:val="20"/>
          <w:szCs w:val="20"/>
        </w:rPr>
        <w:t>During the first quarter of 2022, comparable tenant sales for spaces less than 10,000 square feet across the portfolio increased by 14.5% relative to the first quart</w:t>
      </w:r>
      <w:r>
        <w:rPr>
          <w:rFonts w:eastAsia="Times New Roman"/>
          <w:color w:val="000000"/>
          <w:sz w:val="20"/>
          <w:szCs w:val="20"/>
        </w:rPr>
        <w:t xml:space="preserve">er of 2021 and 11.5% relative to pre-COVID sales during the first quarter of 2019. The leased occupancy rate of 91.3% at March 31, 2022 represented a 2.8% increase from 88.5% at March 31, 2021. Releasing spreads increased as the Company executed leases at </w:t>
      </w:r>
      <w:r>
        <w:rPr>
          <w:rFonts w:eastAsia="Times New Roman"/>
          <w:color w:val="000000"/>
          <w:sz w:val="20"/>
          <w:szCs w:val="20"/>
        </w:rPr>
        <w:t>an average rent of $58.09 for new and renewal leases executed compared to $57.35 on leases expiring, resulting in a releasing spread increase of $0.74 per square foot, or 1.3%, for the trailing twelve months ended March 31, 2022.</w:t>
      </w:r>
    </w:p>
    <w:p w:rsidR="00000000" w:rsidRDefault="00BA6B82">
      <w:pPr>
        <w:ind w:firstLine="495"/>
        <w:divId w:val="1613904084"/>
        <w:rPr>
          <w:rFonts w:eastAsia="Times New Roman"/>
        </w:rPr>
      </w:pPr>
      <w:r>
        <w:rPr>
          <w:rFonts w:eastAsia="Times New Roman"/>
          <w:color w:val="000000"/>
          <w:sz w:val="20"/>
          <w:szCs w:val="20"/>
        </w:rPr>
        <w:t>The Company continues to r</w:t>
      </w:r>
      <w:r>
        <w:rPr>
          <w:rFonts w:eastAsia="Times New Roman"/>
          <w:color w:val="000000"/>
          <w:sz w:val="20"/>
          <w:szCs w:val="20"/>
        </w:rPr>
        <w:t>enew or replace leases that are scheduled to expire in 2022, however, for a variety of factors, the Company cannot be certain of its ability to sign, renew or replace leases expiring in 2022 or beyond. The remaining 2022 lease expirations continue to be an</w:t>
      </w:r>
      <w:r>
        <w:rPr>
          <w:rFonts w:eastAsia="Times New Roman"/>
          <w:color w:val="000000"/>
          <w:sz w:val="20"/>
          <w:szCs w:val="20"/>
        </w:rPr>
        <w:t xml:space="preserve"> important focal point for the Company. As of March 31, 2022, the Company has executed leases or commitments from retailers that are in lease documentation for 56% of the leased space expiring in 2022, and another 35% of such expiring space is in the lette</w:t>
      </w:r>
      <w:r>
        <w:rPr>
          <w:rFonts w:eastAsia="Times New Roman"/>
          <w:color w:val="000000"/>
          <w:sz w:val="20"/>
          <w:szCs w:val="20"/>
        </w:rPr>
        <w:t xml:space="preserve">r of intent stage. Excluding those leases, the remaining leases expiring in 2022, which represent approximately 202,000 square feet of the Centers, are in the prospecting stage. </w:t>
      </w:r>
    </w:p>
    <w:p w:rsidR="00000000" w:rsidRDefault="00BA6B82">
      <w:pPr>
        <w:ind w:firstLine="495"/>
        <w:divId w:val="1032725721"/>
        <w:rPr>
          <w:rFonts w:eastAsia="Times New Roman"/>
        </w:rPr>
      </w:pPr>
      <w:r>
        <w:rPr>
          <w:rFonts w:eastAsia="Times New Roman"/>
          <w:color w:val="000000"/>
          <w:sz w:val="20"/>
          <w:szCs w:val="20"/>
        </w:rPr>
        <w:t>During the quarter ended March 31, 2022, the Company signed 82 new leases and</w:t>
      </w:r>
      <w:r>
        <w:rPr>
          <w:rFonts w:eastAsia="Times New Roman"/>
          <w:color w:val="000000"/>
          <w:sz w:val="20"/>
          <w:szCs w:val="20"/>
        </w:rPr>
        <w:t xml:space="preserve"> 138 renewal leases comprising approximately 617,000 square feet of GLA. The average tenant allowance was $18.09 per square foot.</w:t>
      </w:r>
    </w:p>
    <w:p w:rsidR="00000000" w:rsidRDefault="00BA6B82">
      <w:pPr>
        <w:divId w:val="680737453"/>
        <w:rPr>
          <w:rFonts w:eastAsia="Times New Roman"/>
        </w:rPr>
      </w:pPr>
      <w:r>
        <w:rPr>
          <w:rFonts w:eastAsia="Times New Roman"/>
          <w:b/>
          <w:bCs/>
          <w:color w:val="000000"/>
          <w:sz w:val="20"/>
          <w:szCs w:val="20"/>
        </w:rPr>
        <w:t>Outlook</w:t>
      </w:r>
    </w:p>
    <w:p w:rsidR="00000000" w:rsidRDefault="00BA6B82">
      <w:pPr>
        <w:ind w:firstLine="495"/>
        <w:divId w:val="202449402"/>
        <w:rPr>
          <w:rFonts w:eastAsia="Times New Roman"/>
        </w:rPr>
      </w:pPr>
      <w:r>
        <w:rPr>
          <w:rFonts w:eastAsia="Times New Roman"/>
          <w:color w:val="000000"/>
          <w:sz w:val="20"/>
          <w:szCs w:val="20"/>
        </w:rPr>
        <w:t>The Company has a long-term four-pronged business strategy that focuses on the acquisition, leasing and management, re</w:t>
      </w:r>
      <w:r>
        <w:rPr>
          <w:rFonts w:eastAsia="Times New Roman"/>
          <w:color w:val="000000"/>
          <w:sz w:val="20"/>
          <w:szCs w:val="20"/>
        </w:rPr>
        <w:t>development and development of regional town centers. Although fundamentals at the Centers continued to improve during 2021 and into the first quarter of 2022, the Company expects that the COVID-19 pandemic, including the emergence of new variants, will co</w:t>
      </w:r>
      <w:r>
        <w:rPr>
          <w:rFonts w:eastAsia="Times New Roman"/>
          <w:color w:val="000000"/>
          <w:sz w:val="20"/>
          <w:szCs w:val="20"/>
        </w:rPr>
        <w:t>ntinue to negatively impact its results for the remainder of 2022 due, in part, to reduced occupancy relative to pre-COVID levels and additional Anchor closures, among other factors.</w:t>
      </w:r>
    </w:p>
    <w:p w:rsidR="00000000" w:rsidRDefault="00BA6B82">
      <w:pPr>
        <w:ind w:firstLine="495"/>
        <w:divId w:val="74980041"/>
        <w:rPr>
          <w:rFonts w:eastAsia="Times New Roman"/>
        </w:rPr>
      </w:pPr>
      <w:r>
        <w:rPr>
          <w:rFonts w:eastAsia="Times New Roman"/>
          <w:color w:val="000000"/>
          <w:sz w:val="20"/>
          <w:szCs w:val="20"/>
        </w:rPr>
        <w:t>All Centers have been open and operating since October 7, 2020. As of the</w:t>
      </w:r>
      <w:r>
        <w:rPr>
          <w:rFonts w:eastAsia="Times New Roman"/>
          <w:color w:val="000000"/>
          <w:sz w:val="20"/>
          <w:szCs w:val="20"/>
        </w:rPr>
        <w:t xml:space="preserve"> date of this Quarterly Report on Form 10-Q, government-imposed capacity restrictions resulting from COVID-19 have been essentially eliminated across the Company’s markets. The Company experienced a positive impact to its leasing revenue during the three m</w:t>
      </w:r>
      <w:r>
        <w:rPr>
          <w:rFonts w:eastAsia="Times New Roman"/>
          <w:color w:val="000000"/>
          <w:sz w:val="20"/>
          <w:szCs w:val="20"/>
        </w:rPr>
        <w:t>onths ended March 31, 2022 as leasing revenue increased by approximately 9.6%, including joint ventures at the Company’s share, compared to the three months ended March 31, 2021. This increase was primarily due to (i) increases in percentage rent, which wa</w:t>
      </w:r>
      <w:r>
        <w:rPr>
          <w:rFonts w:eastAsia="Times New Roman"/>
          <w:color w:val="000000"/>
          <w:sz w:val="20"/>
          <w:szCs w:val="20"/>
        </w:rPr>
        <w:t>s primarily driven by accelerating tenant sales and (ii) decreases in bad debt reserves and decreases in retroactive rent abatements incurred in the first quarter of 2022 compared to the first quarter of 2021; which were partially offset by decreases in le</w:t>
      </w:r>
      <w:r>
        <w:rPr>
          <w:rFonts w:eastAsia="Times New Roman"/>
          <w:color w:val="000000"/>
          <w:sz w:val="20"/>
          <w:szCs w:val="20"/>
        </w:rPr>
        <w:t>asing revenue from the Disposition Properties and The Shops at North Bridge, at the Company's share (See “—Dispositions” above).</w:t>
      </w:r>
    </w:p>
    <w:p w:rsidR="00000000" w:rsidRDefault="00BA6B82">
      <w:pPr>
        <w:ind w:firstLine="495"/>
        <w:divId w:val="554195748"/>
        <w:rPr>
          <w:rFonts w:eastAsia="Times New Roman"/>
        </w:rPr>
      </w:pPr>
      <w:r>
        <w:rPr>
          <w:rFonts w:eastAsia="Times New Roman"/>
          <w:color w:val="000000"/>
          <w:sz w:val="20"/>
          <w:szCs w:val="20"/>
        </w:rPr>
        <w:t>Sales and traffic at the Company’</w:t>
      </w:r>
      <w:r>
        <w:rPr>
          <w:rFonts w:eastAsia="Times New Roman"/>
          <w:color w:val="000000"/>
          <w:sz w:val="20"/>
          <w:szCs w:val="20"/>
        </w:rPr>
        <w:t>s Centers continued to improve during the first quarter of 2022 with extremely high customer conversion rates. Traffic levels during the first quarter of 2022 continued to range in the mid 90%’s relative to the pre-pandemic first quarter of 2019. Comparabl</w:t>
      </w:r>
      <w:r>
        <w:rPr>
          <w:rFonts w:eastAsia="Times New Roman"/>
          <w:color w:val="000000"/>
          <w:sz w:val="20"/>
          <w:szCs w:val="20"/>
        </w:rPr>
        <w:t>e tenant sales from spaces less than 10,000 square feet across the portfolio increased by 14.5% and 11.5% relative to the first quarter of 2021 and the pre-COVID sales during the first quarter of 2019, respectively. Portfolio tenant sales per square foot f</w:t>
      </w:r>
      <w:r>
        <w:rPr>
          <w:rFonts w:eastAsia="Times New Roman"/>
          <w:color w:val="000000"/>
          <w:sz w:val="20"/>
          <w:szCs w:val="20"/>
        </w:rPr>
        <w:t>or spaces less than 10,000 square feet for the trailing twelve months ended March 31, 2022 were $843, which is a record high for the Company.</w:t>
      </w:r>
    </w:p>
    <w:p w:rsidR="00000000" w:rsidRDefault="00BA6B82">
      <w:pPr>
        <w:ind w:firstLine="495"/>
        <w:divId w:val="123475794"/>
        <w:rPr>
          <w:rFonts w:eastAsia="Times New Roman"/>
        </w:rPr>
      </w:pPr>
      <w:r>
        <w:rPr>
          <w:rFonts w:eastAsia="Times New Roman"/>
          <w:color w:val="000000"/>
          <w:sz w:val="20"/>
          <w:szCs w:val="20"/>
        </w:rPr>
        <w:t>During the first quarter of 2022, the Company signed 220 leases for approximately 617,000 square feet, compared to</w:t>
      </w:r>
      <w:r>
        <w:rPr>
          <w:rFonts w:eastAsia="Times New Roman"/>
          <w:color w:val="000000"/>
          <w:sz w:val="20"/>
          <w:szCs w:val="20"/>
        </w:rPr>
        <w:t xml:space="preserve"> 181 leases and 693,000 square feet relative to what was leased during the first quarter of 2021. Also during the first quarter of 2022, the Company opened 188,000 square feet of new spaces. </w:t>
      </w:r>
    </w:p>
    <w:p w:rsidR="00000000" w:rsidRDefault="00BA6B82">
      <w:pPr>
        <w:ind w:firstLine="495"/>
        <w:divId w:val="958294104"/>
        <w:rPr>
          <w:rFonts w:eastAsia="Times New Roman"/>
        </w:rPr>
      </w:pPr>
      <w:r>
        <w:rPr>
          <w:rFonts w:eastAsia="Times New Roman"/>
          <w:color w:val="000000"/>
          <w:sz w:val="20"/>
          <w:szCs w:val="20"/>
        </w:rPr>
        <w:t>The Company believes that diversity of use within its tenant bas</w:t>
      </w:r>
      <w:r>
        <w:rPr>
          <w:rFonts w:eastAsia="Times New Roman"/>
          <w:color w:val="000000"/>
          <w:sz w:val="20"/>
          <w:szCs w:val="20"/>
        </w:rPr>
        <w:t>e will be a prominent internal growth catalyst at its Centers going forward, as new uses enhance the productivity and diversity of the tenant mix and have the potential to significantly increase customer traffic at the applicable Centers. During the quarte</w:t>
      </w:r>
      <w:r>
        <w:rPr>
          <w:rFonts w:eastAsia="Times New Roman"/>
          <w:color w:val="000000"/>
          <w:sz w:val="20"/>
          <w:szCs w:val="20"/>
        </w:rPr>
        <w:t>r ended March 31, 2022, the Company signed deals for new stores with new-to-Macerich portfolio uses for over 103,000 square feet, with another nearly 326,000 square feet of such new-to-Macerich portfolio leases currently in negotiation as of the date of th</w:t>
      </w:r>
      <w:r>
        <w:rPr>
          <w:rFonts w:eastAsia="Times New Roman"/>
          <w:color w:val="000000"/>
          <w:sz w:val="20"/>
          <w:szCs w:val="20"/>
        </w:rPr>
        <w:t>is Quarterly Report on Form 10-Q.</w:t>
      </w:r>
    </w:p>
    <w:p w:rsidR="00000000" w:rsidRDefault="00BA6B82">
      <w:pPr>
        <w:ind w:firstLine="495"/>
        <w:divId w:val="742683677"/>
        <w:rPr>
          <w:rFonts w:eastAsia="Times New Roman"/>
        </w:rPr>
      </w:pPr>
      <w:r>
        <w:rPr>
          <w:rFonts w:eastAsia="Times New Roman"/>
          <w:color w:val="000000"/>
          <w:sz w:val="20"/>
          <w:szCs w:val="20"/>
        </w:rPr>
        <w:t>As of March 31, 2022, the leased occupancy rate was 91.3%, a 2.8% increase compared to the leased occupancy rate at March 31, 2021 of 88.5%.</w:t>
      </w:r>
    </w:p>
    <w:p w:rsidR="00000000" w:rsidRDefault="00BA6B82">
      <w:pPr>
        <w:jc w:val="center"/>
        <w:divId w:val="401753650"/>
        <w:rPr>
          <w:rFonts w:eastAsia="Times New Roman"/>
        </w:rPr>
      </w:pPr>
    </w:p>
    <w:p w:rsidR="00000000" w:rsidRDefault="00BA6B82">
      <w:pPr>
        <w:jc w:val="center"/>
        <w:divId w:val="401753650"/>
        <w:rPr>
          <w:rFonts w:eastAsia="Times New Roman"/>
        </w:rPr>
      </w:pPr>
      <w:r>
        <w:rPr>
          <w:rFonts w:eastAsia="Times New Roman"/>
          <w:color w:val="000000"/>
          <w:sz w:val="20"/>
          <w:szCs w:val="20"/>
        </w:rPr>
        <w:t>30</w:t>
      </w:r>
    </w:p>
    <w:p w:rsidR="00000000" w:rsidRDefault="00BA6B82">
      <w:pPr>
        <w:rPr>
          <w:rFonts w:eastAsia="Times New Roman"/>
        </w:rPr>
      </w:pPr>
      <w:r>
        <w:rPr>
          <w:rFonts w:eastAsia="Times New Roman"/>
        </w:rPr>
        <w:pict>
          <v:rect id="_x0000_i1054" style="width:0;height:1.5pt" o:hralign="center" o:hrstd="t" o:hr="t" fillcolor="#a0a0a0" stroked="f"/>
        </w:pict>
      </w:r>
    </w:p>
    <w:p w:rsidR="00000000" w:rsidRDefault="00BA6B82">
      <w:pPr>
        <w:divId w:val="1576277024"/>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647132417"/>
        <w:rPr>
          <w:rFonts w:eastAsia="Times New Roman"/>
        </w:rPr>
      </w:pPr>
      <w:r>
        <w:rPr>
          <w:rFonts w:eastAsia="Times New Roman"/>
          <w:color w:val="000000"/>
          <w:sz w:val="20"/>
          <w:szCs w:val="20"/>
        </w:rPr>
        <w:t>The Company’s rent collections have continued to significantly improve and are now comparable to pre-COVID-19 levels. The Company has now completed its negotiations with national and local tenants to secure rental paymen</w:t>
      </w:r>
      <w:r>
        <w:rPr>
          <w:rFonts w:eastAsia="Times New Roman"/>
          <w:color w:val="000000"/>
          <w:sz w:val="20"/>
          <w:szCs w:val="20"/>
        </w:rPr>
        <w:t>ts. Those negotiations resulted in the Company entering into lease amendments which granted significant rental assistance in the form of rent deferral and/or rent reduction. Many of the Company’s leases contain co-tenancy clauses. Certain Anchor or small t</w:t>
      </w:r>
      <w:r>
        <w:rPr>
          <w:rFonts w:eastAsia="Times New Roman"/>
          <w:color w:val="000000"/>
          <w:sz w:val="20"/>
          <w:szCs w:val="20"/>
        </w:rPr>
        <w:t>enant closures have become permanent, whether caused by the pandemic, or otherwise, and co-tenancy clauses within certain leases may be triggered as a result. The Company does not anticipate that the negative impact of such clauses on lease revenue will be</w:t>
      </w:r>
      <w:r>
        <w:rPr>
          <w:rFonts w:eastAsia="Times New Roman"/>
          <w:color w:val="000000"/>
          <w:sz w:val="20"/>
          <w:szCs w:val="20"/>
        </w:rPr>
        <w:t xml:space="preserve"> significant.</w:t>
      </w:r>
    </w:p>
    <w:p w:rsidR="00000000" w:rsidRDefault="00BA6B82">
      <w:pPr>
        <w:ind w:firstLine="495"/>
        <w:divId w:val="1423406054"/>
        <w:rPr>
          <w:rFonts w:eastAsia="Times New Roman"/>
        </w:rPr>
      </w:pPr>
      <w:r>
        <w:rPr>
          <w:rFonts w:eastAsia="Times New Roman"/>
          <w:color w:val="000000"/>
          <w:sz w:val="20"/>
          <w:szCs w:val="20"/>
        </w:rPr>
        <w:t>During the year ended December 31, 2021, the Company incurred $47.6 million of rent abatements at the Company’s share relating primarily to 2020 rents as a result of COVID-19 and negotiated $4.6 million of rent deferrals during the year ended</w:t>
      </w:r>
      <w:r>
        <w:rPr>
          <w:rFonts w:eastAsia="Times New Roman"/>
          <w:color w:val="000000"/>
          <w:sz w:val="20"/>
          <w:szCs w:val="20"/>
        </w:rPr>
        <w:t xml:space="preserve"> December 31, 2021 at the Company’s share. During the three months ended March 31, 2022, the Company incurred less than $0.1 million of rent abatements at the Company’s share compared to $28.9 million for the three months ending March 31, 2021 which relate</w:t>
      </w:r>
      <w:r>
        <w:rPr>
          <w:rFonts w:eastAsia="Times New Roman"/>
          <w:color w:val="000000"/>
          <w:sz w:val="20"/>
          <w:szCs w:val="20"/>
        </w:rPr>
        <w:t xml:space="preserve">d primarily to 2020 rents as a result of COVID-19. The Company negotiated $0.6 million of rent deferrals during the three months ended March 31, 2021 at the Company’s share compared to less than $0.1 million of rent deferrals during the three months ended </w:t>
      </w:r>
      <w:r>
        <w:rPr>
          <w:rFonts w:eastAsia="Times New Roman"/>
          <w:color w:val="000000"/>
          <w:sz w:val="20"/>
          <w:szCs w:val="20"/>
        </w:rPr>
        <w:t>March 31, 2022. As of March 31, 2022, $3.6 million of the rent deferrals remain outstanding, with $2.2 million scheduled to be repaid during the remainder of 2022 and the balance scheduled for repayment in 2023 and thereafter.</w:t>
      </w:r>
    </w:p>
    <w:p w:rsidR="00000000" w:rsidRDefault="00BA6B82">
      <w:pPr>
        <w:ind w:firstLine="495"/>
        <w:divId w:val="1615820216"/>
        <w:rPr>
          <w:rFonts w:eastAsia="Times New Roman"/>
        </w:rPr>
      </w:pPr>
      <w:r>
        <w:rPr>
          <w:rFonts w:eastAsia="Times New Roman"/>
          <w:color w:val="000000"/>
          <w:sz w:val="20"/>
          <w:szCs w:val="20"/>
        </w:rPr>
        <w:t>During 2021, the pace of bank</w:t>
      </w:r>
      <w:r>
        <w:rPr>
          <w:rFonts w:eastAsia="Times New Roman"/>
          <w:color w:val="000000"/>
          <w:sz w:val="20"/>
          <w:szCs w:val="20"/>
        </w:rPr>
        <w:t xml:space="preserve">ruptcy filings involving the Company’s tenants decreased substantially as compared to 2020, with ten bankruptcy filings, totaling 62 leases and involving approximately 369,000 square feet and $11.9 million of annual leasing revenue at the Company’s share. </w:t>
      </w:r>
      <w:r>
        <w:rPr>
          <w:rFonts w:eastAsia="Times New Roman"/>
          <w:color w:val="000000"/>
          <w:sz w:val="20"/>
          <w:szCs w:val="20"/>
        </w:rPr>
        <w:t>This included two leases totaling 139,000 square feet with a single department store retailer that quickly emerged from bankruptcy and assumed both of its leases with the Company. Excluding this department store retailer, bankruptcy filings during 2021 onl</w:t>
      </w:r>
      <w:r>
        <w:rPr>
          <w:rFonts w:eastAsia="Times New Roman"/>
          <w:color w:val="000000"/>
          <w:sz w:val="20"/>
          <w:szCs w:val="20"/>
        </w:rPr>
        <w:t>y involved approximately 230,000 square feet. The Company expects that the pace of bankruptcy filings in 2022 will similarly be lower than years prior to 2020. Year-to-date in 2022, there has only been one bankruptcy filing involving a single tenant of the</w:t>
      </w:r>
      <w:r>
        <w:rPr>
          <w:rFonts w:eastAsia="Times New Roman"/>
          <w:color w:val="000000"/>
          <w:sz w:val="20"/>
          <w:szCs w:val="20"/>
        </w:rPr>
        <w:t xml:space="preserve"> Company involving only 3,000 square feet of leased space.</w:t>
      </w:r>
    </w:p>
    <w:p w:rsidR="00000000" w:rsidRDefault="00BA6B82">
      <w:pPr>
        <w:ind w:firstLine="495"/>
        <w:divId w:val="987634752"/>
        <w:rPr>
          <w:rFonts w:eastAsia="Times New Roman"/>
        </w:rPr>
      </w:pPr>
      <w:r>
        <w:rPr>
          <w:rFonts w:eastAsia="Times New Roman"/>
          <w:color w:val="000000"/>
          <w:sz w:val="20"/>
          <w:szCs w:val="20"/>
        </w:rPr>
        <w:t>During 2022, the Company expects to generate positive cash flow from operations after recurring operating capital expenditures, leasing capital expenditures and payment of dividends. This assumptio</w:t>
      </w:r>
      <w:r>
        <w:rPr>
          <w:rFonts w:eastAsia="Times New Roman"/>
          <w:color w:val="000000"/>
          <w:sz w:val="20"/>
          <w:szCs w:val="20"/>
        </w:rPr>
        <w:t>n does not include any potential capital generated from dispositions, refinancings or issuances of common equity. This expected surplus will be used to de-lever the Company’s balance sheet as well as to fund the Company’s development and redevelopment pipe</w:t>
      </w:r>
      <w:r>
        <w:rPr>
          <w:rFonts w:eastAsia="Times New Roman"/>
          <w:color w:val="000000"/>
          <w:sz w:val="20"/>
          <w:szCs w:val="20"/>
        </w:rPr>
        <w:t>line.</w:t>
      </w:r>
    </w:p>
    <w:p w:rsidR="00000000" w:rsidRDefault="00BA6B82">
      <w:pPr>
        <w:ind w:firstLine="495"/>
        <w:divId w:val="1677539571"/>
        <w:rPr>
          <w:rFonts w:eastAsia="Times New Roman"/>
        </w:rPr>
      </w:pPr>
      <w:r>
        <w:rPr>
          <w:rFonts w:eastAsia="Times New Roman"/>
          <w:color w:val="000000"/>
          <w:sz w:val="20"/>
          <w:szCs w:val="20"/>
        </w:rPr>
        <w:t>On October 26, 2021, the Company’s joint venture closed a $65 million, five-year loan, including extension options, that bears interest at LIBOR plus 4.15% to refinance The Shops at Atlas Park, which replaced a $67.5 million loan on the property. Add</w:t>
      </w:r>
      <w:r>
        <w:rPr>
          <w:rFonts w:eastAsia="Times New Roman"/>
          <w:color w:val="000000"/>
          <w:sz w:val="20"/>
          <w:szCs w:val="20"/>
        </w:rPr>
        <w:t>itionally, on February 2, 2022, the Company’s joint venture in FlatIron Crossing replaced the existing $197 million loan on the property with a new $175 million loan that bears interest at SOFR plus 3.70% and matures on February 9, 2025, including extensio</w:t>
      </w:r>
      <w:r>
        <w:rPr>
          <w:rFonts w:eastAsia="Times New Roman"/>
          <w:color w:val="000000"/>
          <w:sz w:val="20"/>
          <w:szCs w:val="20"/>
        </w:rPr>
        <w:t xml:space="preserve">n options. On April 29, 2022, the Company closed on a new $72 million loan at Pacific View with a fixed rate of 5.29% that matures on May 6, 2032. On May 6, 2022, the Company closed on a two-year extension of the $175.4 million loan on The Oaks to June 5, </w:t>
      </w:r>
      <w:r>
        <w:rPr>
          <w:rFonts w:eastAsia="Times New Roman"/>
          <w:color w:val="000000"/>
          <w:sz w:val="20"/>
          <w:szCs w:val="20"/>
        </w:rPr>
        <w:t>2024. The loan will now bear a fixed interest rate of 5.25%, and the Company repaid $5.0 million of the outstanding loan balance at closing (See “—Financing Activities” in Management’s Overview and Summary).</w:t>
      </w:r>
    </w:p>
    <w:p w:rsidR="00000000" w:rsidRDefault="00BA6B82">
      <w:pPr>
        <w:ind w:firstLine="495"/>
        <w:divId w:val="1530216809"/>
        <w:rPr>
          <w:rFonts w:eastAsia="Times New Roman"/>
        </w:rPr>
      </w:pPr>
      <w:r>
        <w:rPr>
          <w:rFonts w:eastAsia="Times New Roman"/>
          <w:color w:val="000000"/>
          <w:sz w:val="20"/>
          <w:szCs w:val="20"/>
        </w:rPr>
        <w:t>Rising interest rates are increasing the cost of the Company’s borrowings due to its outstanding floating-rate debt and have led to higher interest rates on new fixed-rate debt. In certain cases, the Company may limit its exposure to interest rate fluctuat</w:t>
      </w:r>
      <w:r>
        <w:rPr>
          <w:rFonts w:eastAsia="Times New Roman"/>
          <w:color w:val="000000"/>
          <w:sz w:val="20"/>
          <w:szCs w:val="20"/>
        </w:rPr>
        <w:t xml:space="preserve">ions related to a portion of its floating-rate debt by using interest rate cap and swap agreements. Such agreements, subject to current market conditions, allow the Company to replace floating-rate debt with fixed-rate debt in order to achieve its desired </w:t>
      </w:r>
      <w:r>
        <w:rPr>
          <w:rFonts w:eastAsia="Times New Roman"/>
          <w:color w:val="000000"/>
          <w:sz w:val="20"/>
          <w:szCs w:val="20"/>
        </w:rPr>
        <w:t>ratio of floating-rate to fixed-rate debt. However, any interest rate cap or swap agreements that the Company enters into may not be effective in reducing its exposure to interest rate changes. For example, the Company’s prior swap agreements, which expire</w:t>
      </w:r>
      <w:r>
        <w:rPr>
          <w:rFonts w:eastAsia="Times New Roman"/>
          <w:color w:val="000000"/>
          <w:sz w:val="20"/>
          <w:szCs w:val="20"/>
        </w:rPr>
        <w:t>d on September 30, 2021, resulted in increases in interest expense in 2021.</w:t>
      </w:r>
    </w:p>
    <w:p w:rsidR="00000000" w:rsidRDefault="00BA6B82">
      <w:pPr>
        <w:divId w:val="1942256800"/>
        <w:rPr>
          <w:rFonts w:eastAsia="Times New Roman"/>
        </w:rPr>
      </w:pPr>
      <w:r>
        <w:rPr>
          <w:rFonts w:eastAsia="Times New Roman"/>
          <w:b/>
          <w:bCs/>
          <w:color w:val="000000"/>
          <w:sz w:val="20"/>
          <w:szCs w:val="20"/>
        </w:rPr>
        <w:t xml:space="preserve">Comparison of Three Months Ended March 31, 2022 and 2021 </w:t>
      </w:r>
    </w:p>
    <w:p w:rsidR="00000000" w:rsidRDefault="00BA6B82">
      <w:pPr>
        <w:ind w:firstLine="450"/>
        <w:divId w:val="830801244"/>
        <w:rPr>
          <w:rFonts w:eastAsia="Times New Roman"/>
        </w:rPr>
      </w:pPr>
      <w:r>
        <w:rPr>
          <w:rFonts w:eastAsia="Times New Roman"/>
          <w:i/>
          <w:iCs/>
          <w:color w:val="000000"/>
          <w:sz w:val="20"/>
          <w:szCs w:val="20"/>
        </w:rPr>
        <w:t>Revenues:</w:t>
      </w:r>
    </w:p>
    <w:p w:rsidR="00000000" w:rsidRDefault="00BA6B82">
      <w:pPr>
        <w:ind w:firstLine="495"/>
        <w:divId w:val="372316415"/>
        <w:rPr>
          <w:rFonts w:eastAsia="Times New Roman"/>
        </w:rPr>
      </w:pPr>
      <w:r>
        <w:rPr>
          <w:rFonts w:eastAsia="Times New Roman"/>
          <w:color w:val="000000"/>
          <w:sz w:val="20"/>
          <w:szCs w:val="20"/>
        </w:rPr>
        <w:t>Leasing revenue increased by $23.9 million, or 13.3%, from 2021 to 2022. The increase in leasing revenue is attr</w:t>
      </w:r>
      <w:r>
        <w:rPr>
          <w:rFonts w:eastAsia="Times New Roman"/>
          <w:color w:val="000000"/>
          <w:sz w:val="20"/>
          <w:szCs w:val="20"/>
        </w:rPr>
        <w:t xml:space="preserve">ibuted to an increase of $28.3 million from the Same Centers offset in part by a decrease of $4.4 million from the Disposition Properties. Leasing revenue includes the amortization of above and below-market leases, the amortization of straight-line rents, </w:t>
      </w:r>
      <w:r>
        <w:rPr>
          <w:rFonts w:eastAsia="Times New Roman"/>
          <w:color w:val="000000"/>
          <w:sz w:val="20"/>
          <w:szCs w:val="20"/>
        </w:rPr>
        <w:t>lease termination income, percentage rent and the provision for bad debts. The amortization of above and below-market leases increased from $0.4 million in 2021 to $0.6 million in 2022. Straight-line rents decreased from $4.8 million in 2021 to $(2.0) mill</w:t>
      </w:r>
      <w:r>
        <w:rPr>
          <w:rFonts w:eastAsia="Times New Roman"/>
          <w:color w:val="000000"/>
          <w:sz w:val="20"/>
          <w:szCs w:val="20"/>
        </w:rPr>
        <w:t xml:space="preserve">ion in 2022. Lease termination income increased from $2.9 million in 2021 to $11.8 million in 2022. Percentage rent increased from $6.9 million in 2021 to $8.6 million in 2022. Provision for bad debts decreased from $3.2 million in 2021 to $0.6 million in </w:t>
      </w:r>
      <w:r>
        <w:rPr>
          <w:rFonts w:eastAsia="Times New Roman"/>
          <w:color w:val="000000"/>
          <w:sz w:val="20"/>
          <w:szCs w:val="20"/>
        </w:rPr>
        <w:t>2022.</w:t>
      </w:r>
    </w:p>
    <w:p w:rsidR="00000000" w:rsidRDefault="00BA6B82">
      <w:pPr>
        <w:jc w:val="center"/>
        <w:divId w:val="131824905"/>
        <w:rPr>
          <w:rFonts w:eastAsia="Times New Roman"/>
        </w:rPr>
      </w:pPr>
    </w:p>
    <w:p w:rsidR="00000000" w:rsidRDefault="00BA6B82">
      <w:pPr>
        <w:jc w:val="center"/>
        <w:divId w:val="131824905"/>
        <w:rPr>
          <w:rFonts w:eastAsia="Times New Roman"/>
        </w:rPr>
      </w:pPr>
      <w:r>
        <w:rPr>
          <w:rFonts w:eastAsia="Times New Roman"/>
          <w:color w:val="000000"/>
          <w:sz w:val="20"/>
          <w:szCs w:val="20"/>
        </w:rPr>
        <w:t>31</w:t>
      </w:r>
    </w:p>
    <w:p w:rsidR="00000000" w:rsidRDefault="00BA6B82">
      <w:pPr>
        <w:rPr>
          <w:rFonts w:eastAsia="Times New Roman"/>
        </w:rPr>
      </w:pPr>
      <w:r>
        <w:rPr>
          <w:rFonts w:eastAsia="Times New Roman"/>
        </w:rPr>
        <w:pict>
          <v:rect id="_x0000_i1055" style="width:0;height:1.5pt" o:hralign="center" o:hrstd="t" o:hr="t" fillcolor="#a0a0a0" stroked="f"/>
        </w:pict>
      </w:r>
    </w:p>
    <w:p w:rsidR="00000000" w:rsidRDefault="00BA6B82">
      <w:pPr>
        <w:divId w:val="1018039902"/>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50"/>
        <w:divId w:val="486289147"/>
        <w:rPr>
          <w:rFonts w:eastAsia="Times New Roman"/>
        </w:rPr>
      </w:pPr>
      <w:r>
        <w:rPr>
          <w:rFonts w:eastAsia="Times New Roman"/>
          <w:color w:val="000000"/>
          <w:sz w:val="20"/>
          <w:szCs w:val="20"/>
        </w:rPr>
        <w:t>Other revenue increased from $5.3 million in 2021 to $6.3 million in 2022. This increase is primarily due to increased parking garag</w:t>
      </w:r>
      <w:r>
        <w:rPr>
          <w:rFonts w:eastAsia="Times New Roman"/>
          <w:color w:val="000000"/>
          <w:sz w:val="20"/>
          <w:szCs w:val="20"/>
        </w:rPr>
        <w:t>e income resulting from increased traffic at the Centers in 2022 compared to 2021 (See "Other Transactions and Events" in Management's Overview and Summary).</w:t>
      </w:r>
    </w:p>
    <w:p w:rsidR="00000000" w:rsidRDefault="00BA6B82">
      <w:pPr>
        <w:ind w:firstLine="495"/>
        <w:divId w:val="1905679789"/>
        <w:rPr>
          <w:rFonts w:eastAsia="Times New Roman"/>
        </w:rPr>
      </w:pPr>
      <w:r>
        <w:rPr>
          <w:rFonts w:eastAsia="Times New Roman"/>
          <w:color w:val="000000"/>
          <w:sz w:val="20"/>
          <w:szCs w:val="20"/>
        </w:rPr>
        <w:t>Management Companies' revenue increased from $5.6 million in 2021 to $6.4 million in 2022 due to a</w:t>
      </w:r>
      <w:r>
        <w:rPr>
          <w:rFonts w:eastAsia="Times New Roman"/>
          <w:color w:val="000000"/>
          <w:sz w:val="20"/>
          <w:szCs w:val="20"/>
        </w:rPr>
        <w:t>n increase in management fees.</w:t>
      </w:r>
    </w:p>
    <w:p w:rsidR="00000000" w:rsidRDefault="00BA6B82">
      <w:pPr>
        <w:ind w:firstLine="495"/>
        <w:divId w:val="1790584372"/>
        <w:rPr>
          <w:rFonts w:eastAsia="Times New Roman"/>
        </w:rPr>
      </w:pPr>
      <w:r>
        <w:rPr>
          <w:rFonts w:eastAsia="Times New Roman"/>
          <w:i/>
          <w:iCs/>
          <w:color w:val="000000"/>
          <w:sz w:val="20"/>
          <w:szCs w:val="20"/>
        </w:rPr>
        <w:t>Shopping Center and Operating Expenses:</w:t>
      </w:r>
    </w:p>
    <w:p w:rsidR="00000000" w:rsidRDefault="00BA6B82">
      <w:pPr>
        <w:ind w:firstLine="495"/>
        <w:divId w:val="685445635"/>
        <w:rPr>
          <w:rFonts w:eastAsia="Times New Roman"/>
        </w:rPr>
      </w:pPr>
      <w:r>
        <w:rPr>
          <w:rFonts w:eastAsia="Times New Roman"/>
          <w:color w:val="000000"/>
          <w:sz w:val="20"/>
          <w:szCs w:val="20"/>
        </w:rPr>
        <w:t>Shopping center and operating expenses decreased $3.2 million, or 4.2%, from 2021 to 2022. The decrease in shopping center and operating expenses is attributed to decreases of $1.6 mill</w:t>
      </w:r>
      <w:r>
        <w:rPr>
          <w:rFonts w:eastAsia="Times New Roman"/>
          <w:color w:val="000000"/>
          <w:sz w:val="20"/>
          <w:szCs w:val="20"/>
        </w:rPr>
        <w:t>ion from the Same Centers and $1.7 million from the Disposition Properties. The decrease in shopping center and operating expenses at the Same Centers is primarily the result of a decrease in property tax expense.</w:t>
      </w:r>
    </w:p>
    <w:p w:rsidR="00000000" w:rsidRDefault="00BA6B82">
      <w:pPr>
        <w:ind w:firstLine="450"/>
        <w:divId w:val="189296073"/>
        <w:rPr>
          <w:rFonts w:eastAsia="Times New Roman"/>
        </w:rPr>
      </w:pPr>
      <w:r>
        <w:rPr>
          <w:rFonts w:eastAsia="Times New Roman"/>
          <w:i/>
          <w:iCs/>
          <w:color w:val="000000"/>
          <w:sz w:val="20"/>
          <w:szCs w:val="20"/>
        </w:rPr>
        <w:t>Leasing Expenses:</w:t>
      </w:r>
    </w:p>
    <w:p w:rsidR="00000000" w:rsidRDefault="00BA6B82">
      <w:pPr>
        <w:ind w:firstLine="495"/>
        <w:divId w:val="1334796944"/>
        <w:rPr>
          <w:rFonts w:eastAsia="Times New Roman"/>
        </w:rPr>
      </w:pPr>
      <w:r>
        <w:rPr>
          <w:rFonts w:eastAsia="Times New Roman"/>
          <w:color w:val="000000"/>
          <w:sz w:val="20"/>
          <w:szCs w:val="20"/>
        </w:rPr>
        <w:t>Leasing expenses increas</w:t>
      </w:r>
      <w:r>
        <w:rPr>
          <w:rFonts w:eastAsia="Times New Roman"/>
          <w:color w:val="000000"/>
          <w:sz w:val="20"/>
          <w:szCs w:val="20"/>
        </w:rPr>
        <w:t xml:space="preserve">ed from $5.2 million in 2021 to $7.6 million in 2022 due to an increase in compensation expense. </w:t>
      </w:r>
    </w:p>
    <w:p w:rsidR="00000000" w:rsidRDefault="00BA6B82">
      <w:pPr>
        <w:ind w:firstLine="405"/>
        <w:divId w:val="1261647945"/>
        <w:rPr>
          <w:rFonts w:eastAsia="Times New Roman"/>
        </w:rPr>
      </w:pPr>
      <w:r>
        <w:rPr>
          <w:rFonts w:eastAsia="Times New Roman"/>
          <w:i/>
          <w:iCs/>
          <w:color w:val="000000"/>
          <w:sz w:val="20"/>
          <w:szCs w:val="20"/>
        </w:rPr>
        <w:t>Management Companies' Operating Expenses:</w:t>
      </w:r>
    </w:p>
    <w:p w:rsidR="00000000" w:rsidRDefault="00BA6B82">
      <w:pPr>
        <w:ind w:firstLine="495"/>
        <w:divId w:val="1943147518"/>
        <w:rPr>
          <w:rFonts w:eastAsia="Times New Roman"/>
        </w:rPr>
      </w:pPr>
      <w:r>
        <w:rPr>
          <w:rFonts w:eastAsia="Times New Roman"/>
          <w:color w:val="000000"/>
          <w:sz w:val="20"/>
          <w:szCs w:val="20"/>
        </w:rPr>
        <w:t>Management Companies' operating expenses increased $2.1 million from 2021 to 2022 due to an increase in compensation</w:t>
      </w:r>
      <w:r>
        <w:rPr>
          <w:rFonts w:eastAsia="Times New Roman"/>
          <w:color w:val="000000"/>
          <w:sz w:val="20"/>
          <w:szCs w:val="20"/>
        </w:rPr>
        <w:t xml:space="preserve"> expense. </w:t>
      </w:r>
    </w:p>
    <w:p w:rsidR="00000000" w:rsidRDefault="00BA6B82">
      <w:pPr>
        <w:ind w:firstLine="405"/>
        <w:divId w:val="1974481689"/>
        <w:rPr>
          <w:rFonts w:eastAsia="Times New Roman"/>
        </w:rPr>
      </w:pPr>
      <w:r>
        <w:rPr>
          <w:rFonts w:eastAsia="Times New Roman"/>
          <w:i/>
          <w:iCs/>
          <w:color w:val="000000"/>
          <w:sz w:val="20"/>
          <w:szCs w:val="20"/>
        </w:rPr>
        <w:t>REIT General and Administrative Expenses:</w:t>
      </w:r>
    </w:p>
    <w:p w:rsidR="00000000" w:rsidRDefault="00BA6B82">
      <w:pPr>
        <w:ind w:firstLine="495"/>
        <w:divId w:val="1246764423"/>
        <w:rPr>
          <w:rFonts w:eastAsia="Times New Roman"/>
        </w:rPr>
      </w:pPr>
      <w:r>
        <w:rPr>
          <w:rFonts w:eastAsia="Times New Roman"/>
          <w:color w:val="000000"/>
          <w:sz w:val="20"/>
          <w:szCs w:val="20"/>
        </w:rPr>
        <w:t>REIT general and administrative expenses decreased $1.2 million from 2021 to 2022 primarily due to a decrease in consulting expense.</w:t>
      </w:r>
    </w:p>
    <w:p w:rsidR="00000000" w:rsidRDefault="00BA6B82">
      <w:pPr>
        <w:ind w:firstLine="450"/>
        <w:divId w:val="1456485391"/>
        <w:rPr>
          <w:rFonts w:eastAsia="Times New Roman"/>
        </w:rPr>
      </w:pPr>
      <w:r>
        <w:rPr>
          <w:rFonts w:eastAsia="Times New Roman"/>
          <w:i/>
          <w:iCs/>
          <w:color w:val="000000"/>
          <w:sz w:val="20"/>
          <w:szCs w:val="20"/>
        </w:rPr>
        <w:t>Depreciation and Amortization:</w:t>
      </w:r>
    </w:p>
    <w:p w:rsidR="00000000" w:rsidRDefault="00BA6B82">
      <w:pPr>
        <w:ind w:firstLine="495"/>
        <w:divId w:val="944535146"/>
        <w:rPr>
          <w:rFonts w:eastAsia="Times New Roman"/>
        </w:rPr>
      </w:pPr>
      <w:r>
        <w:rPr>
          <w:rFonts w:eastAsia="Times New Roman"/>
          <w:color w:val="000000"/>
          <w:sz w:val="20"/>
          <w:szCs w:val="20"/>
        </w:rPr>
        <w:t>Depreciation and amortization decreased $5.5 million from 2021 to 2022. The decrease in depr</w:t>
      </w:r>
      <w:r>
        <w:rPr>
          <w:rFonts w:eastAsia="Times New Roman"/>
          <w:color w:val="000000"/>
          <w:sz w:val="20"/>
          <w:szCs w:val="20"/>
        </w:rPr>
        <w:t>eciation and amortization is attributed to decreases of $2.5 million from the Same Centers and $3.0 million from the Disposition Properties.</w:t>
      </w:r>
    </w:p>
    <w:p w:rsidR="00000000" w:rsidRDefault="00BA6B82">
      <w:pPr>
        <w:ind w:firstLine="495"/>
        <w:divId w:val="1577745053"/>
        <w:rPr>
          <w:rFonts w:eastAsia="Times New Roman"/>
        </w:rPr>
      </w:pPr>
      <w:r>
        <w:rPr>
          <w:rFonts w:eastAsia="Times New Roman"/>
          <w:i/>
          <w:iCs/>
          <w:color w:val="000000"/>
          <w:sz w:val="20"/>
          <w:szCs w:val="20"/>
        </w:rPr>
        <w:t>Interest Expense:</w:t>
      </w:r>
    </w:p>
    <w:p w:rsidR="00000000" w:rsidRDefault="00BA6B82">
      <w:pPr>
        <w:ind w:firstLine="495"/>
        <w:divId w:val="282620446"/>
        <w:rPr>
          <w:rFonts w:eastAsia="Times New Roman"/>
        </w:rPr>
      </w:pPr>
      <w:r>
        <w:rPr>
          <w:rFonts w:eastAsia="Times New Roman"/>
          <w:color w:val="000000"/>
          <w:sz w:val="20"/>
          <w:szCs w:val="20"/>
        </w:rPr>
        <w:t>Interest expense decreased $2.0 million from 2021 to 2022. The decrease in interest expense was a</w:t>
      </w:r>
      <w:r>
        <w:rPr>
          <w:rFonts w:eastAsia="Times New Roman"/>
          <w:color w:val="000000"/>
          <w:sz w:val="20"/>
          <w:szCs w:val="20"/>
        </w:rPr>
        <w:t xml:space="preserve">ttributed to a </w:t>
      </w:r>
      <w:r>
        <w:rPr>
          <w:rFonts w:eastAsia="Times New Roman"/>
          <w:color w:val="000000"/>
          <w:sz w:val="20"/>
          <w:szCs w:val="20"/>
          <w:shd w:val="clear" w:color="auto" w:fill="FFFFFF"/>
        </w:rPr>
        <w:t>decrease of</w:t>
      </w:r>
      <w:r>
        <w:rPr>
          <w:rFonts w:eastAsia="Times New Roman"/>
          <w:color w:val="000000"/>
          <w:sz w:val="20"/>
          <w:szCs w:val="20"/>
        </w:rPr>
        <w:t xml:space="preserve"> $7.9 million from the Company's revolving line of credit and $0.8 million from the Disposition Properties, offset in part by an increase of $6.7 million from the financing arrangement discussed in Note 12</w:t>
      </w:r>
      <w:r>
        <w:rPr>
          <w:rFonts w:eastAsia="Times New Roman"/>
          <w:color w:val="000000"/>
          <w:sz w:val="20"/>
          <w:szCs w:val="20"/>
          <w:shd w:val="clear" w:color="auto" w:fill="FFFFFF"/>
        </w:rPr>
        <w:t xml:space="preserve"> in the Company's Notes t</w:t>
      </w:r>
      <w:r>
        <w:rPr>
          <w:rFonts w:eastAsia="Times New Roman"/>
          <w:color w:val="000000"/>
          <w:sz w:val="20"/>
          <w:szCs w:val="20"/>
          <w:shd w:val="clear" w:color="auto" w:fill="FFFFFF"/>
        </w:rPr>
        <w:t>o the Consolidated Financial Statements</w:t>
      </w:r>
      <w:r>
        <w:rPr>
          <w:rFonts w:eastAsia="Times New Roman"/>
          <w:color w:val="000000"/>
          <w:sz w:val="20"/>
          <w:szCs w:val="20"/>
        </w:rPr>
        <w:t>. The increase in interest expense from the financing arrangement is primarily due to the change in fair value of the underlying properties and the mortgage notes payable on the underlying properties.</w:t>
      </w:r>
    </w:p>
    <w:p w:rsidR="00000000" w:rsidRDefault="00BA6B82">
      <w:pPr>
        <w:ind w:firstLine="495"/>
        <w:divId w:val="634990663"/>
        <w:rPr>
          <w:rFonts w:eastAsia="Times New Roman"/>
        </w:rPr>
      </w:pPr>
      <w:r>
        <w:rPr>
          <w:rFonts w:eastAsia="Times New Roman"/>
          <w:i/>
          <w:iCs/>
          <w:color w:val="000000"/>
          <w:sz w:val="20"/>
          <w:szCs w:val="20"/>
        </w:rPr>
        <w:t>Equity in (Loss)</w:t>
      </w:r>
      <w:r>
        <w:rPr>
          <w:rFonts w:eastAsia="Times New Roman"/>
          <w:i/>
          <w:iCs/>
          <w:color w:val="000000"/>
          <w:sz w:val="20"/>
          <w:szCs w:val="20"/>
        </w:rPr>
        <w:t xml:space="preserve"> Income of Unconsolidated Joint Ventures:</w:t>
      </w:r>
    </w:p>
    <w:p w:rsidR="00000000" w:rsidRDefault="00BA6B82">
      <w:pPr>
        <w:ind w:firstLine="495"/>
        <w:divId w:val="553351993"/>
        <w:rPr>
          <w:rFonts w:eastAsia="Times New Roman"/>
        </w:rPr>
      </w:pPr>
      <w:r>
        <w:rPr>
          <w:rFonts w:eastAsia="Times New Roman"/>
          <w:color w:val="000000"/>
          <w:sz w:val="20"/>
          <w:szCs w:val="20"/>
          <w:shd w:val="clear" w:color="auto" w:fill="FFFFFF"/>
        </w:rPr>
        <w:t>Equity in (loss) income of unconsolidated joint ventures decreased $31.0 million from 2021 to 2022</w:t>
      </w:r>
      <w:r>
        <w:rPr>
          <w:rFonts w:eastAsia="Times New Roman"/>
          <w:color w:val="000000"/>
          <w:sz w:val="20"/>
          <w:szCs w:val="20"/>
        </w:rPr>
        <w:t>. The decrease in equity in (loss) income of unconsolidated joint ventures is primarily due to the write-down of ass</w:t>
      </w:r>
      <w:r>
        <w:rPr>
          <w:rFonts w:eastAsia="Times New Roman"/>
          <w:color w:val="000000"/>
          <w:sz w:val="20"/>
          <w:szCs w:val="20"/>
        </w:rPr>
        <w:t xml:space="preserve">ets as a result of the reduction in the estimated holding periods of certain properties. </w:t>
      </w:r>
    </w:p>
    <w:p w:rsidR="00000000" w:rsidRDefault="00BA6B82">
      <w:pPr>
        <w:ind w:firstLine="450"/>
        <w:divId w:val="1886015298"/>
        <w:rPr>
          <w:rFonts w:eastAsia="Times New Roman"/>
        </w:rPr>
      </w:pPr>
      <w:r>
        <w:rPr>
          <w:rFonts w:eastAsia="Times New Roman"/>
          <w:i/>
          <w:iCs/>
          <w:color w:val="000000"/>
          <w:sz w:val="20"/>
          <w:szCs w:val="20"/>
        </w:rPr>
        <w:t>Gain (loss) on Sale or Write Down of Assets, net:</w:t>
      </w:r>
    </w:p>
    <w:p w:rsidR="00000000" w:rsidRDefault="00BA6B82">
      <w:pPr>
        <w:ind w:firstLine="495"/>
        <w:divId w:val="790974410"/>
        <w:rPr>
          <w:rFonts w:eastAsia="Times New Roman"/>
        </w:rPr>
      </w:pPr>
      <w:r>
        <w:rPr>
          <w:rFonts w:eastAsia="Times New Roman"/>
          <w:color w:val="000000"/>
          <w:sz w:val="20"/>
          <w:szCs w:val="20"/>
        </w:rPr>
        <w:t>Gain (loss) on sale or write down of assets, net increased from a loss of $21.3 million in 2021 to a gain of $6.5 mi</w:t>
      </w:r>
      <w:r>
        <w:rPr>
          <w:rFonts w:eastAsia="Times New Roman"/>
          <w:color w:val="000000"/>
          <w:sz w:val="20"/>
          <w:szCs w:val="20"/>
        </w:rPr>
        <w:t>llion in 2022. The increase is primarily due to an increase of gains on sale of land in 2022, offset by $27.3 million of impairment loss on Estrella Falls in 2021. The impairment loss was due to the reduction in the estimated holding period of the property</w:t>
      </w:r>
      <w:r>
        <w:rPr>
          <w:rFonts w:eastAsia="Times New Roman"/>
          <w:color w:val="000000"/>
          <w:sz w:val="20"/>
          <w:szCs w:val="20"/>
        </w:rPr>
        <w:t>.</w:t>
      </w:r>
    </w:p>
    <w:p w:rsidR="00000000" w:rsidRDefault="00BA6B82">
      <w:pPr>
        <w:ind w:firstLine="450"/>
        <w:divId w:val="257955060"/>
        <w:rPr>
          <w:rFonts w:eastAsia="Times New Roman"/>
        </w:rPr>
      </w:pPr>
      <w:r>
        <w:rPr>
          <w:rFonts w:eastAsia="Times New Roman"/>
          <w:i/>
          <w:iCs/>
          <w:color w:val="000000"/>
          <w:sz w:val="20"/>
          <w:szCs w:val="20"/>
          <w:shd w:val="clear" w:color="auto" w:fill="FFFFFF"/>
        </w:rPr>
        <w:t>Net Loss:</w:t>
      </w:r>
    </w:p>
    <w:p w:rsidR="00000000" w:rsidRDefault="00BA6B82">
      <w:pPr>
        <w:ind w:firstLine="495"/>
        <w:divId w:val="1584951974"/>
        <w:rPr>
          <w:rFonts w:eastAsia="Times New Roman"/>
        </w:rPr>
      </w:pPr>
      <w:r>
        <w:rPr>
          <w:rFonts w:eastAsia="Times New Roman"/>
          <w:color w:val="000000"/>
          <w:sz w:val="20"/>
          <w:szCs w:val="20"/>
          <w:shd w:val="clear" w:color="auto" w:fill="FFFFFF"/>
        </w:rPr>
        <w:t xml:space="preserve">Net loss decreased </w:t>
      </w:r>
      <w:r>
        <w:rPr>
          <w:rFonts w:eastAsia="Times New Roman"/>
          <w:color w:val="000000"/>
          <w:sz w:val="20"/>
          <w:szCs w:val="20"/>
        </w:rPr>
        <w:t>$30.4 million</w:t>
      </w:r>
      <w:r>
        <w:rPr>
          <w:rFonts w:eastAsia="Times New Roman"/>
          <w:color w:val="000000"/>
          <w:sz w:val="20"/>
          <w:szCs w:val="20"/>
          <w:shd w:val="clear" w:color="auto" w:fill="FFFFFF"/>
        </w:rPr>
        <w:t xml:space="preserve"> from 2021 to 2022. </w:t>
      </w:r>
      <w:r>
        <w:rPr>
          <w:rFonts w:eastAsia="Times New Roman"/>
          <w:color w:val="000000"/>
          <w:sz w:val="20"/>
          <w:szCs w:val="20"/>
        </w:rPr>
        <w:t>The decrease in net loss is primarily due to the write-down of assets held at unconsolidated joint ventures in 2022 as a result of the reduction in the estimated holding periods of certain properties.</w:t>
      </w:r>
    </w:p>
    <w:p w:rsidR="00000000" w:rsidRDefault="00BA6B82">
      <w:pPr>
        <w:ind w:firstLine="495"/>
        <w:divId w:val="1762526883"/>
        <w:rPr>
          <w:rFonts w:eastAsia="Times New Roman"/>
        </w:rPr>
      </w:pPr>
      <w:r>
        <w:rPr>
          <w:rFonts w:eastAsia="Times New Roman"/>
          <w:i/>
          <w:iCs/>
          <w:color w:val="000000"/>
          <w:sz w:val="20"/>
          <w:szCs w:val="20"/>
          <w:shd w:val="clear" w:color="auto" w:fill="FFFFFF"/>
        </w:rPr>
        <w:t>Funds From Operations ("FFO"):</w:t>
      </w:r>
    </w:p>
    <w:p w:rsidR="00000000" w:rsidRDefault="00BA6B82">
      <w:pPr>
        <w:ind w:firstLine="495"/>
        <w:divId w:val="780761130"/>
        <w:rPr>
          <w:rFonts w:eastAsia="Times New Roman"/>
        </w:rPr>
      </w:pPr>
      <w:r>
        <w:rPr>
          <w:rFonts w:eastAsia="Times New Roman"/>
          <w:color w:val="000000"/>
          <w:sz w:val="20"/>
          <w:szCs w:val="20"/>
          <w:shd w:val="clear" w:color="auto" w:fill="FFFFFF"/>
        </w:rPr>
        <w:t>Primarily as a result of</w:t>
      </w:r>
      <w:r>
        <w:rPr>
          <w:rFonts w:eastAsia="Times New Roman"/>
          <w:color w:val="000000"/>
          <w:sz w:val="20"/>
          <w:szCs w:val="20"/>
          <w:shd w:val="clear" w:color="auto" w:fill="FFFFFF"/>
        </w:rPr>
        <w:t xml:space="preserve"> the factors mentioned above, FFO attributable to common stockholders and unit holders—diluted, excluding financing expense in connection with Chandler Freehold</w:t>
      </w:r>
      <w:r>
        <w:rPr>
          <w:rFonts w:eastAsia="Times New Roman"/>
          <w:color w:val="000000"/>
          <w:sz w:val="20"/>
          <w:szCs w:val="20"/>
        </w:rPr>
        <w:t xml:space="preserve"> increased 48.7% from </w:t>
      </w:r>
      <w:r>
        <w:rPr>
          <w:rFonts w:eastAsia="Times New Roman"/>
          <w:color w:val="000000"/>
          <w:sz w:val="20"/>
          <w:szCs w:val="20"/>
          <w:shd w:val="clear" w:color="auto" w:fill="FFFFFF"/>
        </w:rPr>
        <w:t>$75.6 million</w:t>
      </w:r>
      <w:r>
        <w:rPr>
          <w:rFonts w:eastAsia="Times New Roman"/>
          <w:color w:val="000000"/>
          <w:sz w:val="20"/>
          <w:szCs w:val="20"/>
        </w:rPr>
        <w:t xml:space="preserve"> in 2021 to </w:t>
      </w:r>
      <w:r>
        <w:rPr>
          <w:rFonts w:eastAsia="Times New Roman"/>
          <w:color w:val="000000"/>
          <w:sz w:val="20"/>
          <w:szCs w:val="20"/>
          <w:shd w:val="clear" w:color="auto" w:fill="FFFFFF"/>
        </w:rPr>
        <w:t>$112.4 million</w:t>
      </w:r>
      <w:r>
        <w:rPr>
          <w:rFonts w:eastAsia="Times New Roman"/>
          <w:color w:val="000000"/>
          <w:sz w:val="20"/>
          <w:szCs w:val="20"/>
        </w:rPr>
        <w:t xml:space="preserve"> in 2022. For a reconciliation of n</w:t>
      </w:r>
      <w:r>
        <w:rPr>
          <w:rFonts w:eastAsia="Times New Roman"/>
          <w:color w:val="000000"/>
          <w:sz w:val="20"/>
          <w:szCs w:val="20"/>
        </w:rPr>
        <w:t xml:space="preserve">et loss attributable to the Company, the most directly comparable GAAP financial measure, to FFO attributable to common stockholders and unit holders, excluding financing expense in connection with </w:t>
      </w:r>
    </w:p>
    <w:p w:rsidR="00000000" w:rsidRDefault="00BA6B82">
      <w:pPr>
        <w:jc w:val="center"/>
        <w:divId w:val="500854326"/>
        <w:rPr>
          <w:rFonts w:eastAsia="Times New Roman"/>
        </w:rPr>
      </w:pPr>
    </w:p>
    <w:p w:rsidR="00000000" w:rsidRDefault="00BA6B82">
      <w:pPr>
        <w:jc w:val="center"/>
        <w:divId w:val="500854326"/>
        <w:rPr>
          <w:rFonts w:eastAsia="Times New Roman"/>
        </w:rPr>
      </w:pPr>
      <w:r>
        <w:rPr>
          <w:rFonts w:eastAsia="Times New Roman"/>
          <w:color w:val="000000"/>
          <w:sz w:val="20"/>
          <w:szCs w:val="20"/>
        </w:rPr>
        <w:t>32</w:t>
      </w:r>
    </w:p>
    <w:p w:rsidR="00000000" w:rsidRDefault="00BA6B82">
      <w:pPr>
        <w:rPr>
          <w:rFonts w:eastAsia="Times New Roman"/>
        </w:rPr>
      </w:pPr>
      <w:r>
        <w:rPr>
          <w:rFonts w:eastAsia="Times New Roman"/>
        </w:rPr>
        <w:pict>
          <v:rect id="_x0000_i1056" style="width:0;height:1.5pt" o:hralign="center" o:hrstd="t" o:hr="t" fillcolor="#a0a0a0" stroked="f"/>
        </w:pict>
      </w:r>
    </w:p>
    <w:p w:rsidR="00000000" w:rsidRDefault="00BA6B82">
      <w:pPr>
        <w:divId w:val="1879276438"/>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72689014"/>
        <w:rPr>
          <w:rFonts w:eastAsia="Times New Roman"/>
        </w:rPr>
      </w:pPr>
      <w:r>
        <w:rPr>
          <w:rFonts w:eastAsia="Times New Roman"/>
          <w:color w:val="000000"/>
          <w:sz w:val="20"/>
          <w:szCs w:val="20"/>
        </w:rPr>
        <w:t xml:space="preserve">Chandler Freehold and </w:t>
      </w:r>
      <w:r>
        <w:rPr>
          <w:rFonts w:eastAsia="Times New Roman"/>
          <w:color w:val="000000"/>
          <w:sz w:val="20"/>
          <w:szCs w:val="20"/>
          <w:shd w:val="clear" w:color="auto" w:fill="FFFFFF"/>
        </w:rPr>
        <w:t>FFO attributable to common stockholders and unit holders—diluted, excluding financing expense in connection with Chandler Freehold</w:t>
      </w:r>
      <w:r>
        <w:rPr>
          <w:rFonts w:eastAsia="Times New Roman"/>
          <w:color w:val="000000"/>
          <w:sz w:val="20"/>
          <w:szCs w:val="20"/>
        </w:rPr>
        <w:t>, see "Funds From Operations ("FFO")" below.</w:t>
      </w:r>
    </w:p>
    <w:p w:rsidR="00000000" w:rsidRDefault="00BA6B82">
      <w:pPr>
        <w:ind w:firstLine="450"/>
        <w:divId w:val="1568958338"/>
        <w:rPr>
          <w:rFonts w:eastAsia="Times New Roman"/>
        </w:rPr>
      </w:pPr>
      <w:r>
        <w:rPr>
          <w:rFonts w:eastAsia="Times New Roman"/>
          <w:i/>
          <w:iCs/>
          <w:color w:val="000000"/>
          <w:sz w:val="20"/>
          <w:szCs w:val="20"/>
        </w:rPr>
        <w:t>Operating Activities:</w:t>
      </w:r>
    </w:p>
    <w:p w:rsidR="00000000" w:rsidRDefault="00BA6B82">
      <w:pPr>
        <w:ind w:firstLine="495"/>
        <w:divId w:val="62027857"/>
        <w:rPr>
          <w:rFonts w:eastAsia="Times New Roman"/>
        </w:rPr>
      </w:pPr>
      <w:r>
        <w:rPr>
          <w:rFonts w:eastAsia="Times New Roman"/>
          <w:color w:val="000000"/>
          <w:sz w:val="20"/>
          <w:szCs w:val="20"/>
        </w:rPr>
        <w:t>Cash provided by operating activities increased $13.2 million from 2021 to 2022. The increase is primarily due to the changes in assets and liabilities and the results, as discussed above.</w:t>
      </w:r>
    </w:p>
    <w:p w:rsidR="00000000" w:rsidRDefault="00BA6B82">
      <w:pPr>
        <w:ind w:firstLine="450"/>
        <w:divId w:val="1415324504"/>
        <w:rPr>
          <w:rFonts w:eastAsia="Times New Roman"/>
        </w:rPr>
      </w:pPr>
      <w:r>
        <w:rPr>
          <w:rFonts w:eastAsia="Times New Roman"/>
          <w:i/>
          <w:iCs/>
          <w:color w:val="000000"/>
          <w:sz w:val="20"/>
          <w:szCs w:val="20"/>
        </w:rPr>
        <w:t>Investing Activities:</w:t>
      </w:r>
    </w:p>
    <w:p w:rsidR="00000000" w:rsidRDefault="00BA6B82">
      <w:pPr>
        <w:ind w:firstLine="495"/>
        <w:divId w:val="84885173"/>
        <w:rPr>
          <w:rFonts w:eastAsia="Times New Roman"/>
        </w:rPr>
      </w:pPr>
      <w:r>
        <w:rPr>
          <w:rFonts w:eastAsia="Times New Roman"/>
          <w:color w:val="000000"/>
          <w:sz w:val="20"/>
          <w:szCs w:val="20"/>
        </w:rPr>
        <w:t>Cash provided by investing activities decreas</w:t>
      </w:r>
      <w:r>
        <w:rPr>
          <w:rFonts w:eastAsia="Times New Roman"/>
          <w:color w:val="000000"/>
          <w:sz w:val="20"/>
          <w:szCs w:val="20"/>
        </w:rPr>
        <w:t>ed $26.8 million from 2021 to 2022. The decrease in cash provided by investing activities is primarily attributed to a decrease in proceeds from the sale of assets of $74.2 million offset in part by increases in distributions from unconsolidated joint vent</w:t>
      </w:r>
      <w:r>
        <w:rPr>
          <w:rFonts w:eastAsia="Times New Roman"/>
          <w:color w:val="000000"/>
          <w:sz w:val="20"/>
          <w:szCs w:val="20"/>
        </w:rPr>
        <w:t>ures of $18.7 million and decreases of contributions to unconsolidated joint ventures of $6.3 million.</w:t>
      </w:r>
    </w:p>
    <w:p w:rsidR="00000000" w:rsidRDefault="00BA6B82">
      <w:pPr>
        <w:ind w:firstLine="450"/>
        <w:divId w:val="1118988884"/>
        <w:rPr>
          <w:rFonts w:eastAsia="Times New Roman"/>
        </w:rPr>
      </w:pPr>
      <w:r>
        <w:rPr>
          <w:rFonts w:eastAsia="Times New Roman"/>
          <w:i/>
          <w:iCs/>
          <w:color w:val="000000"/>
          <w:sz w:val="20"/>
          <w:szCs w:val="20"/>
        </w:rPr>
        <w:t>Financing Activities:</w:t>
      </w:r>
    </w:p>
    <w:p w:rsidR="00000000" w:rsidRDefault="00BA6B82">
      <w:pPr>
        <w:ind w:firstLine="495"/>
        <w:divId w:val="1044598823"/>
        <w:rPr>
          <w:rFonts w:eastAsia="Times New Roman"/>
        </w:rPr>
      </w:pPr>
      <w:r>
        <w:rPr>
          <w:rFonts w:eastAsia="Times New Roman"/>
          <w:color w:val="000000"/>
          <w:sz w:val="20"/>
          <w:szCs w:val="20"/>
        </w:rPr>
        <w:t>Cash provided by financing activities decreased $0.6 billion from 2021 to 2022. The decrease in cash provided by financing activiti</w:t>
      </w:r>
      <w:r>
        <w:rPr>
          <w:rFonts w:eastAsia="Times New Roman"/>
          <w:color w:val="000000"/>
          <w:sz w:val="20"/>
          <w:szCs w:val="20"/>
        </w:rPr>
        <w:t>es is primarily due to the proceeds received from sales of common shares under the ATM Programs of $597.1 million in 2021.</w:t>
      </w:r>
    </w:p>
    <w:p w:rsidR="00000000" w:rsidRDefault="00BA6B82">
      <w:pPr>
        <w:divId w:val="2078356894"/>
        <w:rPr>
          <w:rFonts w:eastAsia="Times New Roman"/>
        </w:rPr>
      </w:pPr>
      <w:r>
        <w:rPr>
          <w:rFonts w:eastAsia="Times New Roman"/>
          <w:b/>
          <w:bCs/>
          <w:color w:val="000000"/>
          <w:sz w:val="20"/>
          <w:szCs w:val="20"/>
        </w:rPr>
        <w:t>Liquidity and Capital Resources</w:t>
      </w:r>
    </w:p>
    <w:p w:rsidR="00000000" w:rsidRDefault="00BA6B82">
      <w:pPr>
        <w:ind w:firstLine="495"/>
        <w:divId w:val="30620456"/>
        <w:rPr>
          <w:rFonts w:eastAsia="Times New Roman"/>
        </w:rPr>
      </w:pPr>
      <w:r>
        <w:rPr>
          <w:rFonts w:eastAsia="Times New Roman"/>
          <w:color w:val="000000"/>
          <w:sz w:val="20"/>
          <w:szCs w:val="20"/>
        </w:rPr>
        <w:t>The Company anticipates meeting its liquidity needs for its operating expenses, debt service and divi</w:t>
      </w:r>
      <w:r>
        <w:rPr>
          <w:rFonts w:eastAsia="Times New Roman"/>
          <w:color w:val="000000"/>
          <w:sz w:val="20"/>
          <w:szCs w:val="20"/>
        </w:rPr>
        <w:t>dend requirements for the next twelve months and beyond through cash generated from operations, distributions from unconsolidated joint ventures, working capital reserves and/or borrowings under its line of credit. Following the uncertain environment broug</w:t>
      </w:r>
      <w:r>
        <w:rPr>
          <w:rFonts w:eastAsia="Times New Roman"/>
          <w:color w:val="000000"/>
          <w:sz w:val="20"/>
          <w:szCs w:val="20"/>
        </w:rPr>
        <w:t xml:space="preserve">ht about by COVID-19, the Company took a number of previously disclosed measures in the years ended December 31, 2020 and 2021 to enhance its liquidity position over the short-term, but currently anticipates meeting its liquidity needs for the next twelve </w:t>
      </w:r>
      <w:r>
        <w:rPr>
          <w:rFonts w:eastAsia="Times New Roman"/>
          <w:color w:val="000000"/>
          <w:sz w:val="20"/>
          <w:szCs w:val="20"/>
        </w:rPr>
        <w:t>months as it has done historically.</w:t>
      </w:r>
    </w:p>
    <w:p w:rsidR="00000000" w:rsidRDefault="00BA6B82">
      <w:pPr>
        <w:ind w:firstLine="450"/>
        <w:divId w:val="218371529"/>
        <w:rPr>
          <w:rFonts w:eastAsia="Times New Roman"/>
        </w:rPr>
      </w:pPr>
      <w:r>
        <w:rPr>
          <w:rFonts w:eastAsia="Times New Roman"/>
          <w:i/>
          <w:iCs/>
          <w:color w:val="000000"/>
          <w:sz w:val="20"/>
          <w:szCs w:val="20"/>
        </w:rPr>
        <w:t>Uses of Capital</w:t>
      </w:r>
    </w:p>
    <w:p w:rsidR="00000000" w:rsidRDefault="00BA6B82">
      <w:pPr>
        <w:ind w:firstLine="495"/>
        <w:divId w:val="1293512951"/>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trPr>
          <w:divId w:val="549344321"/>
        </w:trPr>
        <w:tc>
          <w:tcPr>
            <w:tcW w:w="50" w:type="pct"/>
            <w:vAlign w:val="center"/>
            <w:hideMark/>
          </w:tcPr>
          <w:p w:rsidR="00000000" w:rsidRDefault="00BA6B82">
            <w:pPr>
              <w:ind w:firstLine="495"/>
              <w:rPr>
                <w:rFonts w:eastAsia="Times New Roman"/>
              </w:rPr>
            </w:pPr>
          </w:p>
        </w:tc>
        <w:tc>
          <w:tcPr>
            <w:tcW w:w="355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1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1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54934432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r>
      <w:tr w:rsidR="00000000">
        <w:trPr>
          <w:divId w:val="54934432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54934432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1,106 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3,670 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10,761 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6,558 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5,454 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4,696 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 </w:t>
            </w:r>
          </w:p>
        </w:tc>
      </w:tr>
      <w:tr w:rsidR="00000000">
        <w:trPr>
          <w:divId w:val="54934432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1,236 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14,710 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12,232 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6,657 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558 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815 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549344321"/>
        </w:trPr>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23,161 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16,439 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1860730196"/>
        <w:rPr>
          <w:rFonts w:eastAsia="Times New Roman"/>
        </w:rPr>
      </w:pPr>
    </w:p>
    <w:p w:rsidR="00000000" w:rsidRDefault="00BA6B82">
      <w:pPr>
        <w:ind w:firstLine="495"/>
        <w:divId w:val="471603449"/>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2021</w:t>
      </w:r>
      <w:r>
        <w:rPr>
          <w:rFonts w:eastAsia="Times New Roman"/>
          <w:color w:val="000000"/>
          <w:sz w:val="20"/>
          <w:szCs w:val="20"/>
          <w:shd w:val="clear" w:color="auto" w:fill="FFFFFF"/>
        </w:rPr>
        <w:t>. The Company expects to incur approximately</w:t>
      </w:r>
      <w:r>
        <w:rPr>
          <w:rFonts w:eastAsia="Times New Roman"/>
          <w:color w:val="000000"/>
          <w:sz w:val="20"/>
          <w:szCs w:val="20"/>
        </w:rPr>
        <w:t xml:space="preserve"> $140.0 million</w:t>
      </w:r>
      <w:r>
        <w:rPr>
          <w:rFonts w:eastAsia="Times New Roman"/>
          <w:color w:val="000000"/>
          <w:sz w:val="20"/>
          <w:szCs w:val="20"/>
          <w:shd w:val="clear" w:color="auto" w:fill="FFFFFF"/>
        </w:rPr>
        <w:t xml:space="preserve"> during 2022 for development, redeve</w:t>
      </w:r>
      <w:r>
        <w:rPr>
          <w:rFonts w:eastAsia="Times New Roman"/>
          <w:color w:val="000000"/>
          <w:sz w:val="20"/>
          <w:szCs w:val="20"/>
          <w:shd w:val="clear" w:color="auto" w:fill="FFFFFF"/>
        </w:rPr>
        <w:t xml:space="preserve">lopment, expansion and renovations. This includes the Company's share </w:t>
      </w:r>
      <w:r>
        <w:rPr>
          <w:rFonts w:eastAsia="Times New Roman"/>
          <w:color w:val="000000"/>
          <w:sz w:val="20"/>
          <w:szCs w:val="20"/>
        </w:rPr>
        <w:t xml:space="preserve">of the remaining development costs of One Westside of approximately $30.0 million, which is fully funded by a non-recourse construction facility. </w:t>
      </w:r>
      <w:r>
        <w:rPr>
          <w:rFonts w:eastAsia="Times New Roman"/>
          <w:color w:val="000000"/>
          <w:sz w:val="20"/>
          <w:szCs w:val="20"/>
          <w:shd w:val="clear" w:color="auto" w:fill="FFFFFF"/>
        </w:rPr>
        <w:t>Capital for these expenditures, developm</w:t>
      </w:r>
      <w:r>
        <w:rPr>
          <w:rFonts w:eastAsia="Times New Roman"/>
          <w:color w:val="000000"/>
          <w:sz w:val="20"/>
          <w:szCs w:val="20"/>
          <w:shd w:val="clear" w:color="auto" w:fill="FFFFFF"/>
        </w:rPr>
        <w:t xml:space="preserve">ents and/or redevelopments has been, and </w:t>
      </w:r>
      <w:r>
        <w:rPr>
          <w:rFonts w:eastAsia="Times New Roman"/>
          <w:color w:val="000000"/>
          <w:sz w:val="20"/>
          <w:szCs w:val="20"/>
        </w:rPr>
        <w:t>is expected to continue to be, obtained from a combination of cash on hand, debt or equity financings, which are expected to include borrowings under the Company's line of credit, from property financings and constr</w:t>
      </w:r>
      <w:r>
        <w:rPr>
          <w:rFonts w:eastAsia="Times New Roman"/>
          <w:color w:val="000000"/>
          <w:sz w:val="20"/>
          <w:szCs w:val="20"/>
        </w:rPr>
        <w:t>uction loans, each to the extent available.</w:t>
      </w:r>
    </w:p>
    <w:p w:rsidR="00000000" w:rsidRDefault="00BA6B82">
      <w:pPr>
        <w:jc w:val="center"/>
        <w:divId w:val="381103552"/>
        <w:rPr>
          <w:rFonts w:eastAsia="Times New Roman"/>
        </w:rPr>
      </w:pPr>
    </w:p>
    <w:p w:rsidR="00000000" w:rsidRDefault="00BA6B82">
      <w:pPr>
        <w:jc w:val="center"/>
        <w:divId w:val="381103552"/>
        <w:rPr>
          <w:rFonts w:eastAsia="Times New Roman"/>
        </w:rPr>
      </w:pPr>
      <w:r>
        <w:rPr>
          <w:rFonts w:eastAsia="Times New Roman"/>
          <w:color w:val="000000"/>
          <w:sz w:val="20"/>
          <w:szCs w:val="20"/>
        </w:rPr>
        <w:t>33</w:t>
      </w:r>
    </w:p>
    <w:p w:rsidR="00000000" w:rsidRDefault="00BA6B82">
      <w:pPr>
        <w:rPr>
          <w:rFonts w:eastAsia="Times New Roman"/>
        </w:rPr>
      </w:pPr>
      <w:r>
        <w:rPr>
          <w:rFonts w:eastAsia="Times New Roman"/>
        </w:rPr>
        <w:pict>
          <v:rect id="_x0000_i1057" style="width:0;height:1.5pt" o:hralign="center" o:hrstd="t" o:hr="t" fillcolor="#a0a0a0" stroked="f"/>
        </w:pict>
      </w:r>
    </w:p>
    <w:p w:rsidR="00000000" w:rsidRDefault="00BA6B82">
      <w:pPr>
        <w:divId w:val="1705399168"/>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50"/>
        <w:divId w:val="1586956687"/>
        <w:rPr>
          <w:rFonts w:eastAsia="Times New Roman"/>
        </w:rPr>
      </w:pPr>
      <w:r>
        <w:rPr>
          <w:rFonts w:eastAsia="Times New Roman"/>
          <w:i/>
          <w:iCs/>
          <w:color w:val="000000"/>
          <w:sz w:val="20"/>
          <w:szCs w:val="20"/>
        </w:rPr>
        <w:t>Sources of Capital</w:t>
      </w:r>
    </w:p>
    <w:p w:rsidR="00000000" w:rsidRDefault="00BA6B82">
      <w:pPr>
        <w:ind w:firstLine="495"/>
        <w:divId w:val="890654608"/>
        <w:rPr>
          <w:rFonts w:eastAsia="Times New Roman"/>
        </w:rPr>
      </w:pPr>
      <w:r>
        <w:rPr>
          <w:rFonts w:eastAsia="Times New Roman"/>
          <w:color w:val="000000"/>
          <w:sz w:val="20"/>
          <w:szCs w:val="20"/>
        </w:rPr>
        <w:t>The Company has also generated liquidity in the past, and may continue to d</w:t>
      </w:r>
      <w:r>
        <w:rPr>
          <w:rFonts w:eastAsia="Times New Roman"/>
          <w:color w:val="000000"/>
          <w:sz w:val="20"/>
          <w:szCs w:val="20"/>
        </w:rPr>
        <w:t>o so in the future, through equity offerings and issuances, property refinancings, joint venture transactions and the sale of non-core assets. For example, the Company sold Paradise Valley Mall in Phoenix, Arizona and Tucson La Encantada in Tucson, Arizona</w:t>
      </w:r>
      <w:r>
        <w:rPr>
          <w:rFonts w:eastAsia="Times New Roman"/>
          <w:color w:val="000000"/>
          <w:sz w:val="20"/>
          <w:szCs w:val="20"/>
        </w:rPr>
        <w:t xml:space="preserve"> during the year ended December 31, 2021. The Company used the proceeds from these sales to pay down its line of credit and other debt obligations. Furthermore, the Company has filed a shelf registration statement, which registered an unspecified amount of</w:t>
      </w:r>
      <w:r>
        <w:rPr>
          <w:rFonts w:eastAsia="Times New Roman"/>
          <w:color w:val="000000"/>
          <w:sz w:val="20"/>
          <w:szCs w:val="20"/>
        </w:rPr>
        <w:t xml:space="preserve"> common stock, preferred stock, depositary shares, debt securities, warrants, rights, stock purchase contracts and units that may be sold from time to time by the Company.</w:t>
      </w:r>
    </w:p>
    <w:p w:rsidR="00000000" w:rsidRDefault="00BA6B82">
      <w:pPr>
        <w:ind w:firstLine="495"/>
        <w:divId w:val="1800143301"/>
        <w:rPr>
          <w:rFonts w:eastAsia="Times New Roman"/>
        </w:rPr>
      </w:pPr>
      <w:r>
        <w:rPr>
          <w:rFonts w:eastAsia="Times New Roman"/>
          <w:color w:val="000000"/>
          <w:sz w:val="20"/>
          <w:szCs w:val="20"/>
        </w:rPr>
        <w:t>On each of February 1, 2021 and March 26, 2021, the Company registered a separate "a</w:t>
      </w:r>
      <w:r>
        <w:rPr>
          <w:rFonts w:eastAsia="Times New Roman"/>
          <w:color w:val="000000"/>
          <w:sz w:val="20"/>
          <w:szCs w:val="20"/>
        </w:rPr>
        <w:t>t the market" offering program, pursuant to which the Company may issue and sell shares of its common stock having an aggregate offering price of up to $500 million under each ATM Program, or a total of $1.0 billion under the ATM Programs, in amounts and a</w:t>
      </w:r>
      <w:r>
        <w:rPr>
          <w:rFonts w:eastAsia="Times New Roman"/>
          <w:color w:val="000000"/>
          <w:sz w:val="20"/>
          <w:szCs w:val="20"/>
        </w:rPr>
        <w:t>t times to be determined by the Company. The February 2021 ATM Program was fully utilized as of June 30, 2021 and is no longer active. During the three months ended March 31, 2022, no shares were issued under the March 2021 ATM Program. As of March 31, 202</w:t>
      </w:r>
      <w:r>
        <w:rPr>
          <w:rFonts w:eastAsia="Times New Roman"/>
          <w:color w:val="000000"/>
          <w:sz w:val="20"/>
          <w:szCs w:val="20"/>
        </w:rPr>
        <w:t>2, the Company had approximately $151.7 million of gross sales of its common stock available under the March 2021 ATM Program.</w:t>
      </w:r>
    </w:p>
    <w:p w:rsidR="00000000" w:rsidRDefault="00BA6B82">
      <w:pPr>
        <w:ind w:firstLine="495"/>
        <w:divId w:val="1712992960"/>
        <w:rPr>
          <w:rFonts w:eastAsia="Times New Roman"/>
        </w:rPr>
      </w:pPr>
      <w:r>
        <w:rPr>
          <w:rFonts w:eastAsia="Times New Roman"/>
          <w:color w:val="000000"/>
          <w:sz w:val="20"/>
          <w:szCs w:val="20"/>
        </w:rPr>
        <w:t xml:space="preserve">The capital and credit markets can fluctuate and, at times, limit access to debt and equity financing for companies. The Company </w:t>
      </w:r>
      <w:r>
        <w:rPr>
          <w:rFonts w:eastAsia="Times New Roman"/>
          <w:color w:val="000000"/>
          <w:sz w:val="20"/>
          <w:szCs w:val="20"/>
        </w:rPr>
        <w:t>has been able to access capital; however, there is no assurance the Company will be able to do so in future periods or on similar terms and conditions. Many factors impact the Company's ability to access capital, such as its overall debt level, interest ra</w:t>
      </w:r>
      <w:r>
        <w:rPr>
          <w:rFonts w:eastAsia="Times New Roman"/>
          <w:color w:val="000000"/>
          <w:sz w:val="20"/>
          <w:szCs w:val="20"/>
        </w:rPr>
        <w:t>tes, interest coverage ratios, prevailing market conditions and the impact of COVID-19. Increases in the Company's proportion of floating rate debt will cause it to be subject to interest rate fluctuations in the future.</w:t>
      </w:r>
    </w:p>
    <w:p w:rsidR="00000000" w:rsidRDefault="00BA6B82">
      <w:pPr>
        <w:ind w:firstLine="495"/>
        <w:divId w:val="164176387"/>
        <w:rPr>
          <w:rFonts w:eastAsia="Times New Roman"/>
        </w:rPr>
      </w:pPr>
      <w:r>
        <w:rPr>
          <w:rFonts w:eastAsia="Times New Roman"/>
          <w:color w:val="000000"/>
          <w:sz w:val="20"/>
          <w:szCs w:val="20"/>
        </w:rPr>
        <w:t>The Company's total outstanding loa</w:t>
      </w:r>
      <w:r>
        <w:rPr>
          <w:rFonts w:eastAsia="Times New Roman"/>
          <w:color w:val="000000"/>
          <w:sz w:val="20"/>
          <w:szCs w:val="20"/>
        </w:rPr>
        <w:t xml:space="preserve">n indebtedness, which includes mortgages and other notes payable, at March 31, 2022 was $6.9 billion (consisting of $4.5 billion of consolidated debt, less $0.5 billion of noncontrolling interests, plus $2.9 billion of its pro rata share of unconsolidated </w:t>
      </w:r>
      <w:r>
        <w:rPr>
          <w:rFonts w:eastAsia="Times New Roman"/>
          <w:color w:val="000000"/>
          <w:sz w:val="20"/>
          <w:szCs w:val="20"/>
        </w:rPr>
        <w:t>joint venture debt). The majority of the Company's debt consists of fixed-rate conventional mortgage notes collateralized by individual properties. The Company expects that all of the maturities during the next twelve months will be refinanced, restructure</w:t>
      </w:r>
      <w:r>
        <w:rPr>
          <w:rFonts w:eastAsia="Times New Roman"/>
          <w:color w:val="000000"/>
          <w:sz w:val="20"/>
          <w:szCs w:val="20"/>
        </w:rPr>
        <w:t>d, extended and/or paid off from the Company's line of credit or cash on hand.</w:t>
      </w:r>
    </w:p>
    <w:p w:rsidR="00000000" w:rsidRDefault="00BA6B82">
      <w:pPr>
        <w:ind w:firstLine="495"/>
        <w:divId w:val="1537737487"/>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 share of debt from uncon</w:t>
      </w:r>
      <w:r>
        <w:rPr>
          <w:rFonts w:eastAsia="Times New Roman"/>
          <w:color w:val="000000"/>
          <w:sz w:val="20"/>
          <w:szCs w:val="20"/>
        </w:rPr>
        <w:t xml:space="preserve">solidated joint ventures and, for consolidated debt, excludes the Company’s partners’ share from consolidated joint ventures, in each case presented on the same basis. The Company has several significant joint ventures and presenting its pro rata share of </w:t>
      </w:r>
      <w:r>
        <w:rPr>
          <w:rFonts w:eastAsia="Times New Roman"/>
          <w:color w:val="000000"/>
          <w:sz w:val="20"/>
          <w:szCs w:val="20"/>
        </w:rPr>
        <w:t xml:space="preserve">debt in this manner can help investors better understand the Company’s financial condition after taking into account the Company's economic interest in these joint ventures. The Company’s pro rata share of debt should not be considered as a substitute for </w:t>
      </w:r>
      <w:r>
        <w:rPr>
          <w:rFonts w:eastAsia="Times New Roman"/>
          <w:color w:val="000000"/>
          <w:sz w:val="20"/>
          <w:szCs w:val="20"/>
        </w:rPr>
        <w:t>the Company’s total consolidated debt determined in accordance with GAAP or any other GAAP financial measures and should only be considered together with and as a supplement to the Company’s financial information prepared in accordance with GAAP.</w:t>
      </w:r>
    </w:p>
    <w:p w:rsidR="00000000" w:rsidRDefault="00BA6B82">
      <w:pPr>
        <w:ind w:firstLine="495"/>
        <w:divId w:val="1608385858"/>
        <w:rPr>
          <w:rFonts w:eastAsia="Times New Roman"/>
        </w:rPr>
      </w:pPr>
      <w:r>
        <w:rPr>
          <w:rFonts w:eastAsia="Times New Roman"/>
          <w:color w:val="000000"/>
          <w:sz w:val="20"/>
          <w:szCs w:val="20"/>
        </w:rPr>
        <w:t>The Compa</w:t>
      </w:r>
      <w:r>
        <w:rPr>
          <w:rFonts w:eastAsia="Times New Roman"/>
          <w:color w:val="000000"/>
          <w:sz w:val="20"/>
          <w:szCs w:val="20"/>
        </w:rPr>
        <w:t xml:space="preserve">ny accounts for its investments in joint ventures that it does not have a controlling interest or is not the primary beneficiary using the equity method of accounting and those investments are reflected on the consolidated balance sheets of the Company as </w:t>
      </w:r>
      <w:r>
        <w:rPr>
          <w:rFonts w:eastAsia="Times New Roman"/>
          <w:color w:val="000000"/>
          <w:sz w:val="20"/>
          <w:szCs w:val="20"/>
        </w:rPr>
        <w:t>investments in unconsolidated joint ventures.</w:t>
      </w:r>
    </w:p>
    <w:p w:rsidR="00000000" w:rsidRDefault="00BA6B82">
      <w:pPr>
        <w:ind w:firstLine="495"/>
        <w:divId w:val="1069693174"/>
        <w:rPr>
          <w:rFonts w:eastAsia="Times New Roman"/>
        </w:rPr>
      </w:pPr>
      <w:r>
        <w:rPr>
          <w:rFonts w:eastAsia="Times New Roman"/>
          <w:color w:val="000000"/>
          <w:sz w:val="20"/>
          <w:szCs w:val="20"/>
        </w:rPr>
        <w:t>As of March 31, 2022, one of the Company’s joint ventures had $50.0 million of debt that could become recourse to the Company should the joint venture be unable to discharge the obligation of the related debt.</w:t>
      </w:r>
    </w:p>
    <w:p w:rsidR="00000000" w:rsidRDefault="00BA6B82">
      <w:pPr>
        <w:ind w:firstLine="495"/>
        <w:divId w:val="1551309895"/>
        <w:rPr>
          <w:rFonts w:eastAsia="Times New Roman"/>
        </w:rPr>
      </w:pPr>
      <w:r>
        <w:rPr>
          <w:rFonts w:eastAsia="Times New Roman"/>
          <w:color w:val="000000"/>
          <w:sz w:val="20"/>
          <w:szCs w:val="20"/>
        </w:rPr>
        <w:t>Additionally, as of March 31, 2022, the Company was contingently liable for $41.0 million in letters of credit guaranteeing performance by the Company of certain obligations relating to the Centers. As of March 31, 2022, $40.7 million of these letters of c</w:t>
      </w:r>
      <w:r>
        <w:rPr>
          <w:rFonts w:eastAsia="Times New Roman"/>
          <w:color w:val="000000"/>
          <w:sz w:val="20"/>
          <w:szCs w:val="20"/>
        </w:rPr>
        <w:t>redit were secured by restricted cash. The Company does not believe that these letters of credit will result in a liability to the Company.</w:t>
      </w:r>
    </w:p>
    <w:p w:rsidR="00000000" w:rsidRDefault="00BA6B82">
      <w:pPr>
        <w:ind w:firstLine="495"/>
        <w:divId w:val="1318920056"/>
        <w:rPr>
          <w:rFonts w:eastAsia="Times New Roman"/>
        </w:rPr>
      </w:pPr>
      <w:r>
        <w:rPr>
          <w:rFonts w:eastAsia="Times New Roman"/>
          <w:color w:val="000000"/>
          <w:sz w:val="20"/>
          <w:szCs w:val="20"/>
        </w:rPr>
        <w:t xml:space="preserve">On October 26, 2021, the Company’s joint venture closed a $65 million, five-year loan, including extension options, </w:t>
      </w:r>
      <w:r>
        <w:rPr>
          <w:rFonts w:eastAsia="Times New Roman"/>
          <w:color w:val="000000"/>
          <w:sz w:val="20"/>
          <w:szCs w:val="20"/>
        </w:rPr>
        <w:t>that bears interest at LIBOR plus 4.15% to refinance The Shops at Atlas Park, which replaced a $67.5 million loan on the property. Additionally, on February 2, 2022, the Company’s joint venture in FlatIron Crossing replaced the existing $197 million loan o</w:t>
      </w:r>
      <w:r>
        <w:rPr>
          <w:rFonts w:eastAsia="Times New Roman"/>
          <w:color w:val="000000"/>
          <w:sz w:val="20"/>
          <w:szCs w:val="20"/>
        </w:rPr>
        <w:t>n the property with a new $175 million loan that bears interest at SOFR plus 3.70% and matures on February 9, 2025, including extension options. On April 29, 2022, the Company closed on a new $72 million loan at Pacific View with a fixed rate of 5.29% that</w:t>
      </w:r>
      <w:r>
        <w:rPr>
          <w:rFonts w:eastAsia="Times New Roman"/>
          <w:color w:val="000000"/>
          <w:sz w:val="20"/>
          <w:szCs w:val="20"/>
        </w:rPr>
        <w:t xml:space="preserve"> matures on May 6, 2032. On May 6, 2022, the Company closed on a two-year extension of the $175.4 million loan on The Oaks to June 5, 2024. The loan will now bear a fixed interest rate of 5.25%, and the Company repaid $5.0 million of the outstanding balanc</w:t>
      </w:r>
      <w:r>
        <w:rPr>
          <w:rFonts w:eastAsia="Times New Roman"/>
          <w:color w:val="000000"/>
          <w:sz w:val="20"/>
          <w:szCs w:val="20"/>
        </w:rPr>
        <w:t xml:space="preserve">e at closing. </w:t>
      </w:r>
    </w:p>
    <w:p w:rsidR="00000000" w:rsidRDefault="00BA6B82">
      <w:pPr>
        <w:ind w:firstLine="495"/>
        <w:divId w:val="1413313284"/>
        <w:rPr>
          <w:rFonts w:eastAsia="Times New Roman"/>
        </w:rPr>
      </w:pPr>
      <w:r>
        <w:rPr>
          <w:rFonts w:eastAsia="Times New Roman"/>
          <w:color w:val="000000"/>
          <w:sz w:val="20"/>
          <w:szCs w:val="20"/>
        </w:rPr>
        <w:t>The Company has a $700 million credit facility, including a $525 million revolving loan facility that matures on April 14, 2023, with a one-year extension option, and a $175 million term loan facility that matures on April 14, 2024. The revo</w:t>
      </w:r>
      <w:r>
        <w:rPr>
          <w:rFonts w:eastAsia="Times New Roman"/>
          <w:color w:val="000000"/>
          <w:sz w:val="20"/>
          <w:szCs w:val="20"/>
        </w:rPr>
        <w:t xml:space="preserve">lving </w:t>
      </w:r>
    </w:p>
    <w:p w:rsidR="00000000" w:rsidRDefault="00BA6B82">
      <w:pPr>
        <w:jc w:val="center"/>
        <w:divId w:val="78790479"/>
        <w:rPr>
          <w:rFonts w:eastAsia="Times New Roman"/>
        </w:rPr>
      </w:pPr>
    </w:p>
    <w:p w:rsidR="00000000" w:rsidRDefault="00BA6B82">
      <w:pPr>
        <w:jc w:val="center"/>
        <w:divId w:val="78790479"/>
        <w:rPr>
          <w:rFonts w:eastAsia="Times New Roman"/>
        </w:rPr>
      </w:pPr>
      <w:r>
        <w:rPr>
          <w:rFonts w:eastAsia="Times New Roman"/>
          <w:color w:val="000000"/>
          <w:sz w:val="20"/>
          <w:szCs w:val="20"/>
        </w:rPr>
        <w:t>34</w:t>
      </w:r>
    </w:p>
    <w:p w:rsidR="00000000" w:rsidRDefault="00BA6B82">
      <w:pPr>
        <w:rPr>
          <w:rFonts w:eastAsia="Times New Roman"/>
        </w:rPr>
      </w:pPr>
      <w:r>
        <w:rPr>
          <w:rFonts w:eastAsia="Times New Roman"/>
        </w:rPr>
        <w:pict>
          <v:rect id="_x0000_i1058" style="width:0;height:1.5pt" o:hralign="center" o:hrstd="t" o:hr="t" fillcolor="#a0a0a0" stroked="f"/>
        </w:pict>
      </w:r>
    </w:p>
    <w:p w:rsidR="00000000" w:rsidRDefault="00BA6B82">
      <w:pPr>
        <w:divId w:val="268464886"/>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823663473"/>
        <w:rPr>
          <w:rFonts w:eastAsia="Times New Roman"/>
        </w:rPr>
      </w:pPr>
      <w:r>
        <w:rPr>
          <w:rFonts w:eastAsia="Times New Roman"/>
          <w:color w:val="000000"/>
          <w:sz w:val="20"/>
          <w:szCs w:val="20"/>
        </w:rPr>
        <w:t>loan facility can be expanded up to $800 million, subject to receipt of lender commitments and other conditions. All obligations und</w:t>
      </w:r>
      <w:r>
        <w:rPr>
          <w:rFonts w:eastAsia="Times New Roman"/>
          <w:color w:val="000000"/>
          <w:sz w:val="20"/>
          <w:szCs w:val="20"/>
        </w:rPr>
        <w:t>er the credit facility are guaranteed unconditionally by the Company and are secured in the form of mortgages on certain wholly-owned assets and pledges of equity interests held by certain of the Company’s subsidiaries. The credit facility bears interest a</w:t>
      </w:r>
      <w:r>
        <w:rPr>
          <w:rFonts w:eastAsia="Times New Roman"/>
          <w:color w:val="000000"/>
          <w:sz w:val="20"/>
          <w:szCs w:val="20"/>
        </w:rPr>
        <w:t>t LIBOR plus a spread of 2.25% to 3.25% depending on Company’s overall leverage level. As of March 31, 2022, the borrowing rate was LIBOR plus 2.25%. As of March 31, 2022, borrowings under the credit facility were $76.0 million less unamortized deferred fi</w:t>
      </w:r>
      <w:r>
        <w:rPr>
          <w:rFonts w:eastAsia="Times New Roman"/>
          <w:color w:val="000000"/>
          <w:sz w:val="20"/>
          <w:szCs w:val="20"/>
        </w:rPr>
        <w:t xml:space="preserve">nance costs of $12.6 million for the revolving loan facility at a total interest rate of 3.76%. As of March 31, 2022, the Company’s availability under the revolving loan facility for additional borrowings was $448.7 million. </w:t>
      </w:r>
    </w:p>
    <w:p w:rsidR="00000000" w:rsidRDefault="00BA6B82">
      <w:pPr>
        <w:ind w:firstLine="495"/>
        <w:divId w:val="1412390505"/>
        <w:rPr>
          <w:rFonts w:eastAsia="Times New Roman"/>
        </w:rPr>
      </w:pPr>
      <w:r>
        <w:rPr>
          <w:rFonts w:eastAsia="Times New Roman"/>
          <w:color w:val="000000"/>
          <w:sz w:val="20"/>
          <w:szCs w:val="20"/>
        </w:rPr>
        <w:t>Cash dividends and distributio</w:t>
      </w:r>
      <w:r>
        <w:rPr>
          <w:rFonts w:eastAsia="Times New Roman"/>
          <w:color w:val="000000"/>
          <w:sz w:val="20"/>
          <w:szCs w:val="20"/>
        </w:rPr>
        <w:t>ns for the three months ended March 31, 2022 were $41.3 million, which were funded by operations.</w:t>
      </w:r>
    </w:p>
    <w:p w:rsidR="00000000" w:rsidRDefault="00BA6B82">
      <w:pPr>
        <w:ind w:firstLine="495"/>
        <w:divId w:val="2125226004"/>
        <w:rPr>
          <w:rFonts w:eastAsia="Times New Roman"/>
        </w:rPr>
      </w:pPr>
      <w:r>
        <w:rPr>
          <w:rFonts w:eastAsia="Times New Roman"/>
          <w:color w:val="000000"/>
          <w:sz w:val="20"/>
          <w:szCs w:val="20"/>
        </w:rPr>
        <w:t>At March 31, 2022, the Company was in compliance with all applicable loan covenants under its agreements.</w:t>
      </w:r>
    </w:p>
    <w:p w:rsidR="00000000" w:rsidRDefault="00BA6B82">
      <w:pPr>
        <w:ind w:firstLine="495"/>
        <w:divId w:val="2143887020"/>
        <w:rPr>
          <w:rFonts w:eastAsia="Times New Roman"/>
        </w:rPr>
      </w:pPr>
      <w:r>
        <w:rPr>
          <w:rFonts w:eastAsia="Times New Roman"/>
          <w:color w:val="000000"/>
          <w:sz w:val="20"/>
          <w:szCs w:val="20"/>
        </w:rPr>
        <w:t>At March 31, 2022, the Company had cash and cash equ</w:t>
      </w:r>
      <w:r>
        <w:rPr>
          <w:rFonts w:eastAsia="Times New Roman"/>
          <w:color w:val="000000"/>
          <w:sz w:val="20"/>
          <w:szCs w:val="20"/>
        </w:rPr>
        <w:t>ivalents of $128.2 million.</w:t>
      </w:r>
    </w:p>
    <w:p w:rsidR="00000000" w:rsidRDefault="00BA6B82">
      <w:pPr>
        <w:ind w:firstLine="450"/>
        <w:divId w:val="729040841"/>
        <w:rPr>
          <w:rFonts w:eastAsia="Times New Roman"/>
        </w:rPr>
      </w:pPr>
      <w:r>
        <w:rPr>
          <w:rFonts w:eastAsia="Times New Roman"/>
          <w:i/>
          <w:iCs/>
          <w:color w:val="000000"/>
          <w:sz w:val="20"/>
          <w:szCs w:val="20"/>
        </w:rPr>
        <w:t>Material Cash Commitments:</w:t>
      </w:r>
    </w:p>
    <w:p w:rsidR="00000000" w:rsidRDefault="00BA6B82">
      <w:pPr>
        <w:ind w:firstLine="495"/>
        <w:divId w:val="1281378246"/>
        <w:rPr>
          <w:rFonts w:eastAsia="Times New Roman"/>
        </w:rPr>
      </w:pPr>
      <w:r>
        <w:rPr>
          <w:rFonts w:eastAsia="Times New Roman"/>
          <w:color w:val="000000"/>
          <w:sz w:val="20"/>
          <w:szCs w:val="20"/>
        </w:rPr>
        <w:t>The following is a schedule of material cash commitments as of March 31, 2022 for the consolidated Centers over the periods in which they are expected to be paid (in thousands):</w:t>
      </w:r>
    </w:p>
    <w:tbl>
      <w:tblPr>
        <w:tblW w:w="4736" w:type="pct"/>
        <w:tblCellMar>
          <w:top w:w="15" w:type="dxa"/>
          <w:left w:w="15" w:type="dxa"/>
          <w:bottom w:w="15" w:type="dxa"/>
          <w:right w:w="15" w:type="dxa"/>
        </w:tblCellMar>
        <w:tblLook w:val="04A0" w:firstRow="1" w:lastRow="0" w:firstColumn="1" w:lastColumn="0" w:noHBand="0" w:noVBand="1"/>
      </w:tblPr>
      <w:tblGrid>
        <w:gridCol w:w="39"/>
        <w:gridCol w:w="2478"/>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700"/>
        <w:gridCol w:w="36"/>
        <w:gridCol w:w="36"/>
        <w:gridCol w:w="36"/>
        <w:gridCol w:w="36"/>
        <w:gridCol w:w="120"/>
        <w:gridCol w:w="850"/>
        <w:gridCol w:w="36"/>
      </w:tblGrid>
      <w:tr w:rsidR="00000000">
        <w:trPr>
          <w:divId w:val="1281378246"/>
        </w:trPr>
        <w:tc>
          <w:tcPr>
            <w:tcW w:w="50" w:type="pct"/>
            <w:vAlign w:val="center"/>
            <w:hideMark/>
          </w:tcPr>
          <w:p w:rsidR="00000000" w:rsidRDefault="00BA6B82">
            <w:pPr>
              <w:ind w:firstLine="495"/>
              <w:rPr>
                <w:rFonts w:eastAsia="Times New Roman"/>
              </w:rPr>
            </w:pPr>
          </w:p>
        </w:tc>
        <w:tc>
          <w:tcPr>
            <w:tcW w:w="16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28137824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Payment Due by Period</w:t>
            </w:r>
          </w:p>
        </w:tc>
      </w:tr>
      <w:tr w:rsidR="00000000">
        <w:trPr>
          <w:divId w:val="1281378246"/>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Cash Commitments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1281378246"/>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5,201,921 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1,306,727 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1,574,072 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687,878 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1,633,244 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281378246"/>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Lease obligations(2)</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192,966 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15,813 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34,045 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22,574 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120,534 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281378246"/>
        </w:trPr>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5,394,887 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1,322,540 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1,608,117 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710,452 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1,753,778 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divId w:val="268709253"/>
        <w:rPr>
          <w:rFonts w:eastAsia="Times New Roman"/>
        </w:rPr>
      </w:pPr>
      <w:r>
        <w:rPr>
          <w:rFonts w:eastAsia="Times New Roman"/>
          <w:color w:val="000000"/>
          <w:sz w:val="16"/>
          <w:szCs w:val="16"/>
        </w:rPr>
        <w:t>__________________________________________________________</w:t>
      </w:r>
    </w:p>
    <w:p w:rsidR="00000000" w:rsidRDefault="00BA6B82">
      <w:pPr>
        <w:ind w:hanging="360"/>
        <w:divId w:val="1292008824"/>
        <w:rPr>
          <w:rFonts w:eastAsia="Times New Roman"/>
        </w:rPr>
      </w:pPr>
      <w:r>
        <w:rPr>
          <w:rFonts w:eastAsia="Times New Roman"/>
          <w:color w:val="000000"/>
          <w:sz w:val="18"/>
          <w:szCs w:val="18"/>
        </w:rPr>
        <w:t>(1)Interest payments on floating rate debt were based on rates in effect at March 31, 2022.</w:t>
      </w:r>
    </w:p>
    <w:p w:rsidR="00000000" w:rsidRDefault="00BA6B82">
      <w:pPr>
        <w:ind w:hanging="360"/>
        <w:divId w:val="196355839"/>
        <w:rPr>
          <w:rFonts w:eastAsia="Times New Roman"/>
        </w:rPr>
      </w:pPr>
      <w:r>
        <w:rPr>
          <w:rFonts w:eastAsia="Times New Roman"/>
          <w:color w:val="000000"/>
          <w:sz w:val="18"/>
          <w:szCs w:val="18"/>
        </w:rPr>
        <w:t>(2)</w:t>
      </w:r>
      <w:r>
        <w:rPr>
          <w:rFonts w:eastAsia="Times New Roman"/>
          <w:color w:val="000000"/>
          <w:sz w:val="18"/>
          <w:szCs w:val="18"/>
        </w:rPr>
        <w:t>See Note 8—Leases in the Company's Notes to the Consolidated Financial Statements.</w:t>
      </w:r>
    </w:p>
    <w:p w:rsidR="00000000" w:rsidRDefault="00BA6B82">
      <w:pPr>
        <w:divId w:val="265116035"/>
        <w:rPr>
          <w:rFonts w:eastAsia="Times New Roman"/>
        </w:rPr>
      </w:pPr>
      <w:r>
        <w:rPr>
          <w:rFonts w:eastAsia="Times New Roman"/>
          <w:b/>
          <w:bCs/>
          <w:color w:val="000000"/>
          <w:sz w:val="20"/>
          <w:szCs w:val="20"/>
        </w:rPr>
        <w:t>Funds From Operations ("FFO")</w:t>
      </w:r>
    </w:p>
    <w:p w:rsidR="00000000" w:rsidRDefault="00BA6B82">
      <w:pPr>
        <w:ind w:firstLine="495"/>
        <w:divId w:val="621886396"/>
        <w:rPr>
          <w:rFonts w:eastAsia="Times New Roman"/>
        </w:rPr>
      </w:pPr>
      <w:r>
        <w:rPr>
          <w:rFonts w:eastAsia="Times New Roman"/>
          <w:color w:val="000000"/>
          <w:sz w:val="20"/>
          <w:szCs w:val="20"/>
        </w:rPr>
        <w:t xml:space="preserve">The Company uses FFO in addition to net income to report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w:t>
      </w:r>
      <w:r>
        <w:rPr>
          <w:rFonts w:eastAsia="Times New Roman"/>
          <w:color w:val="000000"/>
          <w:sz w:val="20"/>
          <w:szCs w:val="20"/>
        </w:rPr>
        <w:t xml:space="preserve"> measures for the real estate industry and a supplement to GAAP measures. The National Association of Real Estate Investment Trusts defines FFO as net income (loss) (computed in accordance with GAAP), excluding gains (or losses) from sales of properties, p</w:t>
      </w:r>
      <w:r>
        <w:rPr>
          <w:rFonts w:eastAsia="Times New Roman"/>
          <w:color w:val="000000"/>
          <w:sz w:val="20"/>
          <w:szCs w:val="20"/>
        </w:rPr>
        <w:t>lus real estate related depreciation and amortization, impairment write-downs of real estate and write-downs of investments in an affiliate where the write-downs have been driven by a decrease in the value of real estate held by the affiliate and after adj</w:t>
      </w:r>
      <w:r>
        <w:rPr>
          <w:rFonts w:eastAsia="Times New Roman"/>
          <w:color w:val="000000"/>
          <w:sz w:val="20"/>
          <w:szCs w:val="20"/>
        </w:rPr>
        <w:t>ustments for unconsolidated joint ventures. Adjustments for unconsolidated joint ventures are calculated to reflect FFO on the same basis.</w:t>
      </w:r>
    </w:p>
    <w:p w:rsidR="00000000" w:rsidRDefault="00BA6B82">
      <w:pPr>
        <w:ind w:firstLine="495"/>
        <w:divId w:val="600071532"/>
        <w:rPr>
          <w:rFonts w:eastAsia="Times New Roman"/>
        </w:rPr>
      </w:pPr>
      <w:r>
        <w:rPr>
          <w:rFonts w:eastAsia="Times New Roman"/>
          <w:color w:val="000000"/>
          <w:sz w:val="20"/>
          <w:szCs w:val="20"/>
        </w:rPr>
        <w:t>The Company accounts for its joint venture in Chandler Freehold as a financing arrangement. In connection with this t</w:t>
      </w:r>
      <w:r>
        <w:rPr>
          <w:rFonts w:eastAsia="Times New Roman"/>
          <w:color w:val="000000"/>
          <w:sz w:val="20"/>
          <w:szCs w:val="20"/>
        </w:rPr>
        <w:t>reatment, the Company recognizes financing expense on (i) the changes in fair value of the financing arrangement obligation, (ii) any payments to the joint venture partner equal to their pro rata share of net income and (iii) any payments to the joint vent</w:t>
      </w:r>
      <w:r>
        <w:rPr>
          <w:rFonts w:eastAsia="Times New Roman"/>
          <w:color w:val="000000"/>
          <w:sz w:val="20"/>
          <w:szCs w:val="20"/>
        </w:rPr>
        <w:t>ure partner less than or in excess of their pro rata share of net income. The Company excludes from its definition of FFO the noted expenses related to the changes in fair value and for the payments to the joint venture partner less than or in excess of th</w:t>
      </w:r>
      <w:r>
        <w:rPr>
          <w:rFonts w:eastAsia="Times New Roman"/>
          <w:color w:val="000000"/>
          <w:sz w:val="20"/>
          <w:szCs w:val="20"/>
        </w:rPr>
        <w:t>eir pro rata share of net income. </w:t>
      </w:r>
    </w:p>
    <w:p w:rsidR="00000000" w:rsidRDefault="00BA6B82">
      <w:pPr>
        <w:ind w:firstLine="495"/>
        <w:divId w:val="201526060"/>
        <w:rPr>
          <w:rFonts w:eastAsia="Times New Roman"/>
        </w:rPr>
      </w:pPr>
      <w:r>
        <w:rPr>
          <w:rFonts w:eastAsia="Times New Roman"/>
          <w:color w:val="000000"/>
          <w:sz w:val="20"/>
          <w:szCs w:val="20"/>
        </w:rPr>
        <w:t>The Company also presents FFO excluding financing expense in connection with Chandler Freehold.</w:t>
      </w:r>
    </w:p>
    <w:p w:rsidR="00000000" w:rsidRDefault="00BA6B82">
      <w:pPr>
        <w:ind w:firstLine="495"/>
        <w:divId w:val="392235683"/>
        <w:rPr>
          <w:rFonts w:eastAsia="Times New Roman"/>
        </w:rPr>
      </w:pPr>
      <w:r>
        <w:rPr>
          <w:rFonts w:eastAsia="Times New Roman"/>
          <w:color w:val="000000"/>
          <w:sz w:val="20"/>
          <w:szCs w:val="20"/>
        </w:rPr>
        <w:t xml:space="preserve">FFO and FFO on a diluted basis are useful to investors in comparing operating and financial results between periods. This is </w:t>
      </w:r>
      <w:r>
        <w:rPr>
          <w:rFonts w:eastAsia="Times New Roman"/>
          <w:color w:val="000000"/>
          <w:sz w:val="20"/>
          <w:szCs w:val="20"/>
        </w:rPr>
        <w:t>especially true since FFO excludes real estate depreciation and amortization, as the Company believes real estate values fluctuate based on market conditions rather than depreciating in value ratably on a straight-line basis over time. The Company believes</w:t>
      </w:r>
      <w:r>
        <w:rPr>
          <w:rFonts w:eastAsia="Times New Roman"/>
          <w:color w:val="000000"/>
          <w:sz w:val="20"/>
          <w:szCs w:val="20"/>
        </w:rPr>
        <w:t xml:space="preserve"> that such a presentation also provides investors with a meaningful measure of its operating results in comparison to the operating results of other REITs. In addition, the Company believes that FFO excluding financing expense in connection with Chandler F</w:t>
      </w:r>
      <w:r>
        <w:rPr>
          <w:rFonts w:eastAsia="Times New Roman"/>
          <w:color w:val="000000"/>
          <w:sz w:val="20"/>
          <w:szCs w:val="20"/>
        </w:rPr>
        <w:t>reehold and non-routine costs associated with extinguishment of debt provide useful supplemental information regarding the Company’s performance as they show a more meaningful and consistent comparison of the Company’s operating performance and allows inve</w:t>
      </w:r>
      <w:r>
        <w:rPr>
          <w:rFonts w:eastAsia="Times New Roman"/>
          <w:color w:val="000000"/>
          <w:sz w:val="20"/>
          <w:szCs w:val="20"/>
        </w:rPr>
        <w:t>stors to more easily compare the Company’s results. The Company further believes that FFO on a diluted basis is a measure investors find most useful in measuring the dilutive impact of outstanding convertible securities.</w:t>
      </w:r>
    </w:p>
    <w:p w:rsidR="00000000" w:rsidRDefault="00BA6B82">
      <w:pPr>
        <w:ind w:firstLine="495"/>
        <w:divId w:val="335426272"/>
        <w:rPr>
          <w:rFonts w:eastAsia="Times New Roman"/>
        </w:rPr>
      </w:pPr>
      <w:r>
        <w:rPr>
          <w:rFonts w:eastAsia="Times New Roman"/>
          <w:color w:val="000000"/>
          <w:sz w:val="20"/>
          <w:szCs w:val="20"/>
        </w:rPr>
        <w:t xml:space="preserve">The Company believes that FFO does </w:t>
      </w:r>
      <w:r>
        <w:rPr>
          <w:rFonts w:eastAsia="Times New Roman"/>
          <w:color w:val="000000"/>
          <w:sz w:val="20"/>
          <w:szCs w:val="20"/>
        </w:rPr>
        <w:t xml:space="preserve">not represent cash flow from operations as defined by GAAP, should not be considered as an alternative to net income as defined by GAAP, and is not indicative of cash available to fund all cash flow </w:t>
      </w:r>
    </w:p>
    <w:p w:rsidR="00000000" w:rsidRDefault="00BA6B82">
      <w:pPr>
        <w:jc w:val="center"/>
        <w:divId w:val="1223835780"/>
        <w:rPr>
          <w:rFonts w:eastAsia="Times New Roman"/>
        </w:rPr>
      </w:pPr>
    </w:p>
    <w:p w:rsidR="00000000" w:rsidRDefault="00BA6B82">
      <w:pPr>
        <w:jc w:val="center"/>
        <w:divId w:val="1223835780"/>
        <w:rPr>
          <w:rFonts w:eastAsia="Times New Roman"/>
        </w:rPr>
      </w:pPr>
      <w:r>
        <w:rPr>
          <w:rFonts w:eastAsia="Times New Roman"/>
          <w:color w:val="000000"/>
          <w:sz w:val="20"/>
          <w:szCs w:val="20"/>
        </w:rPr>
        <w:t>35</w:t>
      </w:r>
    </w:p>
    <w:p w:rsidR="00000000" w:rsidRDefault="00BA6B82">
      <w:pPr>
        <w:rPr>
          <w:rFonts w:eastAsia="Times New Roman"/>
        </w:rPr>
      </w:pPr>
      <w:r>
        <w:rPr>
          <w:rFonts w:eastAsia="Times New Roman"/>
        </w:rPr>
        <w:pict>
          <v:rect id="_x0000_i1059" style="width:0;height:1.5pt" o:hralign="center" o:hrstd="t" o:hr="t" fillcolor="#a0a0a0" stroked="f"/>
        </w:pict>
      </w:r>
    </w:p>
    <w:p w:rsidR="00000000" w:rsidRDefault="00BA6B82">
      <w:pPr>
        <w:divId w:val="94326597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276474782"/>
        <w:rPr>
          <w:rFonts w:eastAsia="Times New Roman"/>
        </w:rPr>
      </w:pPr>
      <w:r>
        <w:rPr>
          <w:rFonts w:eastAsia="Times New Roman"/>
          <w:color w:val="000000"/>
          <w:sz w:val="20"/>
          <w:szCs w:val="20"/>
        </w:rPr>
        <w:t>needs. The Company also cautions that FFO, as presented, may not be comparable to similarly titled measures reported by other real estate investment trusts.</w:t>
      </w:r>
    </w:p>
    <w:p w:rsidR="00000000" w:rsidRDefault="00BA6B82">
      <w:pPr>
        <w:ind w:firstLine="495"/>
        <w:divId w:val="1587113523"/>
        <w:rPr>
          <w:rFonts w:eastAsia="Times New Roman"/>
        </w:rPr>
      </w:pPr>
      <w:r>
        <w:rPr>
          <w:rFonts w:eastAsia="Times New Roman"/>
          <w:color w:val="000000"/>
          <w:sz w:val="20"/>
          <w:szCs w:val="20"/>
        </w:rPr>
        <w:t>Management compensates for the limita</w:t>
      </w:r>
      <w:r>
        <w:rPr>
          <w:rFonts w:eastAsia="Times New Roman"/>
          <w:color w:val="000000"/>
          <w:sz w:val="20"/>
          <w:szCs w:val="20"/>
        </w:rPr>
        <w:t>tions of FFO by providing investors with financial statements prepared according to 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diluted. Management believes that to further understand the Compan</w:t>
      </w:r>
      <w:r>
        <w:rPr>
          <w:rFonts w:eastAsia="Times New Roman"/>
          <w:color w:val="000000"/>
          <w:sz w:val="20"/>
          <w:szCs w:val="20"/>
        </w:rPr>
        <w:t>y's performance, FFO should be compared with the Company's reported net (loss) income and considered in addition to cash flows in accordance with GAAP, as presented in the Company's consolidated financial statements.</w:t>
      </w:r>
    </w:p>
    <w:p w:rsidR="00000000" w:rsidRDefault="00BA6B82">
      <w:pPr>
        <w:ind w:firstLine="495"/>
        <w:divId w:val="1278099745"/>
        <w:rPr>
          <w:rFonts w:eastAsia="Times New Roman"/>
        </w:rPr>
      </w:pPr>
      <w:r>
        <w:rPr>
          <w:rFonts w:eastAsia="Times New Roman"/>
          <w:color w:val="000000"/>
          <w:sz w:val="20"/>
          <w:szCs w:val="20"/>
        </w:rPr>
        <w:t>The following reconciles net loss attri</w:t>
      </w:r>
      <w:r>
        <w:rPr>
          <w:rFonts w:eastAsia="Times New Roman"/>
          <w:color w:val="000000"/>
          <w:sz w:val="20"/>
          <w:szCs w:val="20"/>
        </w:rPr>
        <w:t>butable to the Company to FFO and FFO</w:t>
      </w:r>
      <w:r>
        <w:rPr>
          <w:rFonts w:eastAsia="Times New Roman"/>
          <w:color w:val="000000"/>
          <w:sz w:val="18"/>
          <w:szCs w:val="18"/>
        </w:rPr>
        <w:t>—</w:t>
      </w:r>
      <w:r>
        <w:rPr>
          <w:rFonts w:eastAsia="Times New Roman"/>
          <w:color w:val="000000"/>
          <w:sz w:val="20"/>
          <w:szCs w:val="20"/>
        </w:rPr>
        <w:t>diluted attributable to common stockholders and unit holders-basic and diluted, excluding financing expense in connection with Chandler Freehold for the three months ended March 31, 2022 and 2021 (dollars and shares in</w:t>
      </w:r>
      <w:r>
        <w:rPr>
          <w:rFonts w:eastAsia="Times New Roman"/>
          <w:color w:val="000000"/>
          <w:sz w:val="20"/>
          <w:szCs w:val="20"/>
        </w:rPr>
        <w:t xml:space="preserve"> thousands):</w:t>
      </w:r>
    </w:p>
    <w:tbl>
      <w:tblPr>
        <w:tblW w:w="3859" w:type="pct"/>
        <w:tblCellMar>
          <w:top w:w="15" w:type="dxa"/>
          <w:left w:w="15" w:type="dxa"/>
          <w:bottom w:w="15" w:type="dxa"/>
          <w:right w:w="15" w:type="dxa"/>
        </w:tblCellMar>
        <w:tblLook w:val="04A0" w:firstRow="1" w:lastRow="0" w:firstColumn="1" w:lastColumn="0" w:noHBand="0" w:noVBand="1"/>
      </w:tblPr>
      <w:tblGrid>
        <w:gridCol w:w="39"/>
        <w:gridCol w:w="4416"/>
        <w:gridCol w:w="38"/>
        <w:gridCol w:w="36"/>
        <w:gridCol w:w="36"/>
        <w:gridCol w:w="36"/>
        <w:gridCol w:w="36"/>
        <w:gridCol w:w="36"/>
        <w:gridCol w:w="36"/>
        <w:gridCol w:w="36"/>
        <w:gridCol w:w="110"/>
        <w:gridCol w:w="651"/>
        <w:gridCol w:w="36"/>
        <w:gridCol w:w="36"/>
        <w:gridCol w:w="36"/>
        <w:gridCol w:w="36"/>
        <w:gridCol w:w="110"/>
        <w:gridCol w:w="615"/>
        <w:gridCol w:w="36"/>
      </w:tblGrid>
      <w:tr w:rsidR="00000000">
        <w:trPr>
          <w:divId w:val="780683691"/>
        </w:trPr>
        <w:tc>
          <w:tcPr>
            <w:tcW w:w="50" w:type="pct"/>
            <w:vAlign w:val="center"/>
            <w:hideMark/>
          </w:tcPr>
          <w:p w:rsidR="00000000" w:rsidRDefault="00BA6B82">
            <w:pPr>
              <w:ind w:firstLine="495"/>
              <w:rPr>
                <w:rFonts w:eastAsia="Times New Roman"/>
              </w:rPr>
            </w:pPr>
          </w:p>
        </w:tc>
        <w:tc>
          <w:tcPr>
            <w:tcW w:w="359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79"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3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5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2021</w:t>
            </w:r>
          </w:p>
        </w:tc>
      </w:tr>
      <w:tr w:rsidR="00000000">
        <w:trPr>
          <w:divId w:val="78068369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Net loss attributable to the Company</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(37,182)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(63,604)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Adjustments to reconcile net loss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w:t>
            </w: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(1,501)</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(4,356)</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(Gain) loss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(6,453)</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21,283 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Add: noncontrolling interests share of gain (loss)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4,422 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(46)</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15,082 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4,096 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Less: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(4,422)</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(1,191)</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(2,000)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(1,200)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Loss (gain)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29,827 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Add: gain on sale of undepreciated assets—unconsolidated joint ventures(1)</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599 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72,856 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78,396 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(7,813)</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(4,075)</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44,401 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47,106 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(2,950)</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(3,378)</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104,866 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73,004 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7,505 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2,551 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112,371 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75,555 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vAlign w:val="center"/>
            <w:hideMark/>
          </w:tcPr>
          <w:p w:rsidR="00000000" w:rsidRDefault="00BA6B82">
            <w:pPr>
              <w:spacing w:after="100"/>
              <w:jc w:val="right"/>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c>
          <w:tcPr>
            <w:tcW w:w="0" w:type="auto"/>
            <w:gridSpan w:val="3"/>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w:t>
            </w:r>
          </w:p>
        </w:tc>
      </w:tr>
      <w:tr w:rsidR="00000000">
        <w:trPr>
          <w:divId w:val="78068369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223,501 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169,436 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780683691"/>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   Share and unit based compensation plans</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780683691"/>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vAlign w:val="center"/>
            <w:hideMark/>
          </w:tcPr>
          <w:p w:rsidR="00000000" w:rsidRDefault="00BA6B8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223,501 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169,436 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hanging="450"/>
        <w:divId w:val="1442649745"/>
        <w:rPr>
          <w:rFonts w:eastAsia="Times New Roman"/>
        </w:rPr>
      </w:pPr>
      <w:r>
        <w:rPr>
          <w:rFonts w:eastAsia="Times New Roman"/>
          <w:color w:val="000000"/>
          <w:sz w:val="18"/>
          <w:szCs w:val="18"/>
        </w:rPr>
        <w:t>(1)     Unc</w:t>
      </w:r>
      <w:r>
        <w:rPr>
          <w:rFonts w:eastAsia="Times New Roman"/>
          <w:color w:val="000000"/>
          <w:sz w:val="18"/>
          <w:szCs w:val="18"/>
        </w:rPr>
        <w:t>onsolidated joint ventures are presented at the Company's pro rata share.</w:t>
      </w:r>
    </w:p>
    <w:p w:rsidR="00000000" w:rsidRDefault="00BA6B82">
      <w:pPr>
        <w:ind w:hanging="450"/>
        <w:divId w:val="1319193682"/>
        <w:rPr>
          <w:rFonts w:eastAsia="Times New Roman"/>
        </w:rPr>
      </w:pPr>
      <w:r>
        <w:rPr>
          <w:rFonts w:eastAsia="Times New Roman"/>
          <w:color w:val="000000"/>
          <w:sz w:val="18"/>
          <w:szCs w:val="18"/>
        </w:rPr>
        <w:t>(2)     </w:t>
      </w:r>
      <w:r>
        <w:rPr>
          <w:rFonts w:eastAsia="Times New Roman"/>
          <w:color w:val="000000"/>
          <w:sz w:val="18"/>
          <w:szCs w:val="18"/>
        </w:rPr>
        <w:t>Calculated based upon basic net income as adjusted to reach basic FFO. Includes 8.7 million and 10.9 million of OP Units outstanding for the three months ended</w:t>
      </w:r>
      <w:r>
        <w:rPr>
          <w:rFonts w:eastAsia="Times New Roman"/>
          <w:color w:val="000000"/>
          <w:sz w:val="20"/>
          <w:szCs w:val="20"/>
        </w:rPr>
        <w:t xml:space="preserve"> </w:t>
      </w:r>
      <w:r>
        <w:rPr>
          <w:rFonts w:eastAsia="Times New Roman"/>
          <w:color w:val="000000"/>
          <w:sz w:val="18"/>
          <w:szCs w:val="18"/>
        </w:rPr>
        <w:t xml:space="preserve">March 31, 2022 and 2021, respectively. </w:t>
      </w:r>
    </w:p>
    <w:p w:rsidR="00000000" w:rsidRDefault="00BA6B82">
      <w:pPr>
        <w:divId w:val="186020967"/>
        <w:rPr>
          <w:rFonts w:eastAsia="Times New Roman"/>
        </w:rPr>
      </w:pPr>
      <w:r>
        <w:rPr>
          <w:rFonts w:eastAsia="Times New Roman"/>
          <w:color w:val="000000"/>
          <w:sz w:val="18"/>
          <w:szCs w:val="18"/>
        </w:rPr>
        <w:t>The computation of FFO—diluted shares outstanding includ</w:t>
      </w:r>
      <w:r>
        <w:rPr>
          <w:rFonts w:eastAsia="Times New Roman"/>
          <w:color w:val="000000"/>
          <w:sz w:val="18"/>
          <w:szCs w:val="18"/>
        </w:rPr>
        <w:t>es the effect of share and unit-based compensation plans using the treasury stock method. It also assumes the conversion of MACWH, LP common and preferred units to the extent that they are dilutive to the FFO—diluted computation.</w:t>
      </w:r>
    </w:p>
    <w:p w:rsidR="00000000" w:rsidRDefault="00BA6B82">
      <w:pPr>
        <w:jc w:val="center"/>
        <w:divId w:val="976570259"/>
        <w:rPr>
          <w:rFonts w:eastAsia="Times New Roman"/>
        </w:rPr>
      </w:pPr>
    </w:p>
    <w:p w:rsidR="00000000" w:rsidRDefault="00BA6B82">
      <w:pPr>
        <w:jc w:val="center"/>
        <w:divId w:val="976570259"/>
        <w:rPr>
          <w:rFonts w:eastAsia="Times New Roman"/>
        </w:rPr>
      </w:pPr>
      <w:r>
        <w:rPr>
          <w:rFonts w:eastAsia="Times New Roman"/>
          <w:color w:val="000000"/>
          <w:sz w:val="20"/>
          <w:szCs w:val="20"/>
        </w:rPr>
        <w:t>36</w:t>
      </w:r>
    </w:p>
    <w:p w:rsidR="00000000" w:rsidRDefault="00BA6B82">
      <w:pPr>
        <w:rPr>
          <w:rFonts w:eastAsia="Times New Roman"/>
        </w:rPr>
      </w:pPr>
      <w:r>
        <w:rPr>
          <w:rFonts w:eastAsia="Times New Roman"/>
        </w:rPr>
        <w:pict>
          <v:rect id="_x0000_i1060" style="width:0;height:1.5pt" o:hralign="center" o:hrstd="t" o:hr="t" fillcolor="#a0a0a0" stroked="f"/>
        </w:pict>
      </w:r>
    </w:p>
    <w:p w:rsidR="00000000" w:rsidRDefault="00BA6B82">
      <w:pPr>
        <w:divId w:val="2027095637"/>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48443745"/>
        <w:rPr>
          <w:rFonts w:eastAsia="Times New Roman"/>
        </w:rPr>
      </w:pPr>
      <w:r>
        <w:rPr>
          <w:rFonts w:eastAsia="Times New Roman"/>
          <w:b/>
          <w:bCs/>
          <w:color w:val="000000"/>
          <w:sz w:val="20"/>
          <w:szCs w:val="20"/>
        </w:rPr>
        <w:t>Item 3.    Quantitative and Qualitative Disclosures About Market Risk</w:t>
      </w:r>
    </w:p>
    <w:p w:rsidR="00000000" w:rsidRDefault="00BA6B82">
      <w:pPr>
        <w:ind w:firstLine="495"/>
        <w:divId w:val="323434304"/>
        <w:rPr>
          <w:rFonts w:eastAsia="Times New Roman"/>
        </w:rPr>
      </w:pPr>
      <w:r>
        <w:rPr>
          <w:rFonts w:eastAsia="Times New Roman"/>
          <w:color w:val="000000"/>
          <w:sz w:val="20"/>
          <w:szCs w:val="20"/>
        </w:rPr>
        <w:t xml:space="preserve">The Company's primary market risk exposure is interest rate risk. The Company has managed and </w:t>
      </w:r>
      <w:r>
        <w:rPr>
          <w:rFonts w:eastAsia="Times New Roman"/>
          <w:color w:val="000000"/>
          <w:sz w:val="20"/>
          <w:szCs w:val="20"/>
        </w:rPr>
        <w:t>will continue to manage interest rate risk by (1) maintaining a ratio of fixed rate, long-term debt to total debt such that floating rate exposure is kept at an acceptable level, (2) reducing interest rate exposure on certain long-term floating rate debt t</w:t>
      </w:r>
      <w:r>
        <w:rPr>
          <w:rFonts w:eastAsia="Times New Roman"/>
          <w:color w:val="000000"/>
          <w:sz w:val="20"/>
          <w:szCs w:val="20"/>
        </w:rPr>
        <w:t>hrough the use of interest rate caps and/or swaps with matching maturities where appropriate, (3) using treasury rate locks where appropriate to fix rates on anticipated debt transactions, and (4) taking advantage of favorable market conditions for long-te</w:t>
      </w:r>
      <w:r>
        <w:rPr>
          <w:rFonts w:eastAsia="Times New Roman"/>
          <w:color w:val="000000"/>
          <w:sz w:val="20"/>
          <w:szCs w:val="20"/>
        </w:rPr>
        <w:t>rm debt and/or equity.</w:t>
      </w:r>
    </w:p>
    <w:p w:rsidR="00000000" w:rsidRDefault="00BA6B82">
      <w:pPr>
        <w:ind w:firstLine="495"/>
        <w:divId w:val="1555700655"/>
        <w:rPr>
          <w:rFonts w:eastAsia="Times New Roman"/>
        </w:rPr>
      </w:pPr>
      <w:r>
        <w:rPr>
          <w:rFonts w:eastAsia="Times New Roman"/>
          <w:color w:val="000000"/>
          <w:sz w:val="20"/>
          <w:szCs w:val="20"/>
        </w:rPr>
        <w:t>The following table sets forth information as of March 31, 2022 concerning the Company's long-term debt obligations, including principal cash flows by scheduled maturity, weighted average interest rates and estimated fair value (doll</w:t>
      </w:r>
      <w:r>
        <w:rPr>
          <w:rFonts w:eastAsia="Times New Roman"/>
          <w:color w:val="000000"/>
          <w:sz w:val="20"/>
          <w:szCs w:val="20"/>
        </w:rPr>
        <w:t>ars in thousands):</w:t>
      </w:r>
    </w:p>
    <w:tbl>
      <w:tblPr>
        <w:tblW w:w="4912" w:type="pct"/>
        <w:tblCellMar>
          <w:top w:w="15" w:type="dxa"/>
          <w:left w:w="15" w:type="dxa"/>
          <w:bottom w:w="15" w:type="dxa"/>
          <w:right w:w="15" w:type="dxa"/>
        </w:tblCellMar>
        <w:tblLook w:val="04A0" w:firstRow="1" w:lastRow="0" w:firstColumn="1" w:lastColumn="0" w:noHBand="0" w:noVBand="1"/>
      </w:tblPr>
      <w:tblGrid>
        <w:gridCol w:w="95"/>
        <w:gridCol w:w="1467"/>
        <w:gridCol w:w="37"/>
        <w:gridCol w:w="100"/>
        <w:gridCol w:w="680"/>
        <w:gridCol w:w="154"/>
        <w:gridCol w:w="36"/>
        <w:gridCol w:w="36"/>
        <w:gridCol w:w="36"/>
        <w:gridCol w:w="100"/>
        <w:gridCol w:w="560"/>
        <w:gridCol w:w="154"/>
        <w:gridCol w:w="36"/>
        <w:gridCol w:w="36"/>
        <w:gridCol w:w="36"/>
        <w:gridCol w:w="100"/>
        <w:gridCol w:w="68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1555700655"/>
        </w:trPr>
        <w:tc>
          <w:tcPr>
            <w:tcW w:w="50" w:type="pct"/>
            <w:vAlign w:val="center"/>
            <w:hideMark/>
          </w:tcPr>
          <w:p w:rsidR="00000000" w:rsidRDefault="00BA6B82">
            <w:pPr>
              <w:ind w:firstLine="495"/>
              <w:rPr>
                <w:rFonts w:eastAsia="Times New Roman"/>
              </w:rPr>
            </w:pPr>
          </w:p>
        </w:tc>
        <w:tc>
          <w:tcPr>
            <w:tcW w:w="77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2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4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555700655"/>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r w:rsidR="00000000">
        <w:trPr>
          <w:divId w:val="1555700655"/>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For the twelve months ending 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r>
      <w:tr w:rsidR="00000000">
        <w:trPr>
          <w:divId w:val="1555700655"/>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Fair Value</w:t>
            </w:r>
          </w:p>
        </w:tc>
      </w:tr>
      <w:tr w:rsidR="00000000">
        <w:trPr>
          <w:divId w:val="15557006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5557006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BA6B82">
        <w:trPr>
          <w:divId w:val="1555700655"/>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Fixed rate</w:t>
            </w: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725,098 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98,749 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978,205 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218,289 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325,000 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1,460,000 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3,805,341 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3,645,423 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55700655"/>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5.73 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3.59 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3.94 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r>
      <w:tr w:rsidR="00000000">
        <w:trPr>
          <w:divId w:val="1555700655"/>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427,820 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192,102 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76,000 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695,922 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678,095 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55700655"/>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2.57 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2.74 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r>
      <w:tr w:rsidR="00BA6B82">
        <w:trPr>
          <w:divId w:val="15557006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1,152,918 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290,851 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1,054,205 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218,289 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325,000 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1,460,000 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4,501,263 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4,323,518 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557006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000000">
        <w:trPr>
          <w:divId w:val="155570065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 </w:t>
            </w:r>
          </w:p>
        </w:tc>
      </w:tr>
      <w:tr w:rsidR="00BA6B82">
        <w:trPr>
          <w:divId w:val="1555700655"/>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393,868 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653,241 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32,343 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227,668 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345,802 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1,046,215 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2,699,137 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2,621,669 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55700655"/>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3.70 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3.95 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4.13 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3.63 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r>
      <w:tr w:rsidR="00000000">
        <w:trPr>
          <w:divId w:val="1555700655"/>
        </w:trPr>
        <w:tc>
          <w:tcPr>
            <w:tcW w:w="0" w:type="auto"/>
            <w:gridSpan w:val="3"/>
            <w:shd w:val="clear" w:color="auto" w:fill="CCEE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11,500 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66,809 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121,750 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200,059 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180,890 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r w:rsidR="00000000">
        <w:trPr>
          <w:divId w:val="1555700655"/>
        </w:trPr>
        <w:tc>
          <w:tcPr>
            <w:tcW w:w="0" w:type="auto"/>
            <w:gridSpan w:val="3"/>
            <w:shd w:val="clear" w:color="auto" w:fill="FFFFFF"/>
            <w:tcMar>
              <w:top w:w="30" w:type="dxa"/>
              <w:left w:w="155"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1.93 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3.09 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jc w:val="right"/>
              <w:rPr>
                <w:rFonts w:eastAsia="Times New Roman"/>
              </w:rPr>
            </w:pPr>
            <w:r>
              <w:rPr>
                <w:rFonts w:eastAsia="Times New Roman"/>
                <w:color w:val="000000"/>
                <w:sz w:val="16"/>
                <w:szCs w:val="16"/>
              </w:rPr>
              <w:t> </w:t>
            </w:r>
          </w:p>
        </w:tc>
      </w:tr>
      <w:tr w:rsidR="00BA6B82">
        <w:trPr>
          <w:divId w:val="155570065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6"/>
                <w:szCs w:val="16"/>
              </w:rPr>
              <w:t>Total debt—Unconsolidated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393,868 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664,741 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99,152 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227,668 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467,552 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1,046,215 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2,899,196 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6"/>
                <w:szCs w:val="16"/>
              </w:rPr>
              <w:t>2,802,559 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r>
    </w:tbl>
    <w:p w:rsidR="00000000" w:rsidRDefault="00BA6B82">
      <w:pPr>
        <w:ind w:firstLine="495"/>
        <w:divId w:val="291446033"/>
        <w:rPr>
          <w:rFonts w:eastAsia="Times New Roman"/>
        </w:rPr>
      </w:pPr>
    </w:p>
    <w:p w:rsidR="00000000" w:rsidRDefault="00BA6B82">
      <w:pPr>
        <w:ind w:firstLine="495"/>
        <w:divId w:val="382172454"/>
        <w:rPr>
          <w:rFonts w:eastAsia="Times New Roman"/>
        </w:rPr>
      </w:pPr>
      <w:r>
        <w:rPr>
          <w:rFonts w:eastAsia="Times New Roman"/>
          <w:color w:val="000000"/>
          <w:sz w:val="20"/>
          <w:szCs w:val="20"/>
        </w:rPr>
        <w:t xml:space="preserve">The Consolidated Centers' total fixed rate debt at each of March 31, 2022 and December 31, 2021 was $3.8 billion. The average interest rate on the fixed rate debt at each </w:t>
      </w:r>
      <w:r>
        <w:rPr>
          <w:rFonts w:eastAsia="Times New Roman"/>
          <w:color w:val="000000"/>
          <w:sz w:val="20"/>
          <w:szCs w:val="20"/>
        </w:rPr>
        <w:t>of March 31, 2022 and December 31, 2021 was 3.94%. The Consolidated Centers' total floating rate debt at each of March 31, 2022 and December 31, 2021 was $695.9 million and $738.9 million, respectively. The average interest rate on the floating rate debt a</w:t>
      </w:r>
      <w:r>
        <w:rPr>
          <w:rFonts w:eastAsia="Times New Roman"/>
          <w:color w:val="000000"/>
          <w:sz w:val="20"/>
          <w:szCs w:val="20"/>
        </w:rPr>
        <w:t>t March 31, 2022 and December 31, 2021 was 2.74% and 2.61%, respectively.</w:t>
      </w:r>
    </w:p>
    <w:p w:rsidR="00000000" w:rsidRDefault="00BA6B82">
      <w:pPr>
        <w:ind w:firstLine="495"/>
        <w:divId w:val="1335494677"/>
        <w:rPr>
          <w:rFonts w:eastAsia="Times New Roman"/>
        </w:rPr>
      </w:pPr>
      <w:r>
        <w:rPr>
          <w:rFonts w:eastAsia="Times New Roman"/>
          <w:color w:val="000000"/>
          <w:sz w:val="20"/>
          <w:szCs w:val="20"/>
        </w:rPr>
        <w:t>The Company's pro rata share of the unconsolidated joint venture Centers' fixed rate debt at March 31, 2022 and December 31, 2021 was $2.7 billion and $2.8 billion, respectively. The</w:t>
      </w:r>
      <w:r>
        <w:rPr>
          <w:rFonts w:eastAsia="Times New Roman"/>
          <w:color w:val="000000"/>
          <w:sz w:val="20"/>
          <w:szCs w:val="20"/>
        </w:rPr>
        <w:t xml:space="preserve"> average interest rate on the fixed rate debt at March 31, 2022 and December 31, 2021 was 3.82% and 3.83%, respectively. The Company's pro rata share of the unconsolidated joint venture Centers' floating rate debt at March 31, 2022 and December 31, 2021 wa</w:t>
      </w:r>
      <w:r>
        <w:rPr>
          <w:rFonts w:eastAsia="Times New Roman"/>
          <w:color w:val="000000"/>
          <w:sz w:val="20"/>
          <w:szCs w:val="20"/>
        </w:rPr>
        <w:t>s $200.1 million and $104.3 million, respectively. The average interest rate on the floating rate debt at March 31, 2022 and December 31, 2021 was 3.09% and 2.60%, respectively.</w:t>
      </w:r>
    </w:p>
    <w:p w:rsidR="00000000" w:rsidRDefault="00BA6B82">
      <w:pPr>
        <w:ind w:firstLine="495"/>
        <w:divId w:val="434373651"/>
        <w:rPr>
          <w:rFonts w:eastAsia="Times New Roman"/>
        </w:rPr>
      </w:pPr>
      <w:r>
        <w:rPr>
          <w:rFonts w:eastAsia="Times New Roman"/>
          <w:color w:val="000000"/>
          <w:sz w:val="20"/>
          <w:szCs w:val="20"/>
        </w:rPr>
        <w:t>The Company uses derivative financial instruments in the normal course of busi</w:t>
      </w:r>
      <w:r>
        <w:rPr>
          <w:rFonts w:eastAsia="Times New Roman"/>
          <w:color w:val="000000"/>
          <w:sz w:val="20"/>
          <w:szCs w:val="20"/>
        </w:rPr>
        <w:t>ness to manage or hedge interest rate risk and records all derivatives on the balance sheet at fair value. Interest rate cap agreements offer protection against floating rates on the notional amount from exceeding the rates noted in the above schedule, and</w:t>
      </w:r>
      <w:r>
        <w:rPr>
          <w:rFonts w:eastAsia="Times New Roman"/>
          <w:color w:val="000000"/>
          <w:sz w:val="20"/>
          <w:szCs w:val="20"/>
        </w:rPr>
        <w:t xml:space="preserve"> interest rate swap agreements effectively replace a floating rate on the notional amount with a fixed rate as noted above. As of March 31, 2022, the Company has three interest rate cap agreements in place (See Note 4—Investments in Unconsolidated Joint Ve</w:t>
      </w:r>
      <w:r>
        <w:rPr>
          <w:rFonts w:eastAsia="Times New Roman"/>
          <w:color w:val="000000"/>
          <w:sz w:val="20"/>
          <w:szCs w:val="20"/>
        </w:rPr>
        <w:t>ntures and Note 5—Derivative Instruments and Hedging Activities in the Company's Notes to the Consolidated Financial Statements).</w:t>
      </w:r>
    </w:p>
    <w:p w:rsidR="00000000" w:rsidRDefault="00BA6B82">
      <w:pPr>
        <w:jc w:val="center"/>
        <w:divId w:val="1263076930"/>
        <w:rPr>
          <w:rFonts w:eastAsia="Times New Roman"/>
        </w:rPr>
      </w:pPr>
    </w:p>
    <w:p w:rsidR="00000000" w:rsidRDefault="00BA6B82">
      <w:pPr>
        <w:jc w:val="center"/>
        <w:divId w:val="1263076930"/>
        <w:rPr>
          <w:rFonts w:eastAsia="Times New Roman"/>
        </w:rPr>
      </w:pPr>
      <w:r>
        <w:rPr>
          <w:rFonts w:eastAsia="Times New Roman"/>
          <w:color w:val="000000"/>
          <w:sz w:val="20"/>
          <w:szCs w:val="20"/>
        </w:rPr>
        <w:t>37</w:t>
      </w:r>
    </w:p>
    <w:p w:rsidR="00000000" w:rsidRDefault="00BA6B82">
      <w:pPr>
        <w:rPr>
          <w:rFonts w:eastAsia="Times New Roman"/>
        </w:rPr>
      </w:pPr>
      <w:r>
        <w:rPr>
          <w:rFonts w:eastAsia="Times New Roman"/>
        </w:rPr>
        <w:pict>
          <v:rect id="_x0000_i1061" style="width:0;height:1.5pt" o:hralign="center" o:hrstd="t" o:hr="t" fillcolor="#a0a0a0" stroked="f"/>
        </w:pict>
      </w:r>
    </w:p>
    <w:p w:rsidR="00000000" w:rsidRDefault="00BA6B82">
      <w:pPr>
        <w:divId w:val="119079961"/>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ind w:firstLine="495"/>
        <w:divId w:val="932009882"/>
        <w:rPr>
          <w:rFonts w:eastAsia="Times New Roman"/>
        </w:rPr>
      </w:pPr>
      <w:r>
        <w:rPr>
          <w:rFonts w:eastAsia="Times New Roman"/>
          <w:color w:val="000000"/>
          <w:sz w:val="20"/>
          <w:szCs w:val="20"/>
        </w:rPr>
        <w:t>In addit</w:t>
      </w:r>
      <w:r>
        <w:rPr>
          <w:rFonts w:eastAsia="Times New Roman"/>
          <w:color w:val="000000"/>
          <w:sz w:val="20"/>
          <w:szCs w:val="20"/>
        </w:rPr>
        <w:t>ion, the Company has assessed the market risk for its floating rate debt and believes that a 1% increase in interest rates would decrease future earnings and cash flows by approximately $9.0 million per year based on $0.9 billion of floating rate debt outs</w:t>
      </w:r>
      <w:r>
        <w:rPr>
          <w:rFonts w:eastAsia="Times New Roman"/>
          <w:color w:val="000000"/>
          <w:sz w:val="20"/>
          <w:szCs w:val="20"/>
        </w:rPr>
        <w:t>tanding at March 31, 2022.</w:t>
      </w:r>
    </w:p>
    <w:p w:rsidR="00000000" w:rsidRDefault="00BA6B82">
      <w:pPr>
        <w:ind w:firstLine="495"/>
        <w:divId w:val="1587685478"/>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method of co</w:t>
      </w:r>
      <w:r>
        <w:rPr>
          <w:rFonts w:eastAsia="Times New Roman"/>
          <w:color w:val="000000"/>
          <w:sz w:val="20"/>
          <w:szCs w:val="20"/>
        </w:rPr>
        <w:t xml:space="preserve">mputing fair value for mortgage notes payable included a credit value adjustment based on the estimated value of the property that serves as collateral for the underlying debt (See Note 10—Mortgage Notes Payable and Note 11—Bank and Other Notes Payable in </w:t>
      </w:r>
      <w:r>
        <w:rPr>
          <w:rFonts w:eastAsia="Times New Roman"/>
          <w:color w:val="000000"/>
          <w:sz w:val="20"/>
          <w:szCs w:val="20"/>
        </w:rPr>
        <w:t>the Company's Notes to the Consolidated Financial Statements).</w:t>
      </w:r>
    </w:p>
    <w:p w:rsidR="00000000" w:rsidRDefault="00BA6B82">
      <w:pPr>
        <w:ind w:firstLine="495"/>
        <w:divId w:val="1712343925"/>
        <w:rPr>
          <w:rFonts w:eastAsia="Times New Roman"/>
        </w:rPr>
      </w:pPr>
      <w:r>
        <w:rPr>
          <w:rFonts w:eastAsia="Times New Roman"/>
          <w:color w:val="000000"/>
          <w:sz w:val="20"/>
          <w:szCs w:val="20"/>
        </w:rPr>
        <w:t xml:space="preserve">The LIBOR benchmark has been the subject of national, international and other regulatory guidance and proposals for reform and replacement, with most LIBOR settings relevant to the Company not </w:t>
      </w:r>
      <w:r>
        <w:rPr>
          <w:rFonts w:eastAsia="Times New Roman"/>
          <w:color w:val="000000"/>
          <w:sz w:val="20"/>
          <w:szCs w:val="20"/>
        </w:rPr>
        <w:t>expected to be published after June 30, 2023. As a result, any of the Company's LIBOR-based borrowings that extend beyond such date will need to be converted to a replacement rate. If a contract is not transitioned to an alternative variable rate and LIBOR</w:t>
      </w:r>
      <w:r>
        <w:rPr>
          <w:rFonts w:eastAsia="Times New Roman"/>
          <w:color w:val="000000"/>
          <w:sz w:val="20"/>
          <w:szCs w:val="20"/>
        </w:rPr>
        <w:t xml:space="preserve"> is discontinued, the impact is likely to vary by contract. As of March 31, 2022, each of the agreements governing the Company's variable rate debt provides for the replacement of LIBOR if it becomes unavailable during the term of such agreement.</w:t>
      </w:r>
    </w:p>
    <w:p w:rsidR="00000000" w:rsidRDefault="00BA6B82">
      <w:pPr>
        <w:ind w:firstLine="495"/>
        <w:divId w:val="1573928228"/>
        <w:rPr>
          <w:rFonts w:eastAsia="Times New Roman"/>
        </w:rPr>
      </w:pPr>
      <w:r>
        <w:rPr>
          <w:rFonts w:eastAsia="Times New Roman"/>
          <w:color w:val="000000"/>
          <w:sz w:val="20"/>
          <w:szCs w:val="20"/>
        </w:rPr>
        <w:t>The disco</w:t>
      </w:r>
      <w:r>
        <w:rPr>
          <w:rFonts w:eastAsia="Times New Roman"/>
          <w:color w:val="000000"/>
          <w:sz w:val="20"/>
          <w:szCs w:val="20"/>
        </w:rPr>
        <w:t>ntinuation of LIBOR will not affect the Company's ability to borrow or maintain already outstanding borrowings or swaps, but if the Company's contracts indexed to LIBOR, including certain contracts governing the Company's variable rate debt, the variable r</w:t>
      </w:r>
      <w:r>
        <w:rPr>
          <w:rFonts w:eastAsia="Times New Roman"/>
          <w:color w:val="000000"/>
          <w:sz w:val="20"/>
          <w:szCs w:val="20"/>
        </w:rPr>
        <w:t>ate debt of the Company's joint ventures and the Company's interest rate swaps, are converted to an alternative rate, the differences could result in interest costs that are higher than if LIBOR remained available. It is not yet possible to predict the mag</w:t>
      </w:r>
      <w:r>
        <w:rPr>
          <w:rFonts w:eastAsia="Times New Roman"/>
          <w:color w:val="000000"/>
          <w:sz w:val="20"/>
          <w:szCs w:val="20"/>
        </w:rPr>
        <w:t xml:space="preserve">nitude of LIBOR’s end on the Company's borrowing costs given the remaining uncertainty about which rates will replace LIBOR. </w:t>
      </w:r>
    </w:p>
    <w:p w:rsidR="00000000" w:rsidRDefault="00BA6B82">
      <w:pPr>
        <w:ind w:hanging="360"/>
        <w:divId w:val="399060655"/>
        <w:rPr>
          <w:rFonts w:eastAsia="Times New Roman"/>
        </w:rPr>
      </w:pPr>
      <w:r>
        <w:rPr>
          <w:rFonts w:eastAsia="Times New Roman"/>
          <w:b/>
          <w:bCs/>
          <w:color w:val="000000"/>
          <w:sz w:val="20"/>
          <w:szCs w:val="20"/>
        </w:rPr>
        <w:t>Item 4.    Controls and Procedures</w:t>
      </w:r>
    </w:p>
    <w:p w:rsidR="00000000" w:rsidRDefault="00BA6B82">
      <w:pPr>
        <w:ind w:firstLine="495"/>
        <w:divId w:val="342167065"/>
        <w:rPr>
          <w:rFonts w:eastAsia="Times New Roman"/>
        </w:rPr>
      </w:pPr>
      <w:r>
        <w:rPr>
          <w:rFonts w:eastAsia="Times New Roman"/>
          <w:color w:val="000000"/>
          <w:sz w:val="20"/>
          <w:szCs w:val="20"/>
        </w:rPr>
        <w:t>As required by Rule 13a-15(b) under the Securities Exchange Act of 1934, management carried out</w:t>
      </w:r>
      <w:r>
        <w:rPr>
          <w:rFonts w:eastAsia="Times New Roman"/>
          <w:color w:val="000000"/>
          <w:sz w:val="20"/>
          <w:szCs w:val="20"/>
        </w:rPr>
        <w:t xml:space="preserve"> an evaluation, under the supervision and with the participation of the Company's Chief Executive Officer and Chief Financial Officer, of the effectiveness of the Company's disclosure controls and procedures as of the end of the period covered by this Quar</w:t>
      </w:r>
      <w:r>
        <w:rPr>
          <w:rFonts w:eastAsia="Times New Roman"/>
          <w:color w:val="000000"/>
          <w:sz w:val="20"/>
          <w:szCs w:val="20"/>
        </w:rPr>
        <w:t>terly Report on Form 10-Q. Based on their evaluation as of March 31, 2022, the Company's Chief Executive Officer and Chief Financial Officer have concluded that the Company's disclosure controls and procedures (as defined in Rule 13a-15(e) and 15d-15(e) un</w:t>
      </w:r>
      <w:r>
        <w:rPr>
          <w:rFonts w:eastAsia="Times New Roman"/>
          <w:color w:val="000000"/>
          <w:sz w:val="20"/>
          <w:szCs w:val="20"/>
        </w:rPr>
        <w:t>der the Securities Exchange Act of 1934, as amended) were effective to ensure that the information required to be disclosed by the Company in the reports that it files or submits under the Securities Exchange Act of 1934 is (a) recorded, processed, summari</w:t>
      </w:r>
      <w:r>
        <w:rPr>
          <w:rFonts w:eastAsia="Times New Roman"/>
          <w:color w:val="000000"/>
          <w:sz w:val="20"/>
          <w:szCs w:val="20"/>
        </w:rPr>
        <w:t>zed, and reported within the time periods specified in the SEC's rules and forms and (b) accumulated and communicated to the Company's management, including its Chief Executive Officer and Chief Financial Officer, or persons performing similar functions, a</w:t>
      </w:r>
      <w:r>
        <w:rPr>
          <w:rFonts w:eastAsia="Times New Roman"/>
          <w:color w:val="000000"/>
          <w:sz w:val="20"/>
          <w:szCs w:val="20"/>
        </w:rPr>
        <w:t>s appropriate to allow timely decisions regarding required disclosure.</w:t>
      </w:r>
    </w:p>
    <w:p w:rsidR="00000000" w:rsidRDefault="00BA6B82">
      <w:pPr>
        <w:ind w:firstLine="495"/>
        <w:divId w:val="1538664477"/>
        <w:rPr>
          <w:rFonts w:eastAsia="Times New Roman"/>
        </w:rPr>
      </w:pPr>
      <w:r>
        <w:rPr>
          <w:rFonts w:eastAsia="Times New Roman"/>
          <w:color w:val="000000"/>
          <w:sz w:val="20"/>
          <w:szCs w:val="20"/>
        </w:rPr>
        <w:t>In addition, there has been no change in the Company's internal control over financial reporting (as such term is defined in Rules 13a-15(f) and 15(d)-15(f) under the Securities Exchange Act of 1934) that occurred during the Company's most recent fiscal qu</w:t>
      </w:r>
      <w:r>
        <w:rPr>
          <w:rFonts w:eastAsia="Times New Roman"/>
          <w:color w:val="000000"/>
          <w:sz w:val="20"/>
          <w:szCs w:val="20"/>
        </w:rPr>
        <w:t>arter that has materially affected, or is reasonably likely to materially affect, the Company's internal control over financial reporting.</w:t>
      </w:r>
    </w:p>
    <w:p w:rsidR="00000000" w:rsidRDefault="00BA6B82">
      <w:pPr>
        <w:ind w:firstLine="495"/>
        <w:divId w:val="1735152781"/>
        <w:rPr>
          <w:rFonts w:eastAsia="Times New Roman"/>
        </w:rPr>
      </w:pPr>
    </w:p>
    <w:p w:rsidR="00000000" w:rsidRDefault="00BA6B82">
      <w:pPr>
        <w:jc w:val="center"/>
        <w:divId w:val="1347975342"/>
        <w:rPr>
          <w:rFonts w:eastAsia="Times New Roman"/>
        </w:rPr>
      </w:pPr>
      <w:r>
        <w:rPr>
          <w:rFonts w:eastAsia="Times New Roman"/>
          <w:b/>
          <w:bCs/>
          <w:color w:val="000000"/>
          <w:sz w:val="20"/>
          <w:szCs w:val="20"/>
        </w:rPr>
        <w:t>PART II OTHER INFORMATION</w:t>
      </w:r>
    </w:p>
    <w:p w:rsidR="00000000" w:rsidRDefault="00BA6B82">
      <w:pPr>
        <w:divId w:val="1763524951"/>
        <w:rPr>
          <w:rFonts w:eastAsia="Times New Roman"/>
        </w:rPr>
      </w:pPr>
      <w:r>
        <w:rPr>
          <w:rFonts w:eastAsia="Times New Roman"/>
          <w:b/>
          <w:bCs/>
          <w:color w:val="000000"/>
          <w:sz w:val="20"/>
          <w:szCs w:val="20"/>
        </w:rPr>
        <w:t>Item 1.   Legal Proceedings</w:t>
      </w:r>
    </w:p>
    <w:p w:rsidR="00000000" w:rsidRDefault="00BA6B82">
      <w:pPr>
        <w:ind w:firstLine="495"/>
        <w:divId w:val="827791735"/>
        <w:rPr>
          <w:rFonts w:eastAsia="Times New Roman"/>
        </w:rPr>
      </w:pPr>
      <w:r>
        <w:rPr>
          <w:rFonts w:eastAsia="Times New Roman"/>
          <w:color w:val="000000"/>
          <w:sz w:val="20"/>
          <w:szCs w:val="20"/>
        </w:rPr>
        <w:t>None of the Company, the Operating Partnership, the Managemen</w:t>
      </w:r>
      <w:r>
        <w:rPr>
          <w:rFonts w:eastAsia="Times New Roman"/>
          <w:color w:val="000000"/>
          <w:sz w:val="20"/>
          <w:szCs w:val="20"/>
        </w:rPr>
        <w:t>t Companies or their respective affiliates are currently involved in any material legal proceedings, although from time-to-time they are involved in various legal proceedings that arise in the ordinary course of business.</w:t>
      </w:r>
    </w:p>
    <w:p w:rsidR="00000000" w:rsidRDefault="00BA6B82">
      <w:pPr>
        <w:divId w:val="43069689"/>
        <w:rPr>
          <w:rFonts w:eastAsia="Times New Roman"/>
        </w:rPr>
      </w:pPr>
      <w:r>
        <w:rPr>
          <w:rFonts w:eastAsia="Times New Roman"/>
          <w:b/>
          <w:bCs/>
          <w:color w:val="000000"/>
          <w:sz w:val="20"/>
          <w:szCs w:val="20"/>
        </w:rPr>
        <w:t>Item 1A.  Risk Factors</w:t>
      </w:r>
    </w:p>
    <w:p w:rsidR="00000000" w:rsidRDefault="00BA6B82">
      <w:pPr>
        <w:ind w:firstLine="495"/>
        <w:divId w:val="1573078465"/>
        <w:rPr>
          <w:rFonts w:eastAsia="Times New Roman"/>
        </w:rPr>
      </w:pPr>
      <w:r>
        <w:rPr>
          <w:rFonts w:eastAsia="Times New Roman"/>
          <w:color w:val="000000"/>
          <w:sz w:val="20"/>
          <w:szCs w:val="20"/>
        </w:rPr>
        <w:t>There have been no material changes to the risk factors relating to the Company set forth under the caption "Item 1A. Risk Factors" in the Company's Annual Report on Form 10-K for the year ended December 31, 2021.</w:t>
      </w:r>
    </w:p>
    <w:p w:rsidR="00000000" w:rsidRDefault="00BA6B82">
      <w:pPr>
        <w:ind w:firstLine="495"/>
        <w:divId w:val="463276998"/>
        <w:rPr>
          <w:rFonts w:eastAsia="Times New Roman"/>
        </w:rPr>
      </w:pPr>
    </w:p>
    <w:p w:rsidR="00000000" w:rsidRDefault="00BA6B82">
      <w:pPr>
        <w:ind w:firstLine="495"/>
        <w:divId w:val="761075570"/>
        <w:rPr>
          <w:rFonts w:eastAsia="Times New Roman"/>
        </w:rPr>
      </w:pPr>
    </w:p>
    <w:p w:rsidR="00000000" w:rsidRDefault="00BA6B82">
      <w:pPr>
        <w:ind w:firstLine="495"/>
        <w:divId w:val="1865749851"/>
        <w:rPr>
          <w:rFonts w:eastAsia="Times New Roman"/>
        </w:rPr>
      </w:pPr>
    </w:p>
    <w:p w:rsidR="00000000" w:rsidRDefault="00BA6B82">
      <w:pPr>
        <w:ind w:firstLine="495"/>
        <w:divId w:val="1293943842"/>
        <w:rPr>
          <w:rFonts w:eastAsia="Times New Roman"/>
        </w:rPr>
      </w:pPr>
    </w:p>
    <w:p w:rsidR="00000000" w:rsidRDefault="00BA6B82">
      <w:pPr>
        <w:jc w:val="center"/>
        <w:divId w:val="310404441"/>
        <w:rPr>
          <w:rFonts w:eastAsia="Times New Roman"/>
        </w:rPr>
      </w:pPr>
    </w:p>
    <w:p w:rsidR="00000000" w:rsidRDefault="00BA6B82">
      <w:pPr>
        <w:jc w:val="center"/>
        <w:divId w:val="310404441"/>
        <w:rPr>
          <w:rFonts w:eastAsia="Times New Roman"/>
        </w:rPr>
      </w:pPr>
      <w:r>
        <w:rPr>
          <w:rFonts w:eastAsia="Times New Roman"/>
          <w:color w:val="000000"/>
          <w:sz w:val="20"/>
          <w:szCs w:val="20"/>
        </w:rPr>
        <w:t>38</w:t>
      </w:r>
    </w:p>
    <w:p w:rsidR="00000000" w:rsidRDefault="00BA6B82">
      <w:pPr>
        <w:rPr>
          <w:rFonts w:eastAsia="Times New Roman"/>
        </w:rPr>
      </w:pPr>
      <w:r>
        <w:rPr>
          <w:rFonts w:eastAsia="Times New Roman"/>
        </w:rPr>
        <w:pict>
          <v:rect id="_x0000_i1062" style="width:0;height:1.5pt" o:hralign="center" o:hrstd="t" o:hr="t" fillcolor="#a0a0a0" stroked="f"/>
        </w:pict>
      </w:r>
    </w:p>
    <w:p w:rsidR="00000000" w:rsidRDefault="00BA6B82">
      <w:pPr>
        <w:divId w:val="1914391910"/>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921909462"/>
        <w:rPr>
          <w:rFonts w:eastAsia="Times New Roman"/>
        </w:rPr>
      </w:pPr>
      <w:r>
        <w:rPr>
          <w:rFonts w:eastAsia="Times New Roman"/>
          <w:b/>
          <w:bCs/>
          <w:color w:val="000000"/>
          <w:sz w:val="20"/>
          <w:szCs w:val="20"/>
        </w:rPr>
        <w:t>Item 2.  Unregistered Sales of Equity Securities and Use of Proceeds</w:t>
      </w:r>
    </w:p>
    <w:p w:rsidR="00000000" w:rsidRDefault="00BA6B82">
      <w:pPr>
        <w:ind w:firstLine="495"/>
        <w:divId w:val="1209805881"/>
        <w:rPr>
          <w:rFonts w:eastAsia="Times New Roman"/>
        </w:rPr>
      </w:pPr>
      <w:r>
        <w:rPr>
          <w:rFonts w:eastAsia="Times New Roman"/>
          <w:color w:val="000000"/>
          <w:sz w:val="20"/>
          <w:szCs w:val="20"/>
        </w:rPr>
        <w:t>None</w:t>
      </w:r>
    </w:p>
    <w:p w:rsidR="00000000" w:rsidRDefault="00BA6B82">
      <w:pPr>
        <w:divId w:val="863248785"/>
        <w:rPr>
          <w:rFonts w:eastAsia="Times New Roman"/>
        </w:rPr>
      </w:pPr>
      <w:r>
        <w:rPr>
          <w:rFonts w:eastAsia="Times New Roman"/>
          <w:b/>
          <w:bCs/>
          <w:color w:val="000000"/>
          <w:sz w:val="20"/>
          <w:szCs w:val="20"/>
        </w:rPr>
        <w:t>Issuer Purchases of Equity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7"/>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09"/>
        <w:gridCol w:w="36"/>
      </w:tblGrid>
      <w:tr w:rsidR="00000000">
        <w:trPr>
          <w:divId w:val="863248785"/>
        </w:trPr>
        <w:tc>
          <w:tcPr>
            <w:tcW w:w="50" w:type="pct"/>
            <w:vAlign w:val="center"/>
            <w:hideMark/>
          </w:tcPr>
          <w:p w:rsidR="00000000" w:rsidRDefault="00BA6B82">
            <w:pPr>
              <w:rPr>
                <w:rFonts w:eastAsia="Times New Roman"/>
              </w:rPr>
            </w:pPr>
          </w:p>
        </w:tc>
        <w:tc>
          <w:tcPr>
            <w:tcW w:w="151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3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2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54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10"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23"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71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8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863248785"/>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r>
      <w:tr w:rsidR="00000000">
        <w:trPr>
          <w:divId w:val="86324878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January 1, 2022 to January 31, 2022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r>
      <w:tr w:rsidR="00000000">
        <w:trPr>
          <w:divId w:val="86324878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February 1, 2022 to February 28, 2022</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r>
      <w:tr w:rsidR="00000000">
        <w:trPr>
          <w:divId w:val="863248785"/>
        </w:trPr>
        <w:tc>
          <w:tcPr>
            <w:tcW w:w="0" w:type="auto"/>
            <w:gridSpan w:val="3"/>
            <w:shd w:val="clear" w:color="auto" w:fill="CCEE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March 1, 2022 to March 31, 2022</w:t>
            </w: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r>
      <w:tr w:rsidR="00000000">
        <w:trPr>
          <w:divId w:val="863248785"/>
        </w:trPr>
        <w:tc>
          <w:tcPr>
            <w:tcW w:w="0" w:type="auto"/>
            <w:gridSpan w:val="3"/>
            <w:shd w:val="clear" w:color="auto" w:fill="FFFFFF"/>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BA6B8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A6B8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A6B8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ind w:hanging="630"/>
        <w:divId w:val="1294091407"/>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rsidR="00000000" w:rsidRDefault="00BA6B82">
      <w:pPr>
        <w:divId w:val="1040323742"/>
        <w:rPr>
          <w:rFonts w:eastAsia="Times New Roman"/>
        </w:rPr>
      </w:pPr>
      <w:r>
        <w:rPr>
          <w:rFonts w:eastAsia="Times New Roman"/>
          <w:b/>
          <w:bCs/>
          <w:color w:val="000000"/>
          <w:sz w:val="20"/>
          <w:szCs w:val="20"/>
        </w:rPr>
        <w:t>Item 3.  Defaults Upon Senior Securities</w:t>
      </w:r>
    </w:p>
    <w:p w:rsidR="00000000" w:rsidRDefault="00BA6B82">
      <w:pPr>
        <w:ind w:firstLine="495"/>
        <w:divId w:val="1830976114"/>
        <w:rPr>
          <w:rFonts w:eastAsia="Times New Roman"/>
        </w:rPr>
      </w:pPr>
      <w:r>
        <w:rPr>
          <w:rFonts w:eastAsia="Times New Roman"/>
          <w:color w:val="000000"/>
          <w:sz w:val="20"/>
          <w:szCs w:val="20"/>
        </w:rPr>
        <w:t>Not Applicable</w:t>
      </w:r>
    </w:p>
    <w:p w:rsidR="00000000" w:rsidRDefault="00BA6B82">
      <w:pPr>
        <w:divId w:val="183442993"/>
        <w:rPr>
          <w:rFonts w:eastAsia="Times New Roman"/>
        </w:rPr>
      </w:pPr>
      <w:r>
        <w:rPr>
          <w:rFonts w:eastAsia="Times New Roman"/>
          <w:b/>
          <w:bCs/>
          <w:color w:val="000000"/>
          <w:sz w:val="20"/>
          <w:szCs w:val="20"/>
        </w:rPr>
        <w:t>Item 4.  Mine Safety Disclosures</w:t>
      </w:r>
    </w:p>
    <w:p w:rsidR="00000000" w:rsidRDefault="00BA6B82">
      <w:pPr>
        <w:ind w:firstLine="495"/>
        <w:divId w:val="1439981175"/>
        <w:rPr>
          <w:rFonts w:eastAsia="Times New Roman"/>
        </w:rPr>
      </w:pPr>
      <w:r>
        <w:rPr>
          <w:rFonts w:eastAsia="Times New Roman"/>
          <w:color w:val="000000"/>
          <w:sz w:val="20"/>
          <w:szCs w:val="20"/>
        </w:rPr>
        <w:t>Not Applicable</w:t>
      </w:r>
    </w:p>
    <w:p w:rsidR="00000000" w:rsidRDefault="00BA6B82">
      <w:pPr>
        <w:divId w:val="589773623"/>
        <w:rPr>
          <w:rFonts w:eastAsia="Times New Roman"/>
        </w:rPr>
      </w:pPr>
      <w:r>
        <w:rPr>
          <w:rFonts w:eastAsia="Times New Roman"/>
          <w:b/>
          <w:bCs/>
          <w:color w:val="000000"/>
          <w:sz w:val="20"/>
          <w:szCs w:val="20"/>
        </w:rPr>
        <w:t>Item 5.  Other Information</w:t>
      </w:r>
    </w:p>
    <w:p w:rsidR="00000000" w:rsidRDefault="00BA6B82">
      <w:pPr>
        <w:ind w:firstLine="495"/>
        <w:divId w:val="930889795"/>
        <w:rPr>
          <w:rFonts w:eastAsia="Times New Roman"/>
        </w:rPr>
      </w:pPr>
      <w:r>
        <w:rPr>
          <w:rFonts w:eastAsia="Times New Roman"/>
          <w:color w:val="000000"/>
          <w:sz w:val="20"/>
          <w:szCs w:val="20"/>
        </w:rPr>
        <w:t>Not Applicable</w:t>
      </w:r>
    </w:p>
    <w:p w:rsidR="00000000" w:rsidRDefault="00BA6B82">
      <w:pPr>
        <w:jc w:val="center"/>
        <w:divId w:val="1444769599"/>
        <w:rPr>
          <w:rFonts w:eastAsia="Times New Roman"/>
        </w:rPr>
      </w:pPr>
    </w:p>
    <w:p w:rsidR="00000000" w:rsidRDefault="00BA6B82">
      <w:pPr>
        <w:jc w:val="center"/>
        <w:divId w:val="1444769599"/>
        <w:rPr>
          <w:rFonts w:eastAsia="Times New Roman"/>
        </w:rPr>
      </w:pPr>
      <w:r>
        <w:rPr>
          <w:rFonts w:eastAsia="Times New Roman"/>
          <w:color w:val="000000"/>
          <w:sz w:val="20"/>
          <w:szCs w:val="20"/>
        </w:rPr>
        <w:t>39</w:t>
      </w:r>
    </w:p>
    <w:p w:rsidR="00000000" w:rsidRDefault="00BA6B82">
      <w:pPr>
        <w:rPr>
          <w:rFonts w:eastAsia="Times New Roman"/>
        </w:rPr>
      </w:pPr>
      <w:r>
        <w:rPr>
          <w:rFonts w:eastAsia="Times New Roman"/>
        </w:rPr>
        <w:pict>
          <v:rect id="_x0000_i1063" style="width:0;height:1.5pt" o:hralign="center" o:hrstd="t" o:hr="t" fillcolor="#a0a0a0" stroked="f"/>
        </w:pict>
      </w:r>
    </w:p>
    <w:p w:rsidR="00000000" w:rsidRDefault="00BA6B82">
      <w:pPr>
        <w:divId w:val="1703361255"/>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568033091"/>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9"/>
        <w:gridCol w:w="617"/>
        <w:gridCol w:w="36"/>
        <w:gridCol w:w="36"/>
        <w:gridCol w:w="36"/>
        <w:gridCol w:w="36"/>
        <w:gridCol w:w="45"/>
        <w:gridCol w:w="7368"/>
        <w:gridCol w:w="38"/>
      </w:tblGrid>
      <w:tr w:rsidR="00000000">
        <w:trPr>
          <w:divId w:val="1568033091"/>
        </w:trPr>
        <w:tc>
          <w:tcPr>
            <w:tcW w:w="50" w:type="pct"/>
            <w:vAlign w:val="center"/>
            <w:hideMark/>
          </w:tcPr>
          <w:p w:rsidR="00000000" w:rsidRDefault="00BA6B82">
            <w:pPr>
              <w:rPr>
                <w:rFonts w:eastAsia="Times New Roman"/>
              </w:rPr>
            </w:pPr>
          </w:p>
        </w:tc>
        <w:tc>
          <w:tcPr>
            <w:tcW w:w="39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46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568033091"/>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Description</w:t>
            </w:r>
          </w:p>
        </w:tc>
      </w:tr>
      <w:tr w:rsidR="00000000">
        <w:trPr>
          <w:divId w:val="1568033091"/>
        </w:trPr>
        <w:tc>
          <w:tcPr>
            <w:tcW w:w="0" w:type="auto"/>
            <w:gridSpan w:val="3"/>
            <w:tcBorders>
              <w:top w:val="single" w:sz="8" w:space="0" w:color="000000"/>
            </w:tcBorders>
            <w:tcMar>
              <w:top w:w="30" w:type="dxa"/>
              <w:left w:w="20" w:type="dxa"/>
              <w:bottom w:w="30" w:type="dxa"/>
              <w:right w:w="20" w:type="dxa"/>
            </w:tcMar>
            <w:hideMark/>
          </w:tcPr>
          <w:p w:rsidR="00000000" w:rsidRDefault="00BA6B82">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BA6B82">
            <w:pPr>
              <w:spacing w:after="100"/>
              <w:divId w:val="1545750008"/>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169294068"/>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708488564"/>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246183557"/>
              <w:rPr>
                <w:rFonts w:eastAsia="Times New Roman"/>
              </w:rPr>
            </w:pPr>
            <w:hyperlink r:id="rId11"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Registration Statement on Form S-3, as amended (No. 333-88718)).</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282150812"/>
              <w:rPr>
                <w:rFonts w:eastAsia="Times New Roman"/>
              </w:rPr>
            </w:pPr>
            <w:hyperlink r:id="rId13" w:history="1">
              <w:r>
                <w:rPr>
                  <w:rStyle w:val="a3"/>
                  <w:rFonts w:eastAsia="Times New Roman"/>
                  <w:sz w:val="20"/>
                  <w:szCs w:val="20"/>
                </w:rPr>
                <w:t>Articles of Amendment of the Company (dec</w:t>
              </w:r>
              <w:r>
                <w:rPr>
                  <w:rStyle w:val="a3"/>
                  <w:rFonts w:eastAsia="Times New Roman"/>
                  <w:sz w:val="20"/>
                  <w:szCs w:val="20"/>
                </w:rPr>
                <w:t>lassification of Board) (incorporated by reference as an exhibit to the Company's 2008 Form 10-K).</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239407924"/>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084495509"/>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734889791"/>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(incorporated by reference as an exhibit to the Company’s Current Report on Form 8-K, event date May 30</w:t>
              </w:r>
              <w:r>
                <w:rPr>
                  <w:rStyle w:val="a3"/>
                  <w:rFonts w:eastAsia="Times New Roman"/>
                  <w:sz w:val="20"/>
                  <w:szCs w:val="20"/>
                </w:rPr>
                <w:t>, 2014).</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936131412"/>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exhibit to the Company’s Current Report on Form 8-K, event date March 17, 2015).</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797983323"/>
              <w:rPr>
                <w:rFonts w:eastAsia="Times New Roman"/>
              </w:rPr>
            </w:pPr>
            <w:hyperlink r:id="rId23" w:history="1">
              <w:r>
                <w:rPr>
                  <w:rStyle w:val="a3"/>
                  <w:rFonts w:eastAsia="Times New Roman"/>
                  <w:sz w:val="20"/>
                  <w:szCs w:val="20"/>
                </w:rPr>
                <w:t>Articles Supplementary of the Company (Series E Preferred Sto</w:t>
              </w:r>
              <w:r>
                <w:rPr>
                  <w:rStyle w:val="a3"/>
                  <w:rFonts w:eastAsia="Times New Roman"/>
                  <w:sz w:val="20"/>
                  <w:szCs w:val="20"/>
                </w:rPr>
                <w:t>ck) (incorporated by reference as an exhibit to the Company’s Current Report on Form 8-K, event date March 18, 2015).</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divId w:val="344291089"/>
              <w:rPr>
                <w:rFonts w:eastAsia="Times New Roman"/>
              </w:rPr>
            </w:pPr>
            <w:hyperlink r:id="rId25" w:history="1">
              <w:r>
                <w:rPr>
                  <w:rStyle w:val="a3"/>
                  <w:rFonts w:eastAsia="Times New Roman"/>
                  <w:sz w:val="20"/>
                  <w:szCs w:val="20"/>
                </w:rPr>
                <w:t>Articles Supplementary of the Company (reclassification of Series E Preferred Stock to Preferred Stock) (incorporated by reference as an exhibit to the Company’s Current Repor</w:t>
              </w:r>
              <w:r>
                <w:rPr>
                  <w:rStyle w:val="a3"/>
                  <w:rFonts w:eastAsia="Times New Roman"/>
                  <w:sz w:val="20"/>
                  <w:szCs w:val="20"/>
                </w:rPr>
                <w:t>t on Form 8-K, event date May 7, 2015).</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divId w:val="1735470787"/>
              <w:rPr>
                <w:rFonts w:eastAsia="Times New Roman"/>
              </w:rPr>
            </w:pPr>
            <w:hyperlink r:id="rId27" w:history="1">
              <w:r>
                <w:rPr>
                  <w:rStyle w:val="a3"/>
                  <w:rFonts w:eastAsia="Times New Roman"/>
                  <w:sz w:val="20"/>
                  <w:szCs w:val="20"/>
                </w:rPr>
                <w:t>Articles Supplementary of the Company (repeal of election to be subject to Section 3-803 of the Maryland General Corporation Law) (incorporated by referen</w:t>
              </w:r>
              <w:r>
                <w:rPr>
                  <w:rStyle w:val="a3"/>
                  <w:rFonts w:eastAsia="Times New Roman"/>
                  <w:sz w:val="20"/>
                  <w:szCs w:val="20"/>
                </w:rPr>
                <w:t>ce as an exhibit to the Company’s Current Report on Form 8-K, event date May 28, 2015).</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divId w:val="207885146"/>
              <w:rPr>
                <w:rFonts w:eastAsia="Times New Roman"/>
              </w:rPr>
            </w:pPr>
            <w:hyperlink r:id="rId29" w:history="1">
              <w:r>
                <w:rPr>
                  <w:rStyle w:val="a3"/>
                  <w:rFonts w:eastAsia="Times New Roman"/>
                  <w:sz w:val="20"/>
                  <w:szCs w:val="20"/>
                </w:rPr>
                <w:t>Articles Supplementary of the Company (opting out of provisions of Subtitle 8 of Title 3 of the Maryland General Corporate Law (MUTA provisions)) (incorporated by reference as an exhibit to the Company’s Current R</w:t>
              </w:r>
              <w:r>
                <w:rPr>
                  <w:rStyle w:val="a3"/>
                  <w:rFonts w:eastAsia="Times New Roman"/>
                  <w:sz w:val="20"/>
                  <w:szCs w:val="20"/>
                </w:rPr>
                <w:t>eport on Form 8-K, event date April 24, 2019).</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30"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2070028217"/>
              <w:rPr>
                <w:rFonts w:eastAsia="Times New Roman"/>
              </w:rPr>
            </w:pPr>
            <w:hyperlink r:id="rId31" w:history="1">
              <w:r>
                <w:rPr>
                  <w:rStyle w:val="a3"/>
                  <w:rFonts w:eastAsia="Times New Roman"/>
                  <w:sz w:val="20"/>
                  <w:szCs w:val="20"/>
                </w:rPr>
                <w:t>Articles of Amendment of the Company (increased authorized shares) (incorporated by reference as an exhibit to the Company's current Report on Form 8-K, even</w:t>
              </w:r>
              <w:r>
                <w:rPr>
                  <w:rStyle w:val="a3"/>
                  <w:rFonts w:eastAsia="Times New Roman"/>
                  <w:sz w:val="20"/>
                  <w:szCs w:val="20"/>
                </w:rPr>
                <w:t>t date May 28, 2021).</w:t>
              </w:r>
            </w:hyperlink>
          </w:p>
        </w:tc>
      </w:tr>
      <w:tr w:rsidR="00000000">
        <w:trPr>
          <w:divId w:val="1568033091"/>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3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459038400"/>
              <w:rPr>
                <w:rFonts w:eastAsia="Times New Roman"/>
              </w:rPr>
            </w:pPr>
            <w:hyperlink r:id="rId33" w:history="1">
              <w:r>
                <w:rPr>
                  <w:rStyle w:val="a3"/>
                  <w:rFonts w:eastAsia="Times New Roman"/>
                  <w:sz w:val="20"/>
                  <w:szCs w:val="20"/>
                </w:rPr>
                <w:t>Amended and Restated Bylaws of the Company (incorporated by reference as an exhibit to the Company's Current Report on Form 8-K, event date April 24, 2019).</w:t>
              </w:r>
            </w:hyperlink>
          </w:p>
        </w:tc>
      </w:tr>
    </w:tbl>
    <w:p w:rsidR="00000000" w:rsidRDefault="00BA6B82">
      <w:pPr>
        <w:divId w:val="1032650824"/>
        <w:rPr>
          <w:rFonts w:eastAsia="Times New Roman"/>
        </w:rPr>
      </w:pPr>
    </w:p>
    <w:p w:rsidR="00000000" w:rsidRDefault="00BA6B82">
      <w:pPr>
        <w:jc w:val="center"/>
        <w:divId w:val="1064596611"/>
        <w:rPr>
          <w:rFonts w:eastAsia="Times New Roman"/>
        </w:rPr>
      </w:pPr>
    </w:p>
    <w:p w:rsidR="00000000" w:rsidRDefault="00BA6B82">
      <w:pPr>
        <w:jc w:val="center"/>
        <w:divId w:val="1064596611"/>
        <w:rPr>
          <w:rFonts w:eastAsia="Times New Roman"/>
        </w:rPr>
      </w:pPr>
      <w:r>
        <w:rPr>
          <w:rFonts w:eastAsia="Times New Roman"/>
          <w:color w:val="000000"/>
          <w:sz w:val="20"/>
          <w:szCs w:val="20"/>
        </w:rPr>
        <w:t>40</w:t>
      </w:r>
    </w:p>
    <w:p w:rsidR="00000000" w:rsidRDefault="00BA6B82">
      <w:pPr>
        <w:rPr>
          <w:rFonts w:eastAsia="Times New Roman"/>
        </w:rPr>
      </w:pPr>
      <w:r>
        <w:rPr>
          <w:rFonts w:eastAsia="Times New Roman"/>
        </w:rPr>
        <w:pict>
          <v:rect id="_x0000_i1064" style="width:0;height:1.5pt" o:hralign="center" o:hrstd="t" o:hr="t" fillcolor="#a0a0a0" stroked="f"/>
        </w:pict>
      </w:r>
    </w:p>
    <w:p w:rsidR="00000000" w:rsidRDefault="00BA6B82">
      <w:pPr>
        <w:divId w:val="1605533124"/>
        <w:rPr>
          <w:rFonts w:eastAsia="Times New Roman"/>
        </w:rPr>
      </w:pPr>
      <w:hyperlink w:anchor="i1a7638ab6a234f3f9d9b0c12d614c521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289"/>
        <w:gridCol w:w="37"/>
      </w:tblGrid>
      <w:tr w:rsidR="00000000">
        <w:trPr>
          <w:divId w:val="1216039953"/>
        </w:trPr>
        <w:tc>
          <w:tcPr>
            <w:tcW w:w="50" w:type="pct"/>
            <w:vAlign w:val="center"/>
            <w:hideMark/>
          </w:tcPr>
          <w:p w:rsidR="00000000" w:rsidRDefault="00BA6B82">
            <w:pPr>
              <w:rPr>
                <w:rFonts w:eastAsia="Times New Roman"/>
              </w:rPr>
            </w:pPr>
          </w:p>
        </w:tc>
        <w:tc>
          <w:tcPr>
            <w:tcW w:w="392"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26"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4461"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216039953"/>
        </w:trPr>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b/>
                <w:bCs/>
                <w:color w:val="000000"/>
                <w:sz w:val="16"/>
                <w:szCs w:val="16"/>
              </w:rPr>
              <w:t>Description</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34"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380443004"/>
              <w:rPr>
                <w:rFonts w:eastAsia="Times New Roman"/>
              </w:rPr>
            </w:pPr>
            <w:hyperlink r:id="rId35" w:history="1">
              <w:r>
                <w:rPr>
                  <w:rStyle w:val="a3"/>
                  <w:rFonts w:eastAsia="Times New Roman"/>
                  <w:sz w:val="20"/>
                  <w:szCs w:val="20"/>
                </w:rPr>
                <w:t>Section 302 Certification of Thomas O'Hern, Chief Executive Officer</w:t>
              </w:r>
            </w:hyperlink>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3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1049845197"/>
              <w:rPr>
                <w:rFonts w:eastAsia="Times New Roman"/>
              </w:rPr>
            </w:pPr>
            <w:hyperlink r:id="rId37" w:history="1">
              <w:r>
                <w:rPr>
                  <w:rStyle w:val="a3"/>
                  <w:rFonts w:eastAsia="Times New Roman"/>
                  <w:sz w:val="20"/>
                  <w:szCs w:val="20"/>
                </w:rPr>
                <w:t>Section 302 Certification of Scott</w:t>
              </w:r>
              <w:r>
                <w:rPr>
                  <w:rStyle w:val="a3"/>
                  <w:rFonts w:eastAsia="Times New Roman"/>
                  <w:sz w:val="20"/>
                  <w:szCs w:val="20"/>
                </w:rPr>
                <w:t xml:space="preserve"> Kingsmore, Chief Financial Officer</w:t>
              </w:r>
            </w:hyperlink>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hyperlink r:id="rId3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divId w:val="719784753"/>
              <w:rPr>
                <w:rFonts w:eastAsia="Times New Roman"/>
              </w:rPr>
            </w:pPr>
            <w:hyperlink r:id="rId39" w:history="1">
              <w:r>
                <w:rPr>
                  <w:rStyle w:val="a3"/>
                  <w:rFonts w:eastAsia="Times New Roman"/>
                  <w:sz w:val="20"/>
                  <w:szCs w:val="20"/>
                </w:rPr>
                <w:t>Section </w:t>
              </w:r>
              <w:r>
                <w:rPr>
                  <w:rStyle w:val="a3"/>
                  <w:rFonts w:eastAsia="Times New Roman"/>
                  <w:sz w:val="20"/>
                  <w:szCs w:val="20"/>
                </w:rPr>
                <w:t>906 Certifications of Thomas O'Hern and Scott Kingsmore</w:t>
              </w:r>
            </w:hyperlink>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Inline XBRL Taxonomy Extension Schema Document</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Inline XBRL Taxonomy Extension Calculation Linkbase Document</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Inline XBRL Taxonomy Extension Label Linkbase Document</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Inline XBRL Taxonomy Extension Presentation Linkbase Document</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Inline XBRL Taxonomy Extension Definition Linkbase Document</w:t>
            </w:r>
          </w:p>
        </w:tc>
      </w:tr>
      <w:tr w:rsidR="00000000">
        <w:trPr>
          <w:divId w:val="1216039953"/>
        </w:trPr>
        <w:tc>
          <w:tcPr>
            <w:tcW w:w="0" w:type="auto"/>
            <w:gridSpan w:val="3"/>
            <w:tcMar>
              <w:top w:w="30" w:type="dxa"/>
              <w:left w:w="20" w:type="dxa"/>
              <w:bottom w:w="30" w:type="dxa"/>
              <w:right w:w="20" w:type="dxa"/>
            </w:tcMar>
            <w:hideMark/>
          </w:tcPr>
          <w:p w:rsidR="00000000" w:rsidRDefault="00BA6B82">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A6B8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r w:rsidR="00000000">
        <w:trPr>
          <w:divId w:val="1216039953"/>
          <w:trHeight w:val="300"/>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r>
    </w:tbl>
    <w:p w:rsidR="00000000" w:rsidRDefault="00BA6B82">
      <w:pPr>
        <w:divId w:val="977102737"/>
        <w:rPr>
          <w:rFonts w:eastAsia="Times New Roman"/>
        </w:rPr>
      </w:pPr>
      <w:r>
        <w:rPr>
          <w:rFonts w:eastAsia="Times New Roman"/>
          <w:color w:val="000000"/>
          <w:sz w:val="20"/>
          <w:szCs w:val="20"/>
        </w:rPr>
        <w:t>** Furnished herewith.</w:t>
      </w:r>
    </w:p>
    <w:p w:rsidR="00000000" w:rsidRDefault="00BA6B82">
      <w:pPr>
        <w:jc w:val="center"/>
        <w:divId w:val="1244998231"/>
        <w:rPr>
          <w:rFonts w:eastAsia="Times New Roman"/>
        </w:rPr>
      </w:pPr>
    </w:p>
    <w:p w:rsidR="00000000" w:rsidRDefault="00BA6B82">
      <w:pPr>
        <w:jc w:val="center"/>
        <w:divId w:val="1244998231"/>
        <w:rPr>
          <w:rFonts w:eastAsia="Times New Roman"/>
        </w:rPr>
      </w:pPr>
      <w:r>
        <w:rPr>
          <w:rFonts w:eastAsia="Times New Roman"/>
          <w:color w:val="000000"/>
          <w:sz w:val="20"/>
          <w:szCs w:val="20"/>
        </w:rPr>
        <w:t>41</w:t>
      </w:r>
    </w:p>
    <w:p w:rsidR="00000000" w:rsidRDefault="00BA6B82">
      <w:pPr>
        <w:rPr>
          <w:rFonts w:eastAsia="Times New Roman"/>
        </w:rPr>
      </w:pPr>
      <w:r>
        <w:rPr>
          <w:rFonts w:eastAsia="Times New Roman"/>
        </w:rPr>
        <w:pict>
          <v:rect id="_x0000_i1065" style="width:0;height:1.5pt" o:hralign="center" o:hrstd="t" o:hr="t" fillcolor="#a0a0a0" stroked="f"/>
        </w:pict>
      </w:r>
    </w:p>
    <w:p w:rsidR="00000000" w:rsidRDefault="00BA6B82">
      <w:pPr>
        <w:divId w:val="1342009459"/>
        <w:rPr>
          <w:rFonts w:eastAsia="Times New Roman"/>
        </w:rPr>
      </w:pPr>
      <w:hyperlink w:anchor="i1a7638ab6a234f3f9d9b0c12d614c521_7" w:history="1">
        <w:r>
          <w:rPr>
            <w:rStyle w:val="a3"/>
            <w:rFonts w:eastAsia="Times New Roman"/>
            <w:sz w:val="16"/>
            <w:szCs w:val="16"/>
          </w:rPr>
          <w:t>Table of Contents</w:t>
        </w:r>
      </w:hyperlink>
    </w:p>
    <w:p w:rsidR="00000000" w:rsidRDefault="00BA6B82">
      <w:pPr>
        <w:divId w:val="1907454173"/>
        <w:rPr>
          <w:rFonts w:eastAsia="Times New Roman"/>
        </w:rPr>
      </w:pPr>
      <w:r>
        <w:rPr>
          <w:rFonts w:eastAsia="Times New Roman"/>
          <w:b/>
          <w:bCs/>
          <w:color w:val="000000"/>
          <w:sz w:val="20"/>
          <w:szCs w:val="20"/>
        </w:rPr>
        <w:t>Signature</w:t>
      </w:r>
    </w:p>
    <w:p w:rsidR="00000000" w:rsidRDefault="00BA6B82">
      <w:pPr>
        <w:ind w:firstLine="495"/>
        <w:divId w:val="1134517229"/>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trPr>
          <w:divId w:val="1134517229"/>
        </w:trPr>
        <w:tc>
          <w:tcPr>
            <w:tcW w:w="50" w:type="pct"/>
            <w:vAlign w:val="center"/>
            <w:hideMark/>
          </w:tcPr>
          <w:p w:rsidR="00000000" w:rsidRDefault="00BA6B82">
            <w:pPr>
              <w:ind w:firstLine="495"/>
              <w:rPr>
                <w:rFonts w:eastAsia="Times New Roman"/>
              </w:rPr>
            </w:pPr>
          </w:p>
        </w:tc>
        <w:tc>
          <w:tcPr>
            <w:tcW w:w="238"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60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157"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15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c>
          <w:tcPr>
            <w:tcW w:w="50" w:type="pct"/>
            <w:vAlign w:val="center"/>
            <w:hideMark/>
          </w:tcPr>
          <w:p w:rsidR="00000000" w:rsidRDefault="00BA6B82">
            <w:pPr>
              <w:spacing w:after="100"/>
              <w:rPr>
                <w:rFonts w:eastAsia="Times New Roman"/>
                <w:sz w:val="20"/>
                <w:szCs w:val="20"/>
              </w:rPr>
            </w:pPr>
          </w:p>
        </w:tc>
        <w:tc>
          <w:tcPr>
            <w:tcW w:w="2565" w:type="pct"/>
            <w:vAlign w:val="center"/>
            <w:hideMark/>
          </w:tcPr>
          <w:p w:rsidR="00000000" w:rsidRDefault="00BA6B82">
            <w:pPr>
              <w:spacing w:after="100"/>
              <w:rPr>
                <w:rFonts w:eastAsia="Times New Roman"/>
                <w:sz w:val="20"/>
                <w:szCs w:val="20"/>
              </w:rPr>
            </w:pPr>
          </w:p>
        </w:tc>
        <w:tc>
          <w:tcPr>
            <w:tcW w:w="5" w:type="pct"/>
            <w:vAlign w:val="center"/>
            <w:hideMark/>
          </w:tcPr>
          <w:p w:rsidR="00000000" w:rsidRDefault="00BA6B82">
            <w:pPr>
              <w:spacing w:after="100"/>
              <w:rPr>
                <w:rFonts w:eastAsia="Times New Roman"/>
                <w:sz w:val="20"/>
                <w:szCs w:val="20"/>
              </w:rPr>
            </w:pPr>
          </w:p>
        </w:tc>
      </w:tr>
      <w:tr w:rsidR="00000000">
        <w:trPr>
          <w:divId w:val="1134517229"/>
        </w:trPr>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THE MACERICH COMPANY</w:t>
            </w:r>
          </w:p>
        </w:tc>
      </w:tr>
      <w:tr w:rsidR="00000000">
        <w:trPr>
          <w:divId w:val="1134517229"/>
        </w:trPr>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color w:val="000000"/>
                <w:sz w:val="20"/>
                <w:szCs w:val="20"/>
              </w:rPr>
              <w:t>/s/ SCOTT W. KINGSMORE</w:t>
            </w:r>
          </w:p>
        </w:tc>
      </w:tr>
      <w:tr w:rsidR="00000000">
        <w:trPr>
          <w:divId w:val="1134517229"/>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BA6B82">
            <w:pPr>
              <w:spacing w:after="100"/>
              <w:jc w:val="center"/>
              <w:rPr>
                <w:rFonts w:eastAsia="Times New Roman"/>
              </w:rPr>
            </w:pPr>
            <w:r>
              <w:rPr>
                <w:rFonts w:eastAsia="Times New Roman"/>
                <w:color w:val="000000"/>
                <w:sz w:val="20"/>
                <w:szCs w:val="20"/>
              </w:rPr>
              <w:t>Scott W. Kingsmore</w:t>
            </w:r>
          </w:p>
        </w:tc>
      </w:tr>
      <w:tr w:rsidR="00000000">
        <w:trPr>
          <w:divId w:val="1134517229"/>
        </w:trPr>
        <w:tc>
          <w:tcPr>
            <w:tcW w:w="0" w:type="auto"/>
            <w:gridSpan w:val="3"/>
            <w:tcMar>
              <w:top w:w="0" w:type="dxa"/>
              <w:left w:w="20" w:type="dxa"/>
              <w:bottom w:w="0" w:type="dxa"/>
              <w:right w:w="20" w:type="dxa"/>
            </w:tcMar>
            <w:vAlign w:val="center"/>
            <w:hideMark/>
          </w:tcPr>
          <w:p w:rsidR="00000000" w:rsidRDefault="00BA6B8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i/>
                <w:iCs/>
                <w:color w:val="000000"/>
                <w:sz w:val="20"/>
                <w:szCs w:val="20"/>
              </w:rPr>
              <w:t> Senior Executive Vice President, Treasurer and Chief Financial Officer</w:t>
            </w:r>
          </w:p>
        </w:tc>
      </w:tr>
      <w:tr w:rsidR="00000000">
        <w:trPr>
          <w:divId w:val="1134517229"/>
        </w:trPr>
        <w:tc>
          <w:tcPr>
            <w:tcW w:w="0" w:type="auto"/>
            <w:gridSpan w:val="3"/>
            <w:tcMar>
              <w:top w:w="30" w:type="dxa"/>
              <w:left w:w="20" w:type="dxa"/>
              <w:bottom w:w="30" w:type="dxa"/>
              <w:right w:w="20" w:type="dxa"/>
            </w:tcMar>
            <w:vAlign w:val="bottom"/>
            <w:hideMark/>
          </w:tcPr>
          <w:p w:rsidR="00000000" w:rsidRDefault="00BA6B82">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rsidR="00000000" w:rsidRDefault="00BA6B82">
            <w:pPr>
              <w:spacing w:after="100"/>
              <w:rPr>
                <w:rFonts w:eastAsia="Times New Roman"/>
              </w:rPr>
            </w:pPr>
            <w:r>
              <w:rPr>
                <w:rFonts w:eastAsia="Times New Roman"/>
                <w:color w:val="000000"/>
                <w:sz w:val="20"/>
                <w:szCs w:val="20"/>
              </w:rPr>
              <w:t>May 10, 2022</w:t>
            </w:r>
          </w:p>
        </w:tc>
        <w:tc>
          <w:tcPr>
            <w:tcW w:w="0" w:type="auto"/>
            <w:gridSpan w:val="3"/>
            <w:tcMar>
              <w:top w:w="0" w:type="dxa"/>
              <w:left w:w="20" w:type="dxa"/>
              <w:bottom w:w="0" w:type="dxa"/>
              <w:right w:w="20" w:type="dxa"/>
            </w:tcMar>
            <w:vAlign w:val="center"/>
            <w:hideMark/>
          </w:tcPr>
          <w:p w:rsidR="00000000" w:rsidRDefault="00BA6B8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A6B82">
            <w:pPr>
              <w:spacing w:after="100"/>
              <w:jc w:val="center"/>
              <w:rPr>
                <w:rFonts w:eastAsia="Times New Roman"/>
              </w:rPr>
            </w:pPr>
            <w:r>
              <w:rPr>
                <w:rFonts w:eastAsia="Times New Roman"/>
                <w:i/>
                <w:iCs/>
                <w:color w:val="000000"/>
                <w:sz w:val="20"/>
                <w:szCs w:val="20"/>
              </w:rPr>
              <w:t>(Principal Financial Officer)</w:t>
            </w:r>
          </w:p>
        </w:tc>
      </w:tr>
    </w:tbl>
    <w:p w:rsidR="00000000" w:rsidRDefault="00BA6B82">
      <w:pPr>
        <w:divId w:val="748423397"/>
        <w:rPr>
          <w:rFonts w:eastAsia="Times New Roman"/>
        </w:rPr>
      </w:pPr>
    </w:p>
    <w:p w:rsidR="00000000" w:rsidRDefault="00BA6B82">
      <w:pPr>
        <w:jc w:val="center"/>
        <w:divId w:val="1176771103"/>
        <w:rPr>
          <w:rFonts w:eastAsia="Times New Roman"/>
        </w:rPr>
      </w:pPr>
    </w:p>
    <w:p w:rsidR="00BA6B82" w:rsidRDefault="00BA6B82">
      <w:pPr>
        <w:jc w:val="center"/>
        <w:divId w:val="1176771103"/>
        <w:rPr>
          <w:rFonts w:eastAsia="Times New Roman"/>
        </w:rPr>
      </w:pPr>
      <w:r>
        <w:rPr>
          <w:rFonts w:eastAsia="Times New Roman"/>
          <w:color w:val="000000"/>
          <w:sz w:val="20"/>
          <w:szCs w:val="20"/>
        </w:rPr>
        <w:t>42</w:t>
      </w:r>
    </w:p>
    <w:sectPr w:rsidR="00BA6B8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6B82"/>
    <w:rsid w:val="00BA6B82"/>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sec.gov/inlineXBRL/transformation/2015-08-31"/>
  <w:attachedSchema w:val="http://www.xbrl.org/2003/iso4217"/>
  <w:attachedSchema w:val="http://fasb.org/us-gaap/2021-01-31"/>
  <w:attachedSchema w:val="http://www.xbrl.org/2003/linkbase"/>
  <w:attachedSchema w:val="http://xbrl.sec.gov/dei/2021q4"/>
  <w:attachedSchema w:val="http://www.xbrl.org/2003/instance"/>
  <w:attachedSchema w:val="http://www.w3.org/1999/xlink"/>
  <w:attachedSchema w:val="http://xbrl.org/2006/xbrldi"/>
  <w:attachedSchema w:val="http://www.xbrl.org/2013/inlineXBRL"/>
  <w:attachedSchema w:val="http://www.xbrl.org/2009/utr"/>
  <w:attachedSchema w:val="http://www.macerich.com/20220331"/>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3">
      <w:marLeft w:val="0"/>
      <w:marRight w:val="0"/>
      <w:marTop w:val="0"/>
      <w:marBottom w:val="0"/>
      <w:divBdr>
        <w:top w:val="none" w:sz="0" w:space="0" w:color="auto"/>
        <w:left w:val="none" w:sz="0" w:space="0" w:color="auto"/>
        <w:bottom w:val="none" w:sz="0" w:space="0" w:color="auto"/>
        <w:right w:val="none" w:sz="0" w:space="0" w:color="auto"/>
      </w:divBdr>
      <w:divsChild>
        <w:div w:id="1064596611">
          <w:marLeft w:val="0"/>
          <w:marRight w:val="0"/>
          <w:marTop w:val="0"/>
          <w:marBottom w:val="0"/>
          <w:divBdr>
            <w:top w:val="none" w:sz="0" w:space="0" w:color="auto"/>
            <w:left w:val="none" w:sz="0" w:space="0" w:color="auto"/>
            <w:bottom w:val="none" w:sz="0" w:space="0" w:color="auto"/>
            <w:right w:val="none" w:sz="0" w:space="0" w:color="auto"/>
          </w:divBdr>
        </w:div>
      </w:divsChild>
    </w:div>
    <w:div w:id="19090611">
      <w:marLeft w:val="0"/>
      <w:marRight w:val="0"/>
      <w:marTop w:val="0"/>
      <w:marBottom w:val="0"/>
      <w:divBdr>
        <w:top w:val="none" w:sz="0" w:space="0" w:color="auto"/>
        <w:left w:val="none" w:sz="0" w:space="0" w:color="auto"/>
        <w:bottom w:val="none" w:sz="0" w:space="0" w:color="auto"/>
        <w:right w:val="none" w:sz="0" w:space="0" w:color="auto"/>
      </w:divBdr>
      <w:divsChild>
        <w:div w:id="219757712">
          <w:marLeft w:val="0"/>
          <w:marRight w:val="0"/>
          <w:marTop w:val="0"/>
          <w:marBottom w:val="0"/>
          <w:divBdr>
            <w:top w:val="none" w:sz="0" w:space="0" w:color="auto"/>
            <w:left w:val="none" w:sz="0" w:space="0" w:color="auto"/>
            <w:bottom w:val="none" w:sz="0" w:space="0" w:color="auto"/>
            <w:right w:val="none" w:sz="0" w:space="0" w:color="auto"/>
          </w:divBdr>
        </w:div>
      </w:divsChild>
    </w:div>
    <w:div w:id="20396346">
      <w:marLeft w:val="0"/>
      <w:marRight w:val="0"/>
      <w:marTop w:val="0"/>
      <w:marBottom w:val="0"/>
      <w:divBdr>
        <w:top w:val="none" w:sz="0" w:space="0" w:color="auto"/>
        <w:left w:val="none" w:sz="0" w:space="0" w:color="auto"/>
        <w:bottom w:val="none" w:sz="0" w:space="0" w:color="auto"/>
        <w:right w:val="none" w:sz="0" w:space="0" w:color="auto"/>
      </w:divBdr>
      <w:divsChild>
        <w:div w:id="976570259">
          <w:marLeft w:val="0"/>
          <w:marRight w:val="0"/>
          <w:marTop w:val="0"/>
          <w:marBottom w:val="0"/>
          <w:divBdr>
            <w:top w:val="none" w:sz="0" w:space="0" w:color="auto"/>
            <w:left w:val="none" w:sz="0" w:space="0" w:color="auto"/>
            <w:bottom w:val="none" w:sz="0" w:space="0" w:color="auto"/>
            <w:right w:val="none" w:sz="0" w:space="0" w:color="auto"/>
          </w:divBdr>
        </w:div>
      </w:divsChild>
    </w:div>
    <w:div w:id="20937063">
      <w:marLeft w:val="0"/>
      <w:marRight w:val="0"/>
      <w:marTop w:val="0"/>
      <w:marBottom w:val="60"/>
      <w:divBdr>
        <w:top w:val="none" w:sz="0" w:space="0" w:color="auto"/>
        <w:left w:val="none" w:sz="0" w:space="0" w:color="auto"/>
        <w:bottom w:val="none" w:sz="0" w:space="0" w:color="auto"/>
        <w:right w:val="none" w:sz="0" w:space="0" w:color="auto"/>
      </w:divBdr>
    </w:div>
    <w:div w:id="24259306">
      <w:marLeft w:val="0"/>
      <w:marRight w:val="0"/>
      <w:marTop w:val="160"/>
      <w:marBottom w:val="160"/>
      <w:divBdr>
        <w:top w:val="none" w:sz="0" w:space="0" w:color="auto"/>
        <w:left w:val="none" w:sz="0" w:space="0" w:color="auto"/>
        <w:bottom w:val="none" w:sz="0" w:space="0" w:color="auto"/>
        <w:right w:val="none" w:sz="0" w:space="0" w:color="auto"/>
      </w:divBdr>
    </w:div>
    <w:div w:id="30620456">
      <w:marLeft w:val="0"/>
      <w:marRight w:val="0"/>
      <w:marTop w:val="160"/>
      <w:marBottom w:val="160"/>
      <w:divBdr>
        <w:top w:val="none" w:sz="0" w:space="0" w:color="auto"/>
        <w:left w:val="none" w:sz="0" w:space="0" w:color="auto"/>
        <w:bottom w:val="none" w:sz="0" w:space="0" w:color="auto"/>
        <w:right w:val="none" w:sz="0" w:space="0" w:color="auto"/>
      </w:divBdr>
    </w:div>
    <w:div w:id="32460188">
      <w:marLeft w:val="0"/>
      <w:marRight w:val="0"/>
      <w:marTop w:val="0"/>
      <w:marBottom w:val="0"/>
      <w:divBdr>
        <w:top w:val="none" w:sz="0" w:space="0" w:color="auto"/>
        <w:left w:val="none" w:sz="0" w:space="0" w:color="auto"/>
        <w:bottom w:val="none" w:sz="0" w:space="0" w:color="auto"/>
        <w:right w:val="none" w:sz="0" w:space="0" w:color="auto"/>
      </w:divBdr>
      <w:divsChild>
        <w:div w:id="683242310">
          <w:marLeft w:val="0"/>
          <w:marRight w:val="0"/>
          <w:marTop w:val="0"/>
          <w:marBottom w:val="0"/>
          <w:divBdr>
            <w:top w:val="none" w:sz="0" w:space="0" w:color="auto"/>
            <w:left w:val="none" w:sz="0" w:space="0" w:color="auto"/>
            <w:bottom w:val="none" w:sz="0" w:space="0" w:color="auto"/>
            <w:right w:val="none" w:sz="0" w:space="0" w:color="auto"/>
          </w:divBdr>
        </w:div>
      </w:divsChild>
    </w:div>
    <w:div w:id="43069689">
      <w:marLeft w:val="0"/>
      <w:marRight w:val="0"/>
      <w:marTop w:val="160"/>
      <w:marBottom w:val="160"/>
      <w:divBdr>
        <w:top w:val="none" w:sz="0" w:space="0" w:color="auto"/>
        <w:left w:val="none" w:sz="0" w:space="0" w:color="auto"/>
        <w:bottom w:val="none" w:sz="0" w:space="0" w:color="auto"/>
        <w:right w:val="none" w:sz="0" w:space="0" w:color="auto"/>
      </w:divBdr>
    </w:div>
    <w:div w:id="47610911">
      <w:marLeft w:val="0"/>
      <w:marRight w:val="0"/>
      <w:marTop w:val="160"/>
      <w:marBottom w:val="160"/>
      <w:divBdr>
        <w:top w:val="none" w:sz="0" w:space="0" w:color="auto"/>
        <w:left w:val="none" w:sz="0" w:space="0" w:color="auto"/>
        <w:bottom w:val="none" w:sz="0" w:space="0" w:color="auto"/>
        <w:right w:val="none" w:sz="0" w:space="0" w:color="auto"/>
      </w:divBdr>
    </w:div>
    <w:div w:id="52513131">
      <w:marLeft w:val="0"/>
      <w:marRight w:val="0"/>
      <w:marTop w:val="160"/>
      <w:marBottom w:val="0"/>
      <w:divBdr>
        <w:top w:val="none" w:sz="0" w:space="0" w:color="auto"/>
        <w:left w:val="none" w:sz="0" w:space="0" w:color="auto"/>
        <w:bottom w:val="none" w:sz="0" w:space="0" w:color="auto"/>
        <w:right w:val="none" w:sz="0" w:space="0" w:color="auto"/>
      </w:divBdr>
    </w:div>
    <w:div w:id="53479869">
      <w:marLeft w:val="0"/>
      <w:marRight w:val="0"/>
      <w:marTop w:val="160"/>
      <w:marBottom w:val="160"/>
      <w:divBdr>
        <w:top w:val="none" w:sz="0" w:space="0" w:color="auto"/>
        <w:left w:val="none" w:sz="0" w:space="0" w:color="auto"/>
        <w:bottom w:val="none" w:sz="0" w:space="0" w:color="auto"/>
        <w:right w:val="none" w:sz="0" w:space="0" w:color="auto"/>
      </w:divBdr>
    </w:div>
    <w:div w:id="55855665">
      <w:marLeft w:val="0"/>
      <w:marRight w:val="0"/>
      <w:marTop w:val="160"/>
      <w:marBottom w:val="160"/>
      <w:divBdr>
        <w:top w:val="none" w:sz="0" w:space="0" w:color="auto"/>
        <w:left w:val="none" w:sz="0" w:space="0" w:color="auto"/>
        <w:bottom w:val="none" w:sz="0" w:space="0" w:color="auto"/>
        <w:right w:val="none" w:sz="0" w:space="0" w:color="auto"/>
      </w:divBdr>
    </w:div>
    <w:div w:id="57436531">
      <w:marLeft w:val="0"/>
      <w:marRight w:val="0"/>
      <w:marTop w:val="0"/>
      <w:marBottom w:val="0"/>
      <w:divBdr>
        <w:top w:val="none" w:sz="0" w:space="0" w:color="auto"/>
        <w:left w:val="none" w:sz="0" w:space="0" w:color="auto"/>
        <w:bottom w:val="none" w:sz="0" w:space="0" w:color="auto"/>
        <w:right w:val="none" w:sz="0" w:space="0" w:color="auto"/>
      </w:divBdr>
      <w:divsChild>
        <w:div w:id="222525218">
          <w:marLeft w:val="0"/>
          <w:marRight w:val="0"/>
          <w:marTop w:val="0"/>
          <w:marBottom w:val="0"/>
          <w:divBdr>
            <w:top w:val="none" w:sz="0" w:space="0" w:color="auto"/>
            <w:left w:val="none" w:sz="0" w:space="0" w:color="auto"/>
            <w:bottom w:val="none" w:sz="0" w:space="0" w:color="auto"/>
            <w:right w:val="none" w:sz="0" w:space="0" w:color="auto"/>
          </w:divBdr>
        </w:div>
      </w:divsChild>
    </w:div>
    <w:div w:id="59522061">
      <w:marLeft w:val="0"/>
      <w:marRight w:val="0"/>
      <w:marTop w:val="0"/>
      <w:marBottom w:val="0"/>
      <w:divBdr>
        <w:top w:val="none" w:sz="0" w:space="0" w:color="auto"/>
        <w:left w:val="none" w:sz="0" w:space="0" w:color="auto"/>
        <w:bottom w:val="none" w:sz="0" w:space="0" w:color="auto"/>
        <w:right w:val="none" w:sz="0" w:space="0" w:color="auto"/>
      </w:divBdr>
      <w:divsChild>
        <w:div w:id="1658462620">
          <w:marLeft w:val="0"/>
          <w:marRight w:val="0"/>
          <w:marTop w:val="160"/>
          <w:marBottom w:val="160"/>
          <w:divBdr>
            <w:top w:val="none" w:sz="0" w:space="0" w:color="auto"/>
            <w:left w:val="none" w:sz="0" w:space="0" w:color="auto"/>
            <w:bottom w:val="none" w:sz="0" w:space="0" w:color="auto"/>
            <w:right w:val="none" w:sz="0" w:space="0" w:color="auto"/>
          </w:divBdr>
        </w:div>
        <w:div w:id="2069572855">
          <w:marLeft w:val="0"/>
          <w:marRight w:val="0"/>
          <w:marTop w:val="160"/>
          <w:marBottom w:val="160"/>
          <w:divBdr>
            <w:top w:val="none" w:sz="0" w:space="0" w:color="auto"/>
            <w:left w:val="none" w:sz="0" w:space="0" w:color="auto"/>
            <w:bottom w:val="none" w:sz="0" w:space="0" w:color="auto"/>
            <w:right w:val="none" w:sz="0" w:space="0" w:color="auto"/>
          </w:divBdr>
        </w:div>
        <w:div w:id="638539992">
          <w:marLeft w:val="0"/>
          <w:marRight w:val="0"/>
          <w:marTop w:val="160"/>
          <w:marBottom w:val="160"/>
          <w:divBdr>
            <w:top w:val="none" w:sz="0" w:space="0" w:color="auto"/>
            <w:left w:val="none" w:sz="0" w:space="0" w:color="auto"/>
            <w:bottom w:val="none" w:sz="0" w:space="0" w:color="auto"/>
            <w:right w:val="none" w:sz="0" w:space="0" w:color="auto"/>
          </w:divBdr>
        </w:div>
        <w:div w:id="1897626208">
          <w:marLeft w:val="0"/>
          <w:marRight w:val="0"/>
          <w:marTop w:val="160"/>
          <w:marBottom w:val="160"/>
          <w:divBdr>
            <w:top w:val="none" w:sz="0" w:space="0" w:color="auto"/>
            <w:left w:val="none" w:sz="0" w:space="0" w:color="auto"/>
            <w:bottom w:val="none" w:sz="0" w:space="0" w:color="auto"/>
            <w:right w:val="none" w:sz="0" w:space="0" w:color="auto"/>
          </w:divBdr>
        </w:div>
        <w:div w:id="1756441292">
          <w:marLeft w:val="0"/>
          <w:marRight w:val="0"/>
          <w:marTop w:val="160"/>
          <w:marBottom w:val="160"/>
          <w:divBdr>
            <w:top w:val="none" w:sz="0" w:space="0" w:color="auto"/>
            <w:left w:val="none" w:sz="0" w:space="0" w:color="auto"/>
            <w:bottom w:val="none" w:sz="0" w:space="0" w:color="auto"/>
            <w:right w:val="none" w:sz="0" w:space="0" w:color="auto"/>
          </w:divBdr>
        </w:div>
        <w:div w:id="1773815603">
          <w:marLeft w:val="0"/>
          <w:marRight w:val="0"/>
          <w:marTop w:val="160"/>
          <w:marBottom w:val="160"/>
          <w:divBdr>
            <w:top w:val="none" w:sz="0" w:space="0" w:color="auto"/>
            <w:left w:val="none" w:sz="0" w:space="0" w:color="auto"/>
            <w:bottom w:val="none" w:sz="0" w:space="0" w:color="auto"/>
            <w:right w:val="none" w:sz="0" w:space="0" w:color="auto"/>
          </w:divBdr>
        </w:div>
      </w:divsChild>
    </w:div>
    <w:div w:id="60637744">
      <w:marLeft w:val="0"/>
      <w:marRight w:val="0"/>
      <w:marTop w:val="160"/>
      <w:marBottom w:val="160"/>
      <w:divBdr>
        <w:top w:val="none" w:sz="0" w:space="0" w:color="auto"/>
        <w:left w:val="none" w:sz="0" w:space="0" w:color="auto"/>
        <w:bottom w:val="none" w:sz="0" w:space="0" w:color="auto"/>
        <w:right w:val="none" w:sz="0" w:space="0" w:color="auto"/>
      </w:divBdr>
    </w:div>
    <w:div w:id="62027857">
      <w:marLeft w:val="0"/>
      <w:marRight w:val="0"/>
      <w:marTop w:val="160"/>
      <w:marBottom w:val="160"/>
      <w:divBdr>
        <w:top w:val="none" w:sz="0" w:space="0" w:color="auto"/>
        <w:left w:val="none" w:sz="0" w:space="0" w:color="auto"/>
        <w:bottom w:val="none" w:sz="0" w:space="0" w:color="auto"/>
        <w:right w:val="none" w:sz="0" w:space="0" w:color="auto"/>
      </w:divBdr>
    </w:div>
    <w:div w:id="67114634">
      <w:marLeft w:val="0"/>
      <w:marRight w:val="0"/>
      <w:marTop w:val="160"/>
      <w:marBottom w:val="160"/>
      <w:divBdr>
        <w:top w:val="none" w:sz="0" w:space="0" w:color="auto"/>
        <w:left w:val="none" w:sz="0" w:space="0" w:color="auto"/>
        <w:bottom w:val="none" w:sz="0" w:space="0" w:color="auto"/>
        <w:right w:val="none" w:sz="0" w:space="0" w:color="auto"/>
      </w:divBdr>
    </w:div>
    <w:div w:id="74910433">
      <w:marLeft w:val="0"/>
      <w:marRight w:val="0"/>
      <w:marTop w:val="160"/>
      <w:marBottom w:val="160"/>
      <w:divBdr>
        <w:top w:val="none" w:sz="0" w:space="0" w:color="auto"/>
        <w:left w:val="none" w:sz="0" w:space="0" w:color="auto"/>
        <w:bottom w:val="none" w:sz="0" w:space="0" w:color="auto"/>
        <w:right w:val="none" w:sz="0" w:space="0" w:color="auto"/>
      </w:divBdr>
    </w:div>
    <w:div w:id="74980041">
      <w:marLeft w:val="0"/>
      <w:marRight w:val="0"/>
      <w:marTop w:val="160"/>
      <w:marBottom w:val="160"/>
      <w:divBdr>
        <w:top w:val="none" w:sz="0" w:space="0" w:color="auto"/>
        <w:left w:val="none" w:sz="0" w:space="0" w:color="auto"/>
        <w:bottom w:val="none" w:sz="0" w:space="0" w:color="auto"/>
        <w:right w:val="none" w:sz="0" w:space="0" w:color="auto"/>
      </w:divBdr>
    </w:div>
    <w:div w:id="84885173">
      <w:marLeft w:val="0"/>
      <w:marRight w:val="0"/>
      <w:marTop w:val="160"/>
      <w:marBottom w:val="160"/>
      <w:divBdr>
        <w:top w:val="none" w:sz="0" w:space="0" w:color="auto"/>
        <w:left w:val="none" w:sz="0" w:space="0" w:color="auto"/>
        <w:bottom w:val="none" w:sz="0" w:space="0" w:color="auto"/>
        <w:right w:val="none" w:sz="0" w:space="0" w:color="auto"/>
      </w:divBdr>
    </w:div>
    <w:div w:id="94711262">
      <w:marLeft w:val="0"/>
      <w:marRight w:val="0"/>
      <w:marTop w:val="0"/>
      <w:marBottom w:val="0"/>
      <w:divBdr>
        <w:top w:val="none" w:sz="0" w:space="0" w:color="auto"/>
        <w:left w:val="none" w:sz="0" w:space="0" w:color="auto"/>
        <w:bottom w:val="none" w:sz="0" w:space="0" w:color="auto"/>
        <w:right w:val="none" w:sz="0" w:space="0" w:color="auto"/>
      </w:divBdr>
      <w:divsChild>
        <w:div w:id="348600547">
          <w:marLeft w:val="0"/>
          <w:marRight w:val="0"/>
          <w:marTop w:val="0"/>
          <w:marBottom w:val="0"/>
          <w:divBdr>
            <w:top w:val="none" w:sz="0" w:space="0" w:color="auto"/>
            <w:left w:val="none" w:sz="0" w:space="0" w:color="auto"/>
            <w:bottom w:val="none" w:sz="0" w:space="0" w:color="auto"/>
            <w:right w:val="none" w:sz="0" w:space="0" w:color="auto"/>
          </w:divBdr>
        </w:div>
      </w:divsChild>
    </w:div>
    <w:div w:id="99180521">
      <w:marLeft w:val="0"/>
      <w:marRight w:val="0"/>
      <w:marTop w:val="0"/>
      <w:marBottom w:val="0"/>
      <w:divBdr>
        <w:top w:val="none" w:sz="0" w:space="0" w:color="auto"/>
        <w:left w:val="none" w:sz="0" w:space="0" w:color="auto"/>
        <w:bottom w:val="none" w:sz="0" w:space="0" w:color="auto"/>
        <w:right w:val="none" w:sz="0" w:space="0" w:color="auto"/>
      </w:divBdr>
      <w:divsChild>
        <w:div w:id="1647855930">
          <w:marLeft w:val="0"/>
          <w:marRight w:val="0"/>
          <w:marTop w:val="160"/>
          <w:marBottom w:val="160"/>
          <w:divBdr>
            <w:top w:val="none" w:sz="0" w:space="0" w:color="auto"/>
            <w:left w:val="none" w:sz="0" w:space="0" w:color="auto"/>
            <w:bottom w:val="none" w:sz="0" w:space="0" w:color="auto"/>
            <w:right w:val="none" w:sz="0" w:space="0" w:color="auto"/>
          </w:divBdr>
        </w:div>
        <w:div w:id="1688822012">
          <w:marLeft w:val="0"/>
          <w:marRight w:val="0"/>
          <w:marTop w:val="160"/>
          <w:marBottom w:val="160"/>
          <w:divBdr>
            <w:top w:val="none" w:sz="0" w:space="0" w:color="auto"/>
            <w:left w:val="none" w:sz="0" w:space="0" w:color="auto"/>
            <w:bottom w:val="none" w:sz="0" w:space="0" w:color="auto"/>
            <w:right w:val="none" w:sz="0" w:space="0" w:color="auto"/>
          </w:divBdr>
        </w:div>
        <w:div w:id="928152573">
          <w:marLeft w:val="0"/>
          <w:marRight w:val="0"/>
          <w:marTop w:val="160"/>
          <w:marBottom w:val="160"/>
          <w:divBdr>
            <w:top w:val="none" w:sz="0" w:space="0" w:color="auto"/>
            <w:left w:val="none" w:sz="0" w:space="0" w:color="auto"/>
            <w:bottom w:val="none" w:sz="0" w:space="0" w:color="auto"/>
            <w:right w:val="none" w:sz="0" w:space="0" w:color="auto"/>
          </w:divBdr>
        </w:div>
        <w:div w:id="1274365496">
          <w:marLeft w:val="0"/>
          <w:marRight w:val="0"/>
          <w:marTop w:val="160"/>
          <w:marBottom w:val="160"/>
          <w:divBdr>
            <w:top w:val="none" w:sz="0" w:space="0" w:color="auto"/>
            <w:left w:val="none" w:sz="0" w:space="0" w:color="auto"/>
            <w:bottom w:val="none" w:sz="0" w:space="0" w:color="auto"/>
            <w:right w:val="none" w:sz="0" w:space="0" w:color="auto"/>
          </w:divBdr>
        </w:div>
        <w:div w:id="1791582181">
          <w:marLeft w:val="0"/>
          <w:marRight w:val="0"/>
          <w:marTop w:val="160"/>
          <w:marBottom w:val="160"/>
          <w:divBdr>
            <w:top w:val="none" w:sz="0" w:space="0" w:color="auto"/>
            <w:left w:val="none" w:sz="0" w:space="0" w:color="auto"/>
            <w:bottom w:val="none" w:sz="0" w:space="0" w:color="auto"/>
            <w:right w:val="none" w:sz="0" w:space="0" w:color="auto"/>
          </w:divBdr>
        </w:div>
      </w:divsChild>
    </w:div>
    <w:div w:id="116873109">
      <w:marLeft w:val="0"/>
      <w:marRight w:val="0"/>
      <w:marTop w:val="160"/>
      <w:marBottom w:val="160"/>
      <w:divBdr>
        <w:top w:val="none" w:sz="0" w:space="0" w:color="auto"/>
        <w:left w:val="none" w:sz="0" w:space="0" w:color="auto"/>
        <w:bottom w:val="none" w:sz="0" w:space="0" w:color="auto"/>
        <w:right w:val="none" w:sz="0" w:space="0" w:color="auto"/>
      </w:divBdr>
    </w:div>
    <w:div w:id="120660900">
      <w:marLeft w:val="0"/>
      <w:marRight w:val="0"/>
      <w:marTop w:val="160"/>
      <w:marBottom w:val="160"/>
      <w:divBdr>
        <w:top w:val="none" w:sz="0" w:space="0" w:color="auto"/>
        <w:left w:val="none" w:sz="0" w:space="0" w:color="auto"/>
        <w:bottom w:val="none" w:sz="0" w:space="0" w:color="auto"/>
        <w:right w:val="none" w:sz="0" w:space="0" w:color="auto"/>
      </w:divBdr>
    </w:div>
    <w:div w:id="121851091">
      <w:marLeft w:val="0"/>
      <w:marRight w:val="0"/>
      <w:marTop w:val="0"/>
      <w:marBottom w:val="160"/>
      <w:divBdr>
        <w:top w:val="none" w:sz="0" w:space="0" w:color="auto"/>
        <w:left w:val="none" w:sz="0" w:space="0" w:color="auto"/>
        <w:bottom w:val="none" w:sz="0" w:space="0" w:color="auto"/>
        <w:right w:val="none" w:sz="0" w:space="0" w:color="auto"/>
      </w:divBdr>
    </w:div>
    <w:div w:id="123475794">
      <w:marLeft w:val="0"/>
      <w:marRight w:val="0"/>
      <w:marTop w:val="160"/>
      <w:marBottom w:val="160"/>
      <w:divBdr>
        <w:top w:val="none" w:sz="0" w:space="0" w:color="auto"/>
        <w:left w:val="none" w:sz="0" w:space="0" w:color="auto"/>
        <w:bottom w:val="none" w:sz="0" w:space="0" w:color="auto"/>
        <w:right w:val="none" w:sz="0" w:space="0" w:color="auto"/>
      </w:divBdr>
    </w:div>
    <w:div w:id="130486784">
      <w:marLeft w:val="0"/>
      <w:marRight w:val="0"/>
      <w:marTop w:val="60"/>
      <w:marBottom w:val="60"/>
      <w:divBdr>
        <w:top w:val="none" w:sz="0" w:space="0" w:color="auto"/>
        <w:left w:val="none" w:sz="0" w:space="0" w:color="auto"/>
        <w:bottom w:val="none" w:sz="0" w:space="0" w:color="auto"/>
        <w:right w:val="none" w:sz="0" w:space="0" w:color="auto"/>
      </w:divBdr>
    </w:div>
    <w:div w:id="137458484">
      <w:marLeft w:val="0"/>
      <w:marRight w:val="0"/>
      <w:marTop w:val="160"/>
      <w:marBottom w:val="160"/>
      <w:divBdr>
        <w:top w:val="none" w:sz="0" w:space="0" w:color="auto"/>
        <w:left w:val="none" w:sz="0" w:space="0" w:color="auto"/>
        <w:bottom w:val="none" w:sz="0" w:space="0" w:color="auto"/>
        <w:right w:val="none" w:sz="0" w:space="0" w:color="auto"/>
      </w:divBdr>
    </w:div>
    <w:div w:id="138768081">
      <w:marLeft w:val="0"/>
      <w:marRight w:val="0"/>
      <w:marTop w:val="60"/>
      <w:marBottom w:val="0"/>
      <w:divBdr>
        <w:top w:val="none" w:sz="0" w:space="0" w:color="auto"/>
        <w:left w:val="none" w:sz="0" w:space="0" w:color="auto"/>
        <w:bottom w:val="none" w:sz="0" w:space="0" w:color="auto"/>
        <w:right w:val="none" w:sz="0" w:space="0" w:color="auto"/>
      </w:divBdr>
    </w:div>
    <w:div w:id="148443745">
      <w:marLeft w:val="0"/>
      <w:marRight w:val="0"/>
      <w:marTop w:val="160"/>
      <w:marBottom w:val="160"/>
      <w:divBdr>
        <w:top w:val="none" w:sz="0" w:space="0" w:color="auto"/>
        <w:left w:val="none" w:sz="0" w:space="0" w:color="auto"/>
        <w:bottom w:val="none" w:sz="0" w:space="0" w:color="auto"/>
        <w:right w:val="none" w:sz="0" w:space="0" w:color="auto"/>
      </w:divBdr>
    </w:div>
    <w:div w:id="149369729">
      <w:marLeft w:val="0"/>
      <w:marRight w:val="0"/>
      <w:marTop w:val="160"/>
      <w:marBottom w:val="160"/>
      <w:divBdr>
        <w:top w:val="none" w:sz="0" w:space="0" w:color="auto"/>
        <w:left w:val="none" w:sz="0" w:space="0" w:color="auto"/>
        <w:bottom w:val="none" w:sz="0" w:space="0" w:color="auto"/>
        <w:right w:val="none" w:sz="0" w:space="0" w:color="auto"/>
      </w:divBdr>
    </w:div>
    <w:div w:id="152837719">
      <w:marLeft w:val="0"/>
      <w:marRight w:val="0"/>
      <w:marTop w:val="160"/>
      <w:marBottom w:val="160"/>
      <w:divBdr>
        <w:top w:val="none" w:sz="0" w:space="0" w:color="auto"/>
        <w:left w:val="none" w:sz="0" w:space="0" w:color="auto"/>
        <w:bottom w:val="none" w:sz="0" w:space="0" w:color="auto"/>
        <w:right w:val="none" w:sz="0" w:space="0" w:color="auto"/>
      </w:divBdr>
    </w:div>
    <w:div w:id="160851412">
      <w:marLeft w:val="0"/>
      <w:marRight w:val="0"/>
      <w:marTop w:val="160"/>
      <w:marBottom w:val="160"/>
      <w:divBdr>
        <w:top w:val="none" w:sz="0" w:space="0" w:color="auto"/>
        <w:left w:val="none" w:sz="0" w:space="0" w:color="auto"/>
        <w:bottom w:val="none" w:sz="0" w:space="0" w:color="auto"/>
        <w:right w:val="none" w:sz="0" w:space="0" w:color="auto"/>
      </w:divBdr>
    </w:div>
    <w:div w:id="164176387">
      <w:marLeft w:val="0"/>
      <w:marRight w:val="0"/>
      <w:marTop w:val="160"/>
      <w:marBottom w:val="160"/>
      <w:divBdr>
        <w:top w:val="none" w:sz="0" w:space="0" w:color="auto"/>
        <w:left w:val="none" w:sz="0" w:space="0" w:color="auto"/>
        <w:bottom w:val="none" w:sz="0" w:space="0" w:color="auto"/>
        <w:right w:val="none" w:sz="0" w:space="0" w:color="auto"/>
      </w:divBdr>
    </w:div>
    <w:div w:id="166749097">
      <w:marLeft w:val="0"/>
      <w:marRight w:val="0"/>
      <w:marTop w:val="0"/>
      <w:marBottom w:val="160"/>
      <w:divBdr>
        <w:top w:val="none" w:sz="0" w:space="0" w:color="auto"/>
        <w:left w:val="none" w:sz="0" w:space="0" w:color="auto"/>
        <w:bottom w:val="none" w:sz="0" w:space="0" w:color="auto"/>
        <w:right w:val="none" w:sz="0" w:space="0" w:color="auto"/>
      </w:divBdr>
    </w:div>
    <w:div w:id="168908256">
      <w:marLeft w:val="0"/>
      <w:marRight w:val="0"/>
      <w:marTop w:val="160"/>
      <w:marBottom w:val="160"/>
      <w:divBdr>
        <w:top w:val="none" w:sz="0" w:space="0" w:color="auto"/>
        <w:left w:val="none" w:sz="0" w:space="0" w:color="auto"/>
        <w:bottom w:val="none" w:sz="0" w:space="0" w:color="auto"/>
        <w:right w:val="none" w:sz="0" w:space="0" w:color="auto"/>
      </w:divBdr>
    </w:div>
    <w:div w:id="172689014">
      <w:marLeft w:val="0"/>
      <w:marRight w:val="0"/>
      <w:marTop w:val="160"/>
      <w:marBottom w:val="160"/>
      <w:divBdr>
        <w:top w:val="none" w:sz="0" w:space="0" w:color="auto"/>
        <w:left w:val="none" w:sz="0" w:space="0" w:color="auto"/>
        <w:bottom w:val="none" w:sz="0" w:space="0" w:color="auto"/>
        <w:right w:val="none" w:sz="0" w:space="0" w:color="auto"/>
      </w:divBdr>
    </w:div>
    <w:div w:id="183442993">
      <w:marLeft w:val="0"/>
      <w:marRight w:val="0"/>
      <w:marTop w:val="160"/>
      <w:marBottom w:val="160"/>
      <w:divBdr>
        <w:top w:val="none" w:sz="0" w:space="0" w:color="auto"/>
        <w:left w:val="none" w:sz="0" w:space="0" w:color="auto"/>
        <w:bottom w:val="none" w:sz="0" w:space="0" w:color="auto"/>
        <w:right w:val="none" w:sz="0" w:space="0" w:color="auto"/>
      </w:divBdr>
    </w:div>
    <w:div w:id="186020967">
      <w:marLeft w:val="0"/>
      <w:marRight w:val="0"/>
      <w:marTop w:val="160"/>
      <w:marBottom w:val="160"/>
      <w:divBdr>
        <w:top w:val="none" w:sz="0" w:space="0" w:color="auto"/>
        <w:left w:val="none" w:sz="0" w:space="0" w:color="auto"/>
        <w:bottom w:val="none" w:sz="0" w:space="0" w:color="auto"/>
        <w:right w:val="none" w:sz="0" w:space="0" w:color="auto"/>
      </w:divBdr>
    </w:div>
    <w:div w:id="189296073">
      <w:marLeft w:val="0"/>
      <w:marRight w:val="0"/>
      <w:marTop w:val="160"/>
      <w:marBottom w:val="160"/>
      <w:divBdr>
        <w:top w:val="none" w:sz="0" w:space="0" w:color="auto"/>
        <w:left w:val="none" w:sz="0" w:space="0" w:color="auto"/>
        <w:bottom w:val="none" w:sz="0" w:space="0" w:color="auto"/>
        <w:right w:val="none" w:sz="0" w:space="0" w:color="auto"/>
      </w:divBdr>
    </w:div>
    <w:div w:id="196355839">
      <w:marLeft w:val="0"/>
      <w:marRight w:val="0"/>
      <w:marTop w:val="0"/>
      <w:marBottom w:val="0"/>
      <w:divBdr>
        <w:top w:val="none" w:sz="0" w:space="0" w:color="auto"/>
        <w:left w:val="none" w:sz="0" w:space="0" w:color="auto"/>
        <w:bottom w:val="none" w:sz="0" w:space="0" w:color="auto"/>
        <w:right w:val="none" w:sz="0" w:space="0" w:color="auto"/>
      </w:divBdr>
    </w:div>
    <w:div w:id="201526060">
      <w:marLeft w:val="0"/>
      <w:marRight w:val="0"/>
      <w:marTop w:val="160"/>
      <w:marBottom w:val="160"/>
      <w:divBdr>
        <w:top w:val="none" w:sz="0" w:space="0" w:color="auto"/>
        <w:left w:val="none" w:sz="0" w:space="0" w:color="auto"/>
        <w:bottom w:val="none" w:sz="0" w:space="0" w:color="auto"/>
        <w:right w:val="none" w:sz="0" w:space="0" w:color="auto"/>
      </w:divBdr>
    </w:div>
    <w:div w:id="202325056">
      <w:marLeft w:val="0"/>
      <w:marRight w:val="0"/>
      <w:marTop w:val="160"/>
      <w:marBottom w:val="160"/>
      <w:divBdr>
        <w:top w:val="none" w:sz="0" w:space="0" w:color="auto"/>
        <w:left w:val="none" w:sz="0" w:space="0" w:color="auto"/>
        <w:bottom w:val="none" w:sz="0" w:space="0" w:color="auto"/>
        <w:right w:val="none" w:sz="0" w:space="0" w:color="auto"/>
      </w:divBdr>
    </w:div>
    <w:div w:id="202449402">
      <w:marLeft w:val="0"/>
      <w:marRight w:val="0"/>
      <w:marTop w:val="160"/>
      <w:marBottom w:val="160"/>
      <w:divBdr>
        <w:top w:val="none" w:sz="0" w:space="0" w:color="auto"/>
        <w:left w:val="none" w:sz="0" w:space="0" w:color="auto"/>
        <w:bottom w:val="none" w:sz="0" w:space="0" w:color="auto"/>
        <w:right w:val="none" w:sz="0" w:space="0" w:color="auto"/>
      </w:divBdr>
    </w:div>
    <w:div w:id="206451451">
      <w:marLeft w:val="0"/>
      <w:marRight w:val="0"/>
      <w:marTop w:val="160"/>
      <w:marBottom w:val="160"/>
      <w:divBdr>
        <w:top w:val="none" w:sz="0" w:space="0" w:color="auto"/>
        <w:left w:val="none" w:sz="0" w:space="0" w:color="auto"/>
        <w:bottom w:val="none" w:sz="0" w:space="0" w:color="auto"/>
        <w:right w:val="none" w:sz="0" w:space="0" w:color="auto"/>
      </w:divBdr>
    </w:div>
    <w:div w:id="212155522">
      <w:marLeft w:val="0"/>
      <w:marRight w:val="0"/>
      <w:marTop w:val="160"/>
      <w:marBottom w:val="160"/>
      <w:divBdr>
        <w:top w:val="none" w:sz="0" w:space="0" w:color="auto"/>
        <w:left w:val="none" w:sz="0" w:space="0" w:color="auto"/>
        <w:bottom w:val="none" w:sz="0" w:space="0" w:color="auto"/>
        <w:right w:val="none" w:sz="0" w:space="0" w:color="auto"/>
      </w:divBdr>
    </w:div>
    <w:div w:id="218371529">
      <w:marLeft w:val="0"/>
      <w:marRight w:val="0"/>
      <w:marTop w:val="160"/>
      <w:marBottom w:val="160"/>
      <w:divBdr>
        <w:top w:val="none" w:sz="0" w:space="0" w:color="auto"/>
        <w:left w:val="none" w:sz="0" w:space="0" w:color="auto"/>
        <w:bottom w:val="none" w:sz="0" w:space="0" w:color="auto"/>
        <w:right w:val="none" w:sz="0" w:space="0" w:color="auto"/>
      </w:divBdr>
    </w:div>
    <w:div w:id="229776044">
      <w:marLeft w:val="0"/>
      <w:marRight w:val="0"/>
      <w:marTop w:val="160"/>
      <w:marBottom w:val="160"/>
      <w:divBdr>
        <w:top w:val="none" w:sz="0" w:space="0" w:color="auto"/>
        <w:left w:val="none" w:sz="0" w:space="0" w:color="auto"/>
        <w:bottom w:val="none" w:sz="0" w:space="0" w:color="auto"/>
        <w:right w:val="none" w:sz="0" w:space="0" w:color="auto"/>
      </w:divBdr>
    </w:div>
    <w:div w:id="250353047">
      <w:marLeft w:val="0"/>
      <w:marRight w:val="0"/>
      <w:marTop w:val="160"/>
      <w:marBottom w:val="160"/>
      <w:divBdr>
        <w:top w:val="none" w:sz="0" w:space="0" w:color="auto"/>
        <w:left w:val="none" w:sz="0" w:space="0" w:color="auto"/>
        <w:bottom w:val="none" w:sz="0" w:space="0" w:color="auto"/>
        <w:right w:val="none" w:sz="0" w:space="0" w:color="auto"/>
      </w:divBdr>
    </w:div>
    <w:div w:id="251546186">
      <w:marLeft w:val="0"/>
      <w:marRight w:val="0"/>
      <w:marTop w:val="160"/>
      <w:marBottom w:val="160"/>
      <w:divBdr>
        <w:top w:val="none" w:sz="0" w:space="0" w:color="auto"/>
        <w:left w:val="none" w:sz="0" w:space="0" w:color="auto"/>
        <w:bottom w:val="none" w:sz="0" w:space="0" w:color="auto"/>
        <w:right w:val="none" w:sz="0" w:space="0" w:color="auto"/>
      </w:divBdr>
    </w:div>
    <w:div w:id="257955060">
      <w:marLeft w:val="0"/>
      <w:marRight w:val="0"/>
      <w:marTop w:val="160"/>
      <w:marBottom w:val="160"/>
      <w:divBdr>
        <w:top w:val="none" w:sz="0" w:space="0" w:color="auto"/>
        <w:left w:val="none" w:sz="0" w:space="0" w:color="auto"/>
        <w:bottom w:val="none" w:sz="0" w:space="0" w:color="auto"/>
        <w:right w:val="none" w:sz="0" w:space="0" w:color="auto"/>
      </w:divBdr>
    </w:div>
    <w:div w:id="259065500">
      <w:marLeft w:val="0"/>
      <w:marRight w:val="0"/>
      <w:marTop w:val="60"/>
      <w:marBottom w:val="60"/>
      <w:divBdr>
        <w:top w:val="none" w:sz="0" w:space="0" w:color="auto"/>
        <w:left w:val="none" w:sz="0" w:space="0" w:color="auto"/>
        <w:bottom w:val="none" w:sz="0" w:space="0" w:color="auto"/>
        <w:right w:val="none" w:sz="0" w:space="0" w:color="auto"/>
      </w:divBdr>
    </w:div>
    <w:div w:id="265116035">
      <w:marLeft w:val="0"/>
      <w:marRight w:val="0"/>
      <w:marTop w:val="160"/>
      <w:marBottom w:val="160"/>
      <w:divBdr>
        <w:top w:val="none" w:sz="0" w:space="0" w:color="auto"/>
        <w:left w:val="none" w:sz="0" w:space="0" w:color="auto"/>
        <w:bottom w:val="none" w:sz="0" w:space="0" w:color="auto"/>
        <w:right w:val="none" w:sz="0" w:space="0" w:color="auto"/>
      </w:divBdr>
    </w:div>
    <w:div w:id="266157800">
      <w:marLeft w:val="0"/>
      <w:marRight w:val="0"/>
      <w:marTop w:val="160"/>
      <w:marBottom w:val="160"/>
      <w:divBdr>
        <w:top w:val="none" w:sz="0" w:space="0" w:color="auto"/>
        <w:left w:val="none" w:sz="0" w:space="0" w:color="auto"/>
        <w:bottom w:val="none" w:sz="0" w:space="0" w:color="auto"/>
        <w:right w:val="none" w:sz="0" w:space="0" w:color="auto"/>
      </w:divBdr>
    </w:div>
    <w:div w:id="268709253">
      <w:marLeft w:val="0"/>
      <w:marRight w:val="0"/>
      <w:marTop w:val="0"/>
      <w:marBottom w:val="0"/>
      <w:divBdr>
        <w:top w:val="none" w:sz="0" w:space="0" w:color="auto"/>
        <w:left w:val="none" w:sz="0" w:space="0" w:color="auto"/>
        <w:bottom w:val="none" w:sz="0" w:space="0" w:color="auto"/>
        <w:right w:val="none" w:sz="0" w:space="0" w:color="auto"/>
      </w:divBdr>
    </w:div>
    <w:div w:id="273221056">
      <w:marLeft w:val="0"/>
      <w:marRight w:val="0"/>
      <w:marTop w:val="160"/>
      <w:marBottom w:val="160"/>
      <w:divBdr>
        <w:top w:val="none" w:sz="0" w:space="0" w:color="auto"/>
        <w:left w:val="none" w:sz="0" w:space="0" w:color="auto"/>
        <w:bottom w:val="none" w:sz="0" w:space="0" w:color="auto"/>
        <w:right w:val="none" w:sz="0" w:space="0" w:color="auto"/>
      </w:divBdr>
    </w:div>
    <w:div w:id="273901378">
      <w:marLeft w:val="0"/>
      <w:marRight w:val="0"/>
      <w:marTop w:val="0"/>
      <w:marBottom w:val="0"/>
      <w:divBdr>
        <w:top w:val="none" w:sz="0" w:space="0" w:color="auto"/>
        <w:left w:val="none" w:sz="0" w:space="0" w:color="auto"/>
        <w:bottom w:val="none" w:sz="0" w:space="0" w:color="auto"/>
        <w:right w:val="none" w:sz="0" w:space="0" w:color="auto"/>
      </w:divBdr>
      <w:divsChild>
        <w:div w:id="516891597">
          <w:marLeft w:val="0"/>
          <w:marRight w:val="0"/>
          <w:marTop w:val="160"/>
          <w:marBottom w:val="0"/>
          <w:divBdr>
            <w:top w:val="none" w:sz="0" w:space="0" w:color="auto"/>
            <w:left w:val="none" w:sz="0" w:space="0" w:color="auto"/>
            <w:bottom w:val="none" w:sz="0" w:space="0" w:color="auto"/>
            <w:right w:val="none" w:sz="0" w:space="0" w:color="auto"/>
          </w:divBdr>
        </w:div>
        <w:div w:id="1877086336">
          <w:marLeft w:val="0"/>
          <w:marRight w:val="0"/>
          <w:marTop w:val="160"/>
          <w:marBottom w:val="160"/>
          <w:divBdr>
            <w:top w:val="none" w:sz="0" w:space="0" w:color="auto"/>
            <w:left w:val="none" w:sz="0" w:space="0" w:color="auto"/>
            <w:bottom w:val="none" w:sz="0" w:space="0" w:color="auto"/>
            <w:right w:val="none" w:sz="0" w:space="0" w:color="auto"/>
          </w:divBdr>
        </w:div>
        <w:div w:id="477498773">
          <w:marLeft w:val="0"/>
          <w:marRight w:val="0"/>
          <w:marTop w:val="160"/>
          <w:marBottom w:val="160"/>
          <w:divBdr>
            <w:top w:val="none" w:sz="0" w:space="0" w:color="auto"/>
            <w:left w:val="none" w:sz="0" w:space="0" w:color="auto"/>
            <w:bottom w:val="none" w:sz="0" w:space="0" w:color="auto"/>
            <w:right w:val="none" w:sz="0" w:space="0" w:color="auto"/>
          </w:divBdr>
        </w:div>
        <w:div w:id="469249866">
          <w:marLeft w:val="0"/>
          <w:marRight w:val="0"/>
          <w:marTop w:val="160"/>
          <w:marBottom w:val="160"/>
          <w:divBdr>
            <w:top w:val="none" w:sz="0" w:space="0" w:color="auto"/>
            <w:left w:val="none" w:sz="0" w:space="0" w:color="auto"/>
            <w:bottom w:val="none" w:sz="0" w:space="0" w:color="auto"/>
            <w:right w:val="none" w:sz="0" w:space="0" w:color="auto"/>
          </w:divBdr>
        </w:div>
        <w:div w:id="901017985">
          <w:marLeft w:val="0"/>
          <w:marRight w:val="0"/>
          <w:marTop w:val="0"/>
          <w:marBottom w:val="0"/>
          <w:divBdr>
            <w:top w:val="none" w:sz="0" w:space="0" w:color="auto"/>
            <w:left w:val="none" w:sz="0" w:space="0" w:color="auto"/>
            <w:bottom w:val="none" w:sz="0" w:space="0" w:color="auto"/>
            <w:right w:val="none" w:sz="0" w:space="0" w:color="auto"/>
          </w:divBdr>
        </w:div>
      </w:divsChild>
    </w:div>
    <w:div w:id="275987130">
      <w:marLeft w:val="0"/>
      <w:marRight w:val="0"/>
      <w:marTop w:val="180"/>
      <w:marBottom w:val="0"/>
      <w:divBdr>
        <w:top w:val="none" w:sz="0" w:space="0" w:color="auto"/>
        <w:left w:val="none" w:sz="0" w:space="0" w:color="auto"/>
        <w:bottom w:val="none" w:sz="0" w:space="0" w:color="auto"/>
        <w:right w:val="none" w:sz="0" w:space="0" w:color="auto"/>
      </w:divBdr>
      <w:divsChild>
        <w:div w:id="1824152683">
          <w:marLeft w:val="0"/>
          <w:marRight w:val="0"/>
          <w:marTop w:val="0"/>
          <w:marBottom w:val="60"/>
          <w:divBdr>
            <w:top w:val="none" w:sz="0" w:space="0" w:color="auto"/>
            <w:left w:val="none" w:sz="0" w:space="0" w:color="auto"/>
            <w:bottom w:val="none" w:sz="0" w:space="0" w:color="auto"/>
            <w:right w:val="none" w:sz="0" w:space="0" w:color="auto"/>
          </w:divBdr>
        </w:div>
        <w:div w:id="488979078">
          <w:marLeft w:val="0"/>
          <w:marRight w:val="0"/>
          <w:marTop w:val="0"/>
          <w:marBottom w:val="60"/>
          <w:divBdr>
            <w:top w:val="none" w:sz="0" w:space="0" w:color="auto"/>
            <w:left w:val="none" w:sz="0" w:space="0" w:color="auto"/>
            <w:bottom w:val="none" w:sz="0" w:space="0" w:color="auto"/>
            <w:right w:val="none" w:sz="0" w:space="0" w:color="auto"/>
          </w:divBdr>
        </w:div>
        <w:div w:id="1181510339">
          <w:marLeft w:val="0"/>
          <w:marRight w:val="0"/>
          <w:marTop w:val="0"/>
          <w:marBottom w:val="60"/>
          <w:divBdr>
            <w:top w:val="none" w:sz="0" w:space="0" w:color="auto"/>
            <w:left w:val="none" w:sz="0" w:space="0" w:color="auto"/>
            <w:bottom w:val="none" w:sz="0" w:space="0" w:color="auto"/>
            <w:right w:val="none" w:sz="0" w:space="0" w:color="auto"/>
          </w:divBdr>
        </w:div>
        <w:div w:id="1873104647">
          <w:marLeft w:val="0"/>
          <w:marRight w:val="0"/>
          <w:marTop w:val="140"/>
          <w:marBottom w:val="0"/>
          <w:divBdr>
            <w:top w:val="none" w:sz="0" w:space="0" w:color="auto"/>
            <w:left w:val="none" w:sz="0" w:space="0" w:color="auto"/>
            <w:bottom w:val="none" w:sz="0" w:space="0" w:color="auto"/>
            <w:right w:val="none" w:sz="0" w:space="0" w:color="auto"/>
          </w:divBdr>
        </w:div>
      </w:divsChild>
    </w:div>
    <w:div w:id="278344408">
      <w:marLeft w:val="0"/>
      <w:marRight w:val="0"/>
      <w:marTop w:val="0"/>
      <w:marBottom w:val="0"/>
      <w:divBdr>
        <w:top w:val="none" w:sz="0" w:space="0" w:color="auto"/>
        <w:left w:val="none" w:sz="0" w:space="0" w:color="auto"/>
        <w:bottom w:val="none" w:sz="0" w:space="0" w:color="auto"/>
        <w:right w:val="none" w:sz="0" w:space="0" w:color="auto"/>
      </w:divBdr>
    </w:div>
    <w:div w:id="278681498">
      <w:marLeft w:val="0"/>
      <w:marRight w:val="0"/>
      <w:marTop w:val="0"/>
      <w:marBottom w:val="0"/>
      <w:divBdr>
        <w:top w:val="none" w:sz="0" w:space="0" w:color="auto"/>
        <w:left w:val="none" w:sz="0" w:space="0" w:color="auto"/>
        <w:bottom w:val="none" w:sz="0" w:space="0" w:color="auto"/>
        <w:right w:val="none" w:sz="0" w:space="0" w:color="auto"/>
      </w:divBdr>
      <w:divsChild>
        <w:div w:id="1191795070">
          <w:marLeft w:val="0"/>
          <w:marRight w:val="0"/>
          <w:marTop w:val="160"/>
          <w:marBottom w:val="160"/>
          <w:divBdr>
            <w:top w:val="none" w:sz="0" w:space="0" w:color="auto"/>
            <w:left w:val="none" w:sz="0" w:space="0" w:color="auto"/>
            <w:bottom w:val="none" w:sz="0" w:space="0" w:color="auto"/>
            <w:right w:val="none" w:sz="0" w:space="0" w:color="auto"/>
          </w:divBdr>
        </w:div>
        <w:div w:id="1263338782">
          <w:marLeft w:val="0"/>
          <w:marRight w:val="0"/>
          <w:marTop w:val="160"/>
          <w:marBottom w:val="160"/>
          <w:divBdr>
            <w:top w:val="none" w:sz="0" w:space="0" w:color="auto"/>
            <w:left w:val="none" w:sz="0" w:space="0" w:color="auto"/>
            <w:bottom w:val="none" w:sz="0" w:space="0" w:color="auto"/>
            <w:right w:val="none" w:sz="0" w:space="0" w:color="auto"/>
          </w:divBdr>
        </w:div>
        <w:div w:id="1656642830">
          <w:marLeft w:val="0"/>
          <w:marRight w:val="0"/>
          <w:marTop w:val="160"/>
          <w:marBottom w:val="160"/>
          <w:divBdr>
            <w:top w:val="none" w:sz="0" w:space="0" w:color="auto"/>
            <w:left w:val="none" w:sz="0" w:space="0" w:color="auto"/>
            <w:bottom w:val="none" w:sz="0" w:space="0" w:color="auto"/>
            <w:right w:val="none" w:sz="0" w:space="0" w:color="auto"/>
          </w:divBdr>
        </w:div>
        <w:div w:id="1980568206">
          <w:marLeft w:val="0"/>
          <w:marRight w:val="0"/>
          <w:marTop w:val="160"/>
          <w:marBottom w:val="160"/>
          <w:divBdr>
            <w:top w:val="none" w:sz="0" w:space="0" w:color="auto"/>
            <w:left w:val="none" w:sz="0" w:space="0" w:color="auto"/>
            <w:bottom w:val="none" w:sz="0" w:space="0" w:color="auto"/>
            <w:right w:val="none" w:sz="0" w:space="0" w:color="auto"/>
          </w:divBdr>
        </w:div>
        <w:div w:id="1548178132">
          <w:marLeft w:val="0"/>
          <w:marRight w:val="0"/>
          <w:marTop w:val="160"/>
          <w:marBottom w:val="160"/>
          <w:divBdr>
            <w:top w:val="none" w:sz="0" w:space="0" w:color="auto"/>
            <w:left w:val="none" w:sz="0" w:space="0" w:color="auto"/>
            <w:bottom w:val="none" w:sz="0" w:space="0" w:color="auto"/>
            <w:right w:val="none" w:sz="0" w:space="0" w:color="auto"/>
          </w:divBdr>
        </w:div>
        <w:div w:id="565650483">
          <w:marLeft w:val="0"/>
          <w:marRight w:val="0"/>
          <w:marTop w:val="160"/>
          <w:marBottom w:val="160"/>
          <w:divBdr>
            <w:top w:val="none" w:sz="0" w:space="0" w:color="auto"/>
            <w:left w:val="none" w:sz="0" w:space="0" w:color="auto"/>
            <w:bottom w:val="none" w:sz="0" w:space="0" w:color="auto"/>
            <w:right w:val="none" w:sz="0" w:space="0" w:color="auto"/>
          </w:divBdr>
        </w:div>
        <w:div w:id="1155075500">
          <w:marLeft w:val="0"/>
          <w:marRight w:val="0"/>
          <w:marTop w:val="0"/>
          <w:marBottom w:val="0"/>
          <w:divBdr>
            <w:top w:val="none" w:sz="0" w:space="0" w:color="auto"/>
            <w:left w:val="none" w:sz="0" w:space="0" w:color="auto"/>
            <w:bottom w:val="none" w:sz="0" w:space="0" w:color="auto"/>
            <w:right w:val="none" w:sz="0" w:space="0" w:color="auto"/>
          </w:divBdr>
        </w:div>
      </w:divsChild>
    </w:div>
    <w:div w:id="280695960">
      <w:marLeft w:val="0"/>
      <w:marRight w:val="0"/>
      <w:marTop w:val="160"/>
      <w:marBottom w:val="160"/>
      <w:divBdr>
        <w:top w:val="none" w:sz="0" w:space="0" w:color="auto"/>
        <w:left w:val="none" w:sz="0" w:space="0" w:color="auto"/>
        <w:bottom w:val="none" w:sz="0" w:space="0" w:color="auto"/>
        <w:right w:val="none" w:sz="0" w:space="0" w:color="auto"/>
      </w:divBdr>
    </w:div>
    <w:div w:id="282620446">
      <w:marLeft w:val="0"/>
      <w:marRight w:val="0"/>
      <w:marTop w:val="160"/>
      <w:marBottom w:val="160"/>
      <w:divBdr>
        <w:top w:val="none" w:sz="0" w:space="0" w:color="auto"/>
        <w:left w:val="none" w:sz="0" w:space="0" w:color="auto"/>
        <w:bottom w:val="none" w:sz="0" w:space="0" w:color="auto"/>
        <w:right w:val="none" w:sz="0" w:space="0" w:color="auto"/>
      </w:divBdr>
    </w:div>
    <w:div w:id="291446033">
      <w:marLeft w:val="0"/>
      <w:marRight w:val="0"/>
      <w:marTop w:val="160"/>
      <w:marBottom w:val="160"/>
      <w:divBdr>
        <w:top w:val="none" w:sz="0" w:space="0" w:color="auto"/>
        <w:left w:val="none" w:sz="0" w:space="0" w:color="auto"/>
        <w:bottom w:val="none" w:sz="0" w:space="0" w:color="auto"/>
        <w:right w:val="none" w:sz="0" w:space="0" w:color="auto"/>
      </w:divBdr>
    </w:div>
    <w:div w:id="295843227">
      <w:marLeft w:val="0"/>
      <w:marRight w:val="0"/>
      <w:marTop w:val="160"/>
      <w:marBottom w:val="160"/>
      <w:divBdr>
        <w:top w:val="none" w:sz="0" w:space="0" w:color="auto"/>
        <w:left w:val="none" w:sz="0" w:space="0" w:color="auto"/>
        <w:bottom w:val="none" w:sz="0" w:space="0" w:color="auto"/>
        <w:right w:val="none" w:sz="0" w:space="0" w:color="auto"/>
      </w:divBdr>
    </w:div>
    <w:div w:id="296032571">
      <w:marLeft w:val="0"/>
      <w:marRight w:val="0"/>
      <w:marTop w:val="100"/>
      <w:marBottom w:val="160"/>
      <w:divBdr>
        <w:top w:val="none" w:sz="0" w:space="0" w:color="auto"/>
        <w:left w:val="none" w:sz="0" w:space="0" w:color="auto"/>
        <w:bottom w:val="none" w:sz="0" w:space="0" w:color="auto"/>
        <w:right w:val="none" w:sz="0" w:space="0" w:color="auto"/>
      </w:divBdr>
    </w:div>
    <w:div w:id="307176774">
      <w:marLeft w:val="0"/>
      <w:marRight w:val="0"/>
      <w:marTop w:val="0"/>
      <w:marBottom w:val="0"/>
      <w:divBdr>
        <w:top w:val="none" w:sz="0" w:space="0" w:color="auto"/>
        <w:left w:val="none" w:sz="0" w:space="0" w:color="auto"/>
        <w:bottom w:val="none" w:sz="0" w:space="0" w:color="auto"/>
        <w:right w:val="none" w:sz="0" w:space="0" w:color="auto"/>
      </w:divBdr>
      <w:divsChild>
        <w:div w:id="491878045">
          <w:marLeft w:val="0"/>
          <w:marRight w:val="0"/>
          <w:marTop w:val="0"/>
          <w:marBottom w:val="0"/>
          <w:divBdr>
            <w:top w:val="none" w:sz="0" w:space="0" w:color="auto"/>
            <w:left w:val="none" w:sz="0" w:space="0" w:color="auto"/>
            <w:bottom w:val="none" w:sz="0" w:space="0" w:color="auto"/>
            <w:right w:val="none" w:sz="0" w:space="0" w:color="auto"/>
          </w:divBdr>
          <w:divsChild>
            <w:div w:id="349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6316">
      <w:marLeft w:val="0"/>
      <w:marRight w:val="0"/>
      <w:marTop w:val="160"/>
      <w:marBottom w:val="160"/>
      <w:divBdr>
        <w:top w:val="none" w:sz="0" w:space="0" w:color="auto"/>
        <w:left w:val="none" w:sz="0" w:space="0" w:color="auto"/>
        <w:bottom w:val="none" w:sz="0" w:space="0" w:color="auto"/>
        <w:right w:val="none" w:sz="0" w:space="0" w:color="auto"/>
      </w:divBdr>
      <w:divsChild>
        <w:div w:id="1844516206">
          <w:marLeft w:val="0"/>
          <w:marRight w:val="0"/>
          <w:marTop w:val="0"/>
          <w:marBottom w:val="0"/>
          <w:divBdr>
            <w:top w:val="none" w:sz="0" w:space="0" w:color="auto"/>
            <w:left w:val="none" w:sz="0" w:space="0" w:color="auto"/>
            <w:bottom w:val="none" w:sz="0" w:space="0" w:color="auto"/>
            <w:right w:val="none" w:sz="0" w:space="0" w:color="auto"/>
          </w:divBdr>
        </w:div>
      </w:divsChild>
    </w:div>
    <w:div w:id="309287313">
      <w:marLeft w:val="0"/>
      <w:marRight w:val="0"/>
      <w:marTop w:val="160"/>
      <w:marBottom w:val="160"/>
      <w:divBdr>
        <w:top w:val="none" w:sz="0" w:space="0" w:color="auto"/>
        <w:left w:val="none" w:sz="0" w:space="0" w:color="auto"/>
        <w:bottom w:val="none" w:sz="0" w:space="0" w:color="auto"/>
        <w:right w:val="none" w:sz="0" w:space="0" w:color="auto"/>
      </w:divBdr>
    </w:div>
    <w:div w:id="310790775">
      <w:marLeft w:val="0"/>
      <w:marRight w:val="0"/>
      <w:marTop w:val="0"/>
      <w:marBottom w:val="0"/>
      <w:divBdr>
        <w:top w:val="none" w:sz="0" w:space="0" w:color="auto"/>
        <w:left w:val="none" w:sz="0" w:space="0" w:color="auto"/>
        <w:bottom w:val="none" w:sz="0" w:space="0" w:color="auto"/>
        <w:right w:val="none" w:sz="0" w:space="0" w:color="auto"/>
      </w:divBdr>
      <w:divsChild>
        <w:div w:id="586960925">
          <w:marLeft w:val="0"/>
          <w:marRight w:val="0"/>
          <w:marTop w:val="160"/>
          <w:marBottom w:val="160"/>
          <w:divBdr>
            <w:top w:val="none" w:sz="0" w:space="0" w:color="auto"/>
            <w:left w:val="none" w:sz="0" w:space="0" w:color="auto"/>
            <w:bottom w:val="none" w:sz="0" w:space="0" w:color="auto"/>
            <w:right w:val="none" w:sz="0" w:space="0" w:color="auto"/>
          </w:divBdr>
        </w:div>
        <w:div w:id="392194909">
          <w:marLeft w:val="0"/>
          <w:marRight w:val="0"/>
          <w:marTop w:val="160"/>
          <w:marBottom w:val="160"/>
          <w:divBdr>
            <w:top w:val="none" w:sz="0" w:space="0" w:color="auto"/>
            <w:left w:val="none" w:sz="0" w:space="0" w:color="auto"/>
            <w:bottom w:val="none" w:sz="0" w:space="0" w:color="auto"/>
            <w:right w:val="none" w:sz="0" w:space="0" w:color="auto"/>
          </w:divBdr>
        </w:div>
        <w:div w:id="121119013">
          <w:marLeft w:val="0"/>
          <w:marRight w:val="0"/>
          <w:marTop w:val="160"/>
          <w:marBottom w:val="160"/>
          <w:divBdr>
            <w:top w:val="none" w:sz="0" w:space="0" w:color="auto"/>
            <w:left w:val="none" w:sz="0" w:space="0" w:color="auto"/>
            <w:bottom w:val="none" w:sz="0" w:space="0" w:color="auto"/>
            <w:right w:val="none" w:sz="0" w:space="0" w:color="auto"/>
          </w:divBdr>
        </w:div>
        <w:div w:id="130943769">
          <w:marLeft w:val="0"/>
          <w:marRight w:val="0"/>
          <w:marTop w:val="160"/>
          <w:marBottom w:val="160"/>
          <w:divBdr>
            <w:top w:val="none" w:sz="0" w:space="0" w:color="auto"/>
            <w:left w:val="none" w:sz="0" w:space="0" w:color="auto"/>
            <w:bottom w:val="none" w:sz="0" w:space="0" w:color="auto"/>
            <w:right w:val="none" w:sz="0" w:space="0" w:color="auto"/>
          </w:divBdr>
        </w:div>
        <w:div w:id="1053426146">
          <w:marLeft w:val="0"/>
          <w:marRight w:val="0"/>
          <w:marTop w:val="160"/>
          <w:marBottom w:val="160"/>
          <w:divBdr>
            <w:top w:val="none" w:sz="0" w:space="0" w:color="auto"/>
            <w:left w:val="none" w:sz="0" w:space="0" w:color="auto"/>
            <w:bottom w:val="none" w:sz="0" w:space="0" w:color="auto"/>
            <w:right w:val="none" w:sz="0" w:space="0" w:color="auto"/>
          </w:divBdr>
        </w:div>
        <w:div w:id="1036930709">
          <w:marLeft w:val="0"/>
          <w:marRight w:val="0"/>
          <w:marTop w:val="160"/>
          <w:marBottom w:val="160"/>
          <w:divBdr>
            <w:top w:val="none" w:sz="0" w:space="0" w:color="auto"/>
            <w:left w:val="none" w:sz="0" w:space="0" w:color="auto"/>
            <w:bottom w:val="none" w:sz="0" w:space="0" w:color="auto"/>
            <w:right w:val="none" w:sz="0" w:space="0" w:color="auto"/>
          </w:divBdr>
        </w:div>
        <w:div w:id="1418550809">
          <w:marLeft w:val="0"/>
          <w:marRight w:val="0"/>
          <w:marTop w:val="0"/>
          <w:marBottom w:val="0"/>
          <w:divBdr>
            <w:top w:val="none" w:sz="0" w:space="0" w:color="auto"/>
            <w:left w:val="none" w:sz="0" w:space="0" w:color="auto"/>
            <w:bottom w:val="none" w:sz="0" w:space="0" w:color="auto"/>
            <w:right w:val="none" w:sz="0" w:space="0" w:color="auto"/>
          </w:divBdr>
        </w:div>
      </w:divsChild>
    </w:div>
    <w:div w:id="316617024">
      <w:marLeft w:val="0"/>
      <w:marRight w:val="0"/>
      <w:marTop w:val="160"/>
      <w:marBottom w:val="160"/>
      <w:divBdr>
        <w:top w:val="none" w:sz="0" w:space="0" w:color="auto"/>
        <w:left w:val="none" w:sz="0" w:space="0" w:color="auto"/>
        <w:bottom w:val="none" w:sz="0" w:space="0" w:color="auto"/>
        <w:right w:val="none" w:sz="0" w:space="0" w:color="auto"/>
      </w:divBdr>
    </w:div>
    <w:div w:id="320694180">
      <w:marLeft w:val="0"/>
      <w:marRight w:val="0"/>
      <w:marTop w:val="0"/>
      <w:marBottom w:val="0"/>
      <w:divBdr>
        <w:top w:val="none" w:sz="0" w:space="0" w:color="auto"/>
        <w:left w:val="none" w:sz="0" w:space="0" w:color="auto"/>
        <w:bottom w:val="none" w:sz="0" w:space="0" w:color="auto"/>
        <w:right w:val="none" w:sz="0" w:space="0" w:color="auto"/>
      </w:divBdr>
      <w:divsChild>
        <w:div w:id="369498691">
          <w:marLeft w:val="0"/>
          <w:marRight w:val="0"/>
          <w:marTop w:val="160"/>
          <w:marBottom w:val="160"/>
          <w:divBdr>
            <w:top w:val="none" w:sz="0" w:space="0" w:color="auto"/>
            <w:left w:val="none" w:sz="0" w:space="0" w:color="auto"/>
            <w:bottom w:val="none" w:sz="0" w:space="0" w:color="auto"/>
            <w:right w:val="none" w:sz="0" w:space="0" w:color="auto"/>
          </w:divBdr>
        </w:div>
        <w:div w:id="430318460">
          <w:marLeft w:val="0"/>
          <w:marRight w:val="0"/>
          <w:marTop w:val="160"/>
          <w:marBottom w:val="160"/>
          <w:divBdr>
            <w:top w:val="none" w:sz="0" w:space="0" w:color="auto"/>
            <w:left w:val="none" w:sz="0" w:space="0" w:color="auto"/>
            <w:bottom w:val="none" w:sz="0" w:space="0" w:color="auto"/>
            <w:right w:val="none" w:sz="0" w:space="0" w:color="auto"/>
          </w:divBdr>
        </w:div>
        <w:div w:id="1811291451">
          <w:marLeft w:val="0"/>
          <w:marRight w:val="0"/>
          <w:marTop w:val="160"/>
          <w:marBottom w:val="160"/>
          <w:divBdr>
            <w:top w:val="none" w:sz="0" w:space="0" w:color="auto"/>
            <w:left w:val="none" w:sz="0" w:space="0" w:color="auto"/>
            <w:bottom w:val="none" w:sz="0" w:space="0" w:color="auto"/>
            <w:right w:val="none" w:sz="0" w:space="0" w:color="auto"/>
          </w:divBdr>
        </w:div>
        <w:div w:id="1658414178">
          <w:marLeft w:val="0"/>
          <w:marRight w:val="0"/>
          <w:marTop w:val="160"/>
          <w:marBottom w:val="160"/>
          <w:divBdr>
            <w:top w:val="none" w:sz="0" w:space="0" w:color="auto"/>
            <w:left w:val="none" w:sz="0" w:space="0" w:color="auto"/>
            <w:bottom w:val="none" w:sz="0" w:space="0" w:color="auto"/>
            <w:right w:val="none" w:sz="0" w:space="0" w:color="auto"/>
          </w:divBdr>
        </w:div>
        <w:div w:id="548495537">
          <w:marLeft w:val="0"/>
          <w:marRight w:val="0"/>
          <w:marTop w:val="160"/>
          <w:marBottom w:val="160"/>
          <w:divBdr>
            <w:top w:val="none" w:sz="0" w:space="0" w:color="auto"/>
            <w:left w:val="none" w:sz="0" w:space="0" w:color="auto"/>
            <w:bottom w:val="none" w:sz="0" w:space="0" w:color="auto"/>
            <w:right w:val="none" w:sz="0" w:space="0" w:color="auto"/>
          </w:divBdr>
        </w:div>
        <w:div w:id="333655200">
          <w:marLeft w:val="0"/>
          <w:marRight w:val="0"/>
          <w:marTop w:val="0"/>
          <w:marBottom w:val="0"/>
          <w:divBdr>
            <w:top w:val="none" w:sz="0" w:space="0" w:color="auto"/>
            <w:left w:val="none" w:sz="0" w:space="0" w:color="auto"/>
            <w:bottom w:val="none" w:sz="0" w:space="0" w:color="auto"/>
            <w:right w:val="none" w:sz="0" w:space="0" w:color="auto"/>
          </w:divBdr>
        </w:div>
      </w:divsChild>
    </w:div>
    <w:div w:id="323434304">
      <w:marLeft w:val="0"/>
      <w:marRight w:val="0"/>
      <w:marTop w:val="160"/>
      <w:marBottom w:val="160"/>
      <w:divBdr>
        <w:top w:val="none" w:sz="0" w:space="0" w:color="auto"/>
        <w:left w:val="none" w:sz="0" w:space="0" w:color="auto"/>
        <w:bottom w:val="none" w:sz="0" w:space="0" w:color="auto"/>
        <w:right w:val="none" w:sz="0" w:space="0" w:color="auto"/>
      </w:divBdr>
    </w:div>
    <w:div w:id="327055014">
      <w:marLeft w:val="0"/>
      <w:marRight w:val="0"/>
      <w:marTop w:val="160"/>
      <w:marBottom w:val="160"/>
      <w:divBdr>
        <w:top w:val="none" w:sz="0" w:space="0" w:color="auto"/>
        <w:left w:val="none" w:sz="0" w:space="0" w:color="auto"/>
        <w:bottom w:val="none" w:sz="0" w:space="0" w:color="auto"/>
        <w:right w:val="none" w:sz="0" w:space="0" w:color="auto"/>
      </w:divBdr>
    </w:div>
    <w:div w:id="329723049">
      <w:marLeft w:val="0"/>
      <w:marRight w:val="0"/>
      <w:marTop w:val="160"/>
      <w:marBottom w:val="160"/>
      <w:divBdr>
        <w:top w:val="none" w:sz="0" w:space="0" w:color="auto"/>
        <w:left w:val="none" w:sz="0" w:space="0" w:color="auto"/>
        <w:bottom w:val="none" w:sz="0" w:space="0" w:color="auto"/>
        <w:right w:val="none" w:sz="0" w:space="0" w:color="auto"/>
      </w:divBdr>
    </w:div>
    <w:div w:id="335426272">
      <w:marLeft w:val="0"/>
      <w:marRight w:val="0"/>
      <w:marTop w:val="160"/>
      <w:marBottom w:val="160"/>
      <w:divBdr>
        <w:top w:val="none" w:sz="0" w:space="0" w:color="auto"/>
        <w:left w:val="none" w:sz="0" w:space="0" w:color="auto"/>
        <w:bottom w:val="none" w:sz="0" w:space="0" w:color="auto"/>
        <w:right w:val="none" w:sz="0" w:space="0" w:color="auto"/>
      </w:divBdr>
    </w:div>
    <w:div w:id="336083018">
      <w:marLeft w:val="0"/>
      <w:marRight w:val="0"/>
      <w:marTop w:val="160"/>
      <w:marBottom w:val="160"/>
      <w:divBdr>
        <w:top w:val="none" w:sz="0" w:space="0" w:color="auto"/>
        <w:left w:val="none" w:sz="0" w:space="0" w:color="auto"/>
        <w:bottom w:val="none" w:sz="0" w:space="0" w:color="auto"/>
        <w:right w:val="none" w:sz="0" w:space="0" w:color="auto"/>
      </w:divBdr>
    </w:div>
    <w:div w:id="336276133">
      <w:marLeft w:val="0"/>
      <w:marRight w:val="0"/>
      <w:marTop w:val="160"/>
      <w:marBottom w:val="160"/>
      <w:divBdr>
        <w:top w:val="none" w:sz="0" w:space="0" w:color="auto"/>
        <w:left w:val="none" w:sz="0" w:space="0" w:color="auto"/>
        <w:bottom w:val="none" w:sz="0" w:space="0" w:color="auto"/>
        <w:right w:val="none" w:sz="0" w:space="0" w:color="auto"/>
      </w:divBdr>
    </w:div>
    <w:div w:id="339241880">
      <w:marLeft w:val="0"/>
      <w:marRight w:val="0"/>
      <w:marTop w:val="160"/>
      <w:marBottom w:val="160"/>
      <w:divBdr>
        <w:top w:val="none" w:sz="0" w:space="0" w:color="auto"/>
        <w:left w:val="none" w:sz="0" w:space="0" w:color="auto"/>
        <w:bottom w:val="none" w:sz="0" w:space="0" w:color="auto"/>
        <w:right w:val="none" w:sz="0" w:space="0" w:color="auto"/>
      </w:divBdr>
    </w:div>
    <w:div w:id="342167065">
      <w:marLeft w:val="0"/>
      <w:marRight w:val="0"/>
      <w:marTop w:val="160"/>
      <w:marBottom w:val="160"/>
      <w:divBdr>
        <w:top w:val="none" w:sz="0" w:space="0" w:color="auto"/>
        <w:left w:val="none" w:sz="0" w:space="0" w:color="auto"/>
        <w:bottom w:val="none" w:sz="0" w:space="0" w:color="auto"/>
        <w:right w:val="none" w:sz="0" w:space="0" w:color="auto"/>
      </w:divBdr>
    </w:div>
    <w:div w:id="344140634">
      <w:marLeft w:val="0"/>
      <w:marRight w:val="0"/>
      <w:marTop w:val="160"/>
      <w:marBottom w:val="160"/>
      <w:divBdr>
        <w:top w:val="none" w:sz="0" w:space="0" w:color="auto"/>
        <w:left w:val="none" w:sz="0" w:space="0" w:color="auto"/>
        <w:bottom w:val="none" w:sz="0" w:space="0" w:color="auto"/>
        <w:right w:val="none" w:sz="0" w:space="0" w:color="auto"/>
      </w:divBdr>
    </w:div>
    <w:div w:id="349070507">
      <w:marLeft w:val="0"/>
      <w:marRight w:val="0"/>
      <w:marTop w:val="160"/>
      <w:marBottom w:val="160"/>
      <w:divBdr>
        <w:top w:val="none" w:sz="0" w:space="0" w:color="auto"/>
        <w:left w:val="none" w:sz="0" w:space="0" w:color="auto"/>
        <w:bottom w:val="none" w:sz="0" w:space="0" w:color="auto"/>
        <w:right w:val="none" w:sz="0" w:space="0" w:color="auto"/>
      </w:divBdr>
    </w:div>
    <w:div w:id="354380766">
      <w:marLeft w:val="0"/>
      <w:marRight w:val="0"/>
      <w:marTop w:val="160"/>
      <w:marBottom w:val="160"/>
      <w:divBdr>
        <w:top w:val="none" w:sz="0" w:space="0" w:color="auto"/>
        <w:left w:val="none" w:sz="0" w:space="0" w:color="auto"/>
        <w:bottom w:val="none" w:sz="0" w:space="0" w:color="auto"/>
        <w:right w:val="none" w:sz="0" w:space="0" w:color="auto"/>
      </w:divBdr>
    </w:div>
    <w:div w:id="358701278">
      <w:marLeft w:val="0"/>
      <w:marRight w:val="0"/>
      <w:marTop w:val="160"/>
      <w:marBottom w:val="160"/>
      <w:divBdr>
        <w:top w:val="none" w:sz="0" w:space="0" w:color="auto"/>
        <w:left w:val="none" w:sz="0" w:space="0" w:color="auto"/>
        <w:bottom w:val="none" w:sz="0" w:space="0" w:color="auto"/>
        <w:right w:val="none" w:sz="0" w:space="0" w:color="auto"/>
      </w:divBdr>
    </w:div>
    <w:div w:id="372316415">
      <w:marLeft w:val="0"/>
      <w:marRight w:val="0"/>
      <w:marTop w:val="160"/>
      <w:marBottom w:val="160"/>
      <w:divBdr>
        <w:top w:val="none" w:sz="0" w:space="0" w:color="auto"/>
        <w:left w:val="none" w:sz="0" w:space="0" w:color="auto"/>
        <w:bottom w:val="none" w:sz="0" w:space="0" w:color="auto"/>
        <w:right w:val="none" w:sz="0" w:space="0" w:color="auto"/>
      </w:divBdr>
    </w:div>
    <w:div w:id="372969023">
      <w:marLeft w:val="0"/>
      <w:marRight w:val="0"/>
      <w:marTop w:val="0"/>
      <w:marBottom w:val="0"/>
      <w:divBdr>
        <w:top w:val="none" w:sz="0" w:space="0" w:color="auto"/>
        <w:left w:val="none" w:sz="0" w:space="0" w:color="auto"/>
        <w:bottom w:val="none" w:sz="0" w:space="0" w:color="auto"/>
        <w:right w:val="none" w:sz="0" w:space="0" w:color="auto"/>
      </w:divBdr>
      <w:divsChild>
        <w:div w:id="1491294241">
          <w:marLeft w:val="0"/>
          <w:marRight w:val="0"/>
          <w:marTop w:val="0"/>
          <w:marBottom w:val="0"/>
          <w:divBdr>
            <w:top w:val="none" w:sz="0" w:space="0" w:color="auto"/>
            <w:left w:val="none" w:sz="0" w:space="0" w:color="auto"/>
            <w:bottom w:val="none" w:sz="0" w:space="0" w:color="auto"/>
            <w:right w:val="none" w:sz="0" w:space="0" w:color="auto"/>
          </w:divBdr>
        </w:div>
      </w:divsChild>
    </w:div>
    <w:div w:id="374548562">
      <w:marLeft w:val="0"/>
      <w:marRight w:val="0"/>
      <w:marTop w:val="60"/>
      <w:marBottom w:val="0"/>
      <w:divBdr>
        <w:top w:val="none" w:sz="0" w:space="0" w:color="auto"/>
        <w:left w:val="none" w:sz="0" w:space="0" w:color="auto"/>
        <w:bottom w:val="none" w:sz="0" w:space="0" w:color="auto"/>
        <w:right w:val="none" w:sz="0" w:space="0" w:color="auto"/>
      </w:divBdr>
    </w:div>
    <w:div w:id="377750478">
      <w:marLeft w:val="0"/>
      <w:marRight w:val="0"/>
      <w:marTop w:val="0"/>
      <w:marBottom w:val="0"/>
      <w:divBdr>
        <w:top w:val="none" w:sz="0" w:space="0" w:color="auto"/>
        <w:left w:val="none" w:sz="0" w:space="0" w:color="auto"/>
        <w:bottom w:val="none" w:sz="0" w:space="0" w:color="auto"/>
        <w:right w:val="none" w:sz="0" w:space="0" w:color="auto"/>
      </w:divBdr>
      <w:divsChild>
        <w:div w:id="452018141">
          <w:marLeft w:val="0"/>
          <w:marRight w:val="0"/>
          <w:marTop w:val="0"/>
          <w:marBottom w:val="0"/>
          <w:divBdr>
            <w:top w:val="none" w:sz="0" w:space="0" w:color="auto"/>
            <w:left w:val="none" w:sz="0" w:space="0" w:color="auto"/>
            <w:bottom w:val="none" w:sz="0" w:space="0" w:color="auto"/>
            <w:right w:val="none" w:sz="0" w:space="0" w:color="auto"/>
          </w:divBdr>
        </w:div>
      </w:divsChild>
    </w:div>
    <w:div w:id="379670350">
      <w:marLeft w:val="0"/>
      <w:marRight w:val="0"/>
      <w:marTop w:val="180"/>
      <w:marBottom w:val="0"/>
      <w:divBdr>
        <w:top w:val="none" w:sz="0" w:space="0" w:color="auto"/>
        <w:left w:val="none" w:sz="0" w:space="0" w:color="auto"/>
        <w:bottom w:val="none" w:sz="0" w:space="0" w:color="auto"/>
        <w:right w:val="none" w:sz="0" w:space="0" w:color="auto"/>
      </w:divBdr>
    </w:div>
    <w:div w:id="382172454">
      <w:marLeft w:val="0"/>
      <w:marRight w:val="0"/>
      <w:marTop w:val="160"/>
      <w:marBottom w:val="160"/>
      <w:divBdr>
        <w:top w:val="none" w:sz="0" w:space="0" w:color="auto"/>
        <w:left w:val="none" w:sz="0" w:space="0" w:color="auto"/>
        <w:bottom w:val="none" w:sz="0" w:space="0" w:color="auto"/>
        <w:right w:val="none" w:sz="0" w:space="0" w:color="auto"/>
      </w:divBdr>
    </w:div>
    <w:div w:id="385297997">
      <w:marLeft w:val="0"/>
      <w:marRight w:val="0"/>
      <w:marTop w:val="160"/>
      <w:marBottom w:val="160"/>
      <w:divBdr>
        <w:top w:val="none" w:sz="0" w:space="0" w:color="auto"/>
        <w:left w:val="none" w:sz="0" w:space="0" w:color="auto"/>
        <w:bottom w:val="none" w:sz="0" w:space="0" w:color="auto"/>
        <w:right w:val="none" w:sz="0" w:space="0" w:color="auto"/>
      </w:divBdr>
    </w:div>
    <w:div w:id="392235683">
      <w:marLeft w:val="0"/>
      <w:marRight w:val="0"/>
      <w:marTop w:val="160"/>
      <w:marBottom w:val="160"/>
      <w:divBdr>
        <w:top w:val="none" w:sz="0" w:space="0" w:color="auto"/>
        <w:left w:val="none" w:sz="0" w:space="0" w:color="auto"/>
        <w:bottom w:val="none" w:sz="0" w:space="0" w:color="auto"/>
        <w:right w:val="none" w:sz="0" w:space="0" w:color="auto"/>
      </w:divBdr>
    </w:div>
    <w:div w:id="394275956">
      <w:marLeft w:val="0"/>
      <w:marRight w:val="0"/>
      <w:marTop w:val="0"/>
      <w:marBottom w:val="0"/>
      <w:divBdr>
        <w:top w:val="none" w:sz="0" w:space="0" w:color="auto"/>
        <w:left w:val="none" w:sz="0" w:space="0" w:color="auto"/>
        <w:bottom w:val="none" w:sz="0" w:space="0" w:color="auto"/>
        <w:right w:val="none" w:sz="0" w:space="0" w:color="auto"/>
      </w:divBdr>
      <w:divsChild>
        <w:div w:id="776681016">
          <w:marLeft w:val="0"/>
          <w:marRight w:val="0"/>
          <w:marTop w:val="0"/>
          <w:marBottom w:val="0"/>
          <w:divBdr>
            <w:top w:val="none" w:sz="0" w:space="0" w:color="auto"/>
            <w:left w:val="none" w:sz="0" w:space="0" w:color="auto"/>
            <w:bottom w:val="none" w:sz="0" w:space="0" w:color="auto"/>
            <w:right w:val="none" w:sz="0" w:space="0" w:color="auto"/>
          </w:divBdr>
        </w:div>
      </w:divsChild>
    </w:div>
    <w:div w:id="398089902">
      <w:marLeft w:val="0"/>
      <w:marRight w:val="0"/>
      <w:marTop w:val="160"/>
      <w:marBottom w:val="160"/>
      <w:divBdr>
        <w:top w:val="none" w:sz="0" w:space="0" w:color="auto"/>
        <w:left w:val="none" w:sz="0" w:space="0" w:color="auto"/>
        <w:bottom w:val="none" w:sz="0" w:space="0" w:color="auto"/>
        <w:right w:val="none" w:sz="0" w:space="0" w:color="auto"/>
      </w:divBdr>
    </w:div>
    <w:div w:id="398598283">
      <w:marLeft w:val="0"/>
      <w:marRight w:val="0"/>
      <w:marTop w:val="0"/>
      <w:marBottom w:val="0"/>
      <w:divBdr>
        <w:top w:val="none" w:sz="0" w:space="0" w:color="auto"/>
        <w:left w:val="none" w:sz="0" w:space="0" w:color="auto"/>
        <w:bottom w:val="none" w:sz="0" w:space="0" w:color="auto"/>
        <w:right w:val="none" w:sz="0" w:space="0" w:color="auto"/>
      </w:divBdr>
      <w:divsChild>
        <w:div w:id="346911482">
          <w:marLeft w:val="0"/>
          <w:marRight w:val="0"/>
          <w:marTop w:val="0"/>
          <w:marBottom w:val="0"/>
          <w:divBdr>
            <w:top w:val="none" w:sz="0" w:space="0" w:color="auto"/>
            <w:left w:val="none" w:sz="0" w:space="0" w:color="auto"/>
            <w:bottom w:val="none" w:sz="0" w:space="0" w:color="auto"/>
            <w:right w:val="none" w:sz="0" w:space="0" w:color="auto"/>
          </w:divBdr>
        </w:div>
      </w:divsChild>
    </w:div>
    <w:div w:id="399060655">
      <w:marLeft w:val="0"/>
      <w:marRight w:val="0"/>
      <w:marTop w:val="160"/>
      <w:marBottom w:val="160"/>
      <w:divBdr>
        <w:top w:val="none" w:sz="0" w:space="0" w:color="auto"/>
        <w:left w:val="none" w:sz="0" w:space="0" w:color="auto"/>
        <w:bottom w:val="none" w:sz="0" w:space="0" w:color="auto"/>
        <w:right w:val="none" w:sz="0" w:space="0" w:color="auto"/>
      </w:divBdr>
    </w:div>
    <w:div w:id="404569302">
      <w:marLeft w:val="0"/>
      <w:marRight w:val="0"/>
      <w:marTop w:val="160"/>
      <w:marBottom w:val="160"/>
      <w:divBdr>
        <w:top w:val="none" w:sz="0" w:space="0" w:color="auto"/>
        <w:left w:val="none" w:sz="0" w:space="0" w:color="auto"/>
        <w:bottom w:val="none" w:sz="0" w:space="0" w:color="auto"/>
        <w:right w:val="none" w:sz="0" w:space="0" w:color="auto"/>
      </w:divBdr>
    </w:div>
    <w:div w:id="409161636">
      <w:marLeft w:val="0"/>
      <w:marRight w:val="0"/>
      <w:marTop w:val="0"/>
      <w:marBottom w:val="0"/>
      <w:divBdr>
        <w:top w:val="none" w:sz="0" w:space="0" w:color="auto"/>
        <w:left w:val="none" w:sz="0" w:space="0" w:color="auto"/>
        <w:bottom w:val="none" w:sz="0" w:space="0" w:color="auto"/>
        <w:right w:val="none" w:sz="0" w:space="0" w:color="auto"/>
      </w:divBdr>
      <w:divsChild>
        <w:div w:id="1467428638">
          <w:marLeft w:val="0"/>
          <w:marRight w:val="0"/>
          <w:marTop w:val="0"/>
          <w:marBottom w:val="0"/>
          <w:divBdr>
            <w:top w:val="none" w:sz="0" w:space="0" w:color="auto"/>
            <w:left w:val="none" w:sz="0" w:space="0" w:color="auto"/>
            <w:bottom w:val="none" w:sz="0" w:space="0" w:color="auto"/>
            <w:right w:val="none" w:sz="0" w:space="0" w:color="auto"/>
          </w:divBdr>
        </w:div>
      </w:divsChild>
    </w:div>
    <w:div w:id="434373651">
      <w:marLeft w:val="0"/>
      <w:marRight w:val="0"/>
      <w:marTop w:val="160"/>
      <w:marBottom w:val="160"/>
      <w:divBdr>
        <w:top w:val="none" w:sz="0" w:space="0" w:color="auto"/>
        <w:left w:val="none" w:sz="0" w:space="0" w:color="auto"/>
        <w:bottom w:val="none" w:sz="0" w:space="0" w:color="auto"/>
        <w:right w:val="none" w:sz="0" w:space="0" w:color="auto"/>
      </w:divBdr>
    </w:div>
    <w:div w:id="436096592">
      <w:marLeft w:val="0"/>
      <w:marRight w:val="0"/>
      <w:marTop w:val="160"/>
      <w:marBottom w:val="160"/>
      <w:divBdr>
        <w:top w:val="none" w:sz="0" w:space="0" w:color="auto"/>
        <w:left w:val="none" w:sz="0" w:space="0" w:color="auto"/>
        <w:bottom w:val="none" w:sz="0" w:space="0" w:color="auto"/>
        <w:right w:val="none" w:sz="0" w:space="0" w:color="auto"/>
      </w:divBdr>
    </w:div>
    <w:div w:id="437719053">
      <w:marLeft w:val="0"/>
      <w:marRight w:val="0"/>
      <w:marTop w:val="160"/>
      <w:marBottom w:val="160"/>
      <w:divBdr>
        <w:top w:val="none" w:sz="0" w:space="0" w:color="auto"/>
        <w:left w:val="none" w:sz="0" w:space="0" w:color="auto"/>
        <w:bottom w:val="none" w:sz="0" w:space="0" w:color="auto"/>
        <w:right w:val="none" w:sz="0" w:space="0" w:color="auto"/>
      </w:divBdr>
    </w:div>
    <w:div w:id="438379269">
      <w:marLeft w:val="0"/>
      <w:marRight w:val="0"/>
      <w:marTop w:val="0"/>
      <w:marBottom w:val="160"/>
      <w:divBdr>
        <w:top w:val="none" w:sz="0" w:space="0" w:color="auto"/>
        <w:left w:val="none" w:sz="0" w:space="0" w:color="auto"/>
        <w:bottom w:val="none" w:sz="0" w:space="0" w:color="auto"/>
        <w:right w:val="none" w:sz="0" w:space="0" w:color="auto"/>
      </w:divBdr>
    </w:div>
    <w:div w:id="438598736">
      <w:marLeft w:val="0"/>
      <w:marRight w:val="0"/>
      <w:marTop w:val="160"/>
      <w:marBottom w:val="160"/>
      <w:divBdr>
        <w:top w:val="none" w:sz="0" w:space="0" w:color="auto"/>
        <w:left w:val="none" w:sz="0" w:space="0" w:color="auto"/>
        <w:bottom w:val="none" w:sz="0" w:space="0" w:color="auto"/>
        <w:right w:val="none" w:sz="0" w:space="0" w:color="auto"/>
      </w:divBdr>
      <w:divsChild>
        <w:div w:id="145240944">
          <w:marLeft w:val="0"/>
          <w:marRight w:val="0"/>
          <w:marTop w:val="160"/>
          <w:marBottom w:val="160"/>
          <w:divBdr>
            <w:top w:val="none" w:sz="0" w:space="0" w:color="auto"/>
            <w:left w:val="none" w:sz="0" w:space="0" w:color="auto"/>
            <w:bottom w:val="none" w:sz="0" w:space="0" w:color="auto"/>
            <w:right w:val="none" w:sz="0" w:space="0" w:color="auto"/>
          </w:divBdr>
        </w:div>
      </w:divsChild>
    </w:div>
    <w:div w:id="441459764">
      <w:marLeft w:val="0"/>
      <w:marRight w:val="0"/>
      <w:marTop w:val="160"/>
      <w:marBottom w:val="160"/>
      <w:divBdr>
        <w:top w:val="none" w:sz="0" w:space="0" w:color="auto"/>
        <w:left w:val="none" w:sz="0" w:space="0" w:color="auto"/>
        <w:bottom w:val="none" w:sz="0" w:space="0" w:color="auto"/>
        <w:right w:val="none" w:sz="0" w:space="0" w:color="auto"/>
      </w:divBdr>
    </w:div>
    <w:div w:id="443617500">
      <w:marLeft w:val="0"/>
      <w:marRight w:val="0"/>
      <w:marTop w:val="0"/>
      <w:marBottom w:val="0"/>
      <w:divBdr>
        <w:top w:val="none" w:sz="0" w:space="0" w:color="auto"/>
        <w:left w:val="none" w:sz="0" w:space="0" w:color="auto"/>
        <w:bottom w:val="none" w:sz="0" w:space="0" w:color="auto"/>
        <w:right w:val="none" w:sz="0" w:space="0" w:color="auto"/>
      </w:divBdr>
      <w:divsChild>
        <w:div w:id="381364644">
          <w:marLeft w:val="0"/>
          <w:marRight w:val="0"/>
          <w:marTop w:val="0"/>
          <w:marBottom w:val="0"/>
          <w:divBdr>
            <w:top w:val="none" w:sz="0" w:space="0" w:color="auto"/>
            <w:left w:val="none" w:sz="0" w:space="0" w:color="auto"/>
            <w:bottom w:val="none" w:sz="0" w:space="0" w:color="auto"/>
            <w:right w:val="none" w:sz="0" w:space="0" w:color="auto"/>
          </w:divBdr>
        </w:div>
      </w:divsChild>
    </w:div>
    <w:div w:id="452988277">
      <w:marLeft w:val="0"/>
      <w:marRight w:val="0"/>
      <w:marTop w:val="160"/>
      <w:marBottom w:val="160"/>
      <w:divBdr>
        <w:top w:val="none" w:sz="0" w:space="0" w:color="auto"/>
        <w:left w:val="none" w:sz="0" w:space="0" w:color="auto"/>
        <w:bottom w:val="none" w:sz="0" w:space="0" w:color="auto"/>
        <w:right w:val="none" w:sz="0" w:space="0" w:color="auto"/>
      </w:divBdr>
    </w:div>
    <w:div w:id="453448323">
      <w:marLeft w:val="0"/>
      <w:marRight w:val="0"/>
      <w:marTop w:val="160"/>
      <w:marBottom w:val="160"/>
      <w:divBdr>
        <w:top w:val="none" w:sz="0" w:space="0" w:color="auto"/>
        <w:left w:val="none" w:sz="0" w:space="0" w:color="auto"/>
        <w:bottom w:val="none" w:sz="0" w:space="0" w:color="auto"/>
        <w:right w:val="none" w:sz="0" w:space="0" w:color="auto"/>
      </w:divBdr>
    </w:div>
    <w:div w:id="456071762">
      <w:marLeft w:val="0"/>
      <w:marRight w:val="0"/>
      <w:marTop w:val="160"/>
      <w:marBottom w:val="160"/>
      <w:divBdr>
        <w:top w:val="none" w:sz="0" w:space="0" w:color="auto"/>
        <w:left w:val="none" w:sz="0" w:space="0" w:color="auto"/>
        <w:bottom w:val="none" w:sz="0" w:space="0" w:color="auto"/>
        <w:right w:val="none" w:sz="0" w:space="0" w:color="auto"/>
      </w:divBdr>
    </w:div>
    <w:div w:id="456527855">
      <w:marLeft w:val="0"/>
      <w:marRight w:val="0"/>
      <w:marTop w:val="0"/>
      <w:marBottom w:val="0"/>
      <w:divBdr>
        <w:top w:val="none" w:sz="0" w:space="0" w:color="auto"/>
        <w:left w:val="none" w:sz="0" w:space="0" w:color="auto"/>
        <w:bottom w:val="none" w:sz="0" w:space="0" w:color="auto"/>
        <w:right w:val="none" w:sz="0" w:space="0" w:color="auto"/>
      </w:divBdr>
      <w:divsChild>
        <w:div w:id="401753650">
          <w:marLeft w:val="0"/>
          <w:marRight w:val="0"/>
          <w:marTop w:val="0"/>
          <w:marBottom w:val="0"/>
          <w:divBdr>
            <w:top w:val="none" w:sz="0" w:space="0" w:color="auto"/>
            <w:left w:val="none" w:sz="0" w:space="0" w:color="auto"/>
            <w:bottom w:val="none" w:sz="0" w:space="0" w:color="auto"/>
            <w:right w:val="none" w:sz="0" w:space="0" w:color="auto"/>
          </w:divBdr>
        </w:div>
      </w:divsChild>
    </w:div>
    <w:div w:id="456728649">
      <w:marLeft w:val="0"/>
      <w:marRight w:val="0"/>
      <w:marTop w:val="0"/>
      <w:marBottom w:val="0"/>
      <w:divBdr>
        <w:top w:val="none" w:sz="0" w:space="0" w:color="auto"/>
        <w:left w:val="none" w:sz="0" w:space="0" w:color="auto"/>
        <w:bottom w:val="none" w:sz="0" w:space="0" w:color="auto"/>
        <w:right w:val="none" w:sz="0" w:space="0" w:color="auto"/>
      </w:divBdr>
      <w:divsChild>
        <w:div w:id="1317732419">
          <w:marLeft w:val="0"/>
          <w:marRight w:val="0"/>
          <w:marTop w:val="0"/>
          <w:marBottom w:val="0"/>
          <w:divBdr>
            <w:top w:val="none" w:sz="0" w:space="0" w:color="auto"/>
            <w:left w:val="none" w:sz="0" w:space="0" w:color="auto"/>
            <w:bottom w:val="none" w:sz="0" w:space="0" w:color="auto"/>
            <w:right w:val="none" w:sz="0" w:space="0" w:color="auto"/>
          </w:divBdr>
        </w:div>
      </w:divsChild>
    </w:div>
    <w:div w:id="460152832">
      <w:marLeft w:val="0"/>
      <w:marRight w:val="0"/>
      <w:marTop w:val="160"/>
      <w:marBottom w:val="160"/>
      <w:divBdr>
        <w:top w:val="none" w:sz="0" w:space="0" w:color="auto"/>
        <w:left w:val="none" w:sz="0" w:space="0" w:color="auto"/>
        <w:bottom w:val="none" w:sz="0" w:space="0" w:color="auto"/>
        <w:right w:val="none" w:sz="0" w:space="0" w:color="auto"/>
      </w:divBdr>
    </w:div>
    <w:div w:id="463276998">
      <w:marLeft w:val="0"/>
      <w:marRight w:val="0"/>
      <w:marTop w:val="160"/>
      <w:marBottom w:val="160"/>
      <w:divBdr>
        <w:top w:val="none" w:sz="0" w:space="0" w:color="auto"/>
        <w:left w:val="none" w:sz="0" w:space="0" w:color="auto"/>
        <w:bottom w:val="none" w:sz="0" w:space="0" w:color="auto"/>
        <w:right w:val="none" w:sz="0" w:space="0" w:color="auto"/>
      </w:divBdr>
    </w:div>
    <w:div w:id="465976471">
      <w:marLeft w:val="0"/>
      <w:marRight w:val="0"/>
      <w:marTop w:val="160"/>
      <w:marBottom w:val="160"/>
      <w:divBdr>
        <w:top w:val="none" w:sz="0" w:space="0" w:color="auto"/>
        <w:left w:val="none" w:sz="0" w:space="0" w:color="auto"/>
        <w:bottom w:val="none" w:sz="0" w:space="0" w:color="auto"/>
        <w:right w:val="none" w:sz="0" w:space="0" w:color="auto"/>
      </w:divBdr>
    </w:div>
    <w:div w:id="471603449">
      <w:marLeft w:val="0"/>
      <w:marRight w:val="0"/>
      <w:marTop w:val="160"/>
      <w:marBottom w:val="160"/>
      <w:divBdr>
        <w:top w:val="none" w:sz="0" w:space="0" w:color="auto"/>
        <w:left w:val="none" w:sz="0" w:space="0" w:color="auto"/>
        <w:bottom w:val="none" w:sz="0" w:space="0" w:color="auto"/>
        <w:right w:val="none" w:sz="0" w:space="0" w:color="auto"/>
      </w:divBdr>
    </w:div>
    <w:div w:id="480735142">
      <w:marLeft w:val="0"/>
      <w:marRight w:val="0"/>
      <w:marTop w:val="0"/>
      <w:marBottom w:val="0"/>
      <w:divBdr>
        <w:top w:val="none" w:sz="0" w:space="0" w:color="auto"/>
        <w:left w:val="none" w:sz="0" w:space="0" w:color="auto"/>
        <w:bottom w:val="none" w:sz="0" w:space="0" w:color="auto"/>
        <w:right w:val="none" w:sz="0" w:space="0" w:color="auto"/>
      </w:divBdr>
    </w:div>
    <w:div w:id="482741317">
      <w:marLeft w:val="0"/>
      <w:marRight w:val="0"/>
      <w:marTop w:val="0"/>
      <w:marBottom w:val="0"/>
      <w:divBdr>
        <w:top w:val="none" w:sz="0" w:space="0" w:color="auto"/>
        <w:left w:val="none" w:sz="0" w:space="0" w:color="auto"/>
        <w:bottom w:val="none" w:sz="0" w:space="0" w:color="auto"/>
        <w:right w:val="none" w:sz="0" w:space="0" w:color="auto"/>
      </w:divBdr>
      <w:divsChild>
        <w:div w:id="1546212806">
          <w:marLeft w:val="0"/>
          <w:marRight w:val="0"/>
          <w:marTop w:val="0"/>
          <w:marBottom w:val="0"/>
          <w:divBdr>
            <w:top w:val="none" w:sz="0" w:space="0" w:color="auto"/>
            <w:left w:val="none" w:sz="0" w:space="0" w:color="auto"/>
            <w:bottom w:val="none" w:sz="0" w:space="0" w:color="auto"/>
            <w:right w:val="none" w:sz="0" w:space="0" w:color="auto"/>
          </w:divBdr>
        </w:div>
      </w:divsChild>
    </w:div>
    <w:div w:id="485315776">
      <w:marLeft w:val="0"/>
      <w:marRight w:val="0"/>
      <w:marTop w:val="0"/>
      <w:marBottom w:val="0"/>
      <w:divBdr>
        <w:top w:val="none" w:sz="0" w:space="0" w:color="auto"/>
        <w:left w:val="none" w:sz="0" w:space="0" w:color="auto"/>
        <w:bottom w:val="none" w:sz="0" w:space="0" w:color="auto"/>
        <w:right w:val="none" w:sz="0" w:space="0" w:color="auto"/>
      </w:divBdr>
      <w:divsChild>
        <w:div w:id="1575049283">
          <w:marLeft w:val="0"/>
          <w:marRight w:val="0"/>
          <w:marTop w:val="0"/>
          <w:marBottom w:val="0"/>
          <w:divBdr>
            <w:top w:val="none" w:sz="0" w:space="0" w:color="auto"/>
            <w:left w:val="none" w:sz="0" w:space="0" w:color="auto"/>
            <w:bottom w:val="none" w:sz="0" w:space="0" w:color="auto"/>
            <w:right w:val="none" w:sz="0" w:space="0" w:color="auto"/>
          </w:divBdr>
        </w:div>
      </w:divsChild>
    </w:div>
    <w:div w:id="486289147">
      <w:marLeft w:val="0"/>
      <w:marRight w:val="0"/>
      <w:marTop w:val="160"/>
      <w:marBottom w:val="160"/>
      <w:divBdr>
        <w:top w:val="none" w:sz="0" w:space="0" w:color="auto"/>
        <w:left w:val="none" w:sz="0" w:space="0" w:color="auto"/>
        <w:bottom w:val="none" w:sz="0" w:space="0" w:color="auto"/>
        <w:right w:val="none" w:sz="0" w:space="0" w:color="auto"/>
      </w:divBdr>
    </w:div>
    <w:div w:id="491146187">
      <w:marLeft w:val="0"/>
      <w:marRight w:val="0"/>
      <w:marTop w:val="0"/>
      <w:marBottom w:val="0"/>
      <w:divBdr>
        <w:top w:val="none" w:sz="0" w:space="0" w:color="auto"/>
        <w:left w:val="none" w:sz="0" w:space="0" w:color="auto"/>
        <w:bottom w:val="none" w:sz="0" w:space="0" w:color="auto"/>
        <w:right w:val="none" w:sz="0" w:space="0" w:color="auto"/>
      </w:divBdr>
      <w:divsChild>
        <w:div w:id="355035371">
          <w:marLeft w:val="0"/>
          <w:marRight w:val="0"/>
          <w:marTop w:val="0"/>
          <w:marBottom w:val="0"/>
          <w:divBdr>
            <w:top w:val="none" w:sz="0" w:space="0" w:color="auto"/>
            <w:left w:val="none" w:sz="0" w:space="0" w:color="auto"/>
            <w:bottom w:val="none" w:sz="0" w:space="0" w:color="auto"/>
            <w:right w:val="none" w:sz="0" w:space="0" w:color="auto"/>
          </w:divBdr>
        </w:div>
      </w:divsChild>
    </w:div>
    <w:div w:id="495073356">
      <w:marLeft w:val="0"/>
      <w:marRight w:val="0"/>
      <w:marTop w:val="160"/>
      <w:marBottom w:val="160"/>
      <w:divBdr>
        <w:top w:val="none" w:sz="0" w:space="0" w:color="auto"/>
        <w:left w:val="none" w:sz="0" w:space="0" w:color="auto"/>
        <w:bottom w:val="none" w:sz="0" w:space="0" w:color="auto"/>
        <w:right w:val="none" w:sz="0" w:space="0" w:color="auto"/>
      </w:divBdr>
    </w:div>
    <w:div w:id="496263149">
      <w:marLeft w:val="0"/>
      <w:marRight w:val="0"/>
      <w:marTop w:val="0"/>
      <w:marBottom w:val="0"/>
      <w:divBdr>
        <w:top w:val="none" w:sz="0" w:space="0" w:color="auto"/>
        <w:left w:val="none" w:sz="0" w:space="0" w:color="auto"/>
        <w:bottom w:val="none" w:sz="0" w:space="0" w:color="auto"/>
        <w:right w:val="none" w:sz="0" w:space="0" w:color="auto"/>
      </w:divBdr>
      <w:divsChild>
        <w:div w:id="1576277024">
          <w:marLeft w:val="0"/>
          <w:marRight w:val="0"/>
          <w:marTop w:val="0"/>
          <w:marBottom w:val="0"/>
          <w:divBdr>
            <w:top w:val="none" w:sz="0" w:space="0" w:color="auto"/>
            <w:left w:val="none" w:sz="0" w:space="0" w:color="auto"/>
            <w:bottom w:val="none" w:sz="0" w:space="0" w:color="auto"/>
            <w:right w:val="none" w:sz="0" w:space="0" w:color="auto"/>
          </w:divBdr>
        </w:div>
      </w:divsChild>
    </w:div>
    <w:div w:id="506528276">
      <w:marLeft w:val="0"/>
      <w:marRight w:val="0"/>
      <w:marTop w:val="0"/>
      <w:marBottom w:val="0"/>
      <w:divBdr>
        <w:top w:val="none" w:sz="0" w:space="0" w:color="auto"/>
        <w:left w:val="none" w:sz="0" w:space="0" w:color="auto"/>
        <w:bottom w:val="none" w:sz="0" w:space="0" w:color="auto"/>
        <w:right w:val="none" w:sz="0" w:space="0" w:color="auto"/>
      </w:divBdr>
      <w:divsChild>
        <w:div w:id="1135370137">
          <w:marLeft w:val="0"/>
          <w:marRight w:val="0"/>
          <w:marTop w:val="0"/>
          <w:marBottom w:val="0"/>
          <w:divBdr>
            <w:top w:val="none" w:sz="0" w:space="0" w:color="auto"/>
            <w:left w:val="none" w:sz="0" w:space="0" w:color="auto"/>
            <w:bottom w:val="none" w:sz="0" w:space="0" w:color="auto"/>
            <w:right w:val="none" w:sz="0" w:space="0" w:color="auto"/>
          </w:divBdr>
        </w:div>
      </w:divsChild>
    </w:div>
    <w:div w:id="507213995">
      <w:marLeft w:val="0"/>
      <w:marRight w:val="0"/>
      <w:marTop w:val="160"/>
      <w:marBottom w:val="160"/>
      <w:divBdr>
        <w:top w:val="none" w:sz="0" w:space="0" w:color="auto"/>
        <w:left w:val="none" w:sz="0" w:space="0" w:color="auto"/>
        <w:bottom w:val="none" w:sz="0" w:space="0" w:color="auto"/>
        <w:right w:val="none" w:sz="0" w:space="0" w:color="auto"/>
      </w:divBdr>
    </w:div>
    <w:div w:id="515965471">
      <w:marLeft w:val="0"/>
      <w:marRight w:val="0"/>
      <w:marTop w:val="0"/>
      <w:marBottom w:val="0"/>
      <w:divBdr>
        <w:top w:val="none" w:sz="0" w:space="0" w:color="auto"/>
        <w:left w:val="none" w:sz="0" w:space="0" w:color="auto"/>
        <w:bottom w:val="none" w:sz="0" w:space="0" w:color="auto"/>
        <w:right w:val="none" w:sz="0" w:space="0" w:color="auto"/>
      </w:divBdr>
      <w:divsChild>
        <w:div w:id="2037123137">
          <w:marLeft w:val="0"/>
          <w:marRight w:val="0"/>
          <w:marTop w:val="0"/>
          <w:marBottom w:val="0"/>
          <w:divBdr>
            <w:top w:val="none" w:sz="0" w:space="0" w:color="auto"/>
            <w:left w:val="none" w:sz="0" w:space="0" w:color="auto"/>
            <w:bottom w:val="none" w:sz="0" w:space="0" w:color="auto"/>
            <w:right w:val="none" w:sz="0" w:space="0" w:color="auto"/>
          </w:divBdr>
        </w:div>
      </w:divsChild>
    </w:div>
    <w:div w:id="516817194">
      <w:marLeft w:val="0"/>
      <w:marRight w:val="0"/>
      <w:marTop w:val="160"/>
      <w:marBottom w:val="160"/>
      <w:divBdr>
        <w:top w:val="none" w:sz="0" w:space="0" w:color="auto"/>
        <w:left w:val="none" w:sz="0" w:space="0" w:color="auto"/>
        <w:bottom w:val="none" w:sz="0" w:space="0" w:color="auto"/>
        <w:right w:val="none" w:sz="0" w:space="0" w:color="auto"/>
      </w:divBdr>
    </w:div>
    <w:div w:id="518664279">
      <w:marLeft w:val="0"/>
      <w:marRight w:val="0"/>
      <w:marTop w:val="0"/>
      <w:marBottom w:val="0"/>
      <w:divBdr>
        <w:top w:val="none" w:sz="0" w:space="0" w:color="auto"/>
        <w:left w:val="none" w:sz="0" w:space="0" w:color="auto"/>
        <w:bottom w:val="none" w:sz="0" w:space="0" w:color="auto"/>
        <w:right w:val="none" w:sz="0" w:space="0" w:color="auto"/>
      </w:divBdr>
      <w:divsChild>
        <w:div w:id="1263076930">
          <w:marLeft w:val="0"/>
          <w:marRight w:val="0"/>
          <w:marTop w:val="0"/>
          <w:marBottom w:val="0"/>
          <w:divBdr>
            <w:top w:val="none" w:sz="0" w:space="0" w:color="auto"/>
            <w:left w:val="none" w:sz="0" w:space="0" w:color="auto"/>
            <w:bottom w:val="none" w:sz="0" w:space="0" w:color="auto"/>
            <w:right w:val="none" w:sz="0" w:space="0" w:color="auto"/>
          </w:divBdr>
        </w:div>
      </w:divsChild>
    </w:div>
    <w:div w:id="542252258">
      <w:marLeft w:val="0"/>
      <w:marRight w:val="0"/>
      <w:marTop w:val="160"/>
      <w:marBottom w:val="160"/>
      <w:divBdr>
        <w:top w:val="none" w:sz="0" w:space="0" w:color="auto"/>
        <w:left w:val="none" w:sz="0" w:space="0" w:color="auto"/>
        <w:bottom w:val="none" w:sz="0" w:space="0" w:color="auto"/>
        <w:right w:val="none" w:sz="0" w:space="0" w:color="auto"/>
      </w:divBdr>
    </w:div>
    <w:div w:id="549344321">
      <w:marLeft w:val="0"/>
      <w:marRight w:val="0"/>
      <w:marTop w:val="160"/>
      <w:marBottom w:val="160"/>
      <w:divBdr>
        <w:top w:val="none" w:sz="0" w:space="0" w:color="auto"/>
        <w:left w:val="none" w:sz="0" w:space="0" w:color="auto"/>
        <w:bottom w:val="none" w:sz="0" w:space="0" w:color="auto"/>
        <w:right w:val="none" w:sz="0" w:space="0" w:color="auto"/>
      </w:divBdr>
    </w:div>
    <w:div w:id="553351993">
      <w:marLeft w:val="0"/>
      <w:marRight w:val="0"/>
      <w:marTop w:val="160"/>
      <w:marBottom w:val="160"/>
      <w:divBdr>
        <w:top w:val="none" w:sz="0" w:space="0" w:color="auto"/>
        <w:left w:val="none" w:sz="0" w:space="0" w:color="auto"/>
        <w:bottom w:val="none" w:sz="0" w:space="0" w:color="auto"/>
        <w:right w:val="none" w:sz="0" w:space="0" w:color="auto"/>
      </w:divBdr>
    </w:div>
    <w:div w:id="554195748">
      <w:marLeft w:val="0"/>
      <w:marRight w:val="0"/>
      <w:marTop w:val="160"/>
      <w:marBottom w:val="160"/>
      <w:divBdr>
        <w:top w:val="none" w:sz="0" w:space="0" w:color="auto"/>
        <w:left w:val="none" w:sz="0" w:space="0" w:color="auto"/>
        <w:bottom w:val="none" w:sz="0" w:space="0" w:color="auto"/>
        <w:right w:val="none" w:sz="0" w:space="0" w:color="auto"/>
      </w:divBdr>
    </w:div>
    <w:div w:id="558715150">
      <w:marLeft w:val="0"/>
      <w:marRight w:val="0"/>
      <w:marTop w:val="160"/>
      <w:marBottom w:val="160"/>
      <w:divBdr>
        <w:top w:val="none" w:sz="0" w:space="0" w:color="auto"/>
        <w:left w:val="none" w:sz="0" w:space="0" w:color="auto"/>
        <w:bottom w:val="none" w:sz="0" w:space="0" w:color="auto"/>
        <w:right w:val="none" w:sz="0" w:space="0" w:color="auto"/>
      </w:divBdr>
    </w:div>
    <w:div w:id="563099535">
      <w:marLeft w:val="0"/>
      <w:marRight w:val="0"/>
      <w:marTop w:val="0"/>
      <w:marBottom w:val="0"/>
      <w:divBdr>
        <w:top w:val="none" w:sz="0" w:space="0" w:color="auto"/>
        <w:left w:val="none" w:sz="0" w:space="0" w:color="auto"/>
        <w:bottom w:val="none" w:sz="0" w:space="0" w:color="auto"/>
        <w:right w:val="none" w:sz="0" w:space="0" w:color="auto"/>
      </w:divBdr>
      <w:divsChild>
        <w:div w:id="1342009459">
          <w:marLeft w:val="0"/>
          <w:marRight w:val="0"/>
          <w:marTop w:val="0"/>
          <w:marBottom w:val="0"/>
          <w:divBdr>
            <w:top w:val="none" w:sz="0" w:space="0" w:color="auto"/>
            <w:left w:val="none" w:sz="0" w:space="0" w:color="auto"/>
            <w:bottom w:val="none" w:sz="0" w:space="0" w:color="auto"/>
            <w:right w:val="none" w:sz="0" w:space="0" w:color="auto"/>
          </w:divBdr>
        </w:div>
      </w:divsChild>
    </w:div>
    <w:div w:id="565604480">
      <w:marLeft w:val="0"/>
      <w:marRight w:val="0"/>
      <w:marTop w:val="0"/>
      <w:marBottom w:val="160"/>
      <w:divBdr>
        <w:top w:val="none" w:sz="0" w:space="0" w:color="auto"/>
        <w:left w:val="none" w:sz="0" w:space="0" w:color="auto"/>
        <w:bottom w:val="none" w:sz="0" w:space="0" w:color="auto"/>
        <w:right w:val="none" w:sz="0" w:space="0" w:color="auto"/>
      </w:divBdr>
    </w:div>
    <w:div w:id="569656627">
      <w:marLeft w:val="0"/>
      <w:marRight w:val="0"/>
      <w:marTop w:val="160"/>
      <w:marBottom w:val="160"/>
      <w:divBdr>
        <w:top w:val="none" w:sz="0" w:space="0" w:color="auto"/>
        <w:left w:val="none" w:sz="0" w:space="0" w:color="auto"/>
        <w:bottom w:val="none" w:sz="0" w:space="0" w:color="auto"/>
        <w:right w:val="none" w:sz="0" w:space="0" w:color="auto"/>
      </w:divBdr>
    </w:div>
    <w:div w:id="581109107">
      <w:marLeft w:val="0"/>
      <w:marRight w:val="0"/>
      <w:marTop w:val="160"/>
      <w:marBottom w:val="160"/>
      <w:divBdr>
        <w:top w:val="none" w:sz="0" w:space="0" w:color="auto"/>
        <w:left w:val="none" w:sz="0" w:space="0" w:color="auto"/>
        <w:bottom w:val="none" w:sz="0" w:space="0" w:color="auto"/>
        <w:right w:val="none" w:sz="0" w:space="0" w:color="auto"/>
      </w:divBdr>
    </w:div>
    <w:div w:id="589773623">
      <w:marLeft w:val="0"/>
      <w:marRight w:val="0"/>
      <w:marTop w:val="160"/>
      <w:marBottom w:val="160"/>
      <w:divBdr>
        <w:top w:val="none" w:sz="0" w:space="0" w:color="auto"/>
        <w:left w:val="none" w:sz="0" w:space="0" w:color="auto"/>
        <w:bottom w:val="none" w:sz="0" w:space="0" w:color="auto"/>
        <w:right w:val="none" w:sz="0" w:space="0" w:color="auto"/>
      </w:divBdr>
    </w:div>
    <w:div w:id="595676187">
      <w:marLeft w:val="0"/>
      <w:marRight w:val="0"/>
      <w:marTop w:val="60"/>
      <w:marBottom w:val="0"/>
      <w:divBdr>
        <w:top w:val="none" w:sz="0" w:space="0" w:color="auto"/>
        <w:left w:val="none" w:sz="0" w:space="0" w:color="auto"/>
        <w:bottom w:val="none" w:sz="0" w:space="0" w:color="auto"/>
        <w:right w:val="none" w:sz="0" w:space="0" w:color="auto"/>
      </w:divBdr>
    </w:div>
    <w:div w:id="599801003">
      <w:marLeft w:val="0"/>
      <w:marRight w:val="0"/>
      <w:marTop w:val="0"/>
      <w:marBottom w:val="0"/>
      <w:divBdr>
        <w:top w:val="none" w:sz="0" w:space="0" w:color="auto"/>
        <w:left w:val="none" w:sz="0" w:space="0" w:color="auto"/>
        <w:bottom w:val="none" w:sz="0" w:space="0" w:color="auto"/>
        <w:right w:val="none" w:sz="0" w:space="0" w:color="auto"/>
      </w:divBdr>
      <w:divsChild>
        <w:div w:id="1225215266">
          <w:marLeft w:val="0"/>
          <w:marRight w:val="0"/>
          <w:marTop w:val="0"/>
          <w:marBottom w:val="0"/>
          <w:divBdr>
            <w:top w:val="none" w:sz="0" w:space="0" w:color="auto"/>
            <w:left w:val="none" w:sz="0" w:space="0" w:color="auto"/>
            <w:bottom w:val="none" w:sz="0" w:space="0" w:color="auto"/>
            <w:right w:val="none" w:sz="0" w:space="0" w:color="auto"/>
          </w:divBdr>
        </w:div>
      </w:divsChild>
    </w:div>
    <w:div w:id="600071532">
      <w:marLeft w:val="0"/>
      <w:marRight w:val="0"/>
      <w:marTop w:val="160"/>
      <w:marBottom w:val="160"/>
      <w:divBdr>
        <w:top w:val="none" w:sz="0" w:space="0" w:color="auto"/>
        <w:left w:val="none" w:sz="0" w:space="0" w:color="auto"/>
        <w:bottom w:val="none" w:sz="0" w:space="0" w:color="auto"/>
        <w:right w:val="none" w:sz="0" w:space="0" w:color="auto"/>
      </w:divBdr>
    </w:div>
    <w:div w:id="601839316">
      <w:marLeft w:val="0"/>
      <w:marRight w:val="0"/>
      <w:marTop w:val="0"/>
      <w:marBottom w:val="0"/>
      <w:divBdr>
        <w:top w:val="none" w:sz="0" w:space="0" w:color="auto"/>
        <w:left w:val="none" w:sz="0" w:space="0" w:color="auto"/>
        <w:bottom w:val="none" w:sz="0" w:space="0" w:color="auto"/>
        <w:right w:val="none" w:sz="0" w:space="0" w:color="auto"/>
      </w:divBdr>
      <w:divsChild>
        <w:div w:id="1676179085">
          <w:marLeft w:val="0"/>
          <w:marRight w:val="0"/>
          <w:marTop w:val="0"/>
          <w:marBottom w:val="0"/>
          <w:divBdr>
            <w:top w:val="none" w:sz="0" w:space="0" w:color="auto"/>
            <w:left w:val="none" w:sz="0" w:space="0" w:color="auto"/>
            <w:bottom w:val="none" w:sz="0" w:space="0" w:color="auto"/>
            <w:right w:val="none" w:sz="0" w:space="0" w:color="auto"/>
          </w:divBdr>
        </w:div>
      </w:divsChild>
    </w:div>
    <w:div w:id="603998477">
      <w:marLeft w:val="0"/>
      <w:marRight w:val="0"/>
      <w:marTop w:val="160"/>
      <w:marBottom w:val="160"/>
      <w:divBdr>
        <w:top w:val="none" w:sz="0" w:space="0" w:color="auto"/>
        <w:left w:val="none" w:sz="0" w:space="0" w:color="auto"/>
        <w:bottom w:val="none" w:sz="0" w:space="0" w:color="auto"/>
        <w:right w:val="none" w:sz="0" w:space="0" w:color="auto"/>
      </w:divBdr>
    </w:div>
    <w:div w:id="616831329">
      <w:marLeft w:val="0"/>
      <w:marRight w:val="0"/>
      <w:marTop w:val="160"/>
      <w:marBottom w:val="160"/>
      <w:divBdr>
        <w:top w:val="none" w:sz="0" w:space="0" w:color="auto"/>
        <w:left w:val="none" w:sz="0" w:space="0" w:color="auto"/>
        <w:bottom w:val="none" w:sz="0" w:space="0" w:color="auto"/>
        <w:right w:val="none" w:sz="0" w:space="0" w:color="auto"/>
      </w:divBdr>
    </w:div>
    <w:div w:id="620460288">
      <w:marLeft w:val="0"/>
      <w:marRight w:val="0"/>
      <w:marTop w:val="160"/>
      <w:marBottom w:val="160"/>
      <w:divBdr>
        <w:top w:val="none" w:sz="0" w:space="0" w:color="auto"/>
        <w:left w:val="none" w:sz="0" w:space="0" w:color="auto"/>
        <w:bottom w:val="none" w:sz="0" w:space="0" w:color="auto"/>
        <w:right w:val="none" w:sz="0" w:space="0" w:color="auto"/>
      </w:divBdr>
    </w:div>
    <w:div w:id="621886396">
      <w:marLeft w:val="0"/>
      <w:marRight w:val="0"/>
      <w:marTop w:val="160"/>
      <w:marBottom w:val="160"/>
      <w:divBdr>
        <w:top w:val="none" w:sz="0" w:space="0" w:color="auto"/>
        <w:left w:val="none" w:sz="0" w:space="0" w:color="auto"/>
        <w:bottom w:val="none" w:sz="0" w:space="0" w:color="auto"/>
        <w:right w:val="none" w:sz="0" w:space="0" w:color="auto"/>
      </w:divBdr>
    </w:div>
    <w:div w:id="624821139">
      <w:marLeft w:val="0"/>
      <w:marRight w:val="0"/>
      <w:marTop w:val="0"/>
      <w:marBottom w:val="0"/>
      <w:divBdr>
        <w:top w:val="none" w:sz="0" w:space="0" w:color="auto"/>
        <w:left w:val="none" w:sz="0" w:space="0" w:color="auto"/>
        <w:bottom w:val="none" w:sz="0" w:space="0" w:color="auto"/>
        <w:right w:val="none" w:sz="0" w:space="0" w:color="auto"/>
      </w:divBdr>
      <w:divsChild>
        <w:div w:id="1223835780">
          <w:marLeft w:val="0"/>
          <w:marRight w:val="0"/>
          <w:marTop w:val="0"/>
          <w:marBottom w:val="0"/>
          <w:divBdr>
            <w:top w:val="none" w:sz="0" w:space="0" w:color="auto"/>
            <w:left w:val="none" w:sz="0" w:space="0" w:color="auto"/>
            <w:bottom w:val="none" w:sz="0" w:space="0" w:color="auto"/>
            <w:right w:val="none" w:sz="0" w:space="0" w:color="auto"/>
          </w:divBdr>
        </w:div>
      </w:divsChild>
    </w:div>
    <w:div w:id="625087870">
      <w:marLeft w:val="0"/>
      <w:marRight w:val="0"/>
      <w:marTop w:val="60"/>
      <w:marBottom w:val="60"/>
      <w:divBdr>
        <w:top w:val="none" w:sz="0" w:space="0" w:color="auto"/>
        <w:left w:val="none" w:sz="0" w:space="0" w:color="auto"/>
        <w:bottom w:val="none" w:sz="0" w:space="0" w:color="auto"/>
        <w:right w:val="none" w:sz="0" w:space="0" w:color="auto"/>
      </w:divBdr>
    </w:div>
    <w:div w:id="632322974">
      <w:marLeft w:val="0"/>
      <w:marRight w:val="0"/>
      <w:marTop w:val="0"/>
      <w:marBottom w:val="0"/>
      <w:divBdr>
        <w:top w:val="none" w:sz="0" w:space="0" w:color="auto"/>
        <w:left w:val="none" w:sz="0" w:space="0" w:color="auto"/>
        <w:bottom w:val="none" w:sz="0" w:space="0" w:color="auto"/>
        <w:right w:val="none" w:sz="0" w:space="0" w:color="auto"/>
      </w:divBdr>
      <w:divsChild>
        <w:div w:id="1653027090">
          <w:marLeft w:val="0"/>
          <w:marRight w:val="0"/>
          <w:marTop w:val="0"/>
          <w:marBottom w:val="0"/>
          <w:divBdr>
            <w:top w:val="none" w:sz="0" w:space="0" w:color="auto"/>
            <w:left w:val="none" w:sz="0" w:space="0" w:color="auto"/>
            <w:bottom w:val="none" w:sz="0" w:space="0" w:color="auto"/>
            <w:right w:val="none" w:sz="0" w:space="0" w:color="auto"/>
          </w:divBdr>
        </w:div>
      </w:divsChild>
    </w:div>
    <w:div w:id="634990663">
      <w:marLeft w:val="0"/>
      <w:marRight w:val="0"/>
      <w:marTop w:val="160"/>
      <w:marBottom w:val="160"/>
      <w:divBdr>
        <w:top w:val="none" w:sz="0" w:space="0" w:color="auto"/>
        <w:left w:val="none" w:sz="0" w:space="0" w:color="auto"/>
        <w:bottom w:val="none" w:sz="0" w:space="0" w:color="auto"/>
        <w:right w:val="none" w:sz="0" w:space="0" w:color="auto"/>
      </w:divBdr>
    </w:div>
    <w:div w:id="641694311">
      <w:marLeft w:val="0"/>
      <w:marRight w:val="0"/>
      <w:marTop w:val="160"/>
      <w:marBottom w:val="160"/>
      <w:divBdr>
        <w:top w:val="none" w:sz="0" w:space="0" w:color="auto"/>
        <w:left w:val="none" w:sz="0" w:space="0" w:color="auto"/>
        <w:bottom w:val="none" w:sz="0" w:space="0" w:color="auto"/>
        <w:right w:val="none" w:sz="0" w:space="0" w:color="auto"/>
      </w:divBdr>
    </w:div>
    <w:div w:id="647132417">
      <w:marLeft w:val="0"/>
      <w:marRight w:val="0"/>
      <w:marTop w:val="160"/>
      <w:marBottom w:val="160"/>
      <w:divBdr>
        <w:top w:val="none" w:sz="0" w:space="0" w:color="auto"/>
        <w:left w:val="none" w:sz="0" w:space="0" w:color="auto"/>
        <w:bottom w:val="none" w:sz="0" w:space="0" w:color="auto"/>
        <w:right w:val="none" w:sz="0" w:space="0" w:color="auto"/>
      </w:divBdr>
    </w:div>
    <w:div w:id="647706385">
      <w:marLeft w:val="0"/>
      <w:marRight w:val="0"/>
      <w:marTop w:val="160"/>
      <w:marBottom w:val="160"/>
      <w:divBdr>
        <w:top w:val="none" w:sz="0" w:space="0" w:color="auto"/>
        <w:left w:val="none" w:sz="0" w:space="0" w:color="auto"/>
        <w:bottom w:val="none" w:sz="0" w:space="0" w:color="auto"/>
        <w:right w:val="none" w:sz="0" w:space="0" w:color="auto"/>
      </w:divBdr>
    </w:div>
    <w:div w:id="648360489">
      <w:marLeft w:val="0"/>
      <w:marRight w:val="0"/>
      <w:marTop w:val="160"/>
      <w:marBottom w:val="160"/>
      <w:divBdr>
        <w:top w:val="none" w:sz="0" w:space="0" w:color="auto"/>
        <w:left w:val="none" w:sz="0" w:space="0" w:color="auto"/>
        <w:bottom w:val="none" w:sz="0" w:space="0" w:color="auto"/>
        <w:right w:val="none" w:sz="0" w:space="0" w:color="auto"/>
      </w:divBdr>
    </w:div>
    <w:div w:id="649483758">
      <w:marLeft w:val="0"/>
      <w:marRight w:val="0"/>
      <w:marTop w:val="0"/>
      <w:marBottom w:val="0"/>
      <w:divBdr>
        <w:top w:val="none" w:sz="0" w:space="0" w:color="auto"/>
        <w:left w:val="none" w:sz="0" w:space="0" w:color="auto"/>
        <w:bottom w:val="none" w:sz="0" w:space="0" w:color="auto"/>
        <w:right w:val="none" w:sz="0" w:space="0" w:color="auto"/>
      </w:divBdr>
      <w:divsChild>
        <w:div w:id="2018072920">
          <w:marLeft w:val="0"/>
          <w:marRight w:val="0"/>
          <w:marTop w:val="0"/>
          <w:marBottom w:val="0"/>
          <w:divBdr>
            <w:top w:val="none" w:sz="0" w:space="0" w:color="auto"/>
            <w:left w:val="none" w:sz="0" w:space="0" w:color="auto"/>
            <w:bottom w:val="none" w:sz="0" w:space="0" w:color="auto"/>
            <w:right w:val="none" w:sz="0" w:space="0" w:color="auto"/>
          </w:divBdr>
        </w:div>
      </w:divsChild>
    </w:div>
    <w:div w:id="662121586">
      <w:marLeft w:val="0"/>
      <w:marRight w:val="0"/>
      <w:marTop w:val="160"/>
      <w:marBottom w:val="160"/>
      <w:divBdr>
        <w:top w:val="none" w:sz="0" w:space="0" w:color="auto"/>
        <w:left w:val="none" w:sz="0" w:space="0" w:color="auto"/>
        <w:bottom w:val="none" w:sz="0" w:space="0" w:color="auto"/>
        <w:right w:val="none" w:sz="0" w:space="0" w:color="auto"/>
      </w:divBdr>
    </w:div>
    <w:div w:id="662202777">
      <w:marLeft w:val="0"/>
      <w:marRight w:val="0"/>
      <w:marTop w:val="160"/>
      <w:marBottom w:val="160"/>
      <w:divBdr>
        <w:top w:val="none" w:sz="0" w:space="0" w:color="auto"/>
        <w:left w:val="none" w:sz="0" w:space="0" w:color="auto"/>
        <w:bottom w:val="none" w:sz="0" w:space="0" w:color="auto"/>
        <w:right w:val="none" w:sz="0" w:space="0" w:color="auto"/>
      </w:divBdr>
    </w:div>
    <w:div w:id="668405795">
      <w:marLeft w:val="0"/>
      <w:marRight w:val="0"/>
      <w:marTop w:val="160"/>
      <w:marBottom w:val="160"/>
      <w:divBdr>
        <w:top w:val="none" w:sz="0" w:space="0" w:color="auto"/>
        <w:left w:val="none" w:sz="0" w:space="0" w:color="auto"/>
        <w:bottom w:val="none" w:sz="0" w:space="0" w:color="auto"/>
        <w:right w:val="none" w:sz="0" w:space="0" w:color="auto"/>
      </w:divBdr>
    </w:div>
    <w:div w:id="676613373">
      <w:marLeft w:val="0"/>
      <w:marRight w:val="0"/>
      <w:marTop w:val="160"/>
      <w:marBottom w:val="160"/>
      <w:divBdr>
        <w:top w:val="none" w:sz="0" w:space="0" w:color="auto"/>
        <w:left w:val="none" w:sz="0" w:space="0" w:color="auto"/>
        <w:bottom w:val="none" w:sz="0" w:space="0" w:color="auto"/>
        <w:right w:val="none" w:sz="0" w:space="0" w:color="auto"/>
      </w:divBdr>
    </w:div>
    <w:div w:id="679967893">
      <w:marLeft w:val="0"/>
      <w:marRight w:val="0"/>
      <w:marTop w:val="0"/>
      <w:marBottom w:val="0"/>
      <w:divBdr>
        <w:top w:val="none" w:sz="0" w:space="0" w:color="auto"/>
        <w:left w:val="none" w:sz="0" w:space="0" w:color="auto"/>
        <w:bottom w:val="none" w:sz="0" w:space="0" w:color="auto"/>
        <w:right w:val="none" w:sz="0" w:space="0" w:color="auto"/>
      </w:divBdr>
      <w:divsChild>
        <w:div w:id="1018039902">
          <w:marLeft w:val="0"/>
          <w:marRight w:val="0"/>
          <w:marTop w:val="0"/>
          <w:marBottom w:val="0"/>
          <w:divBdr>
            <w:top w:val="none" w:sz="0" w:space="0" w:color="auto"/>
            <w:left w:val="none" w:sz="0" w:space="0" w:color="auto"/>
            <w:bottom w:val="none" w:sz="0" w:space="0" w:color="auto"/>
            <w:right w:val="none" w:sz="0" w:space="0" w:color="auto"/>
          </w:divBdr>
        </w:div>
      </w:divsChild>
    </w:div>
    <w:div w:id="680737453">
      <w:marLeft w:val="0"/>
      <w:marRight w:val="0"/>
      <w:marTop w:val="160"/>
      <w:marBottom w:val="160"/>
      <w:divBdr>
        <w:top w:val="none" w:sz="0" w:space="0" w:color="auto"/>
        <w:left w:val="none" w:sz="0" w:space="0" w:color="auto"/>
        <w:bottom w:val="none" w:sz="0" w:space="0" w:color="auto"/>
        <w:right w:val="none" w:sz="0" w:space="0" w:color="auto"/>
      </w:divBdr>
    </w:div>
    <w:div w:id="683868466">
      <w:marLeft w:val="0"/>
      <w:marRight w:val="0"/>
      <w:marTop w:val="0"/>
      <w:marBottom w:val="0"/>
      <w:divBdr>
        <w:top w:val="none" w:sz="0" w:space="0" w:color="auto"/>
        <w:left w:val="none" w:sz="0" w:space="0" w:color="auto"/>
        <w:bottom w:val="none" w:sz="0" w:space="0" w:color="auto"/>
        <w:right w:val="none" w:sz="0" w:space="0" w:color="auto"/>
      </w:divBdr>
    </w:div>
    <w:div w:id="685445635">
      <w:marLeft w:val="0"/>
      <w:marRight w:val="0"/>
      <w:marTop w:val="160"/>
      <w:marBottom w:val="160"/>
      <w:divBdr>
        <w:top w:val="none" w:sz="0" w:space="0" w:color="auto"/>
        <w:left w:val="none" w:sz="0" w:space="0" w:color="auto"/>
        <w:bottom w:val="none" w:sz="0" w:space="0" w:color="auto"/>
        <w:right w:val="none" w:sz="0" w:space="0" w:color="auto"/>
      </w:divBdr>
    </w:div>
    <w:div w:id="688024287">
      <w:marLeft w:val="0"/>
      <w:marRight w:val="0"/>
      <w:marTop w:val="160"/>
      <w:marBottom w:val="160"/>
      <w:divBdr>
        <w:top w:val="none" w:sz="0" w:space="0" w:color="auto"/>
        <w:left w:val="none" w:sz="0" w:space="0" w:color="auto"/>
        <w:bottom w:val="none" w:sz="0" w:space="0" w:color="auto"/>
        <w:right w:val="none" w:sz="0" w:space="0" w:color="auto"/>
      </w:divBdr>
    </w:div>
    <w:div w:id="695009494">
      <w:marLeft w:val="0"/>
      <w:marRight w:val="0"/>
      <w:marTop w:val="0"/>
      <w:marBottom w:val="0"/>
      <w:divBdr>
        <w:top w:val="none" w:sz="0" w:space="0" w:color="auto"/>
        <w:left w:val="none" w:sz="0" w:space="0" w:color="auto"/>
        <w:bottom w:val="none" w:sz="0" w:space="0" w:color="auto"/>
        <w:right w:val="none" w:sz="0" w:space="0" w:color="auto"/>
      </w:divBdr>
    </w:div>
    <w:div w:id="697043170">
      <w:marLeft w:val="0"/>
      <w:marRight w:val="0"/>
      <w:marTop w:val="160"/>
      <w:marBottom w:val="160"/>
      <w:divBdr>
        <w:top w:val="none" w:sz="0" w:space="0" w:color="auto"/>
        <w:left w:val="none" w:sz="0" w:space="0" w:color="auto"/>
        <w:bottom w:val="none" w:sz="0" w:space="0" w:color="auto"/>
        <w:right w:val="none" w:sz="0" w:space="0" w:color="auto"/>
      </w:divBdr>
    </w:div>
    <w:div w:id="697314096">
      <w:marLeft w:val="0"/>
      <w:marRight w:val="0"/>
      <w:marTop w:val="160"/>
      <w:marBottom w:val="160"/>
      <w:divBdr>
        <w:top w:val="none" w:sz="0" w:space="0" w:color="auto"/>
        <w:left w:val="none" w:sz="0" w:space="0" w:color="auto"/>
        <w:bottom w:val="none" w:sz="0" w:space="0" w:color="auto"/>
        <w:right w:val="none" w:sz="0" w:space="0" w:color="auto"/>
      </w:divBdr>
    </w:div>
    <w:div w:id="698318584">
      <w:marLeft w:val="0"/>
      <w:marRight w:val="0"/>
      <w:marTop w:val="160"/>
      <w:marBottom w:val="160"/>
      <w:divBdr>
        <w:top w:val="none" w:sz="0" w:space="0" w:color="auto"/>
        <w:left w:val="none" w:sz="0" w:space="0" w:color="auto"/>
        <w:bottom w:val="none" w:sz="0" w:space="0" w:color="auto"/>
        <w:right w:val="none" w:sz="0" w:space="0" w:color="auto"/>
      </w:divBdr>
    </w:div>
    <w:div w:id="705566539">
      <w:marLeft w:val="0"/>
      <w:marRight w:val="0"/>
      <w:marTop w:val="160"/>
      <w:marBottom w:val="160"/>
      <w:divBdr>
        <w:top w:val="none" w:sz="0" w:space="0" w:color="auto"/>
        <w:left w:val="none" w:sz="0" w:space="0" w:color="auto"/>
        <w:bottom w:val="none" w:sz="0" w:space="0" w:color="auto"/>
        <w:right w:val="none" w:sz="0" w:space="0" w:color="auto"/>
      </w:divBdr>
    </w:div>
    <w:div w:id="707873368">
      <w:marLeft w:val="0"/>
      <w:marRight w:val="0"/>
      <w:marTop w:val="160"/>
      <w:marBottom w:val="160"/>
      <w:divBdr>
        <w:top w:val="none" w:sz="0" w:space="0" w:color="auto"/>
        <w:left w:val="none" w:sz="0" w:space="0" w:color="auto"/>
        <w:bottom w:val="none" w:sz="0" w:space="0" w:color="auto"/>
        <w:right w:val="none" w:sz="0" w:space="0" w:color="auto"/>
      </w:divBdr>
    </w:div>
    <w:div w:id="720010052">
      <w:marLeft w:val="0"/>
      <w:marRight w:val="0"/>
      <w:marTop w:val="60"/>
      <w:marBottom w:val="0"/>
      <w:divBdr>
        <w:top w:val="none" w:sz="0" w:space="0" w:color="auto"/>
        <w:left w:val="none" w:sz="0" w:space="0" w:color="auto"/>
        <w:bottom w:val="none" w:sz="0" w:space="0" w:color="auto"/>
        <w:right w:val="none" w:sz="0" w:space="0" w:color="auto"/>
      </w:divBdr>
    </w:div>
    <w:div w:id="722943556">
      <w:marLeft w:val="0"/>
      <w:marRight w:val="0"/>
      <w:marTop w:val="160"/>
      <w:marBottom w:val="160"/>
      <w:divBdr>
        <w:top w:val="none" w:sz="0" w:space="0" w:color="auto"/>
        <w:left w:val="none" w:sz="0" w:space="0" w:color="auto"/>
        <w:bottom w:val="none" w:sz="0" w:space="0" w:color="auto"/>
        <w:right w:val="none" w:sz="0" w:space="0" w:color="auto"/>
      </w:divBdr>
    </w:div>
    <w:div w:id="724062296">
      <w:marLeft w:val="0"/>
      <w:marRight w:val="0"/>
      <w:marTop w:val="160"/>
      <w:marBottom w:val="160"/>
      <w:divBdr>
        <w:top w:val="none" w:sz="0" w:space="0" w:color="auto"/>
        <w:left w:val="none" w:sz="0" w:space="0" w:color="auto"/>
        <w:bottom w:val="none" w:sz="0" w:space="0" w:color="auto"/>
        <w:right w:val="none" w:sz="0" w:space="0" w:color="auto"/>
      </w:divBdr>
    </w:div>
    <w:div w:id="725376542">
      <w:marLeft w:val="0"/>
      <w:marRight w:val="0"/>
      <w:marTop w:val="160"/>
      <w:marBottom w:val="160"/>
      <w:divBdr>
        <w:top w:val="none" w:sz="0" w:space="0" w:color="auto"/>
        <w:left w:val="none" w:sz="0" w:space="0" w:color="auto"/>
        <w:bottom w:val="none" w:sz="0" w:space="0" w:color="auto"/>
        <w:right w:val="none" w:sz="0" w:space="0" w:color="auto"/>
      </w:divBdr>
    </w:div>
    <w:div w:id="727652681">
      <w:marLeft w:val="0"/>
      <w:marRight w:val="0"/>
      <w:marTop w:val="160"/>
      <w:marBottom w:val="160"/>
      <w:divBdr>
        <w:top w:val="none" w:sz="0" w:space="0" w:color="auto"/>
        <w:left w:val="none" w:sz="0" w:space="0" w:color="auto"/>
        <w:bottom w:val="none" w:sz="0" w:space="0" w:color="auto"/>
        <w:right w:val="none" w:sz="0" w:space="0" w:color="auto"/>
      </w:divBdr>
    </w:div>
    <w:div w:id="729040841">
      <w:marLeft w:val="0"/>
      <w:marRight w:val="0"/>
      <w:marTop w:val="0"/>
      <w:marBottom w:val="0"/>
      <w:divBdr>
        <w:top w:val="none" w:sz="0" w:space="0" w:color="auto"/>
        <w:left w:val="none" w:sz="0" w:space="0" w:color="auto"/>
        <w:bottom w:val="none" w:sz="0" w:space="0" w:color="auto"/>
        <w:right w:val="none" w:sz="0" w:space="0" w:color="auto"/>
      </w:divBdr>
    </w:div>
    <w:div w:id="734932914">
      <w:marLeft w:val="0"/>
      <w:marRight w:val="0"/>
      <w:marTop w:val="160"/>
      <w:marBottom w:val="160"/>
      <w:divBdr>
        <w:top w:val="none" w:sz="0" w:space="0" w:color="auto"/>
        <w:left w:val="none" w:sz="0" w:space="0" w:color="auto"/>
        <w:bottom w:val="none" w:sz="0" w:space="0" w:color="auto"/>
        <w:right w:val="none" w:sz="0" w:space="0" w:color="auto"/>
      </w:divBdr>
    </w:div>
    <w:div w:id="740753738">
      <w:marLeft w:val="0"/>
      <w:marRight w:val="0"/>
      <w:marTop w:val="160"/>
      <w:marBottom w:val="160"/>
      <w:divBdr>
        <w:top w:val="none" w:sz="0" w:space="0" w:color="auto"/>
        <w:left w:val="none" w:sz="0" w:space="0" w:color="auto"/>
        <w:bottom w:val="none" w:sz="0" w:space="0" w:color="auto"/>
        <w:right w:val="none" w:sz="0" w:space="0" w:color="auto"/>
      </w:divBdr>
    </w:div>
    <w:div w:id="742147292">
      <w:marLeft w:val="0"/>
      <w:marRight w:val="0"/>
      <w:marTop w:val="160"/>
      <w:marBottom w:val="160"/>
      <w:divBdr>
        <w:top w:val="none" w:sz="0" w:space="0" w:color="auto"/>
        <w:left w:val="none" w:sz="0" w:space="0" w:color="auto"/>
        <w:bottom w:val="none" w:sz="0" w:space="0" w:color="auto"/>
        <w:right w:val="none" w:sz="0" w:space="0" w:color="auto"/>
      </w:divBdr>
    </w:div>
    <w:div w:id="742678403">
      <w:marLeft w:val="0"/>
      <w:marRight w:val="0"/>
      <w:marTop w:val="0"/>
      <w:marBottom w:val="0"/>
      <w:divBdr>
        <w:top w:val="none" w:sz="0" w:space="0" w:color="auto"/>
        <w:left w:val="none" w:sz="0" w:space="0" w:color="auto"/>
        <w:bottom w:val="none" w:sz="0" w:space="0" w:color="auto"/>
        <w:right w:val="none" w:sz="0" w:space="0" w:color="auto"/>
      </w:divBdr>
    </w:div>
    <w:div w:id="742683677">
      <w:marLeft w:val="0"/>
      <w:marRight w:val="0"/>
      <w:marTop w:val="160"/>
      <w:marBottom w:val="160"/>
      <w:divBdr>
        <w:top w:val="none" w:sz="0" w:space="0" w:color="auto"/>
        <w:left w:val="none" w:sz="0" w:space="0" w:color="auto"/>
        <w:bottom w:val="none" w:sz="0" w:space="0" w:color="auto"/>
        <w:right w:val="none" w:sz="0" w:space="0" w:color="auto"/>
      </w:divBdr>
    </w:div>
    <w:div w:id="748423397">
      <w:marLeft w:val="0"/>
      <w:marRight w:val="0"/>
      <w:marTop w:val="0"/>
      <w:marBottom w:val="0"/>
      <w:divBdr>
        <w:top w:val="none" w:sz="0" w:space="0" w:color="auto"/>
        <w:left w:val="none" w:sz="0" w:space="0" w:color="auto"/>
        <w:bottom w:val="none" w:sz="0" w:space="0" w:color="auto"/>
        <w:right w:val="none" w:sz="0" w:space="0" w:color="auto"/>
      </w:divBdr>
    </w:div>
    <w:div w:id="753093457">
      <w:marLeft w:val="0"/>
      <w:marRight w:val="0"/>
      <w:marTop w:val="100"/>
      <w:marBottom w:val="160"/>
      <w:divBdr>
        <w:top w:val="none" w:sz="0" w:space="0" w:color="auto"/>
        <w:left w:val="none" w:sz="0" w:space="0" w:color="auto"/>
        <w:bottom w:val="none" w:sz="0" w:space="0" w:color="auto"/>
        <w:right w:val="none" w:sz="0" w:space="0" w:color="auto"/>
      </w:divBdr>
    </w:div>
    <w:div w:id="753629370">
      <w:marLeft w:val="0"/>
      <w:marRight w:val="0"/>
      <w:marTop w:val="160"/>
      <w:marBottom w:val="160"/>
      <w:divBdr>
        <w:top w:val="none" w:sz="0" w:space="0" w:color="auto"/>
        <w:left w:val="none" w:sz="0" w:space="0" w:color="auto"/>
        <w:bottom w:val="none" w:sz="0" w:space="0" w:color="auto"/>
        <w:right w:val="none" w:sz="0" w:space="0" w:color="auto"/>
      </w:divBdr>
      <w:divsChild>
        <w:div w:id="1400178272">
          <w:marLeft w:val="0"/>
          <w:marRight w:val="0"/>
          <w:marTop w:val="0"/>
          <w:marBottom w:val="0"/>
          <w:divBdr>
            <w:top w:val="none" w:sz="0" w:space="0" w:color="auto"/>
            <w:left w:val="none" w:sz="0" w:space="0" w:color="auto"/>
            <w:bottom w:val="none" w:sz="0" w:space="0" w:color="auto"/>
            <w:right w:val="none" w:sz="0" w:space="0" w:color="auto"/>
          </w:divBdr>
        </w:div>
      </w:divsChild>
    </w:div>
    <w:div w:id="757366781">
      <w:marLeft w:val="0"/>
      <w:marRight w:val="0"/>
      <w:marTop w:val="160"/>
      <w:marBottom w:val="160"/>
      <w:divBdr>
        <w:top w:val="none" w:sz="0" w:space="0" w:color="auto"/>
        <w:left w:val="none" w:sz="0" w:space="0" w:color="auto"/>
        <w:bottom w:val="none" w:sz="0" w:space="0" w:color="auto"/>
        <w:right w:val="none" w:sz="0" w:space="0" w:color="auto"/>
      </w:divBdr>
    </w:div>
    <w:div w:id="757746950">
      <w:marLeft w:val="0"/>
      <w:marRight w:val="0"/>
      <w:marTop w:val="160"/>
      <w:marBottom w:val="160"/>
      <w:divBdr>
        <w:top w:val="none" w:sz="0" w:space="0" w:color="auto"/>
        <w:left w:val="none" w:sz="0" w:space="0" w:color="auto"/>
        <w:bottom w:val="none" w:sz="0" w:space="0" w:color="auto"/>
        <w:right w:val="none" w:sz="0" w:space="0" w:color="auto"/>
      </w:divBdr>
    </w:div>
    <w:div w:id="761075570">
      <w:marLeft w:val="0"/>
      <w:marRight w:val="0"/>
      <w:marTop w:val="160"/>
      <w:marBottom w:val="160"/>
      <w:divBdr>
        <w:top w:val="none" w:sz="0" w:space="0" w:color="auto"/>
        <w:left w:val="none" w:sz="0" w:space="0" w:color="auto"/>
        <w:bottom w:val="none" w:sz="0" w:space="0" w:color="auto"/>
        <w:right w:val="none" w:sz="0" w:space="0" w:color="auto"/>
      </w:divBdr>
    </w:div>
    <w:div w:id="762336701">
      <w:marLeft w:val="0"/>
      <w:marRight w:val="0"/>
      <w:marTop w:val="160"/>
      <w:marBottom w:val="160"/>
      <w:divBdr>
        <w:top w:val="none" w:sz="0" w:space="0" w:color="auto"/>
        <w:left w:val="none" w:sz="0" w:space="0" w:color="auto"/>
        <w:bottom w:val="none" w:sz="0" w:space="0" w:color="auto"/>
        <w:right w:val="none" w:sz="0" w:space="0" w:color="auto"/>
      </w:divBdr>
    </w:div>
    <w:div w:id="768963537">
      <w:marLeft w:val="0"/>
      <w:marRight w:val="0"/>
      <w:marTop w:val="0"/>
      <w:marBottom w:val="0"/>
      <w:divBdr>
        <w:top w:val="none" w:sz="0" w:space="0" w:color="auto"/>
        <w:left w:val="none" w:sz="0" w:space="0" w:color="auto"/>
        <w:bottom w:val="none" w:sz="0" w:space="0" w:color="auto"/>
        <w:right w:val="none" w:sz="0" w:space="0" w:color="auto"/>
      </w:divBdr>
      <w:divsChild>
        <w:div w:id="1543860478">
          <w:marLeft w:val="0"/>
          <w:marRight w:val="0"/>
          <w:marTop w:val="160"/>
          <w:marBottom w:val="0"/>
          <w:divBdr>
            <w:top w:val="none" w:sz="0" w:space="0" w:color="auto"/>
            <w:left w:val="none" w:sz="0" w:space="0" w:color="auto"/>
            <w:bottom w:val="none" w:sz="0" w:space="0" w:color="auto"/>
            <w:right w:val="none" w:sz="0" w:space="0" w:color="auto"/>
          </w:divBdr>
        </w:div>
        <w:div w:id="1800804141">
          <w:marLeft w:val="0"/>
          <w:marRight w:val="0"/>
          <w:marTop w:val="160"/>
          <w:marBottom w:val="0"/>
          <w:divBdr>
            <w:top w:val="none" w:sz="0" w:space="0" w:color="auto"/>
            <w:left w:val="none" w:sz="0" w:space="0" w:color="auto"/>
            <w:bottom w:val="none" w:sz="0" w:space="0" w:color="auto"/>
            <w:right w:val="none" w:sz="0" w:space="0" w:color="auto"/>
          </w:divBdr>
        </w:div>
        <w:div w:id="575869046">
          <w:marLeft w:val="0"/>
          <w:marRight w:val="0"/>
          <w:marTop w:val="160"/>
          <w:marBottom w:val="160"/>
          <w:divBdr>
            <w:top w:val="none" w:sz="0" w:space="0" w:color="auto"/>
            <w:left w:val="none" w:sz="0" w:space="0" w:color="auto"/>
            <w:bottom w:val="none" w:sz="0" w:space="0" w:color="auto"/>
            <w:right w:val="none" w:sz="0" w:space="0" w:color="auto"/>
          </w:divBdr>
        </w:div>
        <w:div w:id="336350014">
          <w:marLeft w:val="0"/>
          <w:marRight w:val="0"/>
          <w:marTop w:val="160"/>
          <w:marBottom w:val="160"/>
          <w:divBdr>
            <w:top w:val="none" w:sz="0" w:space="0" w:color="auto"/>
            <w:left w:val="none" w:sz="0" w:space="0" w:color="auto"/>
            <w:bottom w:val="none" w:sz="0" w:space="0" w:color="auto"/>
            <w:right w:val="none" w:sz="0" w:space="0" w:color="auto"/>
          </w:divBdr>
        </w:div>
        <w:div w:id="679042806">
          <w:marLeft w:val="0"/>
          <w:marRight w:val="0"/>
          <w:marTop w:val="160"/>
          <w:marBottom w:val="160"/>
          <w:divBdr>
            <w:top w:val="none" w:sz="0" w:space="0" w:color="auto"/>
            <w:left w:val="none" w:sz="0" w:space="0" w:color="auto"/>
            <w:bottom w:val="none" w:sz="0" w:space="0" w:color="auto"/>
            <w:right w:val="none" w:sz="0" w:space="0" w:color="auto"/>
          </w:divBdr>
        </w:div>
      </w:divsChild>
    </w:div>
    <w:div w:id="769741175">
      <w:marLeft w:val="0"/>
      <w:marRight w:val="0"/>
      <w:marTop w:val="160"/>
      <w:marBottom w:val="160"/>
      <w:divBdr>
        <w:top w:val="none" w:sz="0" w:space="0" w:color="auto"/>
        <w:left w:val="none" w:sz="0" w:space="0" w:color="auto"/>
        <w:bottom w:val="none" w:sz="0" w:space="0" w:color="auto"/>
        <w:right w:val="none" w:sz="0" w:space="0" w:color="auto"/>
      </w:divBdr>
    </w:div>
    <w:div w:id="778719534">
      <w:marLeft w:val="0"/>
      <w:marRight w:val="0"/>
      <w:marTop w:val="160"/>
      <w:marBottom w:val="160"/>
      <w:divBdr>
        <w:top w:val="none" w:sz="0" w:space="0" w:color="auto"/>
        <w:left w:val="none" w:sz="0" w:space="0" w:color="auto"/>
        <w:bottom w:val="none" w:sz="0" w:space="0" w:color="auto"/>
        <w:right w:val="none" w:sz="0" w:space="0" w:color="auto"/>
      </w:divBdr>
    </w:div>
    <w:div w:id="780683691">
      <w:marLeft w:val="0"/>
      <w:marRight w:val="0"/>
      <w:marTop w:val="160"/>
      <w:marBottom w:val="160"/>
      <w:divBdr>
        <w:top w:val="none" w:sz="0" w:space="0" w:color="auto"/>
        <w:left w:val="none" w:sz="0" w:space="0" w:color="auto"/>
        <w:bottom w:val="none" w:sz="0" w:space="0" w:color="auto"/>
        <w:right w:val="none" w:sz="0" w:space="0" w:color="auto"/>
      </w:divBdr>
    </w:div>
    <w:div w:id="780761130">
      <w:marLeft w:val="0"/>
      <w:marRight w:val="0"/>
      <w:marTop w:val="160"/>
      <w:marBottom w:val="160"/>
      <w:divBdr>
        <w:top w:val="none" w:sz="0" w:space="0" w:color="auto"/>
        <w:left w:val="none" w:sz="0" w:space="0" w:color="auto"/>
        <w:bottom w:val="none" w:sz="0" w:space="0" w:color="auto"/>
        <w:right w:val="none" w:sz="0" w:space="0" w:color="auto"/>
      </w:divBdr>
    </w:div>
    <w:div w:id="785739853">
      <w:marLeft w:val="0"/>
      <w:marRight w:val="0"/>
      <w:marTop w:val="160"/>
      <w:marBottom w:val="160"/>
      <w:divBdr>
        <w:top w:val="none" w:sz="0" w:space="0" w:color="auto"/>
        <w:left w:val="none" w:sz="0" w:space="0" w:color="auto"/>
        <w:bottom w:val="none" w:sz="0" w:space="0" w:color="auto"/>
        <w:right w:val="none" w:sz="0" w:space="0" w:color="auto"/>
      </w:divBdr>
    </w:div>
    <w:div w:id="790974410">
      <w:marLeft w:val="0"/>
      <w:marRight w:val="0"/>
      <w:marTop w:val="160"/>
      <w:marBottom w:val="160"/>
      <w:divBdr>
        <w:top w:val="none" w:sz="0" w:space="0" w:color="auto"/>
        <w:left w:val="none" w:sz="0" w:space="0" w:color="auto"/>
        <w:bottom w:val="none" w:sz="0" w:space="0" w:color="auto"/>
        <w:right w:val="none" w:sz="0" w:space="0" w:color="auto"/>
      </w:divBdr>
    </w:div>
    <w:div w:id="797262871">
      <w:marLeft w:val="0"/>
      <w:marRight w:val="0"/>
      <w:marTop w:val="160"/>
      <w:marBottom w:val="160"/>
      <w:divBdr>
        <w:top w:val="none" w:sz="0" w:space="0" w:color="auto"/>
        <w:left w:val="none" w:sz="0" w:space="0" w:color="auto"/>
        <w:bottom w:val="none" w:sz="0" w:space="0" w:color="auto"/>
        <w:right w:val="none" w:sz="0" w:space="0" w:color="auto"/>
      </w:divBdr>
    </w:div>
    <w:div w:id="804852742">
      <w:marLeft w:val="0"/>
      <w:marRight w:val="0"/>
      <w:marTop w:val="160"/>
      <w:marBottom w:val="160"/>
      <w:divBdr>
        <w:top w:val="none" w:sz="0" w:space="0" w:color="auto"/>
        <w:left w:val="none" w:sz="0" w:space="0" w:color="auto"/>
        <w:bottom w:val="none" w:sz="0" w:space="0" w:color="auto"/>
        <w:right w:val="none" w:sz="0" w:space="0" w:color="auto"/>
      </w:divBdr>
    </w:div>
    <w:div w:id="808791390">
      <w:marLeft w:val="0"/>
      <w:marRight w:val="0"/>
      <w:marTop w:val="0"/>
      <w:marBottom w:val="0"/>
      <w:divBdr>
        <w:top w:val="none" w:sz="0" w:space="0" w:color="auto"/>
        <w:left w:val="none" w:sz="0" w:space="0" w:color="auto"/>
        <w:bottom w:val="none" w:sz="0" w:space="0" w:color="auto"/>
        <w:right w:val="none" w:sz="0" w:space="0" w:color="auto"/>
      </w:divBdr>
      <w:divsChild>
        <w:div w:id="1819608559">
          <w:marLeft w:val="0"/>
          <w:marRight w:val="0"/>
          <w:marTop w:val="0"/>
          <w:marBottom w:val="0"/>
          <w:divBdr>
            <w:top w:val="none" w:sz="0" w:space="0" w:color="auto"/>
            <w:left w:val="none" w:sz="0" w:space="0" w:color="auto"/>
            <w:bottom w:val="none" w:sz="0" w:space="0" w:color="auto"/>
            <w:right w:val="none" w:sz="0" w:space="0" w:color="auto"/>
          </w:divBdr>
        </w:div>
      </w:divsChild>
    </w:div>
    <w:div w:id="810515871">
      <w:marLeft w:val="0"/>
      <w:marRight w:val="0"/>
      <w:marTop w:val="0"/>
      <w:marBottom w:val="0"/>
      <w:divBdr>
        <w:top w:val="none" w:sz="0" w:space="0" w:color="auto"/>
        <w:left w:val="none" w:sz="0" w:space="0" w:color="auto"/>
        <w:bottom w:val="none" w:sz="0" w:space="0" w:color="auto"/>
        <w:right w:val="none" w:sz="0" w:space="0" w:color="auto"/>
      </w:divBdr>
      <w:divsChild>
        <w:div w:id="310404441">
          <w:marLeft w:val="0"/>
          <w:marRight w:val="0"/>
          <w:marTop w:val="0"/>
          <w:marBottom w:val="0"/>
          <w:divBdr>
            <w:top w:val="none" w:sz="0" w:space="0" w:color="auto"/>
            <w:left w:val="none" w:sz="0" w:space="0" w:color="auto"/>
            <w:bottom w:val="none" w:sz="0" w:space="0" w:color="auto"/>
            <w:right w:val="none" w:sz="0" w:space="0" w:color="auto"/>
          </w:divBdr>
        </w:div>
      </w:divsChild>
    </w:div>
    <w:div w:id="813645107">
      <w:marLeft w:val="0"/>
      <w:marRight w:val="0"/>
      <w:marTop w:val="0"/>
      <w:marBottom w:val="0"/>
      <w:divBdr>
        <w:top w:val="none" w:sz="0" w:space="0" w:color="auto"/>
        <w:left w:val="none" w:sz="0" w:space="0" w:color="auto"/>
        <w:bottom w:val="none" w:sz="0" w:space="0" w:color="auto"/>
        <w:right w:val="none" w:sz="0" w:space="0" w:color="auto"/>
      </w:divBdr>
    </w:div>
    <w:div w:id="821313943">
      <w:marLeft w:val="0"/>
      <w:marRight w:val="0"/>
      <w:marTop w:val="160"/>
      <w:marBottom w:val="160"/>
      <w:divBdr>
        <w:top w:val="none" w:sz="0" w:space="0" w:color="auto"/>
        <w:left w:val="none" w:sz="0" w:space="0" w:color="auto"/>
        <w:bottom w:val="none" w:sz="0" w:space="0" w:color="auto"/>
        <w:right w:val="none" w:sz="0" w:space="0" w:color="auto"/>
      </w:divBdr>
    </w:div>
    <w:div w:id="823663473">
      <w:marLeft w:val="0"/>
      <w:marRight w:val="0"/>
      <w:marTop w:val="160"/>
      <w:marBottom w:val="160"/>
      <w:divBdr>
        <w:top w:val="none" w:sz="0" w:space="0" w:color="auto"/>
        <w:left w:val="none" w:sz="0" w:space="0" w:color="auto"/>
        <w:bottom w:val="none" w:sz="0" w:space="0" w:color="auto"/>
        <w:right w:val="none" w:sz="0" w:space="0" w:color="auto"/>
      </w:divBdr>
    </w:div>
    <w:div w:id="825362974">
      <w:marLeft w:val="0"/>
      <w:marRight w:val="0"/>
      <w:marTop w:val="0"/>
      <w:marBottom w:val="0"/>
      <w:divBdr>
        <w:top w:val="none" w:sz="0" w:space="0" w:color="auto"/>
        <w:left w:val="none" w:sz="0" w:space="0" w:color="auto"/>
        <w:bottom w:val="none" w:sz="0" w:space="0" w:color="auto"/>
        <w:right w:val="none" w:sz="0" w:space="0" w:color="auto"/>
      </w:divBdr>
      <w:divsChild>
        <w:div w:id="716971965">
          <w:marLeft w:val="0"/>
          <w:marRight w:val="0"/>
          <w:marTop w:val="0"/>
          <w:marBottom w:val="0"/>
          <w:divBdr>
            <w:top w:val="none" w:sz="0" w:space="0" w:color="auto"/>
            <w:left w:val="none" w:sz="0" w:space="0" w:color="auto"/>
            <w:bottom w:val="none" w:sz="0" w:space="0" w:color="auto"/>
            <w:right w:val="none" w:sz="0" w:space="0" w:color="auto"/>
          </w:divBdr>
        </w:div>
      </w:divsChild>
    </w:div>
    <w:div w:id="827791735">
      <w:marLeft w:val="0"/>
      <w:marRight w:val="0"/>
      <w:marTop w:val="160"/>
      <w:marBottom w:val="160"/>
      <w:divBdr>
        <w:top w:val="none" w:sz="0" w:space="0" w:color="auto"/>
        <w:left w:val="none" w:sz="0" w:space="0" w:color="auto"/>
        <w:bottom w:val="none" w:sz="0" w:space="0" w:color="auto"/>
        <w:right w:val="none" w:sz="0" w:space="0" w:color="auto"/>
      </w:divBdr>
    </w:div>
    <w:div w:id="829098153">
      <w:marLeft w:val="0"/>
      <w:marRight w:val="0"/>
      <w:marTop w:val="0"/>
      <w:marBottom w:val="0"/>
      <w:divBdr>
        <w:top w:val="none" w:sz="0" w:space="0" w:color="auto"/>
        <w:left w:val="none" w:sz="0" w:space="0" w:color="auto"/>
        <w:bottom w:val="none" w:sz="0" w:space="0" w:color="auto"/>
        <w:right w:val="none" w:sz="0" w:space="0" w:color="auto"/>
      </w:divBdr>
      <w:divsChild>
        <w:div w:id="1176771103">
          <w:marLeft w:val="0"/>
          <w:marRight w:val="0"/>
          <w:marTop w:val="0"/>
          <w:marBottom w:val="0"/>
          <w:divBdr>
            <w:top w:val="none" w:sz="0" w:space="0" w:color="auto"/>
            <w:left w:val="none" w:sz="0" w:space="0" w:color="auto"/>
            <w:bottom w:val="none" w:sz="0" w:space="0" w:color="auto"/>
            <w:right w:val="none" w:sz="0" w:space="0" w:color="auto"/>
          </w:divBdr>
        </w:div>
      </w:divsChild>
    </w:div>
    <w:div w:id="830801244">
      <w:marLeft w:val="0"/>
      <w:marRight w:val="0"/>
      <w:marTop w:val="160"/>
      <w:marBottom w:val="160"/>
      <w:divBdr>
        <w:top w:val="none" w:sz="0" w:space="0" w:color="auto"/>
        <w:left w:val="none" w:sz="0" w:space="0" w:color="auto"/>
        <w:bottom w:val="none" w:sz="0" w:space="0" w:color="auto"/>
        <w:right w:val="none" w:sz="0" w:space="0" w:color="auto"/>
      </w:divBdr>
    </w:div>
    <w:div w:id="843938596">
      <w:marLeft w:val="0"/>
      <w:marRight w:val="0"/>
      <w:marTop w:val="0"/>
      <w:marBottom w:val="0"/>
      <w:divBdr>
        <w:top w:val="none" w:sz="0" w:space="0" w:color="auto"/>
        <w:left w:val="none" w:sz="0" w:space="0" w:color="auto"/>
        <w:bottom w:val="none" w:sz="0" w:space="0" w:color="auto"/>
        <w:right w:val="none" w:sz="0" w:space="0" w:color="auto"/>
      </w:divBdr>
      <w:divsChild>
        <w:div w:id="119079961">
          <w:marLeft w:val="0"/>
          <w:marRight w:val="0"/>
          <w:marTop w:val="0"/>
          <w:marBottom w:val="0"/>
          <w:divBdr>
            <w:top w:val="none" w:sz="0" w:space="0" w:color="auto"/>
            <w:left w:val="none" w:sz="0" w:space="0" w:color="auto"/>
            <w:bottom w:val="none" w:sz="0" w:space="0" w:color="auto"/>
            <w:right w:val="none" w:sz="0" w:space="0" w:color="auto"/>
          </w:divBdr>
        </w:div>
      </w:divsChild>
    </w:div>
    <w:div w:id="849443861">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
      </w:divsChild>
    </w:div>
    <w:div w:id="851803048">
      <w:marLeft w:val="0"/>
      <w:marRight w:val="0"/>
      <w:marTop w:val="160"/>
      <w:marBottom w:val="160"/>
      <w:divBdr>
        <w:top w:val="none" w:sz="0" w:space="0" w:color="auto"/>
        <w:left w:val="none" w:sz="0" w:space="0" w:color="auto"/>
        <w:bottom w:val="none" w:sz="0" w:space="0" w:color="auto"/>
        <w:right w:val="none" w:sz="0" w:space="0" w:color="auto"/>
      </w:divBdr>
    </w:div>
    <w:div w:id="859392617">
      <w:marLeft w:val="0"/>
      <w:marRight w:val="0"/>
      <w:marTop w:val="160"/>
      <w:marBottom w:val="160"/>
      <w:divBdr>
        <w:top w:val="none" w:sz="0" w:space="0" w:color="auto"/>
        <w:left w:val="none" w:sz="0" w:space="0" w:color="auto"/>
        <w:bottom w:val="none" w:sz="0" w:space="0" w:color="auto"/>
        <w:right w:val="none" w:sz="0" w:space="0" w:color="auto"/>
      </w:divBdr>
    </w:div>
    <w:div w:id="860826060">
      <w:marLeft w:val="0"/>
      <w:marRight w:val="0"/>
      <w:marTop w:val="160"/>
      <w:marBottom w:val="160"/>
      <w:divBdr>
        <w:top w:val="none" w:sz="0" w:space="0" w:color="auto"/>
        <w:left w:val="none" w:sz="0" w:space="0" w:color="auto"/>
        <w:bottom w:val="none" w:sz="0" w:space="0" w:color="auto"/>
        <w:right w:val="none" w:sz="0" w:space="0" w:color="auto"/>
      </w:divBdr>
    </w:div>
    <w:div w:id="863248785">
      <w:marLeft w:val="0"/>
      <w:marRight w:val="0"/>
      <w:marTop w:val="0"/>
      <w:marBottom w:val="240"/>
      <w:divBdr>
        <w:top w:val="none" w:sz="0" w:space="0" w:color="auto"/>
        <w:left w:val="none" w:sz="0" w:space="0" w:color="auto"/>
        <w:bottom w:val="none" w:sz="0" w:space="0" w:color="auto"/>
        <w:right w:val="none" w:sz="0" w:space="0" w:color="auto"/>
      </w:divBdr>
    </w:div>
    <w:div w:id="868757306">
      <w:marLeft w:val="0"/>
      <w:marRight w:val="0"/>
      <w:marTop w:val="0"/>
      <w:marBottom w:val="0"/>
      <w:divBdr>
        <w:top w:val="none" w:sz="0" w:space="0" w:color="auto"/>
        <w:left w:val="none" w:sz="0" w:space="0" w:color="auto"/>
        <w:bottom w:val="none" w:sz="0" w:space="0" w:color="auto"/>
        <w:right w:val="none" w:sz="0" w:space="0" w:color="auto"/>
      </w:divBdr>
    </w:div>
    <w:div w:id="871573071">
      <w:marLeft w:val="0"/>
      <w:marRight w:val="0"/>
      <w:marTop w:val="160"/>
      <w:marBottom w:val="160"/>
      <w:divBdr>
        <w:top w:val="none" w:sz="0" w:space="0" w:color="auto"/>
        <w:left w:val="none" w:sz="0" w:space="0" w:color="auto"/>
        <w:bottom w:val="none" w:sz="0" w:space="0" w:color="auto"/>
        <w:right w:val="none" w:sz="0" w:space="0" w:color="auto"/>
      </w:divBdr>
    </w:div>
    <w:div w:id="879051254">
      <w:marLeft w:val="0"/>
      <w:marRight w:val="0"/>
      <w:marTop w:val="160"/>
      <w:marBottom w:val="160"/>
      <w:divBdr>
        <w:top w:val="none" w:sz="0" w:space="0" w:color="auto"/>
        <w:left w:val="none" w:sz="0" w:space="0" w:color="auto"/>
        <w:bottom w:val="none" w:sz="0" w:space="0" w:color="auto"/>
        <w:right w:val="none" w:sz="0" w:space="0" w:color="auto"/>
      </w:divBdr>
    </w:div>
    <w:div w:id="890270620">
      <w:marLeft w:val="0"/>
      <w:marRight w:val="0"/>
      <w:marTop w:val="0"/>
      <w:marBottom w:val="0"/>
      <w:divBdr>
        <w:top w:val="none" w:sz="0" w:space="0" w:color="auto"/>
        <w:left w:val="none" w:sz="0" w:space="0" w:color="auto"/>
        <w:bottom w:val="none" w:sz="0" w:space="0" w:color="auto"/>
        <w:right w:val="none" w:sz="0" w:space="0" w:color="auto"/>
      </w:divBdr>
      <w:divsChild>
        <w:div w:id="382677467">
          <w:marLeft w:val="0"/>
          <w:marRight w:val="0"/>
          <w:marTop w:val="0"/>
          <w:marBottom w:val="0"/>
          <w:divBdr>
            <w:top w:val="none" w:sz="0" w:space="0" w:color="auto"/>
            <w:left w:val="none" w:sz="0" w:space="0" w:color="auto"/>
            <w:bottom w:val="none" w:sz="0" w:space="0" w:color="auto"/>
            <w:right w:val="none" w:sz="0" w:space="0" w:color="auto"/>
          </w:divBdr>
        </w:div>
      </w:divsChild>
    </w:div>
    <w:div w:id="890654608">
      <w:marLeft w:val="0"/>
      <w:marRight w:val="0"/>
      <w:marTop w:val="160"/>
      <w:marBottom w:val="160"/>
      <w:divBdr>
        <w:top w:val="none" w:sz="0" w:space="0" w:color="auto"/>
        <w:left w:val="none" w:sz="0" w:space="0" w:color="auto"/>
        <w:bottom w:val="none" w:sz="0" w:space="0" w:color="auto"/>
        <w:right w:val="none" w:sz="0" w:space="0" w:color="auto"/>
      </w:divBdr>
    </w:div>
    <w:div w:id="891189489">
      <w:marLeft w:val="0"/>
      <w:marRight w:val="0"/>
      <w:marTop w:val="160"/>
      <w:marBottom w:val="160"/>
      <w:divBdr>
        <w:top w:val="none" w:sz="0" w:space="0" w:color="auto"/>
        <w:left w:val="none" w:sz="0" w:space="0" w:color="auto"/>
        <w:bottom w:val="none" w:sz="0" w:space="0" w:color="auto"/>
        <w:right w:val="none" w:sz="0" w:space="0" w:color="auto"/>
      </w:divBdr>
    </w:div>
    <w:div w:id="896669467">
      <w:marLeft w:val="0"/>
      <w:marRight w:val="0"/>
      <w:marTop w:val="0"/>
      <w:marBottom w:val="0"/>
      <w:divBdr>
        <w:top w:val="none" w:sz="0" w:space="0" w:color="auto"/>
        <w:left w:val="none" w:sz="0" w:space="0" w:color="auto"/>
        <w:bottom w:val="none" w:sz="0" w:space="0" w:color="auto"/>
        <w:right w:val="none" w:sz="0" w:space="0" w:color="auto"/>
      </w:divBdr>
    </w:div>
    <w:div w:id="902788352">
      <w:marLeft w:val="0"/>
      <w:marRight w:val="0"/>
      <w:marTop w:val="160"/>
      <w:marBottom w:val="160"/>
      <w:divBdr>
        <w:top w:val="none" w:sz="0" w:space="0" w:color="auto"/>
        <w:left w:val="none" w:sz="0" w:space="0" w:color="auto"/>
        <w:bottom w:val="none" w:sz="0" w:space="0" w:color="auto"/>
        <w:right w:val="none" w:sz="0" w:space="0" w:color="auto"/>
      </w:divBdr>
    </w:div>
    <w:div w:id="904488479">
      <w:marLeft w:val="0"/>
      <w:marRight w:val="0"/>
      <w:marTop w:val="0"/>
      <w:marBottom w:val="0"/>
      <w:divBdr>
        <w:top w:val="none" w:sz="0" w:space="0" w:color="auto"/>
        <w:left w:val="none" w:sz="0" w:space="0" w:color="auto"/>
        <w:bottom w:val="none" w:sz="0" w:space="0" w:color="auto"/>
        <w:right w:val="none" w:sz="0" w:space="0" w:color="auto"/>
      </w:divBdr>
      <w:divsChild>
        <w:div w:id="173348870">
          <w:marLeft w:val="0"/>
          <w:marRight w:val="0"/>
          <w:marTop w:val="0"/>
          <w:marBottom w:val="0"/>
          <w:divBdr>
            <w:top w:val="none" w:sz="0" w:space="0" w:color="auto"/>
            <w:left w:val="none" w:sz="0" w:space="0" w:color="auto"/>
            <w:bottom w:val="none" w:sz="0" w:space="0" w:color="auto"/>
            <w:right w:val="none" w:sz="0" w:space="0" w:color="auto"/>
          </w:divBdr>
        </w:div>
      </w:divsChild>
    </w:div>
    <w:div w:id="909535428">
      <w:marLeft w:val="0"/>
      <w:marRight w:val="0"/>
      <w:marTop w:val="0"/>
      <w:marBottom w:val="0"/>
      <w:divBdr>
        <w:top w:val="none" w:sz="0" w:space="0" w:color="auto"/>
        <w:left w:val="none" w:sz="0" w:space="0" w:color="auto"/>
        <w:bottom w:val="none" w:sz="0" w:space="0" w:color="auto"/>
        <w:right w:val="none" w:sz="0" w:space="0" w:color="auto"/>
      </w:divBdr>
    </w:div>
    <w:div w:id="930889795">
      <w:marLeft w:val="0"/>
      <w:marRight w:val="0"/>
      <w:marTop w:val="160"/>
      <w:marBottom w:val="160"/>
      <w:divBdr>
        <w:top w:val="none" w:sz="0" w:space="0" w:color="auto"/>
        <w:left w:val="none" w:sz="0" w:space="0" w:color="auto"/>
        <w:bottom w:val="none" w:sz="0" w:space="0" w:color="auto"/>
        <w:right w:val="none" w:sz="0" w:space="0" w:color="auto"/>
      </w:divBdr>
    </w:div>
    <w:div w:id="932009882">
      <w:marLeft w:val="0"/>
      <w:marRight w:val="0"/>
      <w:marTop w:val="160"/>
      <w:marBottom w:val="160"/>
      <w:divBdr>
        <w:top w:val="none" w:sz="0" w:space="0" w:color="auto"/>
        <w:left w:val="none" w:sz="0" w:space="0" w:color="auto"/>
        <w:bottom w:val="none" w:sz="0" w:space="0" w:color="auto"/>
        <w:right w:val="none" w:sz="0" w:space="0" w:color="auto"/>
      </w:divBdr>
    </w:div>
    <w:div w:id="934560087">
      <w:marLeft w:val="0"/>
      <w:marRight w:val="0"/>
      <w:marTop w:val="160"/>
      <w:marBottom w:val="160"/>
      <w:divBdr>
        <w:top w:val="none" w:sz="0" w:space="0" w:color="auto"/>
        <w:left w:val="none" w:sz="0" w:space="0" w:color="auto"/>
        <w:bottom w:val="none" w:sz="0" w:space="0" w:color="auto"/>
        <w:right w:val="none" w:sz="0" w:space="0" w:color="auto"/>
      </w:divBdr>
    </w:div>
    <w:div w:id="935405502">
      <w:marLeft w:val="0"/>
      <w:marRight w:val="0"/>
      <w:marTop w:val="0"/>
      <w:marBottom w:val="0"/>
      <w:divBdr>
        <w:top w:val="none" w:sz="0" w:space="0" w:color="auto"/>
        <w:left w:val="none" w:sz="0" w:space="0" w:color="auto"/>
        <w:bottom w:val="none" w:sz="0" w:space="0" w:color="auto"/>
        <w:right w:val="none" w:sz="0" w:space="0" w:color="auto"/>
      </w:divBdr>
      <w:divsChild>
        <w:div w:id="832841071">
          <w:marLeft w:val="0"/>
          <w:marRight w:val="0"/>
          <w:marTop w:val="0"/>
          <w:marBottom w:val="0"/>
          <w:divBdr>
            <w:top w:val="none" w:sz="0" w:space="0" w:color="auto"/>
            <w:left w:val="none" w:sz="0" w:space="0" w:color="auto"/>
            <w:bottom w:val="none" w:sz="0" w:space="0" w:color="auto"/>
            <w:right w:val="none" w:sz="0" w:space="0" w:color="auto"/>
          </w:divBdr>
        </w:div>
      </w:divsChild>
    </w:div>
    <w:div w:id="942569267">
      <w:marLeft w:val="0"/>
      <w:marRight w:val="0"/>
      <w:marTop w:val="0"/>
      <w:marBottom w:val="0"/>
      <w:divBdr>
        <w:top w:val="none" w:sz="0" w:space="0" w:color="auto"/>
        <w:left w:val="none" w:sz="0" w:space="0" w:color="auto"/>
        <w:bottom w:val="none" w:sz="0" w:space="0" w:color="auto"/>
        <w:right w:val="none" w:sz="0" w:space="0" w:color="auto"/>
      </w:divBdr>
    </w:div>
    <w:div w:id="944535146">
      <w:marLeft w:val="0"/>
      <w:marRight w:val="0"/>
      <w:marTop w:val="160"/>
      <w:marBottom w:val="160"/>
      <w:divBdr>
        <w:top w:val="none" w:sz="0" w:space="0" w:color="auto"/>
        <w:left w:val="none" w:sz="0" w:space="0" w:color="auto"/>
        <w:bottom w:val="none" w:sz="0" w:space="0" w:color="auto"/>
        <w:right w:val="none" w:sz="0" w:space="0" w:color="auto"/>
      </w:divBdr>
    </w:div>
    <w:div w:id="949361844">
      <w:marLeft w:val="0"/>
      <w:marRight w:val="0"/>
      <w:marTop w:val="160"/>
      <w:marBottom w:val="160"/>
      <w:divBdr>
        <w:top w:val="none" w:sz="0" w:space="0" w:color="auto"/>
        <w:left w:val="none" w:sz="0" w:space="0" w:color="auto"/>
        <w:bottom w:val="none" w:sz="0" w:space="0" w:color="auto"/>
        <w:right w:val="none" w:sz="0" w:space="0" w:color="auto"/>
      </w:divBdr>
    </w:div>
    <w:div w:id="957640213">
      <w:marLeft w:val="0"/>
      <w:marRight w:val="0"/>
      <w:marTop w:val="160"/>
      <w:marBottom w:val="160"/>
      <w:divBdr>
        <w:top w:val="none" w:sz="0" w:space="0" w:color="auto"/>
        <w:left w:val="none" w:sz="0" w:space="0" w:color="auto"/>
        <w:bottom w:val="none" w:sz="0" w:space="0" w:color="auto"/>
        <w:right w:val="none" w:sz="0" w:space="0" w:color="auto"/>
      </w:divBdr>
    </w:div>
    <w:div w:id="958294104">
      <w:marLeft w:val="0"/>
      <w:marRight w:val="0"/>
      <w:marTop w:val="160"/>
      <w:marBottom w:val="160"/>
      <w:divBdr>
        <w:top w:val="none" w:sz="0" w:space="0" w:color="auto"/>
        <w:left w:val="none" w:sz="0" w:space="0" w:color="auto"/>
        <w:bottom w:val="none" w:sz="0" w:space="0" w:color="auto"/>
        <w:right w:val="none" w:sz="0" w:space="0" w:color="auto"/>
      </w:divBdr>
    </w:div>
    <w:div w:id="959989829">
      <w:marLeft w:val="0"/>
      <w:marRight w:val="0"/>
      <w:marTop w:val="160"/>
      <w:marBottom w:val="160"/>
      <w:divBdr>
        <w:top w:val="none" w:sz="0" w:space="0" w:color="auto"/>
        <w:left w:val="none" w:sz="0" w:space="0" w:color="auto"/>
        <w:bottom w:val="none" w:sz="0" w:space="0" w:color="auto"/>
        <w:right w:val="none" w:sz="0" w:space="0" w:color="auto"/>
      </w:divBdr>
    </w:div>
    <w:div w:id="960919383">
      <w:marLeft w:val="0"/>
      <w:marRight w:val="0"/>
      <w:marTop w:val="160"/>
      <w:marBottom w:val="160"/>
      <w:divBdr>
        <w:top w:val="none" w:sz="0" w:space="0" w:color="auto"/>
        <w:left w:val="none" w:sz="0" w:space="0" w:color="auto"/>
        <w:bottom w:val="none" w:sz="0" w:space="0" w:color="auto"/>
        <w:right w:val="none" w:sz="0" w:space="0" w:color="auto"/>
      </w:divBdr>
    </w:div>
    <w:div w:id="960965011">
      <w:marLeft w:val="0"/>
      <w:marRight w:val="0"/>
      <w:marTop w:val="0"/>
      <w:marBottom w:val="0"/>
      <w:divBdr>
        <w:top w:val="none" w:sz="0" w:space="0" w:color="auto"/>
        <w:left w:val="none" w:sz="0" w:space="0" w:color="auto"/>
        <w:bottom w:val="none" w:sz="0" w:space="0" w:color="auto"/>
        <w:right w:val="none" w:sz="0" w:space="0" w:color="auto"/>
      </w:divBdr>
      <w:divsChild>
        <w:div w:id="500854326">
          <w:marLeft w:val="0"/>
          <w:marRight w:val="0"/>
          <w:marTop w:val="0"/>
          <w:marBottom w:val="0"/>
          <w:divBdr>
            <w:top w:val="none" w:sz="0" w:space="0" w:color="auto"/>
            <w:left w:val="none" w:sz="0" w:space="0" w:color="auto"/>
            <w:bottom w:val="none" w:sz="0" w:space="0" w:color="auto"/>
            <w:right w:val="none" w:sz="0" w:space="0" w:color="auto"/>
          </w:divBdr>
        </w:div>
      </w:divsChild>
    </w:div>
    <w:div w:id="961348509">
      <w:marLeft w:val="0"/>
      <w:marRight w:val="0"/>
      <w:marTop w:val="160"/>
      <w:marBottom w:val="160"/>
      <w:divBdr>
        <w:top w:val="none" w:sz="0" w:space="0" w:color="auto"/>
        <w:left w:val="none" w:sz="0" w:space="0" w:color="auto"/>
        <w:bottom w:val="none" w:sz="0" w:space="0" w:color="auto"/>
        <w:right w:val="none" w:sz="0" w:space="0" w:color="auto"/>
      </w:divBdr>
    </w:div>
    <w:div w:id="970751666">
      <w:marLeft w:val="0"/>
      <w:marRight w:val="0"/>
      <w:marTop w:val="0"/>
      <w:marBottom w:val="0"/>
      <w:divBdr>
        <w:top w:val="none" w:sz="0" w:space="0" w:color="auto"/>
        <w:left w:val="none" w:sz="0" w:space="0" w:color="auto"/>
        <w:bottom w:val="none" w:sz="0" w:space="0" w:color="auto"/>
        <w:right w:val="none" w:sz="0" w:space="0" w:color="auto"/>
      </w:divBdr>
    </w:div>
    <w:div w:id="977102737">
      <w:marLeft w:val="0"/>
      <w:marRight w:val="0"/>
      <w:marTop w:val="160"/>
      <w:marBottom w:val="0"/>
      <w:divBdr>
        <w:top w:val="none" w:sz="0" w:space="0" w:color="auto"/>
        <w:left w:val="none" w:sz="0" w:space="0" w:color="auto"/>
        <w:bottom w:val="none" w:sz="0" w:space="0" w:color="auto"/>
        <w:right w:val="none" w:sz="0" w:space="0" w:color="auto"/>
      </w:divBdr>
    </w:div>
    <w:div w:id="978073788">
      <w:marLeft w:val="0"/>
      <w:marRight w:val="0"/>
      <w:marTop w:val="160"/>
      <w:marBottom w:val="160"/>
      <w:divBdr>
        <w:top w:val="none" w:sz="0" w:space="0" w:color="auto"/>
        <w:left w:val="none" w:sz="0" w:space="0" w:color="auto"/>
        <w:bottom w:val="none" w:sz="0" w:space="0" w:color="auto"/>
        <w:right w:val="none" w:sz="0" w:space="0" w:color="auto"/>
      </w:divBdr>
      <w:divsChild>
        <w:div w:id="688028592">
          <w:marLeft w:val="0"/>
          <w:marRight w:val="0"/>
          <w:marTop w:val="0"/>
          <w:marBottom w:val="0"/>
          <w:divBdr>
            <w:top w:val="none" w:sz="0" w:space="0" w:color="auto"/>
            <w:left w:val="none" w:sz="0" w:space="0" w:color="auto"/>
            <w:bottom w:val="none" w:sz="0" w:space="0" w:color="auto"/>
            <w:right w:val="none" w:sz="0" w:space="0" w:color="auto"/>
          </w:divBdr>
        </w:div>
        <w:div w:id="1118328379">
          <w:marLeft w:val="0"/>
          <w:marRight w:val="0"/>
          <w:marTop w:val="0"/>
          <w:marBottom w:val="0"/>
          <w:divBdr>
            <w:top w:val="none" w:sz="0" w:space="0" w:color="auto"/>
            <w:left w:val="none" w:sz="0" w:space="0" w:color="auto"/>
            <w:bottom w:val="none" w:sz="0" w:space="0" w:color="auto"/>
            <w:right w:val="none" w:sz="0" w:space="0" w:color="auto"/>
          </w:divBdr>
        </w:div>
        <w:div w:id="923800614">
          <w:marLeft w:val="0"/>
          <w:marRight w:val="0"/>
          <w:marTop w:val="0"/>
          <w:marBottom w:val="0"/>
          <w:divBdr>
            <w:top w:val="none" w:sz="0" w:space="0" w:color="auto"/>
            <w:left w:val="none" w:sz="0" w:space="0" w:color="auto"/>
            <w:bottom w:val="none" w:sz="0" w:space="0" w:color="auto"/>
            <w:right w:val="none" w:sz="0" w:space="0" w:color="auto"/>
          </w:divBdr>
        </w:div>
        <w:div w:id="5523542">
          <w:marLeft w:val="0"/>
          <w:marRight w:val="0"/>
          <w:marTop w:val="0"/>
          <w:marBottom w:val="0"/>
          <w:divBdr>
            <w:top w:val="none" w:sz="0" w:space="0" w:color="auto"/>
            <w:left w:val="none" w:sz="0" w:space="0" w:color="auto"/>
            <w:bottom w:val="none" w:sz="0" w:space="0" w:color="auto"/>
            <w:right w:val="none" w:sz="0" w:space="0" w:color="auto"/>
          </w:divBdr>
        </w:div>
        <w:div w:id="416948332">
          <w:marLeft w:val="0"/>
          <w:marRight w:val="0"/>
          <w:marTop w:val="0"/>
          <w:marBottom w:val="0"/>
          <w:divBdr>
            <w:top w:val="none" w:sz="0" w:space="0" w:color="auto"/>
            <w:left w:val="none" w:sz="0" w:space="0" w:color="auto"/>
            <w:bottom w:val="none" w:sz="0" w:space="0" w:color="auto"/>
            <w:right w:val="none" w:sz="0" w:space="0" w:color="auto"/>
          </w:divBdr>
        </w:div>
        <w:div w:id="1401098220">
          <w:marLeft w:val="0"/>
          <w:marRight w:val="0"/>
          <w:marTop w:val="0"/>
          <w:marBottom w:val="0"/>
          <w:divBdr>
            <w:top w:val="none" w:sz="0" w:space="0" w:color="auto"/>
            <w:left w:val="none" w:sz="0" w:space="0" w:color="auto"/>
            <w:bottom w:val="none" w:sz="0" w:space="0" w:color="auto"/>
            <w:right w:val="none" w:sz="0" w:space="0" w:color="auto"/>
          </w:divBdr>
        </w:div>
        <w:div w:id="1839348242">
          <w:marLeft w:val="0"/>
          <w:marRight w:val="0"/>
          <w:marTop w:val="0"/>
          <w:marBottom w:val="0"/>
          <w:divBdr>
            <w:top w:val="none" w:sz="0" w:space="0" w:color="auto"/>
            <w:left w:val="none" w:sz="0" w:space="0" w:color="auto"/>
            <w:bottom w:val="none" w:sz="0" w:space="0" w:color="auto"/>
            <w:right w:val="none" w:sz="0" w:space="0" w:color="auto"/>
          </w:divBdr>
        </w:div>
        <w:div w:id="1603760255">
          <w:marLeft w:val="0"/>
          <w:marRight w:val="0"/>
          <w:marTop w:val="0"/>
          <w:marBottom w:val="0"/>
          <w:divBdr>
            <w:top w:val="none" w:sz="0" w:space="0" w:color="auto"/>
            <w:left w:val="none" w:sz="0" w:space="0" w:color="auto"/>
            <w:bottom w:val="none" w:sz="0" w:space="0" w:color="auto"/>
            <w:right w:val="none" w:sz="0" w:space="0" w:color="auto"/>
          </w:divBdr>
        </w:div>
        <w:div w:id="1802183924">
          <w:marLeft w:val="0"/>
          <w:marRight w:val="0"/>
          <w:marTop w:val="0"/>
          <w:marBottom w:val="0"/>
          <w:divBdr>
            <w:top w:val="none" w:sz="0" w:space="0" w:color="auto"/>
            <w:left w:val="none" w:sz="0" w:space="0" w:color="auto"/>
            <w:bottom w:val="none" w:sz="0" w:space="0" w:color="auto"/>
            <w:right w:val="none" w:sz="0" w:space="0" w:color="auto"/>
          </w:divBdr>
        </w:div>
        <w:div w:id="896817444">
          <w:marLeft w:val="0"/>
          <w:marRight w:val="0"/>
          <w:marTop w:val="0"/>
          <w:marBottom w:val="0"/>
          <w:divBdr>
            <w:top w:val="none" w:sz="0" w:space="0" w:color="auto"/>
            <w:left w:val="none" w:sz="0" w:space="0" w:color="auto"/>
            <w:bottom w:val="none" w:sz="0" w:space="0" w:color="auto"/>
            <w:right w:val="none" w:sz="0" w:space="0" w:color="auto"/>
          </w:divBdr>
        </w:div>
        <w:div w:id="1578859160">
          <w:marLeft w:val="0"/>
          <w:marRight w:val="0"/>
          <w:marTop w:val="0"/>
          <w:marBottom w:val="0"/>
          <w:divBdr>
            <w:top w:val="none" w:sz="0" w:space="0" w:color="auto"/>
            <w:left w:val="none" w:sz="0" w:space="0" w:color="auto"/>
            <w:bottom w:val="none" w:sz="0" w:space="0" w:color="auto"/>
            <w:right w:val="none" w:sz="0" w:space="0" w:color="auto"/>
          </w:divBdr>
        </w:div>
        <w:div w:id="856312703">
          <w:marLeft w:val="0"/>
          <w:marRight w:val="0"/>
          <w:marTop w:val="0"/>
          <w:marBottom w:val="0"/>
          <w:divBdr>
            <w:top w:val="none" w:sz="0" w:space="0" w:color="auto"/>
            <w:left w:val="none" w:sz="0" w:space="0" w:color="auto"/>
            <w:bottom w:val="none" w:sz="0" w:space="0" w:color="auto"/>
            <w:right w:val="none" w:sz="0" w:space="0" w:color="auto"/>
          </w:divBdr>
        </w:div>
        <w:div w:id="1596094329">
          <w:marLeft w:val="0"/>
          <w:marRight w:val="0"/>
          <w:marTop w:val="0"/>
          <w:marBottom w:val="0"/>
          <w:divBdr>
            <w:top w:val="none" w:sz="0" w:space="0" w:color="auto"/>
            <w:left w:val="none" w:sz="0" w:space="0" w:color="auto"/>
            <w:bottom w:val="none" w:sz="0" w:space="0" w:color="auto"/>
            <w:right w:val="none" w:sz="0" w:space="0" w:color="auto"/>
          </w:divBdr>
        </w:div>
        <w:div w:id="2038195460">
          <w:marLeft w:val="0"/>
          <w:marRight w:val="0"/>
          <w:marTop w:val="0"/>
          <w:marBottom w:val="0"/>
          <w:divBdr>
            <w:top w:val="none" w:sz="0" w:space="0" w:color="auto"/>
            <w:left w:val="none" w:sz="0" w:space="0" w:color="auto"/>
            <w:bottom w:val="none" w:sz="0" w:space="0" w:color="auto"/>
            <w:right w:val="none" w:sz="0" w:space="0" w:color="auto"/>
          </w:divBdr>
        </w:div>
        <w:div w:id="2144304018">
          <w:marLeft w:val="0"/>
          <w:marRight w:val="0"/>
          <w:marTop w:val="0"/>
          <w:marBottom w:val="0"/>
          <w:divBdr>
            <w:top w:val="none" w:sz="0" w:space="0" w:color="auto"/>
            <w:left w:val="none" w:sz="0" w:space="0" w:color="auto"/>
            <w:bottom w:val="none" w:sz="0" w:space="0" w:color="auto"/>
            <w:right w:val="none" w:sz="0" w:space="0" w:color="auto"/>
          </w:divBdr>
        </w:div>
        <w:div w:id="868681087">
          <w:marLeft w:val="0"/>
          <w:marRight w:val="0"/>
          <w:marTop w:val="0"/>
          <w:marBottom w:val="0"/>
          <w:divBdr>
            <w:top w:val="none" w:sz="0" w:space="0" w:color="auto"/>
            <w:left w:val="none" w:sz="0" w:space="0" w:color="auto"/>
            <w:bottom w:val="none" w:sz="0" w:space="0" w:color="auto"/>
            <w:right w:val="none" w:sz="0" w:space="0" w:color="auto"/>
          </w:divBdr>
        </w:div>
        <w:div w:id="1774128869">
          <w:marLeft w:val="0"/>
          <w:marRight w:val="0"/>
          <w:marTop w:val="0"/>
          <w:marBottom w:val="0"/>
          <w:divBdr>
            <w:top w:val="none" w:sz="0" w:space="0" w:color="auto"/>
            <w:left w:val="none" w:sz="0" w:space="0" w:color="auto"/>
            <w:bottom w:val="none" w:sz="0" w:space="0" w:color="auto"/>
            <w:right w:val="none" w:sz="0" w:space="0" w:color="auto"/>
          </w:divBdr>
        </w:div>
        <w:div w:id="1984389446">
          <w:marLeft w:val="0"/>
          <w:marRight w:val="0"/>
          <w:marTop w:val="0"/>
          <w:marBottom w:val="0"/>
          <w:divBdr>
            <w:top w:val="none" w:sz="0" w:space="0" w:color="auto"/>
            <w:left w:val="none" w:sz="0" w:space="0" w:color="auto"/>
            <w:bottom w:val="none" w:sz="0" w:space="0" w:color="auto"/>
            <w:right w:val="none" w:sz="0" w:space="0" w:color="auto"/>
          </w:divBdr>
        </w:div>
        <w:div w:id="1841308035">
          <w:marLeft w:val="0"/>
          <w:marRight w:val="0"/>
          <w:marTop w:val="0"/>
          <w:marBottom w:val="0"/>
          <w:divBdr>
            <w:top w:val="none" w:sz="0" w:space="0" w:color="auto"/>
            <w:left w:val="none" w:sz="0" w:space="0" w:color="auto"/>
            <w:bottom w:val="none" w:sz="0" w:space="0" w:color="auto"/>
            <w:right w:val="none" w:sz="0" w:space="0" w:color="auto"/>
          </w:divBdr>
        </w:div>
        <w:div w:id="1106853382">
          <w:marLeft w:val="0"/>
          <w:marRight w:val="0"/>
          <w:marTop w:val="0"/>
          <w:marBottom w:val="0"/>
          <w:divBdr>
            <w:top w:val="none" w:sz="0" w:space="0" w:color="auto"/>
            <w:left w:val="none" w:sz="0" w:space="0" w:color="auto"/>
            <w:bottom w:val="none" w:sz="0" w:space="0" w:color="auto"/>
            <w:right w:val="none" w:sz="0" w:space="0" w:color="auto"/>
          </w:divBdr>
        </w:div>
        <w:div w:id="222446776">
          <w:marLeft w:val="0"/>
          <w:marRight w:val="0"/>
          <w:marTop w:val="0"/>
          <w:marBottom w:val="0"/>
          <w:divBdr>
            <w:top w:val="none" w:sz="0" w:space="0" w:color="auto"/>
            <w:left w:val="none" w:sz="0" w:space="0" w:color="auto"/>
            <w:bottom w:val="none" w:sz="0" w:space="0" w:color="auto"/>
            <w:right w:val="none" w:sz="0" w:space="0" w:color="auto"/>
          </w:divBdr>
        </w:div>
        <w:div w:id="1694501124">
          <w:marLeft w:val="0"/>
          <w:marRight w:val="0"/>
          <w:marTop w:val="0"/>
          <w:marBottom w:val="0"/>
          <w:divBdr>
            <w:top w:val="none" w:sz="0" w:space="0" w:color="auto"/>
            <w:left w:val="none" w:sz="0" w:space="0" w:color="auto"/>
            <w:bottom w:val="none" w:sz="0" w:space="0" w:color="auto"/>
            <w:right w:val="none" w:sz="0" w:space="0" w:color="auto"/>
          </w:divBdr>
        </w:div>
        <w:div w:id="1847819138">
          <w:marLeft w:val="0"/>
          <w:marRight w:val="0"/>
          <w:marTop w:val="0"/>
          <w:marBottom w:val="0"/>
          <w:divBdr>
            <w:top w:val="none" w:sz="0" w:space="0" w:color="auto"/>
            <w:left w:val="none" w:sz="0" w:space="0" w:color="auto"/>
            <w:bottom w:val="none" w:sz="0" w:space="0" w:color="auto"/>
            <w:right w:val="none" w:sz="0" w:space="0" w:color="auto"/>
          </w:divBdr>
        </w:div>
        <w:div w:id="1188759925">
          <w:marLeft w:val="0"/>
          <w:marRight w:val="0"/>
          <w:marTop w:val="0"/>
          <w:marBottom w:val="0"/>
          <w:divBdr>
            <w:top w:val="none" w:sz="0" w:space="0" w:color="auto"/>
            <w:left w:val="none" w:sz="0" w:space="0" w:color="auto"/>
            <w:bottom w:val="none" w:sz="0" w:space="0" w:color="auto"/>
            <w:right w:val="none" w:sz="0" w:space="0" w:color="auto"/>
          </w:divBdr>
        </w:div>
        <w:div w:id="1563176061">
          <w:marLeft w:val="0"/>
          <w:marRight w:val="0"/>
          <w:marTop w:val="0"/>
          <w:marBottom w:val="0"/>
          <w:divBdr>
            <w:top w:val="none" w:sz="0" w:space="0" w:color="auto"/>
            <w:left w:val="none" w:sz="0" w:space="0" w:color="auto"/>
            <w:bottom w:val="none" w:sz="0" w:space="0" w:color="auto"/>
            <w:right w:val="none" w:sz="0" w:space="0" w:color="auto"/>
          </w:divBdr>
        </w:div>
        <w:div w:id="1131360972">
          <w:marLeft w:val="0"/>
          <w:marRight w:val="0"/>
          <w:marTop w:val="0"/>
          <w:marBottom w:val="0"/>
          <w:divBdr>
            <w:top w:val="none" w:sz="0" w:space="0" w:color="auto"/>
            <w:left w:val="none" w:sz="0" w:space="0" w:color="auto"/>
            <w:bottom w:val="none" w:sz="0" w:space="0" w:color="auto"/>
            <w:right w:val="none" w:sz="0" w:space="0" w:color="auto"/>
          </w:divBdr>
        </w:div>
        <w:div w:id="1155413407">
          <w:marLeft w:val="0"/>
          <w:marRight w:val="0"/>
          <w:marTop w:val="0"/>
          <w:marBottom w:val="0"/>
          <w:divBdr>
            <w:top w:val="none" w:sz="0" w:space="0" w:color="auto"/>
            <w:left w:val="none" w:sz="0" w:space="0" w:color="auto"/>
            <w:bottom w:val="none" w:sz="0" w:space="0" w:color="auto"/>
            <w:right w:val="none" w:sz="0" w:space="0" w:color="auto"/>
          </w:divBdr>
        </w:div>
        <w:div w:id="832842519">
          <w:marLeft w:val="0"/>
          <w:marRight w:val="0"/>
          <w:marTop w:val="0"/>
          <w:marBottom w:val="0"/>
          <w:divBdr>
            <w:top w:val="none" w:sz="0" w:space="0" w:color="auto"/>
            <w:left w:val="none" w:sz="0" w:space="0" w:color="auto"/>
            <w:bottom w:val="none" w:sz="0" w:space="0" w:color="auto"/>
            <w:right w:val="none" w:sz="0" w:space="0" w:color="auto"/>
          </w:divBdr>
        </w:div>
        <w:div w:id="479076650">
          <w:marLeft w:val="0"/>
          <w:marRight w:val="0"/>
          <w:marTop w:val="0"/>
          <w:marBottom w:val="0"/>
          <w:divBdr>
            <w:top w:val="none" w:sz="0" w:space="0" w:color="auto"/>
            <w:left w:val="none" w:sz="0" w:space="0" w:color="auto"/>
            <w:bottom w:val="none" w:sz="0" w:space="0" w:color="auto"/>
            <w:right w:val="none" w:sz="0" w:space="0" w:color="auto"/>
          </w:divBdr>
        </w:div>
      </w:divsChild>
    </w:div>
    <w:div w:id="987634752">
      <w:marLeft w:val="0"/>
      <w:marRight w:val="0"/>
      <w:marTop w:val="160"/>
      <w:marBottom w:val="160"/>
      <w:divBdr>
        <w:top w:val="none" w:sz="0" w:space="0" w:color="auto"/>
        <w:left w:val="none" w:sz="0" w:space="0" w:color="auto"/>
        <w:bottom w:val="none" w:sz="0" w:space="0" w:color="auto"/>
        <w:right w:val="none" w:sz="0" w:space="0" w:color="auto"/>
      </w:divBdr>
    </w:div>
    <w:div w:id="993097939">
      <w:marLeft w:val="0"/>
      <w:marRight w:val="0"/>
      <w:marTop w:val="160"/>
      <w:marBottom w:val="160"/>
      <w:divBdr>
        <w:top w:val="none" w:sz="0" w:space="0" w:color="auto"/>
        <w:left w:val="none" w:sz="0" w:space="0" w:color="auto"/>
        <w:bottom w:val="none" w:sz="0" w:space="0" w:color="auto"/>
        <w:right w:val="none" w:sz="0" w:space="0" w:color="auto"/>
      </w:divBdr>
    </w:div>
    <w:div w:id="1000693347">
      <w:marLeft w:val="0"/>
      <w:marRight w:val="0"/>
      <w:marTop w:val="0"/>
      <w:marBottom w:val="0"/>
      <w:divBdr>
        <w:top w:val="none" w:sz="0" w:space="0" w:color="auto"/>
        <w:left w:val="none" w:sz="0" w:space="0" w:color="auto"/>
        <w:bottom w:val="none" w:sz="0" w:space="0" w:color="auto"/>
        <w:right w:val="none" w:sz="0" w:space="0" w:color="auto"/>
      </w:divBdr>
    </w:div>
    <w:div w:id="1006056830">
      <w:marLeft w:val="0"/>
      <w:marRight w:val="0"/>
      <w:marTop w:val="180"/>
      <w:marBottom w:val="0"/>
      <w:divBdr>
        <w:top w:val="none" w:sz="0" w:space="0" w:color="auto"/>
        <w:left w:val="none" w:sz="0" w:space="0" w:color="auto"/>
        <w:bottom w:val="none" w:sz="0" w:space="0" w:color="auto"/>
        <w:right w:val="none" w:sz="0" w:space="0" w:color="auto"/>
      </w:divBdr>
    </w:div>
    <w:div w:id="1007637440">
      <w:marLeft w:val="0"/>
      <w:marRight w:val="0"/>
      <w:marTop w:val="160"/>
      <w:marBottom w:val="160"/>
      <w:divBdr>
        <w:top w:val="none" w:sz="0" w:space="0" w:color="auto"/>
        <w:left w:val="none" w:sz="0" w:space="0" w:color="auto"/>
        <w:bottom w:val="none" w:sz="0" w:space="0" w:color="auto"/>
        <w:right w:val="none" w:sz="0" w:space="0" w:color="auto"/>
      </w:divBdr>
    </w:div>
    <w:div w:id="1013070668">
      <w:marLeft w:val="0"/>
      <w:marRight w:val="0"/>
      <w:marTop w:val="160"/>
      <w:marBottom w:val="160"/>
      <w:divBdr>
        <w:top w:val="none" w:sz="0" w:space="0" w:color="auto"/>
        <w:left w:val="none" w:sz="0" w:space="0" w:color="auto"/>
        <w:bottom w:val="none" w:sz="0" w:space="0" w:color="auto"/>
        <w:right w:val="none" w:sz="0" w:space="0" w:color="auto"/>
      </w:divBdr>
    </w:div>
    <w:div w:id="1013919544">
      <w:marLeft w:val="0"/>
      <w:marRight w:val="0"/>
      <w:marTop w:val="160"/>
      <w:marBottom w:val="160"/>
      <w:divBdr>
        <w:top w:val="none" w:sz="0" w:space="0" w:color="auto"/>
        <w:left w:val="none" w:sz="0" w:space="0" w:color="auto"/>
        <w:bottom w:val="none" w:sz="0" w:space="0" w:color="auto"/>
        <w:right w:val="none" w:sz="0" w:space="0" w:color="auto"/>
      </w:divBdr>
    </w:div>
    <w:div w:id="1025862101">
      <w:marLeft w:val="0"/>
      <w:marRight w:val="0"/>
      <w:marTop w:val="160"/>
      <w:marBottom w:val="160"/>
      <w:divBdr>
        <w:top w:val="none" w:sz="0" w:space="0" w:color="auto"/>
        <w:left w:val="none" w:sz="0" w:space="0" w:color="auto"/>
        <w:bottom w:val="none" w:sz="0" w:space="0" w:color="auto"/>
        <w:right w:val="none" w:sz="0" w:space="0" w:color="auto"/>
      </w:divBdr>
    </w:div>
    <w:div w:id="1032650824">
      <w:marLeft w:val="0"/>
      <w:marRight w:val="0"/>
      <w:marTop w:val="0"/>
      <w:marBottom w:val="0"/>
      <w:divBdr>
        <w:top w:val="none" w:sz="0" w:space="0" w:color="auto"/>
        <w:left w:val="none" w:sz="0" w:space="0" w:color="auto"/>
        <w:bottom w:val="none" w:sz="0" w:space="0" w:color="auto"/>
        <w:right w:val="none" w:sz="0" w:space="0" w:color="auto"/>
      </w:divBdr>
    </w:div>
    <w:div w:id="1032725721">
      <w:marLeft w:val="0"/>
      <w:marRight w:val="0"/>
      <w:marTop w:val="160"/>
      <w:marBottom w:val="160"/>
      <w:divBdr>
        <w:top w:val="none" w:sz="0" w:space="0" w:color="auto"/>
        <w:left w:val="none" w:sz="0" w:space="0" w:color="auto"/>
        <w:bottom w:val="none" w:sz="0" w:space="0" w:color="auto"/>
        <w:right w:val="none" w:sz="0" w:space="0" w:color="auto"/>
      </w:divBdr>
    </w:div>
    <w:div w:id="1037925434">
      <w:marLeft w:val="0"/>
      <w:marRight w:val="0"/>
      <w:marTop w:val="160"/>
      <w:marBottom w:val="160"/>
      <w:divBdr>
        <w:top w:val="none" w:sz="0" w:space="0" w:color="auto"/>
        <w:left w:val="none" w:sz="0" w:space="0" w:color="auto"/>
        <w:bottom w:val="none" w:sz="0" w:space="0" w:color="auto"/>
        <w:right w:val="none" w:sz="0" w:space="0" w:color="auto"/>
      </w:divBdr>
    </w:div>
    <w:div w:id="1040323742">
      <w:marLeft w:val="0"/>
      <w:marRight w:val="0"/>
      <w:marTop w:val="160"/>
      <w:marBottom w:val="160"/>
      <w:divBdr>
        <w:top w:val="none" w:sz="0" w:space="0" w:color="auto"/>
        <w:left w:val="none" w:sz="0" w:space="0" w:color="auto"/>
        <w:bottom w:val="none" w:sz="0" w:space="0" w:color="auto"/>
        <w:right w:val="none" w:sz="0" w:space="0" w:color="auto"/>
      </w:divBdr>
    </w:div>
    <w:div w:id="1041320256">
      <w:marLeft w:val="0"/>
      <w:marRight w:val="0"/>
      <w:marTop w:val="160"/>
      <w:marBottom w:val="160"/>
      <w:divBdr>
        <w:top w:val="none" w:sz="0" w:space="0" w:color="auto"/>
        <w:left w:val="none" w:sz="0" w:space="0" w:color="auto"/>
        <w:bottom w:val="none" w:sz="0" w:space="0" w:color="auto"/>
        <w:right w:val="none" w:sz="0" w:space="0" w:color="auto"/>
      </w:divBdr>
    </w:div>
    <w:div w:id="1044598823">
      <w:marLeft w:val="0"/>
      <w:marRight w:val="0"/>
      <w:marTop w:val="160"/>
      <w:marBottom w:val="160"/>
      <w:divBdr>
        <w:top w:val="none" w:sz="0" w:space="0" w:color="auto"/>
        <w:left w:val="none" w:sz="0" w:space="0" w:color="auto"/>
        <w:bottom w:val="none" w:sz="0" w:space="0" w:color="auto"/>
        <w:right w:val="none" w:sz="0" w:space="0" w:color="auto"/>
      </w:divBdr>
    </w:div>
    <w:div w:id="1047267238">
      <w:marLeft w:val="0"/>
      <w:marRight w:val="0"/>
      <w:marTop w:val="160"/>
      <w:marBottom w:val="160"/>
      <w:divBdr>
        <w:top w:val="none" w:sz="0" w:space="0" w:color="auto"/>
        <w:left w:val="none" w:sz="0" w:space="0" w:color="auto"/>
        <w:bottom w:val="none" w:sz="0" w:space="0" w:color="auto"/>
        <w:right w:val="none" w:sz="0" w:space="0" w:color="auto"/>
      </w:divBdr>
    </w:div>
    <w:div w:id="1055353328">
      <w:marLeft w:val="0"/>
      <w:marRight w:val="0"/>
      <w:marTop w:val="160"/>
      <w:marBottom w:val="160"/>
      <w:divBdr>
        <w:top w:val="none" w:sz="0" w:space="0" w:color="auto"/>
        <w:left w:val="none" w:sz="0" w:space="0" w:color="auto"/>
        <w:bottom w:val="none" w:sz="0" w:space="0" w:color="auto"/>
        <w:right w:val="none" w:sz="0" w:space="0" w:color="auto"/>
      </w:divBdr>
    </w:div>
    <w:div w:id="1069693174">
      <w:marLeft w:val="0"/>
      <w:marRight w:val="0"/>
      <w:marTop w:val="160"/>
      <w:marBottom w:val="160"/>
      <w:divBdr>
        <w:top w:val="none" w:sz="0" w:space="0" w:color="auto"/>
        <w:left w:val="none" w:sz="0" w:space="0" w:color="auto"/>
        <w:bottom w:val="none" w:sz="0" w:space="0" w:color="auto"/>
        <w:right w:val="none" w:sz="0" w:space="0" w:color="auto"/>
      </w:divBdr>
    </w:div>
    <w:div w:id="1080129546">
      <w:marLeft w:val="0"/>
      <w:marRight w:val="0"/>
      <w:marTop w:val="160"/>
      <w:marBottom w:val="160"/>
      <w:divBdr>
        <w:top w:val="none" w:sz="0" w:space="0" w:color="auto"/>
        <w:left w:val="none" w:sz="0" w:space="0" w:color="auto"/>
        <w:bottom w:val="none" w:sz="0" w:space="0" w:color="auto"/>
        <w:right w:val="none" w:sz="0" w:space="0" w:color="auto"/>
      </w:divBdr>
    </w:div>
    <w:div w:id="1084456953">
      <w:marLeft w:val="0"/>
      <w:marRight w:val="0"/>
      <w:marTop w:val="0"/>
      <w:marBottom w:val="0"/>
      <w:divBdr>
        <w:top w:val="none" w:sz="0" w:space="0" w:color="auto"/>
        <w:left w:val="none" w:sz="0" w:space="0" w:color="auto"/>
        <w:bottom w:val="none" w:sz="0" w:space="0" w:color="auto"/>
        <w:right w:val="none" w:sz="0" w:space="0" w:color="auto"/>
      </w:divBdr>
      <w:divsChild>
        <w:div w:id="1082218524">
          <w:marLeft w:val="0"/>
          <w:marRight w:val="0"/>
          <w:marTop w:val="0"/>
          <w:marBottom w:val="0"/>
          <w:divBdr>
            <w:top w:val="none" w:sz="0" w:space="0" w:color="auto"/>
            <w:left w:val="none" w:sz="0" w:space="0" w:color="auto"/>
            <w:bottom w:val="none" w:sz="0" w:space="0" w:color="auto"/>
            <w:right w:val="none" w:sz="0" w:space="0" w:color="auto"/>
          </w:divBdr>
        </w:div>
      </w:divsChild>
    </w:div>
    <w:div w:id="1087311109">
      <w:marLeft w:val="0"/>
      <w:marRight w:val="0"/>
      <w:marTop w:val="0"/>
      <w:marBottom w:val="0"/>
      <w:divBdr>
        <w:top w:val="none" w:sz="0" w:space="0" w:color="auto"/>
        <w:left w:val="none" w:sz="0" w:space="0" w:color="auto"/>
        <w:bottom w:val="none" w:sz="0" w:space="0" w:color="auto"/>
        <w:right w:val="none" w:sz="0" w:space="0" w:color="auto"/>
      </w:divBdr>
      <w:divsChild>
        <w:div w:id="1060636631">
          <w:marLeft w:val="0"/>
          <w:marRight w:val="0"/>
          <w:marTop w:val="0"/>
          <w:marBottom w:val="0"/>
          <w:divBdr>
            <w:top w:val="none" w:sz="0" w:space="0" w:color="auto"/>
            <w:left w:val="none" w:sz="0" w:space="0" w:color="auto"/>
            <w:bottom w:val="none" w:sz="0" w:space="0" w:color="auto"/>
            <w:right w:val="none" w:sz="0" w:space="0" w:color="auto"/>
          </w:divBdr>
        </w:div>
      </w:divsChild>
    </w:div>
    <w:div w:id="1095713113">
      <w:marLeft w:val="0"/>
      <w:marRight w:val="0"/>
      <w:marTop w:val="160"/>
      <w:marBottom w:val="160"/>
      <w:divBdr>
        <w:top w:val="none" w:sz="0" w:space="0" w:color="auto"/>
        <w:left w:val="none" w:sz="0" w:space="0" w:color="auto"/>
        <w:bottom w:val="none" w:sz="0" w:space="0" w:color="auto"/>
        <w:right w:val="none" w:sz="0" w:space="0" w:color="auto"/>
      </w:divBdr>
    </w:div>
    <w:div w:id="1098285041">
      <w:marLeft w:val="0"/>
      <w:marRight w:val="0"/>
      <w:marTop w:val="160"/>
      <w:marBottom w:val="160"/>
      <w:divBdr>
        <w:top w:val="none" w:sz="0" w:space="0" w:color="auto"/>
        <w:left w:val="none" w:sz="0" w:space="0" w:color="auto"/>
        <w:bottom w:val="none" w:sz="0" w:space="0" w:color="auto"/>
        <w:right w:val="none" w:sz="0" w:space="0" w:color="auto"/>
      </w:divBdr>
    </w:div>
    <w:div w:id="1100106476">
      <w:marLeft w:val="0"/>
      <w:marRight w:val="0"/>
      <w:marTop w:val="160"/>
      <w:marBottom w:val="160"/>
      <w:divBdr>
        <w:top w:val="none" w:sz="0" w:space="0" w:color="auto"/>
        <w:left w:val="none" w:sz="0" w:space="0" w:color="auto"/>
        <w:bottom w:val="none" w:sz="0" w:space="0" w:color="auto"/>
        <w:right w:val="none" w:sz="0" w:space="0" w:color="auto"/>
      </w:divBdr>
    </w:div>
    <w:div w:id="1110777355">
      <w:marLeft w:val="0"/>
      <w:marRight w:val="0"/>
      <w:marTop w:val="160"/>
      <w:marBottom w:val="160"/>
      <w:divBdr>
        <w:top w:val="none" w:sz="0" w:space="0" w:color="auto"/>
        <w:left w:val="none" w:sz="0" w:space="0" w:color="auto"/>
        <w:bottom w:val="none" w:sz="0" w:space="0" w:color="auto"/>
        <w:right w:val="none" w:sz="0" w:space="0" w:color="auto"/>
      </w:divBdr>
    </w:div>
    <w:div w:id="1111626987">
      <w:marLeft w:val="0"/>
      <w:marRight w:val="0"/>
      <w:marTop w:val="0"/>
      <w:marBottom w:val="0"/>
      <w:divBdr>
        <w:top w:val="none" w:sz="0" w:space="0" w:color="auto"/>
        <w:left w:val="none" w:sz="0" w:space="0" w:color="auto"/>
        <w:bottom w:val="none" w:sz="0" w:space="0" w:color="auto"/>
        <w:right w:val="none" w:sz="0" w:space="0" w:color="auto"/>
      </w:divBdr>
    </w:div>
    <w:div w:id="1112166718">
      <w:marLeft w:val="0"/>
      <w:marRight w:val="0"/>
      <w:marTop w:val="100"/>
      <w:marBottom w:val="160"/>
      <w:divBdr>
        <w:top w:val="none" w:sz="0" w:space="0" w:color="auto"/>
        <w:left w:val="none" w:sz="0" w:space="0" w:color="auto"/>
        <w:bottom w:val="none" w:sz="0" w:space="0" w:color="auto"/>
        <w:right w:val="none" w:sz="0" w:space="0" w:color="auto"/>
      </w:divBdr>
    </w:div>
    <w:div w:id="1114785023">
      <w:marLeft w:val="0"/>
      <w:marRight w:val="0"/>
      <w:marTop w:val="60"/>
      <w:marBottom w:val="60"/>
      <w:divBdr>
        <w:top w:val="none" w:sz="0" w:space="0" w:color="auto"/>
        <w:left w:val="none" w:sz="0" w:space="0" w:color="auto"/>
        <w:bottom w:val="none" w:sz="0" w:space="0" w:color="auto"/>
        <w:right w:val="none" w:sz="0" w:space="0" w:color="auto"/>
      </w:divBdr>
    </w:div>
    <w:div w:id="1116096791">
      <w:marLeft w:val="0"/>
      <w:marRight w:val="0"/>
      <w:marTop w:val="160"/>
      <w:marBottom w:val="160"/>
      <w:divBdr>
        <w:top w:val="none" w:sz="0" w:space="0" w:color="auto"/>
        <w:left w:val="none" w:sz="0" w:space="0" w:color="auto"/>
        <w:bottom w:val="none" w:sz="0" w:space="0" w:color="auto"/>
        <w:right w:val="none" w:sz="0" w:space="0" w:color="auto"/>
      </w:divBdr>
    </w:div>
    <w:div w:id="1117481830">
      <w:marLeft w:val="0"/>
      <w:marRight w:val="0"/>
      <w:marTop w:val="160"/>
      <w:marBottom w:val="160"/>
      <w:divBdr>
        <w:top w:val="none" w:sz="0" w:space="0" w:color="auto"/>
        <w:left w:val="none" w:sz="0" w:space="0" w:color="auto"/>
        <w:bottom w:val="none" w:sz="0" w:space="0" w:color="auto"/>
        <w:right w:val="none" w:sz="0" w:space="0" w:color="auto"/>
      </w:divBdr>
    </w:div>
    <w:div w:id="1118988884">
      <w:marLeft w:val="0"/>
      <w:marRight w:val="0"/>
      <w:marTop w:val="160"/>
      <w:marBottom w:val="160"/>
      <w:divBdr>
        <w:top w:val="none" w:sz="0" w:space="0" w:color="auto"/>
        <w:left w:val="none" w:sz="0" w:space="0" w:color="auto"/>
        <w:bottom w:val="none" w:sz="0" w:space="0" w:color="auto"/>
        <w:right w:val="none" w:sz="0" w:space="0" w:color="auto"/>
      </w:divBdr>
    </w:div>
    <w:div w:id="1122115132">
      <w:marLeft w:val="0"/>
      <w:marRight w:val="0"/>
      <w:marTop w:val="160"/>
      <w:marBottom w:val="160"/>
      <w:divBdr>
        <w:top w:val="none" w:sz="0" w:space="0" w:color="auto"/>
        <w:left w:val="none" w:sz="0" w:space="0" w:color="auto"/>
        <w:bottom w:val="none" w:sz="0" w:space="0" w:color="auto"/>
        <w:right w:val="none" w:sz="0" w:space="0" w:color="auto"/>
      </w:divBdr>
    </w:div>
    <w:div w:id="1130712498">
      <w:marLeft w:val="0"/>
      <w:marRight w:val="0"/>
      <w:marTop w:val="160"/>
      <w:marBottom w:val="160"/>
      <w:divBdr>
        <w:top w:val="none" w:sz="0" w:space="0" w:color="auto"/>
        <w:left w:val="none" w:sz="0" w:space="0" w:color="auto"/>
        <w:bottom w:val="none" w:sz="0" w:space="0" w:color="auto"/>
        <w:right w:val="none" w:sz="0" w:space="0" w:color="auto"/>
      </w:divBdr>
    </w:div>
    <w:div w:id="1134517229">
      <w:marLeft w:val="0"/>
      <w:marRight w:val="0"/>
      <w:marTop w:val="160"/>
      <w:marBottom w:val="160"/>
      <w:divBdr>
        <w:top w:val="none" w:sz="0" w:space="0" w:color="auto"/>
        <w:left w:val="none" w:sz="0" w:space="0" w:color="auto"/>
        <w:bottom w:val="none" w:sz="0" w:space="0" w:color="auto"/>
        <w:right w:val="none" w:sz="0" w:space="0" w:color="auto"/>
      </w:divBdr>
    </w:div>
    <w:div w:id="1136216159">
      <w:marLeft w:val="0"/>
      <w:marRight w:val="0"/>
      <w:marTop w:val="160"/>
      <w:marBottom w:val="160"/>
      <w:divBdr>
        <w:top w:val="none" w:sz="0" w:space="0" w:color="auto"/>
        <w:left w:val="none" w:sz="0" w:space="0" w:color="auto"/>
        <w:bottom w:val="none" w:sz="0" w:space="0" w:color="auto"/>
        <w:right w:val="none" w:sz="0" w:space="0" w:color="auto"/>
      </w:divBdr>
    </w:div>
    <w:div w:id="1138457627">
      <w:marLeft w:val="0"/>
      <w:marRight w:val="0"/>
      <w:marTop w:val="160"/>
      <w:marBottom w:val="160"/>
      <w:divBdr>
        <w:top w:val="none" w:sz="0" w:space="0" w:color="auto"/>
        <w:left w:val="none" w:sz="0" w:space="0" w:color="auto"/>
        <w:bottom w:val="none" w:sz="0" w:space="0" w:color="auto"/>
        <w:right w:val="none" w:sz="0" w:space="0" w:color="auto"/>
      </w:divBdr>
    </w:div>
    <w:div w:id="1146825334">
      <w:marLeft w:val="0"/>
      <w:marRight w:val="0"/>
      <w:marTop w:val="60"/>
      <w:marBottom w:val="0"/>
      <w:divBdr>
        <w:top w:val="none" w:sz="0" w:space="0" w:color="auto"/>
        <w:left w:val="none" w:sz="0" w:space="0" w:color="auto"/>
        <w:bottom w:val="none" w:sz="0" w:space="0" w:color="auto"/>
        <w:right w:val="none" w:sz="0" w:space="0" w:color="auto"/>
      </w:divBdr>
    </w:div>
    <w:div w:id="1154763003">
      <w:marLeft w:val="0"/>
      <w:marRight w:val="0"/>
      <w:marTop w:val="0"/>
      <w:marBottom w:val="0"/>
      <w:divBdr>
        <w:top w:val="none" w:sz="0" w:space="0" w:color="auto"/>
        <w:left w:val="none" w:sz="0" w:space="0" w:color="auto"/>
        <w:bottom w:val="none" w:sz="0" w:space="0" w:color="auto"/>
        <w:right w:val="none" w:sz="0" w:space="0" w:color="auto"/>
      </w:divBdr>
      <w:divsChild>
        <w:div w:id="976372926">
          <w:marLeft w:val="0"/>
          <w:marRight w:val="0"/>
          <w:marTop w:val="0"/>
          <w:marBottom w:val="0"/>
          <w:divBdr>
            <w:top w:val="none" w:sz="0" w:space="0" w:color="auto"/>
            <w:left w:val="none" w:sz="0" w:space="0" w:color="auto"/>
            <w:bottom w:val="none" w:sz="0" w:space="0" w:color="auto"/>
            <w:right w:val="none" w:sz="0" w:space="0" w:color="auto"/>
          </w:divBdr>
        </w:div>
      </w:divsChild>
    </w:div>
    <w:div w:id="1155343062">
      <w:marLeft w:val="0"/>
      <w:marRight w:val="0"/>
      <w:marTop w:val="0"/>
      <w:marBottom w:val="0"/>
      <w:divBdr>
        <w:top w:val="none" w:sz="0" w:space="0" w:color="auto"/>
        <w:left w:val="none" w:sz="0" w:space="0" w:color="auto"/>
        <w:bottom w:val="none" w:sz="0" w:space="0" w:color="auto"/>
        <w:right w:val="none" w:sz="0" w:space="0" w:color="auto"/>
      </w:divBdr>
      <w:divsChild>
        <w:div w:id="1566724969">
          <w:marLeft w:val="0"/>
          <w:marRight w:val="0"/>
          <w:marTop w:val="160"/>
          <w:marBottom w:val="160"/>
          <w:divBdr>
            <w:top w:val="none" w:sz="0" w:space="0" w:color="auto"/>
            <w:left w:val="none" w:sz="0" w:space="0" w:color="auto"/>
            <w:bottom w:val="none" w:sz="0" w:space="0" w:color="auto"/>
            <w:right w:val="none" w:sz="0" w:space="0" w:color="auto"/>
          </w:divBdr>
        </w:div>
        <w:div w:id="2134052255">
          <w:marLeft w:val="0"/>
          <w:marRight w:val="0"/>
          <w:marTop w:val="160"/>
          <w:marBottom w:val="160"/>
          <w:divBdr>
            <w:top w:val="none" w:sz="0" w:space="0" w:color="auto"/>
            <w:left w:val="none" w:sz="0" w:space="0" w:color="auto"/>
            <w:bottom w:val="none" w:sz="0" w:space="0" w:color="auto"/>
            <w:right w:val="none" w:sz="0" w:space="0" w:color="auto"/>
          </w:divBdr>
        </w:div>
        <w:div w:id="648945566">
          <w:marLeft w:val="0"/>
          <w:marRight w:val="0"/>
          <w:marTop w:val="160"/>
          <w:marBottom w:val="160"/>
          <w:divBdr>
            <w:top w:val="none" w:sz="0" w:space="0" w:color="auto"/>
            <w:left w:val="none" w:sz="0" w:space="0" w:color="auto"/>
            <w:bottom w:val="none" w:sz="0" w:space="0" w:color="auto"/>
            <w:right w:val="none" w:sz="0" w:space="0" w:color="auto"/>
          </w:divBdr>
        </w:div>
        <w:div w:id="231237021">
          <w:marLeft w:val="0"/>
          <w:marRight w:val="0"/>
          <w:marTop w:val="160"/>
          <w:marBottom w:val="160"/>
          <w:divBdr>
            <w:top w:val="none" w:sz="0" w:space="0" w:color="auto"/>
            <w:left w:val="none" w:sz="0" w:space="0" w:color="auto"/>
            <w:bottom w:val="none" w:sz="0" w:space="0" w:color="auto"/>
            <w:right w:val="none" w:sz="0" w:space="0" w:color="auto"/>
          </w:divBdr>
        </w:div>
        <w:div w:id="1601834016">
          <w:marLeft w:val="0"/>
          <w:marRight w:val="0"/>
          <w:marTop w:val="160"/>
          <w:marBottom w:val="160"/>
          <w:divBdr>
            <w:top w:val="none" w:sz="0" w:space="0" w:color="auto"/>
            <w:left w:val="none" w:sz="0" w:space="0" w:color="auto"/>
            <w:bottom w:val="none" w:sz="0" w:space="0" w:color="auto"/>
            <w:right w:val="none" w:sz="0" w:space="0" w:color="auto"/>
          </w:divBdr>
        </w:div>
      </w:divsChild>
    </w:div>
    <w:div w:id="1172839396">
      <w:marLeft w:val="0"/>
      <w:marRight w:val="0"/>
      <w:marTop w:val="160"/>
      <w:marBottom w:val="160"/>
      <w:divBdr>
        <w:top w:val="none" w:sz="0" w:space="0" w:color="auto"/>
        <w:left w:val="none" w:sz="0" w:space="0" w:color="auto"/>
        <w:bottom w:val="none" w:sz="0" w:space="0" w:color="auto"/>
        <w:right w:val="none" w:sz="0" w:space="0" w:color="auto"/>
      </w:divBdr>
    </w:div>
    <w:div w:id="1178885817">
      <w:marLeft w:val="0"/>
      <w:marRight w:val="0"/>
      <w:marTop w:val="0"/>
      <w:marBottom w:val="0"/>
      <w:divBdr>
        <w:top w:val="none" w:sz="0" w:space="0" w:color="auto"/>
        <w:left w:val="none" w:sz="0" w:space="0" w:color="auto"/>
        <w:bottom w:val="none" w:sz="0" w:space="0" w:color="auto"/>
        <w:right w:val="none" w:sz="0" w:space="0" w:color="auto"/>
      </w:divBdr>
      <w:divsChild>
        <w:div w:id="1119955359">
          <w:marLeft w:val="0"/>
          <w:marRight w:val="0"/>
          <w:marTop w:val="0"/>
          <w:marBottom w:val="0"/>
          <w:divBdr>
            <w:top w:val="none" w:sz="0" w:space="0" w:color="auto"/>
            <w:left w:val="none" w:sz="0" w:space="0" w:color="auto"/>
            <w:bottom w:val="none" w:sz="0" w:space="0" w:color="auto"/>
            <w:right w:val="none" w:sz="0" w:space="0" w:color="auto"/>
          </w:divBdr>
        </w:div>
      </w:divsChild>
    </w:div>
    <w:div w:id="1181970726">
      <w:marLeft w:val="0"/>
      <w:marRight w:val="0"/>
      <w:marTop w:val="160"/>
      <w:marBottom w:val="160"/>
      <w:divBdr>
        <w:top w:val="none" w:sz="0" w:space="0" w:color="auto"/>
        <w:left w:val="none" w:sz="0" w:space="0" w:color="auto"/>
        <w:bottom w:val="none" w:sz="0" w:space="0" w:color="auto"/>
        <w:right w:val="none" w:sz="0" w:space="0" w:color="auto"/>
      </w:divBdr>
    </w:div>
    <w:div w:id="1185560264">
      <w:marLeft w:val="0"/>
      <w:marRight w:val="0"/>
      <w:marTop w:val="160"/>
      <w:marBottom w:val="160"/>
      <w:divBdr>
        <w:top w:val="none" w:sz="0" w:space="0" w:color="auto"/>
        <w:left w:val="none" w:sz="0" w:space="0" w:color="auto"/>
        <w:bottom w:val="none" w:sz="0" w:space="0" w:color="auto"/>
        <w:right w:val="none" w:sz="0" w:space="0" w:color="auto"/>
      </w:divBdr>
    </w:div>
    <w:div w:id="1194149614">
      <w:marLeft w:val="0"/>
      <w:marRight w:val="0"/>
      <w:marTop w:val="160"/>
      <w:marBottom w:val="160"/>
      <w:divBdr>
        <w:top w:val="none" w:sz="0" w:space="0" w:color="auto"/>
        <w:left w:val="none" w:sz="0" w:space="0" w:color="auto"/>
        <w:bottom w:val="none" w:sz="0" w:space="0" w:color="auto"/>
        <w:right w:val="none" w:sz="0" w:space="0" w:color="auto"/>
      </w:divBdr>
    </w:div>
    <w:div w:id="1209805881">
      <w:marLeft w:val="0"/>
      <w:marRight w:val="0"/>
      <w:marTop w:val="160"/>
      <w:marBottom w:val="160"/>
      <w:divBdr>
        <w:top w:val="none" w:sz="0" w:space="0" w:color="auto"/>
        <w:left w:val="none" w:sz="0" w:space="0" w:color="auto"/>
        <w:bottom w:val="none" w:sz="0" w:space="0" w:color="auto"/>
        <w:right w:val="none" w:sz="0" w:space="0" w:color="auto"/>
      </w:divBdr>
    </w:div>
    <w:div w:id="1210386600">
      <w:marLeft w:val="0"/>
      <w:marRight w:val="0"/>
      <w:marTop w:val="160"/>
      <w:marBottom w:val="160"/>
      <w:divBdr>
        <w:top w:val="none" w:sz="0" w:space="0" w:color="auto"/>
        <w:left w:val="none" w:sz="0" w:space="0" w:color="auto"/>
        <w:bottom w:val="none" w:sz="0" w:space="0" w:color="auto"/>
        <w:right w:val="none" w:sz="0" w:space="0" w:color="auto"/>
      </w:divBdr>
    </w:div>
    <w:div w:id="1216039953">
      <w:marLeft w:val="0"/>
      <w:marRight w:val="0"/>
      <w:marTop w:val="0"/>
      <w:marBottom w:val="0"/>
      <w:divBdr>
        <w:top w:val="none" w:sz="0" w:space="0" w:color="auto"/>
        <w:left w:val="none" w:sz="0" w:space="0" w:color="auto"/>
        <w:bottom w:val="none" w:sz="0" w:space="0" w:color="auto"/>
        <w:right w:val="none" w:sz="0" w:space="0" w:color="auto"/>
      </w:divBdr>
      <w:divsChild>
        <w:div w:id="380443004">
          <w:marLeft w:val="0"/>
          <w:marRight w:val="0"/>
          <w:marTop w:val="0"/>
          <w:marBottom w:val="0"/>
          <w:divBdr>
            <w:top w:val="none" w:sz="0" w:space="0" w:color="auto"/>
            <w:left w:val="none" w:sz="0" w:space="0" w:color="auto"/>
            <w:bottom w:val="none" w:sz="0" w:space="0" w:color="auto"/>
            <w:right w:val="none" w:sz="0" w:space="0" w:color="auto"/>
          </w:divBdr>
        </w:div>
        <w:div w:id="1049845197">
          <w:marLeft w:val="0"/>
          <w:marRight w:val="0"/>
          <w:marTop w:val="0"/>
          <w:marBottom w:val="0"/>
          <w:divBdr>
            <w:top w:val="none" w:sz="0" w:space="0" w:color="auto"/>
            <w:left w:val="none" w:sz="0" w:space="0" w:color="auto"/>
            <w:bottom w:val="none" w:sz="0" w:space="0" w:color="auto"/>
            <w:right w:val="none" w:sz="0" w:space="0" w:color="auto"/>
          </w:divBdr>
        </w:div>
        <w:div w:id="719784753">
          <w:marLeft w:val="0"/>
          <w:marRight w:val="0"/>
          <w:marTop w:val="0"/>
          <w:marBottom w:val="0"/>
          <w:divBdr>
            <w:top w:val="none" w:sz="0" w:space="0" w:color="auto"/>
            <w:left w:val="none" w:sz="0" w:space="0" w:color="auto"/>
            <w:bottom w:val="none" w:sz="0" w:space="0" w:color="auto"/>
            <w:right w:val="none" w:sz="0" w:space="0" w:color="auto"/>
          </w:divBdr>
        </w:div>
      </w:divsChild>
    </w:div>
    <w:div w:id="1220364955">
      <w:marLeft w:val="0"/>
      <w:marRight w:val="0"/>
      <w:marTop w:val="160"/>
      <w:marBottom w:val="160"/>
      <w:divBdr>
        <w:top w:val="none" w:sz="0" w:space="0" w:color="auto"/>
        <w:left w:val="none" w:sz="0" w:space="0" w:color="auto"/>
        <w:bottom w:val="none" w:sz="0" w:space="0" w:color="auto"/>
        <w:right w:val="none" w:sz="0" w:space="0" w:color="auto"/>
      </w:divBdr>
    </w:div>
    <w:div w:id="1228302102">
      <w:marLeft w:val="0"/>
      <w:marRight w:val="0"/>
      <w:marTop w:val="0"/>
      <w:marBottom w:val="0"/>
      <w:divBdr>
        <w:top w:val="none" w:sz="0" w:space="0" w:color="auto"/>
        <w:left w:val="none" w:sz="0" w:space="0" w:color="auto"/>
        <w:bottom w:val="none" w:sz="0" w:space="0" w:color="auto"/>
        <w:right w:val="none" w:sz="0" w:space="0" w:color="auto"/>
      </w:divBdr>
    </w:div>
    <w:div w:id="1238831084">
      <w:marLeft w:val="0"/>
      <w:marRight w:val="0"/>
      <w:marTop w:val="160"/>
      <w:marBottom w:val="160"/>
      <w:divBdr>
        <w:top w:val="none" w:sz="0" w:space="0" w:color="auto"/>
        <w:left w:val="none" w:sz="0" w:space="0" w:color="auto"/>
        <w:bottom w:val="none" w:sz="0" w:space="0" w:color="auto"/>
        <w:right w:val="none" w:sz="0" w:space="0" w:color="auto"/>
      </w:divBdr>
    </w:div>
    <w:div w:id="1241671680">
      <w:marLeft w:val="0"/>
      <w:marRight w:val="0"/>
      <w:marTop w:val="160"/>
      <w:marBottom w:val="160"/>
      <w:divBdr>
        <w:top w:val="none" w:sz="0" w:space="0" w:color="auto"/>
        <w:left w:val="none" w:sz="0" w:space="0" w:color="auto"/>
        <w:bottom w:val="none" w:sz="0" w:space="0" w:color="auto"/>
        <w:right w:val="none" w:sz="0" w:space="0" w:color="auto"/>
      </w:divBdr>
    </w:div>
    <w:div w:id="1246764423">
      <w:marLeft w:val="0"/>
      <w:marRight w:val="0"/>
      <w:marTop w:val="160"/>
      <w:marBottom w:val="160"/>
      <w:divBdr>
        <w:top w:val="none" w:sz="0" w:space="0" w:color="auto"/>
        <w:left w:val="none" w:sz="0" w:space="0" w:color="auto"/>
        <w:bottom w:val="none" w:sz="0" w:space="0" w:color="auto"/>
        <w:right w:val="none" w:sz="0" w:space="0" w:color="auto"/>
      </w:divBdr>
    </w:div>
    <w:div w:id="1247574578">
      <w:marLeft w:val="0"/>
      <w:marRight w:val="0"/>
      <w:marTop w:val="160"/>
      <w:marBottom w:val="160"/>
      <w:divBdr>
        <w:top w:val="none" w:sz="0" w:space="0" w:color="auto"/>
        <w:left w:val="none" w:sz="0" w:space="0" w:color="auto"/>
        <w:bottom w:val="none" w:sz="0" w:space="0" w:color="auto"/>
        <w:right w:val="none" w:sz="0" w:space="0" w:color="auto"/>
      </w:divBdr>
    </w:div>
    <w:div w:id="1258559302">
      <w:marLeft w:val="0"/>
      <w:marRight w:val="0"/>
      <w:marTop w:val="160"/>
      <w:marBottom w:val="160"/>
      <w:divBdr>
        <w:top w:val="none" w:sz="0" w:space="0" w:color="auto"/>
        <w:left w:val="none" w:sz="0" w:space="0" w:color="auto"/>
        <w:bottom w:val="none" w:sz="0" w:space="0" w:color="auto"/>
        <w:right w:val="none" w:sz="0" w:space="0" w:color="auto"/>
      </w:divBdr>
    </w:div>
    <w:div w:id="1260140742">
      <w:marLeft w:val="0"/>
      <w:marRight w:val="0"/>
      <w:marTop w:val="0"/>
      <w:marBottom w:val="0"/>
      <w:divBdr>
        <w:top w:val="none" w:sz="0" w:space="0" w:color="auto"/>
        <w:left w:val="none" w:sz="0" w:space="0" w:color="auto"/>
        <w:bottom w:val="none" w:sz="0" w:space="0" w:color="auto"/>
        <w:right w:val="none" w:sz="0" w:space="0" w:color="auto"/>
      </w:divBdr>
      <w:divsChild>
        <w:div w:id="1879276438">
          <w:marLeft w:val="0"/>
          <w:marRight w:val="0"/>
          <w:marTop w:val="0"/>
          <w:marBottom w:val="0"/>
          <w:divBdr>
            <w:top w:val="none" w:sz="0" w:space="0" w:color="auto"/>
            <w:left w:val="none" w:sz="0" w:space="0" w:color="auto"/>
            <w:bottom w:val="none" w:sz="0" w:space="0" w:color="auto"/>
            <w:right w:val="none" w:sz="0" w:space="0" w:color="auto"/>
          </w:divBdr>
        </w:div>
      </w:divsChild>
    </w:div>
    <w:div w:id="1261647945">
      <w:marLeft w:val="0"/>
      <w:marRight w:val="0"/>
      <w:marTop w:val="160"/>
      <w:marBottom w:val="160"/>
      <w:divBdr>
        <w:top w:val="none" w:sz="0" w:space="0" w:color="auto"/>
        <w:left w:val="none" w:sz="0" w:space="0" w:color="auto"/>
        <w:bottom w:val="none" w:sz="0" w:space="0" w:color="auto"/>
        <w:right w:val="none" w:sz="0" w:space="0" w:color="auto"/>
      </w:divBdr>
    </w:div>
    <w:div w:id="1262494587">
      <w:marLeft w:val="0"/>
      <w:marRight w:val="0"/>
      <w:marTop w:val="0"/>
      <w:marBottom w:val="0"/>
      <w:divBdr>
        <w:top w:val="none" w:sz="0" w:space="0" w:color="auto"/>
        <w:left w:val="none" w:sz="0" w:space="0" w:color="auto"/>
        <w:bottom w:val="none" w:sz="0" w:space="0" w:color="auto"/>
        <w:right w:val="none" w:sz="0" w:space="0" w:color="auto"/>
      </w:divBdr>
      <w:divsChild>
        <w:div w:id="942955237">
          <w:marLeft w:val="0"/>
          <w:marRight w:val="0"/>
          <w:marTop w:val="160"/>
          <w:marBottom w:val="0"/>
          <w:divBdr>
            <w:top w:val="none" w:sz="0" w:space="0" w:color="auto"/>
            <w:left w:val="none" w:sz="0" w:space="0" w:color="auto"/>
            <w:bottom w:val="none" w:sz="0" w:space="0" w:color="auto"/>
            <w:right w:val="none" w:sz="0" w:space="0" w:color="auto"/>
          </w:divBdr>
        </w:div>
        <w:div w:id="814759794">
          <w:marLeft w:val="0"/>
          <w:marRight w:val="0"/>
          <w:marTop w:val="160"/>
          <w:marBottom w:val="0"/>
          <w:divBdr>
            <w:top w:val="none" w:sz="0" w:space="0" w:color="auto"/>
            <w:left w:val="none" w:sz="0" w:space="0" w:color="auto"/>
            <w:bottom w:val="none" w:sz="0" w:space="0" w:color="auto"/>
            <w:right w:val="none" w:sz="0" w:space="0" w:color="auto"/>
          </w:divBdr>
        </w:div>
        <w:div w:id="5718369">
          <w:marLeft w:val="0"/>
          <w:marRight w:val="0"/>
          <w:marTop w:val="160"/>
          <w:marBottom w:val="160"/>
          <w:divBdr>
            <w:top w:val="none" w:sz="0" w:space="0" w:color="auto"/>
            <w:left w:val="none" w:sz="0" w:space="0" w:color="auto"/>
            <w:bottom w:val="none" w:sz="0" w:space="0" w:color="auto"/>
            <w:right w:val="none" w:sz="0" w:space="0" w:color="auto"/>
          </w:divBdr>
        </w:div>
        <w:div w:id="962543710">
          <w:marLeft w:val="0"/>
          <w:marRight w:val="0"/>
          <w:marTop w:val="160"/>
          <w:marBottom w:val="160"/>
          <w:divBdr>
            <w:top w:val="none" w:sz="0" w:space="0" w:color="auto"/>
            <w:left w:val="none" w:sz="0" w:space="0" w:color="auto"/>
            <w:bottom w:val="none" w:sz="0" w:space="0" w:color="auto"/>
            <w:right w:val="none" w:sz="0" w:space="0" w:color="auto"/>
          </w:divBdr>
        </w:div>
        <w:div w:id="1693725944">
          <w:marLeft w:val="0"/>
          <w:marRight w:val="0"/>
          <w:marTop w:val="160"/>
          <w:marBottom w:val="160"/>
          <w:divBdr>
            <w:top w:val="none" w:sz="0" w:space="0" w:color="auto"/>
            <w:left w:val="none" w:sz="0" w:space="0" w:color="auto"/>
            <w:bottom w:val="none" w:sz="0" w:space="0" w:color="auto"/>
            <w:right w:val="none" w:sz="0" w:space="0" w:color="auto"/>
          </w:divBdr>
        </w:div>
        <w:div w:id="504437770">
          <w:marLeft w:val="0"/>
          <w:marRight w:val="0"/>
          <w:marTop w:val="160"/>
          <w:marBottom w:val="160"/>
          <w:divBdr>
            <w:top w:val="none" w:sz="0" w:space="0" w:color="auto"/>
            <w:left w:val="none" w:sz="0" w:space="0" w:color="auto"/>
            <w:bottom w:val="none" w:sz="0" w:space="0" w:color="auto"/>
            <w:right w:val="none" w:sz="0" w:space="0" w:color="auto"/>
          </w:divBdr>
        </w:div>
      </w:divsChild>
    </w:div>
    <w:div w:id="1264656117">
      <w:marLeft w:val="0"/>
      <w:marRight w:val="0"/>
      <w:marTop w:val="0"/>
      <w:marBottom w:val="0"/>
      <w:divBdr>
        <w:top w:val="none" w:sz="0" w:space="0" w:color="auto"/>
        <w:left w:val="none" w:sz="0" w:space="0" w:color="auto"/>
        <w:bottom w:val="none" w:sz="0" w:space="0" w:color="auto"/>
        <w:right w:val="none" w:sz="0" w:space="0" w:color="auto"/>
      </w:divBdr>
    </w:div>
    <w:div w:id="1266696169">
      <w:marLeft w:val="0"/>
      <w:marRight w:val="0"/>
      <w:marTop w:val="160"/>
      <w:marBottom w:val="160"/>
      <w:divBdr>
        <w:top w:val="none" w:sz="0" w:space="0" w:color="auto"/>
        <w:left w:val="none" w:sz="0" w:space="0" w:color="auto"/>
        <w:bottom w:val="none" w:sz="0" w:space="0" w:color="auto"/>
        <w:right w:val="none" w:sz="0" w:space="0" w:color="auto"/>
      </w:divBdr>
    </w:div>
    <w:div w:id="1276474782">
      <w:marLeft w:val="0"/>
      <w:marRight w:val="0"/>
      <w:marTop w:val="160"/>
      <w:marBottom w:val="160"/>
      <w:divBdr>
        <w:top w:val="none" w:sz="0" w:space="0" w:color="auto"/>
        <w:left w:val="none" w:sz="0" w:space="0" w:color="auto"/>
        <w:bottom w:val="none" w:sz="0" w:space="0" w:color="auto"/>
        <w:right w:val="none" w:sz="0" w:space="0" w:color="auto"/>
      </w:divBdr>
    </w:div>
    <w:div w:id="1278099745">
      <w:marLeft w:val="0"/>
      <w:marRight w:val="0"/>
      <w:marTop w:val="160"/>
      <w:marBottom w:val="160"/>
      <w:divBdr>
        <w:top w:val="none" w:sz="0" w:space="0" w:color="auto"/>
        <w:left w:val="none" w:sz="0" w:space="0" w:color="auto"/>
        <w:bottom w:val="none" w:sz="0" w:space="0" w:color="auto"/>
        <w:right w:val="none" w:sz="0" w:space="0" w:color="auto"/>
      </w:divBdr>
    </w:div>
    <w:div w:id="1281378246">
      <w:marLeft w:val="0"/>
      <w:marRight w:val="0"/>
      <w:marTop w:val="160"/>
      <w:marBottom w:val="160"/>
      <w:divBdr>
        <w:top w:val="none" w:sz="0" w:space="0" w:color="auto"/>
        <w:left w:val="none" w:sz="0" w:space="0" w:color="auto"/>
        <w:bottom w:val="none" w:sz="0" w:space="0" w:color="auto"/>
        <w:right w:val="none" w:sz="0" w:space="0" w:color="auto"/>
      </w:divBdr>
    </w:div>
    <w:div w:id="1282152234">
      <w:marLeft w:val="0"/>
      <w:marRight w:val="0"/>
      <w:marTop w:val="160"/>
      <w:marBottom w:val="160"/>
      <w:divBdr>
        <w:top w:val="none" w:sz="0" w:space="0" w:color="auto"/>
        <w:left w:val="none" w:sz="0" w:space="0" w:color="auto"/>
        <w:bottom w:val="none" w:sz="0" w:space="0" w:color="auto"/>
        <w:right w:val="none" w:sz="0" w:space="0" w:color="auto"/>
      </w:divBdr>
    </w:div>
    <w:div w:id="1287470896">
      <w:marLeft w:val="0"/>
      <w:marRight w:val="0"/>
      <w:marTop w:val="160"/>
      <w:marBottom w:val="160"/>
      <w:divBdr>
        <w:top w:val="none" w:sz="0" w:space="0" w:color="auto"/>
        <w:left w:val="none" w:sz="0" w:space="0" w:color="auto"/>
        <w:bottom w:val="none" w:sz="0" w:space="0" w:color="auto"/>
        <w:right w:val="none" w:sz="0" w:space="0" w:color="auto"/>
      </w:divBdr>
    </w:div>
    <w:div w:id="1292008824">
      <w:marLeft w:val="0"/>
      <w:marRight w:val="0"/>
      <w:marTop w:val="0"/>
      <w:marBottom w:val="0"/>
      <w:divBdr>
        <w:top w:val="none" w:sz="0" w:space="0" w:color="auto"/>
        <w:left w:val="none" w:sz="0" w:space="0" w:color="auto"/>
        <w:bottom w:val="none" w:sz="0" w:space="0" w:color="auto"/>
        <w:right w:val="none" w:sz="0" w:space="0" w:color="auto"/>
      </w:divBdr>
    </w:div>
    <w:div w:id="1293512951">
      <w:marLeft w:val="0"/>
      <w:marRight w:val="0"/>
      <w:marTop w:val="160"/>
      <w:marBottom w:val="160"/>
      <w:divBdr>
        <w:top w:val="none" w:sz="0" w:space="0" w:color="auto"/>
        <w:left w:val="none" w:sz="0" w:space="0" w:color="auto"/>
        <w:bottom w:val="none" w:sz="0" w:space="0" w:color="auto"/>
        <w:right w:val="none" w:sz="0" w:space="0" w:color="auto"/>
      </w:divBdr>
    </w:div>
    <w:div w:id="1293943842">
      <w:marLeft w:val="0"/>
      <w:marRight w:val="0"/>
      <w:marTop w:val="160"/>
      <w:marBottom w:val="160"/>
      <w:divBdr>
        <w:top w:val="none" w:sz="0" w:space="0" w:color="auto"/>
        <w:left w:val="none" w:sz="0" w:space="0" w:color="auto"/>
        <w:bottom w:val="none" w:sz="0" w:space="0" w:color="auto"/>
        <w:right w:val="none" w:sz="0" w:space="0" w:color="auto"/>
      </w:divBdr>
    </w:div>
    <w:div w:id="1294091407">
      <w:marLeft w:val="0"/>
      <w:marRight w:val="0"/>
      <w:marTop w:val="160"/>
      <w:marBottom w:val="160"/>
      <w:divBdr>
        <w:top w:val="none" w:sz="0" w:space="0" w:color="auto"/>
        <w:left w:val="none" w:sz="0" w:space="0" w:color="auto"/>
        <w:bottom w:val="none" w:sz="0" w:space="0" w:color="auto"/>
        <w:right w:val="none" w:sz="0" w:space="0" w:color="auto"/>
      </w:divBdr>
    </w:div>
    <w:div w:id="1299605887">
      <w:marLeft w:val="0"/>
      <w:marRight w:val="0"/>
      <w:marTop w:val="160"/>
      <w:marBottom w:val="160"/>
      <w:divBdr>
        <w:top w:val="none" w:sz="0" w:space="0" w:color="auto"/>
        <w:left w:val="none" w:sz="0" w:space="0" w:color="auto"/>
        <w:bottom w:val="none" w:sz="0" w:space="0" w:color="auto"/>
        <w:right w:val="none" w:sz="0" w:space="0" w:color="auto"/>
      </w:divBdr>
    </w:div>
    <w:div w:id="1304311540">
      <w:marLeft w:val="0"/>
      <w:marRight w:val="0"/>
      <w:marTop w:val="0"/>
      <w:marBottom w:val="0"/>
      <w:divBdr>
        <w:top w:val="none" w:sz="0" w:space="0" w:color="auto"/>
        <w:left w:val="none" w:sz="0" w:space="0" w:color="auto"/>
        <w:bottom w:val="none" w:sz="0" w:space="0" w:color="auto"/>
        <w:right w:val="none" w:sz="0" w:space="0" w:color="auto"/>
      </w:divBdr>
      <w:divsChild>
        <w:div w:id="523908328">
          <w:marLeft w:val="0"/>
          <w:marRight w:val="0"/>
          <w:marTop w:val="0"/>
          <w:marBottom w:val="0"/>
          <w:divBdr>
            <w:top w:val="none" w:sz="0" w:space="0" w:color="auto"/>
            <w:left w:val="none" w:sz="0" w:space="0" w:color="auto"/>
            <w:bottom w:val="none" w:sz="0" w:space="0" w:color="auto"/>
            <w:right w:val="none" w:sz="0" w:space="0" w:color="auto"/>
          </w:divBdr>
        </w:div>
      </w:divsChild>
    </w:div>
    <w:div w:id="1318920056">
      <w:marLeft w:val="0"/>
      <w:marRight w:val="0"/>
      <w:marTop w:val="160"/>
      <w:marBottom w:val="160"/>
      <w:divBdr>
        <w:top w:val="none" w:sz="0" w:space="0" w:color="auto"/>
        <w:left w:val="none" w:sz="0" w:space="0" w:color="auto"/>
        <w:bottom w:val="none" w:sz="0" w:space="0" w:color="auto"/>
        <w:right w:val="none" w:sz="0" w:space="0" w:color="auto"/>
      </w:divBdr>
    </w:div>
    <w:div w:id="1319193682">
      <w:marLeft w:val="0"/>
      <w:marRight w:val="0"/>
      <w:marTop w:val="160"/>
      <w:marBottom w:val="160"/>
      <w:divBdr>
        <w:top w:val="none" w:sz="0" w:space="0" w:color="auto"/>
        <w:left w:val="none" w:sz="0" w:space="0" w:color="auto"/>
        <w:bottom w:val="none" w:sz="0" w:space="0" w:color="auto"/>
        <w:right w:val="none" w:sz="0" w:space="0" w:color="auto"/>
      </w:divBdr>
    </w:div>
    <w:div w:id="1320620421">
      <w:marLeft w:val="0"/>
      <w:marRight w:val="0"/>
      <w:marTop w:val="160"/>
      <w:marBottom w:val="160"/>
      <w:divBdr>
        <w:top w:val="none" w:sz="0" w:space="0" w:color="auto"/>
        <w:left w:val="none" w:sz="0" w:space="0" w:color="auto"/>
        <w:bottom w:val="none" w:sz="0" w:space="0" w:color="auto"/>
        <w:right w:val="none" w:sz="0" w:space="0" w:color="auto"/>
      </w:divBdr>
    </w:div>
    <w:div w:id="1332098970">
      <w:marLeft w:val="0"/>
      <w:marRight w:val="0"/>
      <w:marTop w:val="160"/>
      <w:marBottom w:val="160"/>
      <w:divBdr>
        <w:top w:val="none" w:sz="0" w:space="0" w:color="auto"/>
        <w:left w:val="none" w:sz="0" w:space="0" w:color="auto"/>
        <w:bottom w:val="none" w:sz="0" w:space="0" w:color="auto"/>
        <w:right w:val="none" w:sz="0" w:space="0" w:color="auto"/>
      </w:divBdr>
    </w:div>
    <w:div w:id="1334796944">
      <w:marLeft w:val="0"/>
      <w:marRight w:val="0"/>
      <w:marTop w:val="160"/>
      <w:marBottom w:val="160"/>
      <w:divBdr>
        <w:top w:val="none" w:sz="0" w:space="0" w:color="auto"/>
        <w:left w:val="none" w:sz="0" w:space="0" w:color="auto"/>
        <w:bottom w:val="none" w:sz="0" w:space="0" w:color="auto"/>
        <w:right w:val="none" w:sz="0" w:space="0" w:color="auto"/>
      </w:divBdr>
    </w:div>
    <w:div w:id="1335494677">
      <w:marLeft w:val="0"/>
      <w:marRight w:val="0"/>
      <w:marTop w:val="160"/>
      <w:marBottom w:val="160"/>
      <w:divBdr>
        <w:top w:val="none" w:sz="0" w:space="0" w:color="auto"/>
        <w:left w:val="none" w:sz="0" w:space="0" w:color="auto"/>
        <w:bottom w:val="none" w:sz="0" w:space="0" w:color="auto"/>
        <w:right w:val="none" w:sz="0" w:space="0" w:color="auto"/>
      </w:divBdr>
    </w:div>
    <w:div w:id="1345279199">
      <w:marLeft w:val="0"/>
      <w:marRight w:val="0"/>
      <w:marTop w:val="160"/>
      <w:marBottom w:val="160"/>
      <w:divBdr>
        <w:top w:val="none" w:sz="0" w:space="0" w:color="auto"/>
        <w:left w:val="none" w:sz="0" w:space="0" w:color="auto"/>
        <w:bottom w:val="none" w:sz="0" w:space="0" w:color="auto"/>
        <w:right w:val="none" w:sz="0" w:space="0" w:color="auto"/>
      </w:divBdr>
    </w:div>
    <w:div w:id="1347975342">
      <w:marLeft w:val="0"/>
      <w:marRight w:val="0"/>
      <w:marTop w:val="160"/>
      <w:marBottom w:val="160"/>
      <w:divBdr>
        <w:top w:val="none" w:sz="0" w:space="0" w:color="auto"/>
        <w:left w:val="none" w:sz="0" w:space="0" w:color="auto"/>
        <w:bottom w:val="none" w:sz="0" w:space="0" w:color="auto"/>
        <w:right w:val="none" w:sz="0" w:space="0" w:color="auto"/>
      </w:divBdr>
    </w:div>
    <w:div w:id="1356347889">
      <w:marLeft w:val="0"/>
      <w:marRight w:val="0"/>
      <w:marTop w:val="160"/>
      <w:marBottom w:val="160"/>
      <w:divBdr>
        <w:top w:val="none" w:sz="0" w:space="0" w:color="auto"/>
        <w:left w:val="none" w:sz="0" w:space="0" w:color="auto"/>
        <w:bottom w:val="none" w:sz="0" w:space="0" w:color="auto"/>
        <w:right w:val="none" w:sz="0" w:space="0" w:color="auto"/>
      </w:divBdr>
    </w:div>
    <w:div w:id="1358659113">
      <w:marLeft w:val="0"/>
      <w:marRight w:val="0"/>
      <w:marTop w:val="160"/>
      <w:marBottom w:val="160"/>
      <w:divBdr>
        <w:top w:val="none" w:sz="0" w:space="0" w:color="auto"/>
        <w:left w:val="none" w:sz="0" w:space="0" w:color="auto"/>
        <w:bottom w:val="none" w:sz="0" w:space="0" w:color="auto"/>
        <w:right w:val="none" w:sz="0" w:space="0" w:color="auto"/>
      </w:divBdr>
    </w:div>
    <w:div w:id="1367557848">
      <w:marLeft w:val="0"/>
      <w:marRight w:val="0"/>
      <w:marTop w:val="160"/>
      <w:marBottom w:val="160"/>
      <w:divBdr>
        <w:top w:val="none" w:sz="0" w:space="0" w:color="auto"/>
        <w:left w:val="none" w:sz="0" w:space="0" w:color="auto"/>
        <w:bottom w:val="none" w:sz="0" w:space="0" w:color="auto"/>
        <w:right w:val="none" w:sz="0" w:space="0" w:color="auto"/>
      </w:divBdr>
    </w:div>
    <w:div w:id="1371295409">
      <w:marLeft w:val="0"/>
      <w:marRight w:val="0"/>
      <w:marTop w:val="0"/>
      <w:marBottom w:val="0"/>
      <w:divBdr>
        <w:top w:val="none" w:sz="0" w:space="0" w:color="auto"/>
        <w:left w:val="none" w:sz="0" w:space="0" w:color="auto"/>
        <w:bottom w:val="none" w:sz="0" w:space="0" w:color="auto"/>
        <w:right w:val="none" w:sz="0" w:space="0" w:color="auto"/>
      </w:divBdr>
    </w:div>
    <w:div w:id="1379666822">
      <w:marLeft w:val="0"/>
      <w:marRight w:val="0"/>
      <w:marTop w:val="0"/>
      <w:marBottom w:val="0"/>
      <w:divBdr>
        <w:top w:val="none" w:sz="0" w:space="0" w:color="auto"/>
        <w:left w:val="none" w:sz="0" w:space="0" w:color="auto"/>
        <w:bottom w:val="none" w:sz="0" w:space="0" w:color="auto"/>
        <w:right w:val="none" w:sz="0" w:space="0" w:color="auto"/>
      </w:divBdr>
      <w:divsChild>
        <w:div w:id="78790479">
          <w:marLeft w:val="0"/>
          <w:marRight w:val="0"/>
          <w:marTop w:val="0"/>
          <w:marBottom w:val="0"/>
          <w:divBdr>
            <w:top w:val="none" w:sz="0" w:space="0" w:color="auto"/>
            <w:left w:val="none" w:sz="0" w:space="0" w:color="auto"/>
            <w:bottom w:val="none" w:sz="0" w:space="0" w:color="auto"/>
            <w:right w:val="none" w:sz="0" w:space="0" w:color="auto"/>
          </w:divBdr>
        </w:div>
      </w:divsChild>
    </w:div>
    <w:div w:id="1387293302">
      <w:marLeft w:val="0"/>
      <w:marRight w:val="0"/>
      <w:marTop w:val="60"/>
      <w:marBottom w:val="60"/>
      <w:divBdr>
        <w:top w:val="none" w:sz="0" w:space="0" w:color="auto"/>
        <w:left w:val="none" w:sz="0" w:space="0" w:color="auto"/>
        <w:bottom w:val="none" w:sz="0" w:space="0" w:color="auto"/>
        <w:right w:val="none" w:sz="0" w:space="0" w:color="auto"/>
      </w:divBdr>
    </w:div>
    <w:div w:id="1387609545">
      <w:marLeft w:val="0"/>
      <w:marRight w:val="0"/>
      <w:marTop w:val="160"/>
      <w:marBottom w:val="160"/>
      <w:divBdr>
        <w:top w:val="none" w:sz="0" w:space="0" w:color="auto"/>
        <w:left w:val="none" w:sz="0" w:space="0" w:color="auto"/>
        <w:bottom w:val="none" w:sz="0" w:space="0" w:color="auto"/>
        <w:right w:val="none" w:sz="0" w:space="0" w:color="auto"/>
      </w:divBdr>
    </w:div>
    <w:div w:id="1391997780">
      <w:marLeft w:val="0"/>
      <w:marRight w:val="0"/>
      <w:marTop w:val="0"/>
      <w:marBottom w:val="0"/>
      <w:divBdr>
        <w:top w:val="none" w:sz="0" w:space="0" w:color="auto"/>
        <w:left w:val="none" w:sz="0" w:space="0" w:color="auto"/>
        <w:bottom w:val="none" w:sz="0" w:space="0" w:color="auto"/>
        <w:right w:val="none" w:sz="0" w:space="0" w:color="auto"/>
      </w:divBdr>
    </w:div>
    <w:div w:id="1393653352">
      <w:marLeft w:val="0"/>
      <w:marRight w:val="0"/>
      <w:marTop w:val="160"/>
      <w:marBottom w:val="160"/>
      <w:divBdr>
        <w:top w:val="none" w:sz="0" w:space="0" w:color="auto"/>
        <w:left w:val="none" w:sz="0" w:space="0" w:color="auto"/>
        <w:bottom w:val="none" w:sz="0" w:space="0" w:color="auto"/>
        <w:right w:val="none" w:sz="0" w:space="0" w:color="auto"/>
      </w:divBdr>
    </w:div>
    <w:div w:id="1394542275">
      <w:marLeft w:val="0"/>
      <w:marRight w:val="0"/>
      <w:marTop w:val="160"/>
      <w:marBottom w:val="160"/>
      <w:divBdr>
        <w:top w:val="none" w:sz="0" w:space="0" w:color="auto"/>
        <w:left w:val="none" w:sz="0" w:space="0" w:color="auto"/>
        <w:bottom w:val="none" w:sz="0" w:space="0" w:color="auto"/>
        <w:right w:val="none" w:sz="0" w:space="0" w:color="auto"/>
      </w:divBdr>
    </w:div>
    <w:div w:id="1412390505">
      <w:marLeft w:val="0"/>
      <w:marRight w:val="0"/>
      <w:marTop w:val="160"/>
      <w:marBottom w:val="160"/>
      <w:divBdr>
        <w:top w:val="none" w:sz="0" w:space="0" w:color="auto"/>
        <w:left w:val="none" w:sz="0" w:space="0" w:color="auto"/>
        <w:bottom w:val="none" w:sz="0" w:space="0" w:color="auto"/>
        <w:right w:val="none" w:sz="0" w:space="0" w:color="auto"/>
      </w:divBdr>
    </w:div>
    <w:div w:id="1413313284">
      <w:marLeft w:val="0"/>
      <w:marRight w:val="0"/>
      <w:marTop w:val="160"/>
      <w:marBottom w:val="160"/>
      <w:divBdr>
        <w:top w:val="none" w:sz="0" w:space="0" w:color="auto"/>
        <w:left w:val="none" w:sz="0" w:space="0" w:color="auto"/>
        <w:bottom w:val="none" w:sz="0" w:space="0" w:color="auto"/>
        <w:right w:val="none" w:sz="0" w:space="0" w:color="auto"/>
      </w:divBdr>
    </w:div>
    <w:div w:id="1415324504">
      <w:marLeft w:val="0"/>
      <w:marRight w:val="0"/>
      <w:marTop w:val="160"/>
      <w:marBottom w:val="160"/>
      <w:divBdr>
        <w:top w:val="none" w:sz="0" w:space="0" w:color="auto"/>
        <w:left w:val="none" w:sz="0" w:space="0" w:color="auto"/>
        <w:bottom w:val="none" w:sz="0" w:space="0" w:color="auto"/>
        <w:right w:val="none" w:sz="0" w:space="0" w:color="auto"/>
      </w:divBdr>
    </w:div>
    <w:div w:id="1416902240">
      <w:marLeft w:val="0"/>
      <w:marRight w:val="0"/>
      <w:marTop w:val="0"/>
      <w:marBottom w:val="0"/>
      <w:divBdr>
        <w:top w:val="none" w:sz="0" w:space="0" w:color="auto"/>
        <w:left w:val="none" w:sz="0" w:space="0" w:color="auto"/>
        <w:bottom w:val="none" w:sz="0" w:space="0" w:color="auto"/>
        <w:right w:val="none" w:sz="0" w:space="0" w:color="auto"/>
      </w:divBdr>
      <w:divsChild>
        <w:div w:id="75784584">
          <w:marLeft w:val="0"/>
          <w:marRight w:val="0"/>
          <w:marTop w:val="160"/>
          <w:marBottom w:val="0"/>
          <w:divBdr>
            <w:top w:val="none" w:sz="0" w:space="0" w:color="auto"/>
            <w:left w:val="none" w:sz="0" w:space="0" w:color="auto"/>
            <w:bottom w:val="none" w:sz="0" w:space="0" w:color="auto"/>
            <w:right w:val="none" w:sz="0" w:space="0" w:color="auto"/>
          </w:divBdr>
        </w:div>
        <w:div w:id="964845695">
          <w:marLeft w:val="0"/>
          <w:marRight w:val="0"/>
          <w:marTop w:val="160"/>
          <w:marBottom w:val="0"/>
          <w:divBdr>
            <w:top w:val="none" w:sz="0" w:space="0" w:color="auto"/>
            <w:left w:val="none" w:sz="0" w:space="0" w:color="auto"/>
            <w:bottom w:val="none" w:sz="0" w:space="0" w:color="auto"/>
            <w:right w:val="none" w:sz="0" w:space="0" w:color="auto"/>
          </w:divBdr>
        </w:div>
        <w:div w:id="275644506">
          <w:marLeft w:val="0"/>
          <w:marRight w:val="0"/>
          <w:marTop w:val="160"/>
          <w:marBottom w:val="160"/>
          <w:divBdr>
            <w:top w:val="none" w:sz="0" w:space="0" w:color="auto"/>
            <w:left w:val="none" w:sz="0" w:space="0" w:color="auto"/>
            <w:bottom w:val="none" w:sz="0" w:space="0" w:color="auto"/>
            <w:right w:val="none" w:sz="0" w:space="0" w:color="auto"/>
          </w:divBdr>
        </w:div>
        <w:div w:id="2046249547">
          <w:marLeft w:val="0"/>
          <w:marRight w:val="0"/>
          <w:marTop w:val="160"/>
          <w:marBottom w:val="160"/>
          <w:divBdr>
            <w:top w:val="none" w:sz="0" w:space="0" w:color="auto"/>
            <w:left w:val="none" w:sz="0" w:space="0" w:color="auto"/>
            <w:bottom w:val="none" w:sz="0" w:space="0" w:color="auto"/>
            <w:right w:val="none" w:sz="0" w:space="0" w:color="auto"/>
          </w:divBdr>
        </w:div>
        <w:div w:id="832373762">
          <w:marLeft w:val="0"/>
          <w:marRight w:val="0"/>
          <w:marTop w:val="160"/>
          <w:marBottom w:val="160"/>
          <w:divBdr>
            <w:top w:val="none" w:sz="0" w:space="0" w:color="auto"/>
            <w:left w:val="none" w:sz="0" w:space="0" w:color="auto"/>
            <w:bottom w:val="none" w:sz="0" w:space="0" w:color="auto"/>
            <w:right w:val="none" w:sz="0" w:space="0" w:color="auto"/>
          </w:divBdr>
        </w:div>
      </w:divsChild>
    </w:div>
    <w:div w:id="1420902748">
      <w:marLeft w:val="0"/>
      <w:marRight w:val="0"/>
      <w:marTop w:val="160"/>
      <w:marBottom w:val="160"/>
      <w:divBdr>
        <w:top w:val="none" w:sz="0" w:space="0" w:color="auto"/>
        <w:left w:val="none" w:sz="0" w:space="0" w:color="auto"/>
        <w:bottom w:val="none" w:sz="0" w:space="0" w:color="auto"/>
        <w:right w:val="none" w:sz="0" w:space="0" w:color="auto"/>
      </w:divBdr>
    </w:div>
    <w:div w:id="1421484760">
      <w:marLeft w:val="0"/>
      <w:marRight w:val="0"/>
      <w:marTop w:val="160"/>
      <w:marBottom w:val="160"/>
      <w:divBdr>
        <w:top w:val="none" w:sz="0" w:space="0" w:color="auto"/>
        <w:left w:val="none" w:sz="0" w:space="0" w:color="auto"/>
        <w:bottom w:val="none" w:sz="0" w:space="0" w:color="auto"/>
        <w:right w:val="none" w:sz="0" w:space="0" w:color="auto"/>
      </w:divBdr>
    </w:div>
    <w:div w:id="1422919586">
      <w:marLeft w:val="0"/>
      <w:marRight w:val="0"/>
      <w:marTop w:val="160"/>
      <w:marBottom w:val="160"/>
      <w:divBdr>
        <w:top w:val="none" w:sz="0" w:space="0" w:color="auto"/>
        <w:left w:val="none" w:sz="0" w:space="0" w:color="auto"/>
        <w:bottom w:val="none" w:sz="0" w:space="0" w:color="auto"/>
        <w:right w:val="none" w:sz="0" w:space="0" w:color="auto"/>
      </w:divBdr>
    </w:div>
    <w:div w:id="1423406054">
      <w:marLeft w:val="0"/>
      <w:marRight w:val="0"/>
      <w:marTop w:val="160"/>
      <w:marBottom w:val="160"/>
      <w:divBdr>
        <w:top w:val="none" w:sz="0" w:space="0" w:color="auto"/>
        <w:left w:val="none" w:sz="0" w:space="0" w:color="auto"/>
        <w:bottom w:val="none" w:sz="0" w:space="0" w:color="auto"/>
        <w:right w:val="none" w:sz="0" w:space="0" w:color="auto"/>
      </w:divBdr>
    </w:div>
    <w:div w:id="1429498887">
      <w:marLeft w:val="0"/>
      <w:marRight w:val="0"/>
      <w:marTop w:val="0"/>
      <w:marBottom w:val="0"/>
      <w:divBdr>
        <w:top w:val="none" w:sz="0" w:space="0" w:color="auto"/>
        <w:left w:val="none" w:sz="0" w:space="0" w:color="auto"/>
        <w:bottom w:val="none" w:sz="0" w:space="0" w:color="auto"/>
        <w:right w:val="none" w:sz="0" w:space="0" w:color="auto"/>
      </w:divBdr>
      <w:divsChild>
        <w:div w:id="1285311222">
          <w:marLeft w:val="0"/>
          <w:marRight w:val="0"/>
          <w:marTop w:val="0"/>
          <w:marBottom w:val="0"/>
          <w:divBdr>
            <w:top w:val="none" w:sz="0" w:space="0" w:color="auto"/>
            <w:left w:val="none" w:sz="0" w:space="0" w:color="auto"/>
            <w:bottom w:val="none" w:sz="0" w:space="0" w:color="auto"/>
            <w:right w:val="none" w:sz="0" w:space="0" w:color="auto"/>
          </w:divBdr>
        </w:div>
      </w:divsChild>
    </w:div>
    <w:div w:id="1430153511">
      <w:marLeft w:val="0"/>
      <w:marRight w:val="0"/>
      <w:marTop w:val="60"/>
      <w:marBottom w:val="0"/>
      <w:divBdr>
        <w:top w:val="none" w:sz="0" w:space="0" w:color="auto"/>
        <w:left w:val="none" w:sz="0" w:space="0" w:color="auto"/>
        <w:bottom w:val="none" w:sz="0" w:space="0" w:color="auto"/>
        <w:right w:val="none" w:sz="0" w:space="0" w:color="auto"/>
      </w:divBdr>
    </w:div>
    <w:div w:id="1439981175">
      <w:marLeft w:val="0"/>
      <w:marRight w:val="0"/>
      <w:marTop w:val="160"/>
      <w:marBottom w:val="160"/>
      <w:divBdr>
        <w:top w:val="none" w:sz="0" w:space="0" w:color="auto"/>
        <w:left w:val="none" w:sz="0" w:space="0" w:color="auto"/>
        <w:bottom w:val="none" w:sz="0" w:space="0" w:color="auto"/>
        <w:right w:val="none" w:sz="0" w:space="0" w:color="auto"/>
      </w:divBdr>
    </w:div>
    <w:div w:id="1442455012">
      <w:marLeft w:val="0"/>
      <w:marRight w:val="0"/>
      <w:marTop w:val="160"/>
      <w:marBottom w:val="160"/>
      <w:divBdr>
        <w:top w:val="none" w:sz="0" w:space="0" w:color="auto"/>
        <w:left w:val="none" w:sz="0" w:space="0" w:color="auto"/>
        <w:bottom w:val="none" w:sz="0" w:space="0" w:color="auto"/>
        <w:right w:val="none" w:sz="0" w:space="0" w:color="auto"/>
      </w:divBdr>
    </w:div>
    <w:div w:id="1442649745">
      <w:marLeft w:val="0"/>
      <w:marRight w:val="0"/>
      <w:marTop w:val="160"/>
      <w:marBottom w:val="160"/>
      <w:divBdr>
        <w:top w:val="none" w:sz="0" w:space="0" w:color="auto"/>
        <w:left w:val="none" w:sz="0" w:space="0" w:color="auto"/>
        <w:bottom w:val="none" w:sz="0" w:space="0" w:color="auto"/>
        <w:right w:val="none" w:sz="0" w:space="0" w:color="auto"/>
      </w:divBdr>
    </w:div>
    <w:div w:id="1443261494">
      <w:marLeft w:val="0"/>
      <w:marRight w:val="0"/>
      <w:marTop w:val="160"/>
      <w:marBottom w:val="160"/>
      <w:divBdr>
        <w:top w:val="none" w:sz="0" w:space="0" w:color="auto"/>
        <w:left w:val="none" w:sz="0" w:space="0" w:color="auto"/>
        <w:bottom w:val="none" w:sz="0" w:space="0" w:color="auto"/>
        <w:right w:val="none" w:sz="0" w:space="0" w:color="auto"/>
      </w:divBdr>
    </w:div>
    <w:div w:id="1445349459">
      <w:marLeft w:val="0"/>
      <w:marRight w:val="0"/>
      <w:marTop w:val="160"/>
      <w:marBottom w:val="160"/>
      <w:divBdr>
        <w:top w:val="none" w:sz="0" w:space="0" w:color="auto"/>
        <w:left w:val="none" w:sz="0" w:space="0" w:color="auto"/>
        <w:bottom w:val="none" w:sz="0" w:space="0" w:color="auto"/>
        <w:right w:val="none" w:sz="0" w:space="0" w:color="auto"/>
      </w:divBdr>
    </w:div>
    <w:div w:id="1456485391">
      <w:marLeft w:val="0"/>
      <w:marRight w:val="0"/>
      <w:marTop w:val="160"/>
      <w:marBottom w:val="160"/>
      <w:divBdr>
        <w:top w:val="none" w:sz="0" w:space="0" w:color="auto"/>
        <w:left w:val="none" w:sz="0" w:space="0" w:color="auto"/>
        <w:bottom w:val="none" w:sz="0" w:space="0" w:color="auto"/>
        <w:right w:val="none" w:sz="0" w:space="0" w:color="auto"/>
      </w:divBdr>
    </w:div>
    <w:div w:id="1459839815">
      <w:marLeft w:val="0"/>
      <w:marRight w:val="0"/>
      <w:marTop w:val="0"/>
      <w:marBottom w:val="160"/>
      <w:divBdr>
        <w:top w:val="none" w:sz="0" w:space="0" w:color="auto"/>
        <w:left w:val="none" w:sz="0" w:space="0" w:color="auto"/>
        <w:bottom w:val="none" w:sz="0" w:space="0" w:color="auto"/>
        <w:right w:val="none" w:sz="0" w:space="0" w:color="auto"/>
      </w:divBdr>
    </w:div>
    <w:div w:id="1477604966">
      <w:marLeft w:val="0"/>
      <w:marRight w:val="0"/>
      <w:marTop w:val="0"/>
      <w:marBottom w:val="0"/>
      <w:divBdr>
        <w:top w:val="none" w:sz="0" w:space="0" w:color="auto"/>
        <w:left w:val="none" w:sz="0" w:space="0" w:color="auto"/>
        <w:bottom w:val="none" w:sz="0" w:space="0" w:color="auto"/>
        <w:right w:val="none" w:sz="0" w:space="0" w:color="auto"/>
      </w:divBdr>
      <w:divsChild>
        <w:div w:id="1703361255">
          <w:marLeft w:val="0"/>
          <w:marRight w:val="0"/>
          <w:marTop w:val="0"/>
          <w:marBottom w:val="0"/>
          <w:divBdr>
            <w:top w:val="none" w:sz="0" w:space="0" w:color="auto"/>
            <w:left w:val="none" w:sz="0" w:space="0" w:color="auto"/>
            <w:bottom w:val="none" w:sz="0" w:space="0" w:color="auto"/>
            <w:right w:val="none" w:sz="0" w:space="0" w:color="auto"/>
          </w:divBdr>
        </w:div>
      </w:divsChild>
    </w:div>
    <w:div w:id="1481920086">
      <w:marLeft w:val="0"/>
      <w:marRight w:val="0"/>
      <w:marTop w:val="160"/>
      <w:marBottom w:val="160"/>
      <w:divBdr>
        <w:top w:val="none" w:sz="0" w:space="0" w:color="auto"/>
        <w:left w:val="none" w:sz="0" w:space="0" w:color="auto"/>
        <w:bottom w:val="none" w:sz="0" w:space="0" w:color="auto"/>
        <w:right w:val="none" w:sz="0" w:space="0" w:color="auto"/>
      </w:divBdr>
    </w:div>
    <w:div w:id="1489050389">
      <w:marLeft w:val="0"/>
      <w:marRight w:val="0"/>
      <w:marTop w:val="0"/>
      <w:marBottom w:val="160"/>
      <w:divBdr>
        <w:top w:val="none" w:sz="0" w:space="0" w:color="auto"/>
        <w:left w:val="none" w:sz="0" w:space="0" w:color="auto"/>
        <w:bottom w:val="none" w:sz="0" w:space="0" w:color="auto"/>
        <w:right w:val="none" w:sz="0" w:space="0" w:color="auto"/>
      </w:divBdr>
    </w:div>
    <w:div w:id="1501962303">
      <w:marLeft w:val="0"/>
      <w:marRight w:val="0"/>
      <w:marTop w:val="160"/>
      <w:marBottom w:val="160"/>
      <w:divBdr>
        <w:top w:val="none" w:sz="0" w:space="0" w:color="auto"/>
        <w:left w:val="none" w:sz="0" w:space="0" w:color="auto"/>
        <w:bottom w:val="none" w:sz="0" w:space="0" w:color="auto"/>
        <w:right w:val="none" w:sz="0" w:space="0" w:color="auto"/>
      </w:divBdr>
    </w:div>
    <w:div w:id="1509054073">
      <w:marLeft w:val="0"/>
      <w:marRight w:val="0"/>
      <w:marTop w:val="160"/>
      <w:marBottom w:val="160"/>
      <w:divBdr>
        <w:top w:val="none" w:sz="0" w:space="0" w:color="auto"/>
        <w:left w:val="none" w:sz="0" w:space="0" w:color="auto"/>
        <w:bottom w:val="none" w:sz="0" w:space="0" w:color="auto"/>
        <w:right w:val="none" w:sz="0" w:space="0" w:color="auto"/>
      </w:divBdr>
    </w:div>
    <w:div w:id="1510948141">
      <w:marLeft w:val="0"/>
      <w:marRight w:val="0"/>
      <w:marTop w:val="160"/>
      <w:marBottom w:val="160"/>
      <w:divBdr>
        <w:top w:val="none" w:sz="0" w:space="0" w:color="auto"/>
        <w:left w:val="none" w:sz="0" w:space="0" w:color="auto"/>
        <w:bottom w:val="none" w:sz="0" w:space="0" w:color="auto"/>
        <w:right w:val="none" w:sz="0" w:space="0" w:color="auto"/>
      </w:divBdr>
    </w:div>
    <w:div w:id="1512573759">
      <w:marLeft w:val="0"/>
      <w:marRight w:val="0"/>
      <w:marTop w:val="160"/>
      <w:marBottom w:val="160"/>
      <w:divBdr>
        <w:top w:val="none" w:sz="0" w:space="0" w:color="auto"/>
        <w:left w:val="none" w:sz="0" w:space="0" w:color="auto"/>
        <w:bottom w:val="none" w:sz="0" w:space="0" w:color="auto"/>
        <w:right w:val="none" w:sz="0" w:space="0" w:color="auto"/>
      </w:divBdr>
    </w:div>
    <w:div w:id="1522819575">
      <w:marLeft w:val="0"/>
      <w:marRight w:val="0"/>
      <w:marTop w:val="160"/>
      <w:marBottom w:val="160"/>
      <w:divBdr>
        <w:top w:val="none" w:sz="0" w:space="0" w:color="auto"/>
        <w:left w:val="none" w:sz="0" w:space="0" w:color="auto"/>
        <w:bottom w:val="none" w:sz="0" w:space="0" w:color="auto"/>
        <w:right w:val="none" w:sz="0" w:space="0" w:color="auto"/>
      </w:divBdr>
    </w:div>
    <w:div w:id="1530216809">
      <w:marLeft w:val="0"/>
      <w:marRight w:val="0"/>
      <w:marTop w:val="160"/>
      <w:marBottom w:val="160"/>
      <w:divBdr>
        <w:top w:val="none" w:sz="0" w:space="0" w:color="auto"/>
        <w:left w:val="none" w:sz="0" w:space="0" w:color="auto"/>
        <w:bottom w:val="none" w:sz="0" w:space="0" w:color="auto"/>
        <w:right w:val="none" w:sz="0" w:space="0" w:color="auto"/>
      </w:divBdr>
    </w:div>
    <w:div w:id="1533298927">
      <w:marLeft w:val="0"/>
      <w:marRight w:val="0"/>
      <w:marTop w:val="0"/>
      <w:marBottom w:val="0"/>
      <w:divBdr>
        <w:top w:val="none" w:sz="0" w:space="0" w:color="auto"/>
        <w:left w:val="none" w:sz="0" w:space="0" w:color="auto"/>
        <w:bottom w:val="none" w:sz="0" w:space="0" w:color="auto"/>
        <w:right w:val="none" w:sz="0" w:space="0" w:color="auto"/>
      </w:divBdr>
      <w:divsChild>
        <w:div w:id="678582651">
          <w:marLeft w:val="0"/>
          <w:marRight w:val="0"/>
          <w:marTop w:val="0"/>
          <w:marBottom w:val="0"/>
          <w:divBdr>
            <w:top w:val="none" w:sz="0" w:space="0" w:color="auto"/>
            <w:left w:val="none" w:sz="0" w:space="0" w:color="auto"/>
            <w:bottom w:val="none" w:sz="0" w:space="0" w:color="auto"/>
            <w:right w:val="none" w:sz="0" w:space="0" w:color="auto"/>
          </w:divBdr>
        </w:div>
      </w:divsChild>
    </w:div>
    <w:div w:id="1533613970">
      <w:marLeft w:val="0"/>
      <w:marRight w:val="0"/>
      <w:marTop w:val="160"/>
      <w:marBottom w:val="160"/>
      <w:divBdr>
        <w:top w:val="none" w:sz="0" w:space="0" w:color="auto"/>
        <w:left w:val="none" w:sz="0" w:space="0" w:color="auto"/>
        <w:bottom w:val="none" w:sz="0" w:space="0" w:color="auto"/>
        <w:right w:val="none" w:sz="0" w:space="0" w:color="auto"/>
      </w:divBdr>
    </w:div>
    <w:div w:id="1534877751">
      <w:marLeft w:val="0"/>
      <w:marRight w:val="0"/>
      <w:marTop w:val="160"/>
      <w:marBottom w:val="160"/>
      <w:divBdr>
        <w:top w:val="none" w:sz="0" w:space="0" w:color="auto"/>
        <w:left w:val="none" w:sz="0" w:space="0" w:color="auto"/>
        <w:bottom w:val="none" w:sz="0" w:space="0" w:color="auto"/>
        <w:right w:val="none" w:sz="0" w:space="0" w:color="auto"/>
      </w:divBdr>
    </w:div>
    <w:div w:id="1537737487">
      <w:marLeft w:val="0"/>
      <w:marRight w:val="0"/>
      <w:marTop w:val="160"/>
      <w:marBottom w:val="160"/>
      <w:divBdr>
        <w:top w:val="none" w:sz="0" w:space="0" w:color="auto"/>
        <w:left w:val="none" w:sz="0" w:space="0" w:color="auto"/>
        <w:bottom w:val="none" w:sz="0" w:space="0" w:color="auto"/>
        <w:right w:val="none" w:sz="0" w:space="0" w:color="auto"/>
      </w:divBdr>
    </w:div>
    <w:div w:id="1538664477">
      <w:marLeft w:val="0"/>
      <w:marRight w:val="0"/>
      <w:marTop w:val="160"/>
      <w:marBottom w:val="160"/>
      <w:divBdr>
        <w:top w:val="none" w:sz="0" w:space="0" w:color="auto"/>
        <w:left w:val="none" w:sz="0" w:space="0" w:color="auto"/>
        <w:bottom w:val="none" w:sz="0" w:space="0" w:color="auto"/>
        <w:right w:val="none" w:sz="0" w:space="0" w:color="auto"/>
      </w:divBdr>
    </w:div>
    <w:div w:id="1539049246">
      <w:marLeft w:val="0"/>
      <w:marRight w:val="0"/>
      <w:marTop w:val="160"/>
      <w:marBottom w:val="160"/>
      <w:divBdr>
        <w:top w:val="none" w:sz="0" w:space="0" w:color="auto"/>
        <w:left w:val="none" w:sz="0" w:space="0" w:color="auto"/>
        <w:bottom w:val="none" w:sz="0" w:space="0" w:color="auto"/>
        <w:right w:val="none" w:sz="0" w:space="0" w:color="auto"/>
      </w:divBdr>
    </w:div>
    <w:div w:id="1551309895">
      <w:marLeft w:val="0"/>
      <w:marRight w:val="0"/>
      <w:marTop w:val="160"/>
      <w:marBottom w:val="160"/>
      <w:divBdr>
        <w:top w:val="none" w:sz="0" w:space="0" w:color="auto"/>
        <w:left w:val="none" w:sz="0" w:space="0" w:color="auto"/>
        <w:bottom w:val="none" w:sz="0" w:space="0" w:color="auto"/>
        <w:right w:val="none" w:sz="0" w:space="0" w:color="auto"/>
      </w:divBdr>
    </w:div>
    <w:div w:id="1555700655">
      <w:marLeft w:val="0"/>
      <w:marRight w:val="0"/>
      <w:marTop w:val="160"/>
      <w:marBottom w:val="160"/>
      <w:divBdr>
        <w:top w:val="none" w:sz="0" w:space="0" w:color="auto"/>
        <w:left w:val="none" w:sz="0" w:space="0" w:color="auto"/>
        <w:bottom w:val="none" w:sz="0" w:space="0" w:color="auto"/>
        <w:right w:val="none" w:sz="0" w:space="0" w:color="auto"/>
      </w:divBdr>
    </w:div>
    <w:div w:id="1556314285">
      <w:marLeft w:val="0"/>
      <w:marRight w:val="0"/>
      <w:marTop w:val="0"/>
      <w:marBottom w:val="0"/>
      <w:divBdr>
        <w:top w:val="none" w:sz="0" w:space="0" w:color="auto"/>
        <w:left w:val="none" w:sz="0" w:space="0" w:color="auto"/>
        <w:bottom w:val="none" w:sz="0" w:space="0" w:color="auto"/>
        <w:right w:val="none" w:sz="0" w:space="0" w:color="auto"/>
      </w:divBdr>
      <w:divsChild>
        <w:div w:id="131824905">
          <w:marLeft w:val="0"/>
          <w:marRight w:val="0"/>
          <w:marTop w:val="0"/>
          <w:marBottom w:val="0"/>
          <w:divBdr>
            <w:top w:val="none" w:sz="0" w:space="0" w:color="auto"/>
            <w:left w:val="none" w:sz="0" w:space="0" w:color="auto"/>
            <w:bottom w:val="none" w:sz="0" w:space="0" w:color="auto"/>
            <w:right w:val="none" w:sz="0" w:space="0" w:color="auto"/>
          </w:divBdr>
        </w:div>
      </w:divsChild>
    </w:div>
    <w:div w:id="1558321851">
      <w:marLeft w:val="0"/>
      <w:marRight w:val="0"/>
      <w:marTop w:val="0"/>
      <w:marBottom w:val="0"/>
      <w:divBdr>
        <w:top w:val="none" w:sz="0" w:space="0" w:color="auto"/>
        <w:left w:val="none" w:sz="0" w:space="0" w:color="auto"/>
        <w:bottom w:val="none" w:sz="0" w:space="0" w:color="auto"/>
        <w:right w:val="none" w:sz="0" w:space="0" w:color="auto"/>
      </w:divBdr>
      <w:divsChild>
        <w:div w:id="960763772">
          <w:marLeft w:val="0"/>
          <w:marRight w:val="0"/>
          <w:marTop w:val="160"/>
          <w:marBottom w:val="160"/>
          <w:divBdr>
            <w:top w:val="none" w:sz="0" w:space="0" w:color="auto"/>
            <w:left w:val="none" w:sz="0" w:space="0" w:color="auto"/>
            <w:bottom w:val="none" w:sz="0" w:space="0" w:color="auto"/>
            <w:right w:val="none" w:sz="0" w:space="0" w:color="auto"/>
          </w:divBdr>
        </w:div>
        <w:div w:id="241988682">
          <w:marLeft w:val="0"/>
          <w:marRight w:val="0"/>
          <w:marTop w:val="160"/>
          <w:marBottom w:val="160"/>
          <w:divBdr>
            <w:top w:val="none" w:sz="0" w:space="0" w:color="auto"/>
            <w:left w:val="none" w:sz="0" w:space="0" w:color="auto"/>
            <w:bottom w:val="none" w:sz="0" w:space="0" w:color="auto"/>
            <w:right w:val="none" w:sz="0" w:space="0" w:color="auto"/>
          </w:divBdr>
        </w:div>
        <w:div w:id="1854102349">
          <w:marLeft w:val="0"/>
          <w:marRight w:val="0"/>
          <w:marTop w:val="160"/>
          <w:marBottom w:val="160"/>
          <w:divBdr>
            <w:top w:val="none" w:sz="0" w:space="0" w:color="auto"/>
            <w:left w:val="none" w:sz="0" w:space="0" w:color="auto"/>
            <w:bottom w:val="none" w:sz="0" w:space="0" w:color="auto"/>
            <w:right w:val="none" w:sz="0" w:space="0" w:color="auto"/>
          </w:divBdr>
        </w:div>
        <w:div w:id="1079523337">
          <w:marLeft w:val="0"/>
          <w:marRight w:val="0"/>
          <w:marTop w:val="160"/>
          <w:marBottom w:val="160"/>
          <w:divBdr>
            <w:top w:val="none" w:sz="0" w:space="0" w:color="auto"/>
            <w:left w:val="none" w:sz="0" w:space="0" w:color="auto"/>
            <w:bottom w:val="none" w:sz="0" w:space="0" w:color="auto"/>
            <w:right w:val="none" w:sz="0" w:space="0" w:color="auto"/>
          </w:divBdr>
        </w:div>
        <w:div w:id="1472401309">
          <w:marLeft w:val="0"/>
          <w:marRight w:val="0"/>
          <w:marTop w:val="160"/>
          <w:marBottom w:val="160"/>
          <w:divBdr>
            <w:top w:val="none" w:sz="0" w:space="0" w:color="auto"/>
            <w:left w:val="none" w:sz="0" w:space="0" w:color="auto"/>
            <w:bottom w:val="none" w:sz="0" w:space="0" w:color="auto"/>
            <w:right w:val="none" w:sz="0" w:space="0" w:color="auto"/>
          </w:divBdr>
        </w:div>
        <w:div w:id="321784244">
          <w:marLeft w:val="0"/>
          <w:marRight w:val="0"/>
          <w:marTop w:val="160"/>
          <w:marBottom w:val="160"/>
          <w:divBdr>
            <w:top w:val="none" w:sz="0" w:space="0" w:color="auto"/>
            <w:left w:val="none" w:sz="0" w:space="0" w:color="auto"/>
            <w:bottom w:val="none" w:sz="0" w:space="0" w:color="auto"/>
            <w:right w:val="none" w:sz="0" w:space="0" w:color="auto"/>
          </w:divBdr>
        </w:div>
        <w:div w:id="1067150589">
          <w:marLeft w:val="0"/>
          <w:marRight w:val="0"/>
          <w:marTop w:val="0"/>
          <w:marBottom w:val="0"/>
          <w:divBdr>
            <w:top w:val="none" w:sz="0" w:space="0" w:color="auto"/>
            <w:left w:val="none" w:sz="0" w:space="0" w:color="auto"/>
            <w:bottom w:val="none" w:sz="0" w:space="0" w:color="auto"/>
            <w:right w:val="none" w:sz="0" w:space="0" w:color="auto"/>
          </w:divBdr>
        </w:div>
      </w:divsChild>
    </w:div>
    <w:div w:id="1565021850">
      <w:marLeft w:val="0"/>
      <w:marRight w:val="0"/>
      <w:marTop w:val="0"/>
      <w:marBottom w:val="0"/>
      <w:divBdr>
        <w:top w:val="none" w:sz="0" w:space="0" w:color="auto"/>
        <w:left w:val="none" w:sz="0" w:space="0" w:color="auto"/>
        <w:bottom w:val="none" w:sz="0" w:space="0" w:color="auto"/>
        <w:right w:val="none" w:sz="0" w:space="0" w:color="auto"/>
      </w:divBdr>
      <w:divsChild>
        <w:div w:id="677777095">
          <w:marLeft w:val="0"/>
          <w:marRight w:val="0"/>
          <w:marTop w:val="160"/>
          <w:marBottom w:val="160"/>
          <w:divBdr>
            <w:top w:val="none" w:sz="0" w:space="0" w:color="auto"/>
            <w:left w:val="none" w:sz="0" w:space="0" w:color="auto"/>
            <w:bottom w:val="none" w:sz="0" w:space="0" w:color="auto"/>
            <w:right w:val="none" w:sz="0" w:space="0" w:color="auto"/>
          </w:divBdr>
        </w:div>
        <w:div w:id="1660578450">
          <w:marLeft w:val="0"/>
          <w:marRight w:val="0"/>
          <w:marTop w:val="160"/>
          <w:marBottom w:val="160"/>
          <w:divBdr>
            <w:top w:val="none" w:sz="0" w:space="0" w:color="auto"/>
            <w:left w:val="none" w:sz="0" w:space="0" w:color="auto"/>
            <w:bottom w:val="none" w:sz="0" w:space="0" w:color="auto"/>
            <w:right w:val="none" w:sz="0" w:space="0" w:color="auto"/>
          </w:divBdr>
        </w:div>
        <w:div w:id="298808463">
          <w:marLeft w:val="0"/>
          <w:marRight w:val="0"/>
          <w:marTop w:val="160"/>
          <w:marBottom w:val="160"/>
          <w:divBdr>
            <w:top w:val="none" w:sz="0" w:space="0" w:color="auto"/>
            <w:left w:val="none" w:sz="0" w:space="0" w:color="auto"/>
            <w:bottom w:val="none" w:sz="0" w:space="0" w:color="auto"/>
            <w:right w:val="none" w:sz="0" w:space="0" w:color="auto"/>
          </w:divBdr>
        </w:div>
        <w:div w:id="1330869004">
          <w:marLeft w:val="0"/>
          <w:marRight w:val="0"/>
          <w:marTop w:val="160"/>
          <w:marBottom w:val="160"/>
          <w:divBdr>
            <w:top w:val="none" w:sz="0" w:space="0" w:color="auto"/>
            <w:left w:val="none" w:sz="0" w:space="0" w:color="auto"/>
            <w:bottom w:val="none" w:sz="0" w:space="0" w:color="auto"/>
            <w:right w:val="none" w:sz="0" w:space="0" w:color="auto"/>
          </w:divBdr>
        </w:div>
        <w:div w:id="1126195410">
          <w:marLeft w:val="0"/>
          <w:marRight w:val="0"/>
          <w:marTop w:val="160"/>
          <w:marBottom w:val="160"/>
          <w:divBdr>
            <w:top w:val="none" w:sz="0" w:space="0" w:color="auto"/>
            <w:left w:val="none" w:sz="0" w:space="0" w:color="auto"/>
            <w:bottom w:val="none" w:sz="0" w:space="0" w:color="auto"/>
            <w:right w:val="none" w:sz="0" w:space="0" w:color="auto"/>
          </w:divBdr>
        </w:div>
        <w:div w:id="2066370077">
          <w:marLeft w:val="0"/>
          <w:marRight w:val="0"/>
          <w:marTop w:val="160"/>
          <w:marBottom w:val="160"/>
          <w:divBdr>
            <w:top w:val="none" w:sz="0" w:space="0" w:color="auto"/>
            <w:left w:val="none" w:sz="0" w:space="0" w:color="auto"/>
            <w:bottom w:val="none" w:sz="0" w:space="0" w:color="auto"/>
            <w:right w:val="none" w:sz="0" w:space="0" w:color="auto"/>
          </w:divBdr>
        </w:div>
      </w:divsChild>
    </w:div>
    <w:div w:id="1568033091">
      <w:marLeft w:val="0"/>
      <w:marRight w:val="0"/>
      <w:marTop w:val="160"/>
      <w:marBottom w:val="160"/>
      <w:divBdr>
        <w:top w:val="none" w:sz="0" w:space="0" w:color="auto"/>
        <w:left w:val="none" w:sz="0" w:space="0" w:color="auto"/>
        <w:bottom w:val="none" w:sz="0" w:space="0" w:color="auto"/>
        <w:right w:val="none" w:sz="0" w:space="0" w:color="auto"/>
      </w:divBdr>
      <w:divsChild>
        <w:div w:id="1545750008">
          <w:marLeft w:val="0"/>
          <w:marRight w:val="0"/>
          <w:marTop w:val="0"/>
          <w:marBottom w:val="0"/>
          <w:divBdr>
            <w:top w:val="none" w:sz="0" w:space="0" w:color="auto"/>
            <w:left w:val="none" w:sz="0" w:space="0" w:color="auto"/>
            <w:bottom w:val="none" w:sz="0" w:space="0" w:color="auto"/>
            <w:right w:val="none" w:sz="0" w:space="0" w:color="auto"/>
          </w:divBdr>
        </w:div>
        <w:div w:id="1169294068">
          <w:marLeft w:val="0"/>
          <w:marRight w:val="0"/>
          <w:marTop w:val="0"/>
          <w:marBottom w:val="0"/>
          <w:divBdr>
            <w:top w:val="none" w:sz="0" w:space="0" w:color="auto"/>
            <w:left w:val="none" w:sz="0" w:space="0" w:color="auto"/>
            <w:bottom w:val="none" w:sz="0" w:space="0" w:color="auto"/>
            <w:right w:val="none" w:sz="0" w:space="0" w:color="auto"/>
          </w:divBdr>
        </w:div>
        <w:div w:id="1708488564">
          <w:marLeft w:val="0"/>
          <w:marRight w:val="0"/>
          <w:marTop w:val="0"/>
          <w:marBottom w:val="0"/>
          <w:divBdr>
            <w:top w:val="none" w:sz="0" w:space="0" w:color="auto"/>
            <w:left w:val="none" w:sz="0" w:space="0" w:color="auto"/>
            <w:bottom w:val="none" w:sz="0" w:space="0" w:color="auto"/>
            <w:right w:val="none" w:sz="0" w:space="0" w:color="auto"/>
          </w:divBdr>
        </w:div>
        <w:div w:id="1246183557">
          <w:marLeft w:val="0"/>
          <w:marRight w:val="0"/>
          <w:marTop w:val="0"/>
          <w:marBottom w:val="0"/>
          <w:divBdr>
            <w:top w:val="none" w:sz="0" w:space="0" w:color="auto"/>
            <w:left w:val="none" w:sz="0" w:space="0" w:color="auto"/>
            <w:bottom w:val="none" w:sz="0" w:space="0" w:color="auto"/>
            <w:right w:val="none" w:sz="0" w:space="0" w:color="auto"/>
          </w:divBdr>
        </w:div>
        <w:div w:id="1282150812">
          <w:marLeft w:val="0"/>
          <w:marRight w:val="0"/>
          <w:marTop w:val="0"/>
          <w:marBottom w:val="0"/>
          <w:divBdr>
            <w:top w:val="none" w:sz="0" w:space="0" w:color="auto"/>
            <w:left w:val="none" w:sz="0" w:space="0" w:color="auto"/>
            <w:bottom w:val="none" w:sz="0" w:space="0" w:color="auto"/>
            <w:right w:val="none" w:sz="0" w:space="0" w:color="auto"/>
          </w:divBdr>
        </w:div>
        <w:div w:id="239407924">
          <w:marLeft w:val="0"/>
          <w:marRight w:val="0"/>
          <w:marTop w:val="0"/>
          <w:marBottom w:val="0"/>
          <w:divBdr>
            <w:top w:val="none" w:sz="0" w:space="0" w:color="auto"/>
            <w:left w:val="none" w:sz="0" w:space="0" w:color="auto"/>
            <w:bottom w:val="none" w:sz="0" w:space="0" w:color="auto"/>
            <w:right w:val="none" w:sz="0" w:space="0" w:color="auto"/>
          </w:divBdr>
        </w:div>
        <w:div w:id="1084495509">
          <w:marLeft w:val="0"/>
          <w:marRight w:val="0"/>
          <w:marTop w:val="0"/>
          <w:marBottom w:val="0"/>
          <w:divBdr>
            <w:top w:val="none" w:sz="0" w:space="0" w:color="auto"/>
            <w:left w:val="none" w:sz="0" w:space="0" w:color="auto"/>
            <w:bottom w:val="none" w:sz="0" w:space="0" w:color="auto"/>
            <w:right w:val="none" w:sz="0" w:space="0" w:color="auto"/>
          </w:divBdr>
        </w:div>
        <w:div w:id="1734889791">
          <w:marLeft w:val="0"/>
          <w:marRight w:val="0"/>
          <w:marTop w:val="0"/>
          <w:marBottom w:val="0"/>
          <w:divBdr>
            <w:top w:val="none" w:sz="0" w:space="0" w:color="auto"/>
            <w:left w:val="none" w:sz="0" w:space="0" w:color="auto"/>
            <w:bottom w:val="none" w:sz="0" w:space="0" w:color="auto"/>
            <w:right w:val="none" w:sz="0" w:space="0" w:color="auto"/>
          </w:divBdr>
        </w:div>
        <w:div w:id="1936131412">
          <w:marLeft w:val="0"/>
          <w:marRight w:val="0"/>
          <w:marTop w:val="0"/>
          <w:marBottom w:val="0"/>
          <w:divBdr>
            <w:top w:val="none" w:sz="0" w:space="0" w:color="auto"/>
            <w:left w:val="none" w:sz="0" w:space="0" w:color="auto"/>
            <w:bottom w:val="none" w:sz="0" w:space="0" w:color="auto"/>
            <w:right w:val="none" w:sz="0" w:space="0" w:color="auto"/>
          </w:divBdr>
        </w:div>
        <w:div w:id="1797983323">
          <w:marLeft w:val="0"/>
          <w:marRight w:val="0"/>
          <w:marTop w:val="0"/>
          <w:marBottom w:val="0"/>
          <w:divBdr>
            <w:top w:val="none" w:sz="0" w:space="0" w:color="auto"/>
            <w:left w:val="none" w:sz="0" w:space="0" w:color="auto"/>
            <w:bottom w:val="none" w:sz="0" w:space="0" w:color="auto"/>
            <w:right w:val="none" w:sz="0" w:space="0" w:color="auto"/>
          </w:divBdr>
        </w:div>
        <w:div w:id="344291089">
          <w:marLeft w:val="0"/>
          <w:marRight w:val="0"/>
          <w:marTop w:val="0"/>
          <w:marBottom w:val="0"/>
          <w:divBdr>
            <w:top w:val="none" w:sz="0" w:space="0" w:color="auto"/>
            <w:left w:val="none" w:sz="0" w:space="0" w:color="auto"/>
            <w:bottom w:val="none" w:sz="0" w:space="0" w:color="auto"/>
            <w:right w:val="none" w:sz="0" w:space="0" w:color="auto"/>
          </w:divBdr>
        </w:div>
        <w:div w:id="1735470787">
          <w:marLeft w:val="0"/>
          <w:marRight w:val="0"/>
          <w:marTop w:val="0"/>
          <w:marBottom w:val="0"/>
          <w:divBdr>
            <w:top w:val="none" w:sz="0" w:space="0" w:color="auto"/>
            <w:left w:val="none" w:sz="0" w:space="0" w:color="auto"/>
            <w:bottom w:val="none" w:sz="0" w:space="0" w:color="auto"/>
            <w:right w:val="none" w:sz="0" w:space="0" w:color="auto"/>
          </w:divBdr>
        </w:div>
        <w:div w:id="207885146">
          <w:marLeft w:val="0"/>
          <w:marRight w:val="0"/>
          <w:marTop w:val="0"/>
          <w:marBottom w:val="0"/>
          <w:divBdr>
            <w:top w:val="none" w:sz="0" w:space="0" w:color="auto"/>
            <w:left w:val="none" w:sz="0" w:space="0" w:color="auto"/>
            <w:bottom w:val="none" w:sz="0" w:space="0" w:color="auto"/>
            <w:right w:val="none" w:sz="0" w:space="0" w:color="auto"/>
          </w:divBdr>
        </w:div>
        <w:div w:id="2070028217">
          <w:marLeft w:val="0"/>
          <w:marRight w:val="0"/>
          <w:marTop w:val="0"/>
          <w:marBottom w:val="0"/>
          <w:divBdr>
            <w:top w:val="none" w:sz="0" w:space="0" w:color="auto"/>
            <w:left w:val="none" w:sz="0" w:space="0" w:color="auto"/>
            <w:bottom w:val="none" w:sz="0" w:space="0" w:color="auto"/>
            <w:right w:val="none" w:sz="0" w:space="0" w:color="auto"/>
          </w:divBdr>
        </w:div>
        <w:div w:id="459038400">
          <w:marLeft w:val="0"/>
          <w:marRight w:val="0"/>
          <w:marTop w:val="0"/>
          <w:marBottom w:val="0"/>
          <w:divBdr>
            <w:top w:val="none" w:sz="0" w:space="0" w:color="auto"/>
            <w:left w:val="none" w:sz="0" w:space="0" w:color="auto"/>
            <w:bottom w:val="none" w:sz="0" w:space="0" w:color="auto"/>
            <w:right w:val="none" w:sz="0" w:space="0" w:color="auto"/>
          </w:divBdr>
        </w:div>
      </w:divsChild>
    </w:div>
    <w:div w:id="1568805205">
      <w:marLeft w:val="0"/>
      <w:marRight w:val="0"/>
      <w:marTop w:val="100"/>
      <w:marBottom w:val="160"/>
      <w:divBdr>
        <w:top w:val="none" w:sz="0" w:space="0" w:color="auto"/>
        <w:left w:val="none" w:sz="0" w:space="0" w:color="auto"/>
        <w:bottom w:val="none" w:sz="0" w:space="0" w:color="auto"/>
        <w:right w:val="none" w:sz="0" w:space="0" w:color="auto"/>
      </w:divBdr>
    </w:div>
    <w:div w:id="1568958338">
      <w:marLeft w:val="0"/>
      <w:marRight w:val="0"/>
      <w:marTop w:val="160"/>
      <w:marBottom w:val="160"/>
      <w:divBdr>
        <w:top w:val="none" w:sz="0" w:space="0" w:color="auto"/>
        <w:left w:val="none" w:sz="0" w:space="0" w:color="auto"/>
        <w:bottom w:val="none" w:sz="0" w:space="0" w:color="auto"/>
        <w:right w:val="none" w:sz="0" w:space="0" w:color="auto"/>
      </w:divBdr>
    </w:div>
    <w:div w:id="1573078465">
      <w:marLeft w:val="0"/>
      <w:marRight w:val="0"/>
      <w:marTop w:val="160"/>
      <w:marBottom w:val="160"/>
      <w:divBdr>
        <w:top w:val="none" w:sz="0" w:space="0" w:color="auto"/>
        <w:left w:val="none" w:sz="0" w:space="0" w:color="auto"/>
        <w:bottom w:val="none" w:sz="0" w:space="0" w:color="auto"/>
        <w:right w:val="none" w:sz="0" w:space="0" w:color="auto"/>
      </w:divBdr>
    </w:div>
    <w:div w:id="1573928228">
      <w:marLeft w:val="0"/>
      <w:marRight w:val="0"/>
      <w:marTop w:val="160"/>
      <w:marBottom w:val="160"/>
      <w:divBdr>
        <w:top w:val="none" w:sz="0" w:space="0" w:color="auto"/>
        <w:left w:val="none" w:sz="0" w:space="0" w:color="auto"/>
        <w:bottom w:val="none" w:sz="0" w:space="0" w:color="auto"/>
        <w:right w:val="none" w:sz="0" w:space="0" w:color="auto"/>
      </w:divBdr>
    </w:div>
    <w:div w:id="1574730201">
      <w:marLeft w:val="0"/>
      <w:marRight w:val="0"/>
      <w:marTop w:val="0"/>
      <w:marBottom w:val="0"/>
      <w:divBdr>
        <w:top w:val="none" w:sz="0" w:space="0" w:color="auto"/>
        <w:left w:val="none" w:sz="0" w:space="0" w:color="auto"/>
        <w:bottom w:val="none" w:sz="0" w:space="0" w:color="auto"/>
        <w:right w:val="none" w:sz="0" w:space="0" w:color="auto"/>
      </w:divBdr>
      <w:divsChild>
        <w:div w:id="1823156036">
          <w:marLeft w:val="0"/>
          <w:marRight w:val="0"/>
          <w:marTop w:val="0"/>
          <w:marBottom w:val="0"/>
          <w:divBdr>
            <w:top w:val="none" w:sz="0" w:space="0" w:color="auto"/>
            <w:left w:val="none" w:sz="0" w:space="0" w:color="auto"/>
            <w:bottom w:val="none" w:sz="0" w:space="0" w:color="auto"/>
            <w:right w:val="none" w:sz="0" w:space="0" w:color="auto"/>
          </w:divBdr>
        </w:div>
      </w:divsChild>
    </w:div>
    <w:div w:id="1577745053">
      <w:marLeft w:val="0"/>
      <w:marRight w:val="0"/>
      <w:marTop w:val="160"/>
      <w:marBottom w:val="160"/>
      <w:divBdr>
        <w:top w:val="none" w:sz="0" w:space="0" w:color="auto"/>
        <w:left w:val="none" w:sz="0" w:space="0" w:color="auto"/>
        <w:bottom w:val="none" w:sz="0" w:space="0" w:color="auto"/>
        <w:right w:val="none" w:sz="0" w:space="0" w:color="auto"/>
      </w:divBdr>
    </w:div>
    <w:div w:id="1578053754">
      <w:marLeft w:val="0"/>
      <w:marRight w:val="0"/>
      <w:marTop w:val="160"/>
      <w:marBottom w:val="160"/>
      <w:divBdr>
        <w:top w:val="none" w:sz="0" w:space="0" w:color="auto"/>
        <w:left w:val="none" w:sz="0" w:space="0" w:color="auto"/>
        <w:bottom w:val="none" w:sz="0" w:space="0" w:color="auto"/>
        <w:right w:val="none" w:sz="0" w:space="0" w:color="auto"/>
      </w:divBdr>
    </w:div>
    <w:div w:id="1583485339">
      <w:marLeft w:val="0"/>
      <w:marRight w:val="0"/>
      <w:marTop w:val="160"/>
      <w:marBottom w:val="160"/>
      <w:divBdr>
        <w:top w:val="none" w:sz="0" w:space="0" w:color="auto"/>
        <w:left w:val="none" w:sz="0" w:space="0" w:color="auto"/>
        <w:bottom w:val="none" w:sz="0" w:space="0" w:color="auto"/>
        <w:right w:val="none" w:sz="0" w:space="0" w:color="auto"/>
      </w:divBdr>
    </w:div>
    <w:div w:id="1584951974">
      <w:marLeft w:val="0"/>
      <w:marRight w:val="0"/>
      <w:marTop w:val="160"/>
      <w:marBottom w:val="160"/>
      <w:divBdr>
        <w:top w:val="none" w:sz="0" w:space="0" w:color="auto"/>
        <w:left w:val="none" w:sz="0" w:space="0" w:color="auto"/>
        <w:bottom w:val="none" w:sz="0" w:space="0" w:color="auto"/>
        <w:right w:val="none" w:sz="0" w:space="0" w:color="auto"/>
      </w:divBdr>
    </w:div>
    <w:div w:id="1584991184">
      <w:marLeft w:val="0"/>
      <w:marRight w:val="0"/>
      <w:marTop w:val="0"/>
      <w:marBottom w:val="160"/>
      <w:divBdr>
        <w:top w:val="none" w:sz="0" w:space="0" w:color="auto"/>
        <w:left w:val="none" w:sz="0" w:space="0" w:color="auto"/>
        <w:bottom w:val="none" w:sz="0" w:space="0" w:color="auto"/>
        <w:right w:val="none" w:sz="0" w:space="0" w:color="auto"/>
      </w:divBdr>
    </w:div>
    <w:div w:id="1586956687">
      <w:marLeft w:val="0"/>
      <w:marRight w:val="0"/>
      <w:marTop w:val="160"/>
      <w:marBottom w:val="160"/>
      <w:divBdr>
        <w:top w:val="none" w:sz="0" w:space="0" w:color="auto"/>
        <w:left w:val="none" w:sz="0" w:space="0" w:color="auto"/>
        <w:bottom w:val="none" w:sz="0" w:space="0" w:color="auto"/>
        <w:right w:val="none" w:sz="0" w:space="0" w:color="auto"/>
      </w:divBdr>
    </w:div>
    <w:div w:id="1587113523">
      <w:marLeft w:val="0"/>
      <w:marRight w:val="0"/>
      <w:marTop w:val="160"/>
      <w:marBottom w:val="160"/>
      <w:divBdr>
        <w:top w:val="none" w:sz="0" w:space="0" w:color="auto"/>
        <w:left w:val="none" w:sz="0" w:space="0" w:color="auto"/>
        <w:bottom w:val="none" w:sz="0" w:space="0" w:color="auto"/>
        <w:right w:val="none" w:sz="0" w:space="0" w:color="auto"/>
      </w:divBdr>
    </w:div>
    <w:div w:id="1587685478">
      <w:marLeft w:val="0"/>
      <w:marRight w:val="0"/>
      <w:marTop w:val="160"/>
      <w:marBottom w:val="160"/>
      <w:divBdr>
        <w:top w:val="none" w:sz="0" w:space="0" w:color="auto"/>
        <w:left w:val="none" w:sz="0" w:space="0" w:color="auto"/>
        <w:bottom w:val="none" w:sz="0" w:space="0" w:color="auto"/>
        <w:right w:val="none" w:sz="0" w:space="0" w:color="auto"/>
      </w:divBdr>
    </w:div>
    <w:div w:id="1591115423">
      <w:marLeft w:val="0"/>
      <w:marRight w:val="0"/>
      <w:marTop w:val="0"/>
      <w:marBottom w:val="0"/>
      <w:divBdr>
        <w:top w:val="none" w:sz="0" w:space="0" w:color="auto"/>
        <w:left w:val="none" w:sz="0" w:space="0" w:color="auto"/>
        <w:bottom w:val="none" w:sz="0" w:space="0" w:color="auto"/>
        <w:right w:val="none" w:sz="0" w:space="0" w:color="auto"/>
      </w:divBdr>
      <w:divsChild>
        <w:div w:id="1244998231">
          <w:marLeft w:val="0"/>
          <w:marRight w:val="0"/>
          <w:marTop w:val="0"/>
          <w:marBottom w:val="0"/>
          <w:divBdr>
            <w:top w:val="none" w:sz="0" w:space="0" w:color="auto"/>
            <w:left w:val="none" w:sz="0" w:space="0" w:color="auto"/>
            <w:bottom w:val="none" w:sz="0" w:space="0" w:color="auto"/>
            <w:right w:val="none" w:sz="0" w:space="0" w:color="auto"/>
          </w:divBdr>
        </w:div>
      </w:divsChild>
    </w:div>
    <w:div w:id="1594052768">
      <w:marLeft w:val="0"/>
      <w:marRight w:val="0"/>
      <w:marTop w:val="0"/>
      <w:marBottom w:val="0"/>
      <w:divBdr>
        <w:top w:val="none" w:sz="0" w:space="0" w:color="auto"/>
        <w:left w:val="none" w:sz="0" w:space="0" w:color="auto"/>
        <w:bottom w:val="none" w:sz="0" w:space="0" w:color="auto"/>
        <w:right w:val="none" w:sz="0" w:space="0" w:color="auto"/>
      </w:divBdr>
      <w:divsChild>
        <w:div w:id="1029990150">
          <w:marLeft w:val="0"/>
          <w:marRight w:val="0"/>
          <w:marTop w:val="160"/>
          <w:marBottom w:val="160"/>
          <w:divBdr>
            <w:top w:val="none" w:sz="0" w:space="0" w:color="auto"/>
            <w:left w:val="none" w:sz="0" w:space="0" w:color="auto"/>
            <w:bottom w:val="none" w:sz="0" w:space="0" w:color="auto"/>
            <w:right w:val="none" w:sz="0" w:space="0" w:color="auto"/>
          </w:divBdr>
        </w:div>
        <w:div w:id="2111772479">
          <w:marLeft w:val="0"/>
          <w:marRight w:val="0"/>
          <w:marTop w:val="160"/>
          <w:marBottom w:val="160"/>
          <w:divBdr>
            <w:top w:val="none" w:sz="0" w:space="0" w:color="auto"/>
            <w:left w:val="none" w:sz="0" w:space="0" w:color="auto"/>
            <w:bottom w:val="none" w:sz="0" w:space="0" w:color="auto"/>
            <w:right w:val="none" w:sz="0" w:space="0" w:color="auto"/>
          </w:divBdr>
        </w:div>
        <w:div w:id="1299140890">
          <w:marLeft w:val="0"/>
          <w:marRight w:val="0"/>
          <w:marTop w:val="160"/>
          <w:marBottom w:val="160"/>
          <w:divBdr>
            <w:top w:val="none" w:sz="0" w:space="0" w:color="auto"/>
            <w:left w:val="none" w:sz="0" w:space="0" w:color="auto"/>
            <w:bottom w:val="none" w:sz="0" w:space="0" w:color="auto"/>
            <w:right w:val="none" w:sz="0" w:space="0" w:color="auto"/>
          </w:divBdr>
        </w:div>
        <w:div w:id="1955285418">
          <w:marLeft w:val="0"/>
          <w:marRight w:val="0"/>
          <w:marTop w:val="160"/>
          <w:marBottom w:val="160"/>
          <w:divBdr>
            <w:top w:val="none" w:sz="0" w:space="0" w:color="auto"/>
            <w:left w:val="none" w:sz="0" w:space="0" w:color="auto"/>
            <w:bottom w:val="none" w:sz="0" w:space="0" w:color="auto"/>
            <w:right w:val="none" w:sz="0" w:space="0" w:color="auto"/>
          </w:divBdr>
        </w:div>
        <w:div w:id="421727894">
          <w:marLeft w:val="0"/>
          <w:marRight w:val="0"/>
          <w:marTop w:val="160"/>
          <w:marBottom w:val="160"/>
          <w:divBdr>
            <w:top w:val="none" w:sz="0" w:space="0" w:color="auto"/>
            <w:left w:val="none" w:sz="0" w:space="0" w:color="auto"/>
            <w:bottom w:val="none" w:sz="0" w:space="0" w:color="auto"/>
            <w:right w:val="none" w:sz="0" w:space="0" w:color="auto"/>
          </w:divBdr>
        </w:div>
        <w:div w:id="764232424">
          <w:marLeft w:val="0"/>
          <w:marRight w:val="0"/>
          <w:marTop w:val="160"/>
          <w:marBottom w:val="160"/>
          <w:divBdr>
            <w:top w:val="none" w:sz="0" w:space="0" w:color="auto"/>
            <w:left w:val="none" w:sz="0" w:space="0" w:color="auto"/>
            <w:bottom w:val="none" w:sz="0" w:space="0" w:color="auto"/>
            <w:right w:val="none" w:sz="0" w:space="0" w:color="auto"/>
          </w:divBdr>
        </w:div>
      </w:divsChild>
    </w:div>
    <w:div w:id="1596867106">
      <w:marLeft w:val="0"/>
      <w:marRight w:val="0"/>
      <w:marTop w:val="0"/>
      <w:marBottom w:val="0"/>
      <w:divBdr>
        <w:top w:val="none" w:sz="0" w:space="0" w:color="auto"/>
        <w:left w:val="none" w:sz="0" w:space="0" w:color="auto"/>
        <w:bottom w:val="none" w:sz="0" w:space="0" w:color="auto"/>
        <w:right w:val="none" w:sz="0" w:space="0" w:color="auto"/>
      </w:divBdr>
      <w:divsChild>
        <w:div w:id="581333964">
          <w:marLeft w:val="0"/>
          <w:marRight w:val="0"/>
          <w:marTop w:val="160"/>
          <w:marBottom w:val="160"/>
          <w:divBdr>
            <w:top w:val="none" w:sz="0" w:space="0" w:color="auto"/>
            <w:left w:val="none" w:sz="0" w:space="0" w:color="auto"/>
            <w:bottom w:val="none" w:sz="0" w:space="0" w:color="auto"/>
            <w:right w:val="none" w:sz="0" w:space="0" w:color="auto"/>
          </w:divBdr>
        </w:div>
        <w:div w:id="2047871276">
          <w:marLeft w:val="0"/>
          <w:marRight w:val="0"/>
          <w:marTop w:val="160"/>
          <w:marBottom w:val="160"/>
          <w:divBdr>
            <w:top w:val="none" w:sz="0" w:space="0" w:color="auto"/>
            <w:left w:val="none" w:sz="0" w:space="0" w:color="auto"/>
            <w:bottom w:val="none" w:sz="0" w:space="0" w:color="auto"/>
            <w:right w:val="none" w:sz="0" w:space="0" w:color="auto"/>
          </w:divBdr>
        </w:div>
        <w:div w:id="1734234109">
          <w:marLeft w:val="0"/>
          <w:marRight w:val="0"/>
          <w:marTop w:val="160"/>
          <w:marBottom w:val="160"/>
          <w:divBdr>
            <w:top w:val="none" w:sz="0" w:space="0" w:color="auto"/>
            <w:left w:val="none" w:sz="0" w:space="0" w:color="auto"/>
            <w:bottom w:val="none" w:sz="0" w:space="0" w:color="auto"/>
            <w:right w:val="none" w:sz="0" w:space="0" w:color="auto"/>
          </w:divBdr>
        </w:div>
        <w:div w:id="1006323289">
          <w:marLeft w:val="0"/>
          <w:marRight w:val="0"/>
          <w:marTop w:val="160"/>
          <w:marBottom w:val="160"/>
          <w:divBdr>
            <w:top w:val="none" w:sz="0" w:space="0" w:color="auto"/>
            <w:left w:val="none" w:sz="0" w:space="0" w:color="auto"/>
            <w:bottom w:val="none" w:sz="0" w:space="0" w:color="auto"/>
            <w:right w:val="none" w:sz="0" w:space="0" w:color="auto"/>
          </w:divBdr>
        </w:div>
        <w:div w:id="1544756407">
          <w:marLeft w:val="0"/>
          <w:marRight w:val="0"/>
          <w:marTop w:val="0"/>
          <w:marBottom w:val="0"/>
          <w:divBdr>
            <w:top w:val="none" w:sz="0" w:space="0" w:color="auto"/>
            <w:left w:val="none" w:sz="0" w:space="0" w:color="auto"/>
            <w:bottom w:val="none" w:sz="0" w:space="0" w:color="auto"/>
            <w:right w:val="none" w:sz="0" w:space="0" w:color="auto"/>
          </w:divBdr>
        </w:div>
        <w:div w:id="412245515">
          <w:marLeft w:val="0"/>
          <w:marRight w:val="0"/>
          <w:marTop w:val="0"/>
          <w:marBottom w:val="0"/>
          <w:divBdr>
            <w:top w:val="none" w:sz="0" w:space="0" w:color="auto"/>
            <w:left w:val="none" w:sz="0" w:space="0" w:color="auto"/>
            <w:bottom w:val="none" w:sz="0" w:space="0" w:color="auto"/>
            <w:right w:val="none" w:sz="0" w:space="0" w:color="auto"/>
          </w:divBdr>
        </w:div>
      </w:divsChild>
    </w:div>
    <w:div w:id="1607734660">
      <w:marLeft w:val="0"/>
      <w:marRight w:val="0"/>
      <w:marTop w:val="0"/>
      <w:marBottom w:val="160"/>
      <w:divBdr>
        <w:top w:val="none" w:sz="0" w:space="0" w:color="auto"/>
        <w:left w:val="none" w:sz="0" w:space="0" w:color="auto"/>
        <w:bottom w:val="none" w:sz="0" w:space="0" w:color="auto"/>
        <w:right w:val="none" w:sz="0" w:space="0" w:color="auto"/>
      </w:divBdr>
    </w:div>
    <w:div w:id="1608385858">
      <w:marLeft w:val="0"/>
      <w:marRight w:val="0"/>
      <w:marTop w:val="160"/>
      <w:marBottom w:val="160"/>
      <w:divBdr>
        <w:top w:val="none" w:sz="0" w:space="0" w:color="auto"/>
        <w:left w:val="none" w:sz="0" w:space="0" w:color="auto"/>
        <w:bottom w:val="none" w:sz="0" w:space="0" w:color="auto"/>
        <w:right w:val="none" w:sz="0" w:space="0" w:color="auto"/>
      </w:divBdr>
    </w:div>
    <w:div w:id="1611014922">
      <w:marLeft w:val="0"/>
      <w:marRight w:val="0"/>
      <w:marTop w:val="160"/>
      <w:marBottom w:val="160"/>
      <w:divBdr>
        <w:top w:val="none" w:sz="0" w:space="0" w:color="auto"/>
        <w:left w:val="none" w:sz="0" w:space="0" w:color="auto"/>
        <w:bottom w:val="none" w:sz="0" w:space="0" w:color="auto"/>
        <w:right w:val="none" w:sz="0" w:space="0" w:color="auto"/>
      </w:divBdr>
    </w:div>
    <w:div w:id="1613904084">
      <w:marLeft w:val="0"/>
      <w:marRight w:val="0"/>
      <w:marTop w:val="160"/>
      <w:marBottom w:val="160"/>
      <w:divBdr>
        <w:top w:val="none" w:sz="0" w:space="0" w:color="auto"/>
        <w:left w:val="none" w:sz="0" w:space="0" w:color="auto"/>
        <w:bottom w:val="none" w:sz="0" w:space="0" w:color="auto"/>
        <w:right w:val="none" w:sz="0" w:space="0" w:color="auto"/>
      </w:divBdr>
    </w:div>
    <w:div w:id="1615014652">
      <w:marLeft w:val="0"/>
      <w:marRight w:val="0"/>
      <w:marTop w:val="160"/>
      <w:marBottom w:val="160"/>
      <w:divBdr>
        <w:top w:val="none" w:sz="0" w:space="0" w:color="auto"/>
        <w:left w:val="none" w:sz="0" w:space="0" w:color="auto"/>
        <w:bottom w:val="none" w:sz="0" w:space="0" w:color="auto"/>
        <w:right w:val="none" w:sz="0" w:space="0" w:color="auto"/>
      </w:divBdr>
    </w:div>
    <w:div w:id="1615820216">
      <w:marLeft w:val="0"/>
      <w:marRight w:val="0"/>
      <w:marTop w:val="160"/>
      <w:marBottom w:val="160"/>
      <w:divBdr>
        <w:top w:val="none" w:sz="0" w:space="0" w:color="auto"/>
        <w:left w:val="none" w:sz="0" w:space="0" w:color="auto"/>
        <w:bottom w:val="none" w:sz="0" w:space="0" w:color="auto"/>
        <w:right w:val="none" w:sz="0" w:space="0" w:color="auto"/>
      </w:divBdr>
    </w:div>
    <w:div w:id="1616252291">
      <w:marLeft w:val="0"/>
      <w:marRight w:val="0"/>
      <w:marTop w:val="160"/>
      <w:marBottom w:val="160"/>
      <w:divBdr>
        <w:top w:val="none" w:sz="0" w:space="0" w:color="auto"/>
        <w:left w:val="none" w:sz="0" w:space="0" w:color="auto"/>
        <w:bottom w:val="none" w:sz="0" w:space="0" w:color="auto"/>
        <w:right w:val="none" w:sz="0" w:space="0" w:color="auto"/>
      </w:divBdr>
    </w:div>
    <w:div w:id="1621764013">
      <w:marLeft w:val="0"/>
      <w:marRight w:val="0"/>
      <w:marTop w:val="160"/>
      <w:marBottom w:val="160"/>
      <w:divBdr>
        <w:top w:val="none" w:sz="0" w:space="0" w:color="auto"/>
        <w:left w:val="none" w:sz="0" w:space="0" w:color="auto"/>
        <w:bottom w:val="none" w:sz="0" w:space="0" w:color="auto"/>
        <w:right w:val="none" w:sz="0" w:space="0" w:color="auto"/>
      </w:divBdr>
    </w:div>
    <w:div w:id="1621952134">
      <w:marLeft w:val="0"/>
      <w:marRight w:val="0"/>
      <w:marTop w:val="160"/>
      <w:marBottom w:val="160"/>
      <w:divBdr>
        <w:top w:val="none" w:sz="0" w:space="0" w:color="auto"/>
        <w:left w:val="none" w:sz="0" w:space="0" w:color="auto"/>
        <w:bottom w:val="none" w:sz="0" w:space="0" w:color="auto"/>
        <w:right w:val="none" w:sz="0" w:space="0" w:color="auto"/>
      </w:divBdr>
    </w:div>
    <w:div w:id="1624120355">
      <w:marLeft w:val="0"/>
      <w:marRight w:val="0"/>
      <w:marTop w:val="0"/>
      <w:marBottom w:val="0"/>
      <w:divBdr>
        <w:top w:val="none" w:sz="0" w:space="0" w:color="auto"/>
        <w:left w:val="none" w:sz="0" w:space="0" w:color="auto"/>
        <w:bottom w:val="none" w:sz="0" w:space="0" w:color="auto"/>
        <w:right w:val="none" w:sz="0" w:space="0" w:color="auto"/>
      </w:divBdr>
    </w:div>
    <w:div w:id="1636835144">
      <w:marLeft w:val="0"/>
      <w:marRight w:val="0"/>
      <w:marTop w:val="160"/>
      <w:marBottom w:val="160"/>
      <w:divBdr>
        <w:top w:val="none" w:sz="0" w:space="0" w:color="auto"/>
        <w:left w:val="none" w:sz="0" w:space="0" w:color="auto"/>
        <w:bottom w:val="none" w:sz="0" w:space="0" w:color="auto"/>
        <w:right w:val="none" w:sz="0" w:space="0" w:color="auto"/>
      </w:divBdr>
    </w:div>
    <w:div w:id="1637108002">
      <w:marLeft w:val="0"/>
      <w:marRight w:val="0"/>
      <w:marTop w:val="0"/>
      <w:marBottom w:val="0"/>
      <w:divBdr>
        <w:top w:val="none" w:sz="0" w:space="0" w:color="auto"/>
        <w:left w:val="none" w:sz="0" w:space="0" w:color="auto"/>
        <w:bottom w:val="none" w:sz="0" w:space="0" w:color="auto"/>
        <w:right w:val="none" w:sz="0" w:space="0" w:color="auto"/>
      </w:divBdr>
      <w:divsChild>
        <w:div w:id="943265970">
          <w:marLeft w:val="0"/>
          <w:marRight w:val="0"/>
          <w:marTop w:val="0"/>
          <w:marBottom w:val="0"/>
          <w:divBdr>
            <w:top w:val="none" w:sz="0" w:space="0" w:color="auto"/>
            <w:left w:val="none" w:sz="0" w:space="0" w:color="auto"/>
            <w:bottom w:val="none" w:sz="0" w:space="0" w:color="auto"/>
            <w:right w:val="none" w:sz="0" w:space="0" w:color="auto"/>
          </w:divBdr>
        </w:div>
      </w:divsChild>
    </w:div>
    <w:div w:id="1641836245">
      <w:marLeft w:val="0"/>
      <w:marRight w:val="0"/>
      <w:marTop w:val="160"/>
      <w:marBottom w:val="160"/>
      <w:divBdr>
        <w:top w:val="none" w:sz="0" w:space="0" w:color="auto"/>
        <w:left w:val="none" w:sz="0" w:space="0" w:color="auto"/>
        <w:bottom w:val="none" w:sz="0" w:space="0" w:color="auto"/>
        <w:right w:val="none" w:sz="0" w:space="0" w:color="auto"/>
      </w:divBdr>
    </w:div>
    <w:div w:id="1645041498">
      <w:marLeft w:val="0"/>
      <w:marRight w:val="0"/>
      <w:marTop w:val="0"/>
      <w:marBottom w:val="0"/>
      <w:divBdr>
        <w:top w:val="none" w:sz="0" w:space="0" w:color="auto"/>
        <w:left w:val="none" w:sz="0" w:space="0" w:color="auto"/>
        <w:bottom w:val="none" w:sz="0" w:space="0" w:color="auto"/>
        <w:right w:val="none" w:sz="0" w:space="0" w:color="auto"/>
      </w:divBdr>
      <w:divsChild>
        <w:div w:id="2128355868">
          <w:marLeft w:val="0"/>
          <w:marRight w:val="0"/>
          <w:marTop w:val="160"/>
          <w:marBottom w:val="160"/>
          <w:divBdr>
            <w:top w:val="none" w:sz="0" w:space="0" w:color="auto"/>
            <w:left w:val="none" w:sz="0" w:space="0" w:color="auto"/>
            <w:bottom w:val="none" w:sz="0" w:space="0" w:color="auto"/>
            <w:right w:val="none" w:sz="0" w:space="0" w:color="auto"/>
          </w:divBdr>
        </w:div>
        <w:div w:id="201669811">
          <w:marLeft w:val="0"/>
          <w:marRight w:val="0"/>
          <w:marTop w:val="160"/>
          <w:marBottom w:val="160"/>
          <w:divBdr>
            <w:top w:val="none" w:sz="0" w:space="0" w:color="auto"/>
            <w:left w:val="none" w:sz="0" w:space="0" w:color="auto"/>
            <w:bottom w:val="none" w:sz="0" w:space="0" w:color="auto"/>
            <w:right w:val="none" w:sz="0" w:space="0" w:color="auto"/>
          </w:divBdr>
        </w:div>
        <w:div w:id="1091391907">
          <w:marLeft w:val="0"/>
          <w:marRight w:val="0"/>
          <w:marTop w:val="160"/>
          <w:marBottom w:val="160"/>
          <w:divBdr>
            <w:top w:val="none" w:sz="0" w:space="0" w:color="auto"/>
            <w:left w:val="none" w:sz="0" w:space="0" w:color="auto"/>
            <w:bottom w:val="none" w:sz="0" w:space="0" w:color="auto"/>
            <w:right w:val="none" w:sz="0" w:space="0" w:color="auto"/>
          </w:divBdr>
        </w:div>
        <w:div w:id="1782457158">
          <w:marLeft w:val="0"/>
          <w:marRight w:val="0"/>
          <w:marTop w:val="160"/>
          <w:marBottom w:val="160"/>
          <w:divBdr>
            <w:top w:val="none" w:sz="0" w:space="0" w:color="auto"/>
            <w:left w:val="none" w:sz="0" w:space="0" w:color="auto"/>
            <w:bottom w:val="none" w:sz="0" w:space="0" w:color="auto"/>
            <w:right w:val="none" w:sz="0" w:space="0" w:color="auto"/>
          </w:divBdr>
        </w:div>
        <w:div w:id="1452938380">
          <w:marLeft w:val="0"/>
          <w:marRight w:val="0"/>
          <w:marTop w:val="160"/>
          <w:marBottom w:val="160"/>
          <w:divBdr>
            <w:top w:val="none" w:sz="0" w:space="0" w:color="auto"/>
            <w:left w:val="none" w:sz="0" w:space="0" w:color="auto"/>
            <w:bottom w:val="none" w:sz="0" w:space="0" w:color="auto"/>
            <w:right w:val="none" w:sz="0" w:space="0" w:color="auto"/>
          </w:divBdr>
        </w:div>
        <w:div w:id="1247113967">
          <w:marLeft w:val="0"/>
          <w:marRight w:val="0"/>
          <w:marTop w:val="160"/>
          <w:marBottom w:val="160"/>
          <w:divBdr>
            <w:top w:val="none" w:sz="0" w:space="0" w:color="auto"/>
            <w:left w:val="none" w:sz="0" w:space="0" w:color="auto"/>
            <w:bottom w:val="none" w:sz="0" w:space="0" w:color="auto"/>
            <w:right w:val="none" w:sz="0" w:space="0" w:color="auto"/>
          </w:divBdr>
        </w:div>
      </w:divsChild>
    </w:div>
    <w:div w:id="1651521463">
      <w:marLeft w:val="0"/>
      <w:marRight w:val="0"/>
      <w:marTop w:val="0"/>
      <w:marBottom w:val="0"/>
      <w:divBdr>
        <w:top w:val="none" w:sz="0" w:space="0" w:color="auto"/>
        <w:left w:val="none" w:sz="0" w:space="0" w:color="auto"/>
        <w:bottom w:val="none" w:sz="0" w:space="0" w:color="auto"/>
        <w:right w:val="none" w:sz="0" w:space="0" w:color="auto"/>
      </w:divBdr>
      <w:divsChild>
        <w:div w:id="807282470">
          <w:marLeft w:val="0"/>
          <w:marRight w:val="0"/>
          <w:marTop w:val="0"/>
          <w:marBottom w:val="0"/>
          <w:divBdr>
            <w:top w:val="none" w:sz="0" w:space="0" w:color="auto"/>
            <w:left w:val="none" w:sz="0" w:space="0" w:color="auto"/>
            <w:bottom w:val="none" w:sz="0" w:space="0" w:color="auto"/>
            <w:right w:val="none" w:sz="0" w:space="0" w:color="auto"/>
          </w:divBdr>
        </w:div>
      </w:divsChild>
    </w:div>
    <w:div w:id="1652830256">
      <w:marLeft w:val="0"/>
      <w:marRight w:val="0"/>
      <w:marTop w:val="60"/>
      <w:marBottom w:val="0"/>
      <w:divBdr>
        <w:top w:val="none" w:sz="0" w:space="0" w:color="auto"/>
        <w:left w:val="none" w:sz="0" w:space="0" w:color="auto"/>
        <w:bottom w:val="none" w:sz="0" w:space="0" w:color="auto"/>
        <w:right w:val="none" w:sz="0" w:space="0" w:color="auto"/>
      </w:divBdr>
    </w:div>
    <w:div w:id="1661762895">
      <w:marLeft w:val="0"/>
      <w:marRight w:val="0"/>
      <w:marTop w:val="160"/>
      <w:marBottom w:val="160"/>
      <w:divBdr>
        <w:top w:val="none" w:sz="0" w:space="0" w:color="auto"/>
        <w:left w:val="none" w:sz="0" w:space="0" w:color="auto"/>
        <w:bottom w:val="none" w:sz="0" w:space="0" w:color="auto"/>
        <w:right w:val="none" w:sz="0" w:space="0" w:color="auto"/>
      </w:divBdr>
    </w:div>
    <w:div w:id="1664578338">
      <w:marLeft w:val="0"/>
      <w:marRight w:val="0"/>
      <w:marTop w:val="160"/>
      <w:marBottom w:val="160"/>
      <w:divBdr>
        <w:top w:val="none" w:sz="0" w:space="0" w:color="auto"/>
        <w:left w:val="none" w:sz="0" w:space="0" w:color="auto"/>
        <w:bottom w:val="none" w:sz="0" w:space="0" w:color="auto"/>
        <w:right w:val="none" w:sz="0" w:space="0" w:color="auto"/>
      </w:divBdr>
    </w:div>
    <w:div w:id="1664818828">
      <w:marLeft w:val="0"/>
      <w:marRight w:val="0"/>
      <w:marTop w:val="0"/>
      <w:marBottom w:val="0"/>
      <w:divBdr>
        <w:top w:val="none" w:sz="0" w:space="0" w:color="auto"/>
        <w:left w:val="none" w:sz="0" w:space="0" w:color="auto"/>
        <w:bottom w:val="none" w:sz="0" w:space="0" w:color="auto"/>
        <w:right w:val="none" w:sz="0" w:space="0" w:color="auto"/>
      </w:divBdr>
      <w:divsChild>
        <w:div w:id="197855774">
          <w:marLeft w:val="0"/>
          <w:marRight w:val="0"/>
          <w:marTop w:val="160"/>
          <w:marBottom w:val="160"/>
          <w:divBdr>
            <w:top w:val="none" w:sz="0" w:space="0" w:color="auto"/>
            <w:left w:val="none" w:sz="0" w:space="0" w:color="auto"/>
            <w:bottom w:val="none" w:sz="0" w:space="0" w:color="auto"/>
            <w:right w:val="none" w:sz="0" w:space="0" w:color="auto"/>
          </w:divBdr>
        </w:div>
        <w:div w:id="667907129">
          <w:marLeft w:val="0"/>
          <w:marRight w:val="0"/>
          <w:marTop w:val="160"/>
          <w:marBottom w:val="160"/>
          <w:divBdr>
            <w:top w:val="none" w:sz="0" w:space="0" w:color="auto"/>
            <w:left w:val="none" w:sz="0" w:space="0" w:color="auto"/>
            <w:bottom w:val="none" w:sz="0" w:space="0" w:color="auto"/>
            <w:right w:val="none" w:sz="0" w:space="0" w:color="auto"/>
          </w:divBdr>
        </w:div>
        <w:div w:id="1318723349">
          <w:marLeft w:val="0"/>
          <w:marRight w:val="0"/>
          <w:marTop w:val="160"/>
          <w:marBottom w:val="160"/>
          <w:divBdr>
            <w:top w:val="none" w:sz="0" w:space="0" w:color="auto"/>
            <w:left w:val="none" w:sz="0" w:space="0" w:color="auto"/>
            <w:bottom w:val="none" w:sz="0" w:space="0" w:color="auto"/>
            <w:right w:val="none" w:sz="0" w:space="0" w:color="auto"/>
          </w:divBdr>
        </w:div>
        <w:div w:id="113252727">
          <w:marLeft w:val="0"/>
          <w:marRight w:val="0"/>
          <w:marTop w:val="160"/>
          <w:marBottom w:val="160"/>
          <w:divBdr>
            <w:top w:val="none" w:sz="0" w:space="0" w:color="auto"/>
            <w:left w:val="none" w:sz="0" w:space="0" w:color="auto"/>
            <w:bottom w:val="none" w:sz="0" w:space="0" w:color="auto"/>
            <w:right w:val="none" w:sz="0" w:space="0" w:color="auto"/>
          </w:divBdr>
        </w:div>
        <w:div w:id="169562038">
          <w:marLeft w:val="0"/>
          <w:marRight w:val="0"/>
          <w:marTop w:val="160"/>
          <w:marBottom w:val="160"/>
          <w:divBdr>
            <w:top w:val="none" w:sz="0" w:space="0" w:color="auto"/>
            <w:left w:val="none" w:sz="0" w:space="0" w:color="auto"/>
            <w:bottom w:val="none" w:sz="0" w:space="0" w:color="auto"/>
            <w:right w:val="none" w:sz="0" w:space="0" w:color="auto"/>
          </w:divBdr>
        </w:div>
        <w:div w:id="386878468">
          <w:marLeft w:val="0"/>
          <w:marRight w:val="0"/>
          <w:marTop w:val="160"/>
          <w:marBottom w:val="160"/>
          <w:divBdr>
            <w:top w:val="none" w:sz="0" w:space="0" w:color="auto"/>
            <w:left w:val="none" w:sz="0" w:space="0" w:color="auto"/>
            <w:bottom w:val="none" w:sz="0" w:space="0" w:color="auto"/>
            <w:right w:val="none" w:sz="0" w:space="0" w:color="auto"/>
          </w:divBdr>
        </w:div>
      </w:divsChild>
    </w:div>
    <w:div w:id="1667975909">
      <w:marLeft w:val="0"/>
      <w:marRight w:val="0"/>
      <w:marTop w:val="160"/>
      <w:marBottom w:val="160"/>
      <w:divBdr>
        <w:top w:val="none" w:sz="0" w:space="0" w:color="auto"/>
        <w:left w:val="none" w:sz="0" w:space="0" w:color="auto"/>
        <w:bottom w:val="none" w:sz="0" w:space="0" w:color="auto"/>
        <w:right w:val="none" w:sz="0" w:space="0" w:color="auto"/>
      </w:divBdr>
    </w:div>
    <w:div w:id="1673218414">
      <w:marLeft w:val="0"/>
      <w:marRight w:val="0"/>
      <w:marTop w:val="160"/>
      <w:marBottom w:val="160"/>
      <w:divBdr>
        <w:top w:val="none" w:sz="0" w:space="0" w:color="auto"/>
        <w:left w:val="none" w:sz="0" w:space="0" w:color="auto"/>
        <w:bottom w:val="none" w:sz="0" w:space="0" w:color="auto"/>
        <w:right w:val="none" w:sz="0" w:space="0" w:color="auto"/>
      </w:divBdr>
    </w:div>
    <w:div w:id="1674989786">
      <w:marLeft w:val="0"/>
      <w:marRight w:val="0"/>
      <w:marTop w:val="160"/>
      <w:marBottom w:val="160"/>
      <w:divBdr>
        <w:top w:val="none" w:sz="0" w:space="0" w:color="auto"/>
        <w:left w:val="none" w:sz="0" w:space="0" w:color="auto"/>
        <w:bottom w:val="none" w:sz="0" w:space="0" w:color="auto"/>
        <w:right w:val="none" w:sz="0" w:space="0" w:color="auto"/>
      </w:divBdr>
    </w:div>
    <w:div w:id="1677539571">
      <w:marLeft w:val="0"/>
      <w:marRight w:val="0"/>
      <w:marTop w:val="160"/>
      <w:marBottom w:val="160"/>
      <w:divBdr>
        <w:top w:val="none" w:sz="0" w:space="0" w:color="auto"/>
        <w:left w:val="none" w:sz="0" w:space="0" w:color="auto"/>
        <w:bottom w:val="none" w:sz="0" w:space="0" w:color="auto"/>
        <w:right w:val="none" w:sz="0" w:space="0" w:color="auto"/>
      </w:divBdr>
    </w:div>
    <w:div w:id="1677682819">
      <w:marLeft w:val="0"/>
      <w:marRight w:val="0"/>
      <w:marTop w:val="0"/>
      <w:marBottom w:val="0"/>
      <w:divBdr>
        <w:top w:val="none" w:sz="0" w:space="0" w:color="auto"/>
        <w:left w:val="none" w:sz="0" w:space="0" w:color="auto"/>
        <w:bottom w:val="none" w:sz="0" w:space="0" w:color="auto"/>
        <w:right w:val="none" w:sz="0" w:space="0" w:color="auto"/>
      </w:divBdr>
      <w:divsChild>
        <w:div w:id="374086117">
          <w:marLeft w:val="0"/>
          <w:marRight w:val="0"/>
          <w:marTop w:val="0"/>
          <w:marBottom w:val="0"/>
          <w:divBdr>
            <w:top w:val="none" w:sz="0" w:space="0" w:color="auto"/>
            <w:left w:val="none" w:sz="0" w:space="0" w:color="auto"/>
            <w:bottom w:val="none" w:sz="0" w:space="0" w:color="auto"/>
            <w:right w:val="none" w:sz="0" w:space="0" w:color="auto"/>
          </w:divBdr>
        </w:div>
      </w:divsChild>
    </w:div>
    <w:div w:id="1682315909">
      <w:marLeft w:val="0"/>
      <w:marRight w:val="0"/>
      <w:marTop w:val="160"/>
      <w:marBottom w:val="160"/>
      <w:divBdr>
        <w:top w:val="none" w:sz="0" w:space="0" w:color="auto"/>
        <w:left w:val="none" w:sz="0" w:space="0" w:color="auto"/>
        <w:bottom w:val="none" w:sz="0" w:space="0" w:color="auto"/>
        <w:right w:val="none" w:sz="0" w:space="0" w:color="auto"/>
      </w:divBdr>
    </w:div>
    <w:div w:id="1691106446">
      <w:marLeft w:val="0"/>
      <w:marRight w:val="0"/>
      <w:marTop w:val="160"/>
      <w:marBottom w:val="160"/>
      <w:divBdr>
        <w:top w:val="none" w:sz="0" w:space="0" w:color="auto"/>
        <w:left w:val="none" w:sz="0" w:space="0" w:color="auto"/>
        <w:bottom w:val="none" w:sz="0" w:space="0" w:color="auto"/>
        <w:right w:val="none" w:sz="0" w:space="0" w:color="auto"/>
      </w:divBdr>
    </w:div>
    <w:div w:id="1710760755">
      <w:marLeft w:val="0"/>
      <w:marRight w:val="0"/>
      <w:marTop w:val="160"/>
      <w:marBottom w:val="160"/>
      <w:divBdr>
        <w:top w:val="none" w:sz="0" w:space="0" w:color="auto"/>
        <w:left w:val="none" w:sz="0" w:space="0" w:color="auto"/>
        <w:bottom w:val="none" w:sz="0" w:space="0" w:color="auto"/>
        <w:right w:val="none" w:sz="0" w:space="0" w:color="auto"/>
      </w:divBdr>
    </w:div>
    <w:div w:id="1712343925">
      <w:marLeft w:val="0"/>
      <w:marRight w:val="0"/>
      <w:marTop w:val="160"/>
      <w:marBottom w:val="160"/>
      <w:divBdr>
        <w:top w:val="none" w:sz="0" w:space="0" w:color="auto"/>
        <w:left w:val="none" w:sz="0" w:space="0" w:color="auto"/>
        <w:bottom w:val="none" w:sz="0" w:space="0" w:color="auto"/>
        <w:right w:val="none" w:sz="0" w:space="0" w:color="auto"/>
      </w:divBdr>
    </w:div>
    <w:div w:id="1712992960">
      <w:marLeft w:val="0"/>
      <w:marRight w:val="0"/>
      <w:marTop w:val="160"/>
      <w:marBottom w:val="160"/>
      <w:divBdr>
        <w:top w:val="none" w:sz="0" w:space="0" w:color="auto"/>
        <w:left w:val="none" w:sz="0" w:space="0" w:color="auto"/>
        <w:bottom w:val="none" w:sz="0" w:space="0" w:color="auto"/>
        <w:right w:val="none" w:sz="0" w:space="0" w:color="auto"/>
      </w:divBdr>
    </w:div>
    <w:div w:id="1717004523">
      <w:marLeft w:val="0"/>
      <w:marRight w:val="0"/>
      <w:marTop w:val="160"/>
      <w:marBottom w:val="160"/>
      <w:divBdr>
        <w:top w:val="none" w:sz="0" w:space="0" w:color="auto"/>
        <w:left w:val="none" w:sz="0" w:space="0" w:color="auto"/>
        <w:bottom w:val="none" w:sz="0" w:space="0" w:color="auto"/>
        <w:right w:val="none" w:sz="0" w:space="0" w:color="auto"/>
      </w:divBdr>
    </w:div>
    <w:div w:id="1717007871">
      <w:marLeft w:val="0"/>
      <w:marRight w:val="0"/>
      <w:marTop w:val="160"/>
      <w:marBottom w:val="160"/>
      <w:divBdr>
        <w:top w:val="none" w:sz="0" w:space="0" w:color="auto"/>
        <w:left w:val="none" w:sz="0" w:space="0" w:color="auto"/>
        <w:bottom w:val="none" w:sz="0" w:space="0" w:color="auto"/>
        <w:right w:val="none" w:sz="0" w:space="0" w:color="auto"/>
      </w:divBdr>
    </w:div>
    <w:div w:id="1718509885">
      <w:marLeft w:val="0"/>
      <w:marRight w:val="0"/>
      <w:marTop w:val="0"/>
      <w:marBottom w:val="0"/>
      <w:divBdr>
        <w:top w:val="none" w:sz="0" w:space="0" w:color="auto"/>
        <w:left w:val="none" w:sz="0" w:space="0" w:color="auto"/>
        <w:bottom w:val="none" w:sz="0" w:space="0" w:color="auto"/>
        <w:right w:val="none" w:sz="0" w:space="0" w:color="auto"/>
      </w:divBdr>
      <w:divsChild>
        <w:div w:id="2027095637">
          <w:marLeft w:val="0"/>
          <w:marRight w:val="0"/>
          <w:marTop w:val="0"/>
          <w:marBottom w:val="0"/>
          <w:divBdr>
            <w:top w:val="none" w:sz="0" w:space="0" w:color="auto"/>
            <w:left w:val="none" w:sz="0" w:space="0" w:color="auto"/>
            <w:bottom w:val="none" w:sz="0" w:space="0" w:color="auto"/>
            <w:right w:val="none" w:sz="0" w:space="0" w:color="auto"/>
          </w:divBdr>
        </w:div>
      </w:divsChild>
    </w:div>
    <w:div w:id="1720737027">
      <w:marLeft w:val="0"/>
      <w:marRight w:val="0"/>
      <w:marTop w:val="100"/>
      <w:marBottom w:val="160"/>
      <w:divBdr>
        <w:top w:val="none" w:sz="0" w:space="0" w:color="auto"/>
        <w:left w:val="none" w:sz="0" w:space="0" w:color="auto"/>
        <w:bottom w:val="none" w:sz="0" w:space="0" w:color="auto"/>
        <w:right w:val="none" w:sz="0" w:space="0" w:color="auto"/>
      </w:divBdr>
    </w:div>
    <w:div w:id="1733310548">
      <w:marLeft w:val="0"/>
      <w:marRight w:val="0"/>
      <w:marTop w:val="160"/>
      <w:marBottom w:val="160"/>
      <w:divBdr>
        <w:top w:val="none" w:sz="0" w:space="0" w:color="auto"/>
        <w:left w:val="none" w:sz="0" w:space="0" w:color="auto"/>
        <w:bottom w:val="none" w:sz="0" w:space="0" w:color="auto"/>
        <w:right w:val="none" w:sz="0" w:space="0" w:color="auto"/>
      </w:divBdr>
    </w:div>
    <w:div w:id="1735152781">
      <w:marLeft w:val="0"/>
      <w:marRight w:val="0"/>
      <w:marTop w:val="160"/>
      <w:marBottom w:val="160"/>
      <w:divBdr>
        <w:top w:val="none" w:sz="0" w:space="0" w:color="auto"/>
        <w:left w:val="none" w:sz="0" w:space="0" w:color="auto"/>
        <w:bottom w:val="none" w:sz="0" w:space="0" w:color="auto"/>
        <w:right w:val="none" w:sz="0" w:space="0" w:color="auto"/>
      </w:divBdr>
    </w:div>
    <w:div w:id="1743872595">
      <w:marLeft w:val="0"/>
      <w:marRight w:val="0"/>
      <w:marTop w:val="160"/>
      <w:marBottom w:val="160"/>
      <w:divBdr>
        <w:top w:val="none" w:sz="0" w:space="0" w:color="auto"/>
        <w:left w:val="none" w:sz="0" w:space="0" w:color="auto"/>
        <w:bottom w:val="none" w:sz="0" w:space="0" w:color="auto"/>
        <w:right w:val="none" w:sz="0" w:space="0" w:color="auto"/>
      </w:divBdr>
    </w:div>
    <w:div w:id="1756826530">
      <w:marLeft w:val="0"/>
      <w:marRight w:val="0"/>
      <w:marTop w:val="160"/>
      <w:marBottom w:val="160"/>
      <w:divBdr>
        <w:top w:val="none" w:sz="0" w:space="0" w:color="auto"/>
        <w:left w:val="none" w:sz="0" w:space="0" w:color="auto"/>
        <w:bottom w:val="none" w:sz="0" w:space="0" w:color="auto"/>
        <w:right w:val="none" w:sz="0" w:space="0" w:color="auto"/>
      </w:divBdr>
    </w:div>
    <w:div w:id="1762526883">
      <w:marLeft w:val="0"/>
      <w:marRight w:val="0"/>
      <w:marTop w:val="160"/>
      <w:marBottom w:val="160"/>
      <w:divBdr>
        <w:top w:val="none" w:sz="0" w:space="0" w:color="auto"/>
        <w:left w:val="none" w:sz="0" w:space="0" w:color="auto"/>
        <w:bottom w:val="none" w:sz="0" w:space="0" w:color="auto"/>
        <w:right w:val="none" w:sz="0" w:space="0" w:color="auto"/>
      </w:divBdr>
    </w:div>
    <w:div w:id="1763524951">
      <w:marLeft w:val="0"/>
      <w:marRight w:val="0"/>
      <w:marTop w:val="160"/>
      <w:marBottom w:val="160"/>
      <w:divBdr>
        <w:top w:val="none" w:sz="0" w:space="0" w:color="auto"/>
        <w:left w:val="none" w:sz="0" w:space="0" w:color="auto"/>
        <w:bottom w:val="none" w:sz="0" w:space="0" w:color="auto"/>
        <w:right w:val="none" w:sz="0" w:space="0" w:color="auto"/>
      </w:divBdr>
    </w:div>
    <w:div w:id="1779182627">
      <w:marLeft w:val="0"/>
      <w:marRight w:val="0"/>
      <w:marTop w:val="0"/>
      <w:marBottom w:val="0"/>
      <w:divBdr>
        <w:top w:val="none" w:sz="0" w:space="0" w:color="auto"/>
        <w:left w:val="none" w:sz="0" w:space="0" w:color="auto"/>
        <w:bottom w:val="none" w:sz="0" w:space="0" w:color="auto"/>
        <w:right w:val="none" w:sz="0" w:space="0" w:color="auto"/>
      </w:divBdr>
      <w:divsChild>
        <w:div w:id="584850543">
          <w:marLeft w:val="0"/>
          <w:marRight w:val="0"/>
          <w:marTop w:val="0"/>
          <w:marBottom w:val="0"/>
          <w:divBdr>
            <w:top w:val="none" w:sz="0" w:space="0" w:color="auto"/>
            <w:left w:val="none" w:sz="0" w:space="0" w:color="auto"/>
            <w:bottom w:val="none" w:sz="0" w:space="0" w:color="auto"/>
            <w:right w:val="none" w:sz="0" w:space="0" w:color="auto"/>
          </w:divBdr>
        </w:div>
      </w:divsChild>
    </w:div>
    <w:div w:id="1780903604">
      <w:marLeft w:val="0"/>
      <w:marRight w:val="0"/>
      <w:marTop w:val="160"/>
      <w:marBottom w:val="160"/>
      <w:divBdr>
        <w:top w:val="none" w:sz="0" w:space="0" w:color="auto"/>
        <w:left w:val="none" w:sz="0" w:space="0" w:color="auto"/>
        <w:bottom w:val="none" w:sz="0" w:space="0" w:color="auto"/>
        <w:right w:val="none" w:sz="0" w:space="0" w:color="auto"/>
      </w:divBdr>
    </w:div>
    <w:div w:id="1785878307">
      <w:marLeft w:val="0"/>
      <w:marRight w:val="0"/>
      <w:marTop w:val="0"/>
      <w:marBottom w:val="0"/>
      <w:divBdr>
        <w:top w:val="none" w:sz="0" w:space="0" w:color="auto"/>
        <w:left w:val="none" w:sz="0" w:space="0" w:color="auto"/>
        <w:bottom w:val="none" w:sz="0" w:space="0" w:color="auto"/>
        <w:right w:val="none" w:sz="0" w:space="0" w:color="auto"/>
      </w:divBdr>
    </w:div>
    <w:div w:id="1790584372">
      <w:marLeft w:val="0"/>
      <w:marRight w:val="0"/>
      <w:marTop w:val="160"/>
      <w:marBottom w:val="160"/>
      <w:divBdr>
        <w:top w:val="none" w:sz="0" w:space="0" w:color="auto"/>
        <w:left w:val="none" w:sz="0" w:space="0" w:color="auto"/>
        <w:bottom w:val="none" w:sz="0" w:space="0" w:color="auto"/>
        <w:right w:val="none" w:sz="0" w:space="0" w:color="auto"/>
      </w:divBdr>
    </w:div>
    <w:div w:id="1794908260">
      <w:marLeft w:val="0"/>
      <w:marRight w:val="0"/>
      <w:marTop w:val="0"/>
      <w:marBottom w:val="0"/>
      <w:divBdr>
        <w:top w:val="none" w:sz="0" w:space="0" w:color="auto"/>
        <w:left w:val="none" w:sz="0" w:space="0" w:color="auto"/>
        <w:bottom w:val="none" w:sz="0" w:space="0" w:color="auto"/>
        <w:right w:val="none" w:sz="0" w:space="0" w:color="auto"/>
      </w:divBdr>
    </w:div>
    <w:div w:id="1800143301">
      <w:marLeft w:val="0"/>
      <w:marRight w:val="0"/>
      <w:marTop w:val="160"/>
      <w:marBottom w:val="160"/>
      <w:divBdr>
        <w:top w:val="none" w:sz="0" w:space="0" w:color="auto"/>
        <w:left w:val="none" w:sz="0" w:space="0" w:color="auto"/>
        <w:bottom w:val="none" w:sz="0" w:space="0" w:color="auto"/>
        <w:right w:val="none" w:sz="0" w:space="0" w:color="auto"/>
      </w:divBdr>
    </w:div>
    <w:div w:id="1803648698">
      <w:marLeft w:val="0"/>
      <w:marRight w:val="0"/>
      <w:marTop w:val="160"/>
      <w:marBottom w:val="160"/>
      <w:divBdr>
        <w:top w:val="none" w:sz="0" w:space="0" w:color="auto"/>
        <w:left w:val="none" w:sz="0" w:space="0" w:color="auto"/>
        <w:bottom w:val="none" w:sz="0" w:space="0" w:color="auto"/>
        <w:right w:val="none" w:sz="0" w:space="0" w:color="auto"/>
      </w:divBdr>
    </w:div>
    <w:div w:id="1815482954">
      <w:marLeft w:val="0"/>
      <w:marRight w:val="0"/>
      <w:marTop w:val="160"/>
      <w:marBottom w:val="160"/>
      <w:divBdr>
        <w:top w:val="none" w:sz="0" w:space="0" w:color="auto"/>
        <w:left w:val="none" w:sz="0" w:space="0" w:color="auto"/>
        <w:bottom w:val="none" w:sz="0" w:space="0" w:color="auto"/>
        <w:right w:val="none" w:sz="0" w:space="0" w:color="auto"/>
      </w:divBdr>
    </w:div>
    <w:div w:id="1815681393">
      <w:marLeft w:val="0"/>
      <w:marRight w:val="0"/>
      <w:marTop w:val="160"/>
      <w:marBottom w:val="160"/>
      <w:divBdr>
        <w:top w:val="none" w:sz="0" w:space="0" w:color="auto"/>
        <w:left w:val="none" w:sz="0" w:space="0" w:color="auto"/>
        <w:bottom w:val="none" w:sz="0" w:space="0" w:color="auto"/>
        <w:right w:val="none" w:sz="0" w:space="0" w:color="auto"/>
      </w:divBdr>
    </w:div>
    <w:div w:id="1822698307">
      <w:marLeft w:val="0"/>
      <w:marRight w:val="0"/>
      <w:marTop w:val="160"/>
      <w:marBottom w:val="160"/>
      <w:divBdr>
        <w:top w:val="none" w:sz="0" w:space="0" w:color="auto"/>
        <w:left w:val="none" w:sz="0" w:space="0" w:color="auto"/>
        <w:bottom w:val="none" w:sz="0" w:space="0" w:color="auto"/>
        <w:right w:val="none" w:sz="0" w:space="0" w:color="auto"/>
      </w:divBdr>
    </w:div>
    <w:div w:id="1823157813">
      <w:marLeft w:val="0"/>
      <w:marRight w:val="0"/>
      <w:marTop w:val="160"/>
      <w:marBottom w:val="160"/>
      <w:divBdr>
        <w:top w:val="none" w:sz="0" w:space="0" w:color="auto"/>
        <w:left w:val="none" w:sz="0" w:space="0" w:color="auto"/>
        <w:bottom w:val="none" w:sz="0" w:space="0" w:color="auto"/>
        <w:right w:val="none" w:sz="0" w:space="0" w:color="auto"/>
      </w:divBdr>
    </w:div>
    <w:div w:id="1827555125">
      <w:marLeft w:val="0"/>
      <w:marRight w:val="0"/>
      <w:marTop w:val="160"/>
      <w:marBottom w:val="160"/>
      <w:divBdr>
        <w:top w:val="none" w:sz="0" w:space="0" w:color="auto"/>
        <w:left w:val="none" w:sz="0" w:space="0" w:color="auto"/>
        <w:bottom w:val="none" w:sz="0" w:space="0" w:color="auto"/>
        <w:right w:val="none" w:sz="0" w:space="0" w:color="auto"/>
      </w:divBdr>
    </w:div>
    <w:div w:id="1830976114">
      <w:marLeft w:val="0"/>
      <w:marRight w:val="0"/>
      <w:marTop w:val="160"/>
      <w:marBottom w:val="160"/>
      <w:divBdr>
        <w:top w:val="none" w:sz="0" w:space="0" w:color="auto"/>
        <w:left w:val="none" w:sz="0" w:space="0" w:color="auto"/>
        <w:bottom w:val="none" w:sz="0" w:space="0" w:color="auto"/>
        <w:right w:val="none" w:sz="0" w:space="0" w:color="auto"/>
      </w:divBdr>
    </w:div>
    <w:div w:id="1835879397">
      <w:marLeft w:val="0"/>
      <w:marRight w:val="0"/>
      <w:marTop w:val="0"/>
      <w:marBottom w:val="0"/>
      <w:divBdr>
        <w:top w:val="none" w:sz="0" w:space="0" w:color="auto"/>
        <w:left w:val="none" w:sz="0" w:space="0" w:color="auto"/>
        <w:bottom w:val="none" w:sz="0" w:space="0" w:color="auto"/>
        <w:right w:val="none" w:sz="0" w:space="0" w:color="auto"/>
      </w:divBdr>
      <w:divsChild>
        <w:div w:id="268464886">
          <w:marLeft w:val="0"/>
          <w:marRight w:val="0"/>
          <w:marTop w:val="0"/>
          <w:marBottom w:val="0"/>
          <w:divBdr>
            <w:top w:val="none" w:sz="0" w:space="0" w:color="auto"/>
            <w:left w:val="none" w:sz="0" w:space="0" w:color="auto"/>
            <w:bottom w:val="none" w:sz="0" w:space="0" w:color="auto"/>
            <w:right w:val="none" w:sz="0" w:space="0" w:color="auto"/>
          </w:divBdr>
        </w:div>
      </w:divsChild>
    </w:div>
    <w:div w:id="1845632830">
      <w:marLeft w:val="0"/>
      <w:marRight w:val="0"/>
      <w:marTop w:val="160"/>
      <w:marBottom w:val="40"/>
      <w:divBdr>
        <w:top w:val="none" w:sz="0" w:space="0" w:color="auto"/>
        <w:left w:val="none" w:sz="0" w:space="0" w:color="auto"/>
        <w:bottom w:val="none" w:sz="0" w:space="0" w:color="auto"/>
        <w:right w:val="none" w:sz="0" w:space="0" w:color="auto"/>
      </w:divBdr>
    </w:div>
    <w:div w:id="1860730196">
      <w:marLeft w:val="0"/>
      <w:marRight w:val="0"/>
      <w:marTop w:val="160"/>
      <w:marBottom w:val="160"/>
      <w:divBdr>
        <w:top w:val="none" w:sz="0" w:space="0" w:color="auto"/>
        <w:left w:val="none" w:sz="0" w:space="0" w:color="auto"/>
        <w:bottom w:val="none" w:sz="0" w:space="0" w:color="auto"/>
        <w:right w:val="none" w:sz="0" w:space="0" w:color="auto"/>
      </w:divBdr>
    </w:div>
    <w:div w:id="1861235168">
      <w:marLeft w:val="0"/>
      <w:marRight w:val="0"/>
      <w:marTop w:val="0"/>
      <w:marBottom w:val="0"/>
      <w:divBdr>
        <w:top w:val="none" w:sz="0" w:space="0" w:color="auto"/>
        <w:left w:val="none" w:sz="0" w:space="0" w:color="auto"/>
        <w:bottom w:val="none" w:sz="0" w:space="0" w:color="auto"/>
        <w:right w:val="none" w:sz="0" w:space="0" w:color="auto"/>
      </w:divBdr>
      <w:divsChild>
        <w:div w:id="1914391910">
          <w:marLeft w:val="0"/>
          <w:marRight w:val="0"/>
          <w:marTop w:val="0"/>
          <w:marBottom w:val="0"/>
          <w:divBdr>
            <w:top w:val="none" w:sz="0" w:space="0" w:color="auto"/>
            <w:left w:val="none" w:sz="0" w:space="0" w:color="auto"/>
            <w:bottom w:val="none" w:sz="0" w:space="0" w:color="auto"/>
            <w:right w:val="none" w:sz="0" w:space="0" w:color="auto"/>
          </w:divBdr>
        </w:div>
      </w:divsChild>
    </w:div>
    <w:div w:id="1863785930">
      <w:marLeft w:val="0"/>
      <w:marRight w:val="0"/>
      <w:marTop w:val="160"/>
      <w:marBottom w:val="160"/>
      <w:divBdr>
        <w:top w:val="none" w:sz="0" w:space="0" w:color="auto"/>
        <w:left w:val="none" w:sz="0" w:space="0" w:color="auto"/>
        <w:bottom w:val="none" w:sz="0" w:space="0" w:color="auto"/>
        <w:right w:val="none" w:sz="0" w:space="0" w:color="auto"/>
      </w:divBdr>
    </w:div>
    <w:div w:id="1865749851">
      <w:marLeft w:val="0"/>
      <w:marRight w:val="0"/>
      <w:marTop w:val="160"/>
      <w:marBottom w:val="160"/>
      <w:divBdr>
        <w:top w:val="none" w:sz="0" w:space="0" w:color="auto"/>
        <w:left w:val="none" w:sz="0" w:space="0" w:color="auto"/>
        <w:bottom w:val="none" w:sz="0" w:space="0" w:color="auto"/>
        <w:right w:val="none" w:sz="0" w:space="0" w:color="auto"/>
      </w:divBdr>
    </w:div>
    <w:div w:id="1869218304">
      <w:marLeft w:val="0"/>
      <w:marRight w:val="0"/>
      <w:marTop w:val="160"/>
      <w:marBottom w:val="160"/>
      <w:divBdr>
        <w:top w:val="none" w:sz="0" w:space="0" w:color="auto"/>
        <w:left w:val="none" w:sz="0" w:space="0" w:color="auto"/>
        <w:bottom w:val="none" w:sz="0" w:space="0" w:color="auto"/>
        <w:right w:val="none" w:sz="0" w:space="0" w:color="auto"/>
      </w:divBdr>
    </w:div>
    <w:div w:id="1869484444">
      <w:marLeft w:val="0"/>
      <w:marRight w:val="0"/>
      <w:marTop w:val="0"/>
      <w:marBottom w:val="0"/>
      <w:divBdr>
        <w:top w:val="none" w:sz="0" w:space="0" w:color="auto"/>
        <w:left w:val="none" w:sz="0" w:space="0" w:color="auto"/>
        <w:bottom w:val="none" w:sz="0" w:space="0" w:color="auto"/>
        <w:right w:val="none" w:sz="0" w:space="0" w:color="auto"/>
      </w:divBdr>
      <w:divsChild>
        <w:div w:id="1605533124">
          <w:marLeft w:val="0"/>
          <w:marRight w:val="0"/>
          <w:marTop w:val="0"/>
          <w:marBottom w:val="0"/>
          <w:divBdr>
            <w:top w:val="none" w:sz="0" w:space="0" w:color="auto"/>
            <w:left w:val="none" w:sz="0" w:space="0" w:color="auto"/>
            <w:bottom w:val="none" w:sz="0" w:space="0" w:color="auto"/>
            <w:right w:val="none" w:sz="0" w:space="0" w:color="auto"/>
          </w:divBdr>
        </w:div>
      </w:divsChild>
    </w:div>
    <w:div w:id="1874272091">
      <w:marLeft w:val="0"/>
      <w:marRight w:val="0"/>
      <w:marTop w:val="160"/>
      <w:marBottom w:val="160"/>
      <w:divBdr>
        <w:top w:val="none" w:sz="0" w:space="0" w:color="auto"/>
        <w:left w:val="none" w:sz="0" w:space="0" w:color="auto"/>
        <w:bottom w:val="none" w:sz="0" w:space="0" w:color="auto"/>
        <w:right w:val="none" w:sz="0" w:space="0" w:color="auto"/>
      </w:divBdr>
    </w:div>
    <w:div w:id="1875077007">
      <w:marLeft w:val="0"/>
      <w:marRight w:val="0"/>
      <w:marTop w:val="160"/>
      <w:marBottom w:val="160"/>
      <w:divBdr>
        <w:top w:val="none" w:sz="0" w:space="0" w:color="auto"/>
        <w:left w:val="none" w:sz="0" w:space="0" w:color="auto"/>
        <w:bottom w:val="none" w:sz="0" w:space="0" w:color="auto"/>
        <w:right w:val="none" w:sz="0" w:space="0" w:color="auto"/>
      </w:divBdr>
    </w:div>
    <w:div w:id="1875533987">
      <w:marLeft w:val="0"/>
      <w:marRight w:val="0"/>
      <w:marTop w:val="160"/>
      <w:marBottom w:val="160"/>
      <w:divBdr>
        <w:top w:val="none" w:sz="0" w:space="0" w:color="auto"/>
        <w:left w:val="none" w:sz="0" w:space="0" w:color="auto"/>
        <w:bottom w:val="none" w:sz="0" w:space="0" w:color="auto"/>
        <w:right w:val="none" w:sz="0" w:space="0" w:color="auto"/>
      </w:divBdr>
    </w:div>
    <w:div w:id="1878926090">
      <w:marLeft w:val="0"/>
      <w:marRight w:val="0"/>
      <w:marTop w:val="0"/>
      <w:marBottom w:val="0"/>
      <w:divBdr>
        <w:top w:val="none" w:sz="0" w:space="0" w:color="auto"/>
        <w:left w:val="none" w:sz="0" w:space="0" w:color="auto"/>
        <w:bottom w:val="none" w:sz="0" w:space="0" w:color="auto"/>
        <w:right w:val="none" w:sz="0" w:space="0" w:color="auto"/>
      </w:divBdr>
      <w:divsChild>
        <w:div w:id="2109695633">
          <w:marLeft w:val="0"/>
          <w:marRight w:val="0"/>
          <w:marTop w:val="0"/>
          <w:marBottom w:val="0"/>
          <w:divBdr>
            <w:top w:val="none" w:sz="0" w:space="0" w:color="auto"/>
            <w:left w:val="none" w:sz="0" w:space="0" w:color="auto"/>
            <w:bottom w:val="none" w:sz="0" w:space="0" w:color="auto"/>
            <w:right w:val="none" w:sz="0" w:space="0" w:color="auto"/>
          </w:divBdr>
        </w:div>
      </w:divsChild>
    </w:div>
    <w:div w:id="1886015298">
      <w:marLeft w:val="0"/>
      <w:marRight w:val="0"/>
      <w:marTop w:val="160"/>
      <w:marBottom w:val="160"/>
      <w:divBdr>
        <w:top w:val="none" w:sz="0" w:space="0" w:color="auto"/>
        <w:left w:val="none" w:sz="0" w:space="0" w:color="auto"/>
        <w:bottom w:val="none" w:sz="0" w:space="0" w:color="auto"/>
        <w:right w:val="none" w:sz="0" w:space="0" w:color="auto"/>
      </w:divBdr>
    </w:div>
    <w:div w:id="1888447860">
      <w:marLeft w:val="0"/>
      <w:marRight w:val="0"/>
      <w:marTop w:val="160"/>
      <w:marBottom w:val="160"/>
      <w:divBdr>
        <w:top w:val="none" w:sz="0" w:space="0" w:color="auto"/>
        <w:left w:val="none" w:sz="0" w:space="0" w:color="auto"/>
        <w:bottom w:val="none" w:sz="0" w:space="0" w:color="auto"/>
        <w:right w:val="none" w:sz="0" w:space="0" w:color="auto"/>
      </w:divBdr>
    </w:div>
    <w:div w:id="1901281676">
      <w:marLeft w:val="0"/>
      <w:marRight w:val="0"/>
      <w:marTop w:val="160"/>
      <w:marBottom w:val="160"/>
      <w:divBdr>
        <w:top w:val="none" w:sz="0" w:space="0" w:color="auto"/>
        <w:left w:val="none" w:sz="0" w:space="0" w:color="auto"/>
        <w:bottom w:val="none" w:sz="0" w:space="0" w:color="auto"/>
        <w:right w:val="none" w:sz="0" w:space="0" w:color="auto"/>
      </w:divBdr>
    </w:div>
    <w:div w:id="1905679789">
      <w:marLeft w:val="0"/>
      <w:marRight w:val="0"/>
      <w:marTop w:val="160"/>
      <w:marBottom w:val="160"/>
      <w:divBdr>
        <w:top w:val="none" w:sz="0" w:space="0" w:color="auto"/>
        <w:left w:val="none" w:sz="0" w:space="0" w:color="auto"/>
        <w:bottom w:val="none" w:sz="0" w:space="0" w:color="auto"/>
        <w:right w:val="none" w:sz="0" w:space="0" w:color="auto"/>
      </w:divBdr>
    </w:div>
    <w:div w:id="1907454173">
      <w:marLeft w:val="0"/>
      <w:marRight w:val="0"/>
      <w:marTop w:val="160"/>
      <w:marBottom w:val="160"/>
      <w:divBdr>
        <w:top w:val="none" w:sz="0" w:space="0" w:color="auto"/>
        <w:left w:val="none" w:sz="0" w:space="0" w:color="auto"/>
        <w:bottom w:val="none" w:sz="0" w:space="0" w:color="auto"/>
        <w:right w:val="none" w:sz="0" w:space="0" w:color="auto"/>
      </w:divBdr>
    </w:div>
    <w:div w:id="1907497527">
      <w:marLeft w:val="0"/>
      <w:marRight w:val="0"/>
      <w:marTop w:val="160"/>
      <w:marBottom w:val="160"/>
      <w:divBdr>
        <w:top w:val="none" w:sz="0" w:space="0" w:color="auto"/>
        <w:left w:val="none" w:sz="0" w:space="0" w:color="auto"/>
        <w:bottom w:val="none" w:sz="0" w:space="0" w:color="auto"/>
        <w:right w:val="none" w:sz="0" w:space="0" w:color="auto"/>
      </w:divBdr>
    </w:div>
    <w:div w:id="1912499020">
      <w:marLeft w:val="0"/>
      <w:marRight w:val="0"/>
      <w:marTop w:val="0"/>
      <w:marBottom w:val="0"/>
      <w:divBdr>
        <w:top w:val="none" w:sz="0" w:space="0" w:color="auto"/>
        <w:left w:val="none" w:sz="0" w:space="0" w:color="auto"/>
        <w:bottom w:val="none" w:sz="0" w:space="0" w:color="auto"/>
        <w:right w:val="none" w:sz="0" w:space="0" w:color="auto"/>
      </w:divBdr>
      <w:divsChild>
        <w:div w:id="144130935">
          <w:marLeft w:val="0"/>
          <w:marRight w:val="0"/>
          <w:marTop w:val="160"/>
          <w:marBottom w:val="0"/>
          <w:divBdr>
            <w:top w:val="none" w:sz="0" w:space="0" w:color="auto"/>
            <w:left w:val="none" w:sz="0" w:space="0" w:color="auto"/>
            <w:bottom w:val="none" w:sz="0" w:space="0" w:color="auto"/>
            <w:right w:val="none" w:sz="0" w:space="0" w:color="auto"/>
          </w:divBdr>
        </w:div>
        <w:div w:id="1096094763">
          <w:marLeft w:val="0"/>
          <w:marRight w:val="0"/>
          <w:marTop w:val="160"/>
          <w:marBottom w:val="0"/>
          <w:divBdr>
            <w:top w:val="none" w:sz="0" w:space="0" w:color="auto"/>
            <w:left w:val="none" w:sz="0" w:space="0" w:color="auto"/>
            <w:bottom w:val="none" w:sz="0" w:space="0" w:color="auto"/>
            <w:right w:val="none" w:sz="0" w:space="0" w:color="auto"/>
          </w:divBdr>
        </w:div>
        <w:div w:id="1207526731">
          <w:marLeft w:val="0"/>
          <w:marRight w:val="0"/>
          <w:marTop w:val="160"/>
          <w:marBottom w:val="160"/>
          <w:divBdr>
            <w:top w:val="none" w:sz="0" w:space="0" w:color="auto"/>
            <w:left w:val="none" w:sz="0" w:space="0" w:color="auto"/>
            <w:bottom w:val="none" w:sz="0" w:space="0" w:color="auto"/>
            <w:right w:val="none" w:sz="0" w:space="0" w:color="auto"/>
          </w:divBdr>
        </w:div>
        <w:div w:id="107430388">
          <w:marLeft w:val="0"/>
          <w:marRight w:val="0"/>
          <w:marTop w:val="160"/>
          <w:marBottom w:val="160"/>
          <w:divBdr>
            <w:top w:val="none" w:sz="0" w:space="0" w:color="auto"/>
            <w:left w:val="none" w:sz="0" w:space="0" w:color="auto"/>
            <w:bottom w:val="none" w:sz="0" w:space="0" w:color="auto"/>
            <w:right w:val="none" w:sz="0" w:space="0" w:color="auto"/>
          </w:divBdr>
        </w:div>
        <w:div w:id="913010855">
          <w:marLeft w:val="0"/>
          <w:marRight w:val="0"/>
          <w:marTop w:val="160"/>
          <w:marBottom w:val="160"/>
          <w:divBdr>
            <w:top w:val="none" w:sz="0" w:space="0" w:color="auto"/>
            <w:left w:val="none" w:sz="0" w:space="0" w:color="auto"/>
            <w:bottom w:val="none" w:sz="0" w:space="0" w:color="auto"/>
            <w:right w:val="none" w:sz="0" w:space="0" w:color="auto"/>
          </w:divBdr>
        </w:div>
      </w:divsChild>
    </w:div>
    <w:div w:id="1914390479">
      <w:marLeft w:val="0"/>
      <w:marRight w:val="0"/>
      <w:marTop w:val="160"/>
      <w:marBottom w:val="160"/>
      <w:divBdr>
        <w:top w:val="none" w:sz="0" w:space="0" w:color="auto"/>
        <w:left w:val="none" w:sz="0" w:space="0" w:color="auto"/>
        <w:bottom w:val="none" w:sz="0" w:space="0" w:color="auto"/>
        <w:right w:val="none" w:sz="0" w:space="0" w:color="auto"/>
      </w:divBdr>
    </w:div>
    <w:div w:id="1914850565">
      <w:marLeft w:val="0"/>
      <w:marRight w:val="0"/>
      <w:marTop w:val="0"/>
      <w:marBottom w:val="0"/>
      <w:divBdr>
        <w:top w:val="none" w:sz="0" w:space="0" w:color="auto"/>
        <w:left w:val="none" w:sz="0" w:space="0" w:color="auto"/>
        <w:bottom w:val="none" w:sz="0" w:space="0" w:color="auto"/>
        <w:right w:val="none" w:sz="0" w:space="0" w:color="auto"/>
      </w:divBdr>
      <w:divsChild>
        <w:div w:id="1653482828">
          <w:marLeft w:val="0"/>
          <w:marRight w:val="0"/>
          <w:marTop w:val="0"/>
          <w:marBottom w:val="0"/>
          <w:divBdr>
            <w:top w:val="none" w:sz="0" w:space="0" w:color="auto"/>
            <w:left w:val="none" w:sz="0" w:space="0" w:color="auto"/>
            <w:bottom w:val="none" w:sz="0" w:space="0" w:color="auto"/>
            <w:right w:val="none" w:sz="0" w:space="0" w:color="auto"/>
          </w:divBdr>
        </w:div>
      </w:divsChild>
    </w:div>
    <w:div w:id="1917781604">
      <w:marLeft w:val="0"/>
      <w:marRight w:val="0"/>
      <w:marTop w:val="160"/>
      <w:marBottom w:val="160"/>
      <w:divBdr>
        <w:top w:val="none" w:sz="0" w:space="0" w:color="auto"/>
        <w:left w:val="none" w:sz="0" w:space="0" w:color="auto"/>
        <w:bottom w:val="none" w:sz="0" w:space="0" w:color="auto"/>
        <w:right w:val="none" w:sz="0" w:space="0" w:color="auto"/>
      </w:divBdr>
    </w:div>
    <w:div w:id="1920094770">
      <w:marLeft w:val="0"/>
      <w:marRight w:val="0"/>
      <w:marTop w:val="0"/>
      <w:marBottom w:val="0"/>
      <w:divBdr>
        <w:top w:val="none" w:sz="0" w:space="0" w:color="auto"/>
        <w:left w:val="none" w:sz="0" w:space="0" w:color="auto"/>
        <w:bottom w:val="none" w:sz="0" w:space="0" w:color="auto"/>
        <w:right w:val="none" w:sz="0" w:space="0" w:color="auto"/>
      </w:divBdr>
    </w:div>
    <w:div w:id="1921909462">
      <w:marLeft w:val="0"/>
      <w:marRight w:val="0"/>
      <w:marTop w:val="160"/>
      <w:marBottom w:val="160"/>
      <w:divBdr>
        <w:top w:val="none" w:sz="0" w:space="0" w:color="auto"/>
        <w:left w:val="none" w:sz="0" w:space="0" w:color="auto"/>
        <w:bottom w:val="none" w:sz="0" w:space="0" w:color="auto"/>
        <w:right w:val="none" w:sz="0" w:space="0" w:color="auto"/>
      </w:divBdr>
    </w:div>
    <w:div w:id="1929775286">
      <w:marLeft w:val="0"/>
      <w:marRight w:val="0"/>
      <w:marTop w:val="60"/>
      <w:marBottom w:val="0"/>
      <w:divBdr>
        <w:top w:val="none" w:sz="0" w:space="0" w:color="auto"/>
        <w:left w:val="none" w:sz="0" w:space="0" w:color="auto"/>
        <w:bottom w:val="none" w:sz="0" w:space="0" w:color="auto"/>
        <w:right w:val="none" w:sz="0" w:space="0" w:color="auto"/>
      </w:divBdr>
    </w:div>
    <w:div w:id="1942256800">
      <w:marLeft w:val="0"/>
      <w:marRight w:val="0"/>
      <w:marTop w:val="160"/>
      <w:marBottom w:val="160"/>
      <w:divBdr>
        <w:top w:val="none" w:sz="0" w:space="0" w:color="auto"/>
        <w:left w:val="none" w:sz="0" w:space="0" w:color="auto"/>
        <w:bottom w:val="none" w:sz="0" w:space="0" w:color="auto"/>
        <w:right w:val="none" w:sz="0" w:space="0" w:color="auto"/>
      </w:divBdr>
    </w:div>
    <w:div w:id="1942764004">
      <w:marLeft w:val="0"/>
      <w:marRight w:val="0"/>
      <w:marTop w:val="160"/>
      <w:marBottom w:val="160"/>
      <w:divBdr>
        <w:top w:val="none" w:sz="0" w:space="0" w:color="auto"/>
        <w:left w:val="none" w:sz="0" w:space="0" w:color="auto"/>
        <w:bottom w:val="none" w:sz="0" w:space="0" w:color="auto"/>
        <w:right w:val="none" w:sz="0" w:space="0" w:color="auto"/>
      </w:divBdr>
    </w:div>
    <w:div w:id="1943147518">
      <w:marLeft w:val="0"/>
      <w:marRight w:val="0"/>
      <w:marTop w:val="160"/>
      <w:marBottom w:val="160"/>
      <w:divBdr>
        <w:top w:val="none" w:sz="0" w:space="0" w:color="auto"/>
        <w:left w:val="none" w:sz="0" w:space="0" w:color="auto"/>
        <w:bottom w:val="none" w:sz="0" w:space="0" w:color="auto"/>
        <w:right w:val="none" w:sz="0" w:space="0" w:color="auto"/>
      </w:divBdr>
    </w:div>
    <w:div w:id="1949658677">
      <w:marLeft w:val="0"/>
      <w:marRight w:val="0"/>
      <w:marTop w:val="160"/>
      <w:marBottom w:val="160"/>
      <w:divBdr>
        <w:top w:val="none" w:sz="0" w:space="0" w:color="auto"/>
        <w:left w:val="none" w:sz="0" w:space="0" w:color="auto"/>
        <w:bottom w:val="none" w:sz="0" w:space="0" w:color="auto"/>
        <w:right w:val="none" w:sz="0" w:space="0" w:color="auto"/>
      </w:divBdr>
    </w:div>
    <w:div w:id="1951086721">
      <w:marLeft w:val="0"/>
      <w:marRight w:val="0"/>
      <w:marTop w:val="0"/>
      <w:marBottom w:val="0"/>
      <w:divBdr>
        <w:top w:val="none" w:sz="0" w:space="0" w:color="auto"/>
        <w:left w:val="none" w:sz="0" w:space="0" w:color="auto"/>
        <w:bottom w:val="none" w:sz="0" w:space="0" w:color="auto"/>
        <w:right w:val="none" w:sz="0" w:space="0" w:color="auto"/>
      </w:divBdr>
    </w:div>
    <w:div w:id="1952853191">
      <w:marLeft w:val="0"/>
      <w:marRight w:val="0"/>
      <w:marTop w:val="160"/>
      <w:marBottom w:val="160"/>
      <w:divBdr>
        <w:top w:val="none" w:sz="0" w:space="0" w:color="auto"/>
        <w:left w:val="none" w:sz="0" w:space="0" w:color="auto"/>
        <w:bottom w:val="none" w:sz="0" w:space="0" w:color="auto"/>
        <w:right w:val="none" w:sz="0" w:space="0" w:color="auto"/>
      </w:divBdr>
    </w:div>
    <w:div w:id="1958640536">
      <w:marLeft w:val="0"/>
      <w:marRight w:val="0"/>
      <w:marTop w:val="160"/>
      <w:marBottom w:val="160"/>
      <w:divBdr>
        <w:top w:val="none" w:sz="0" w:space="0" w:color="auto"/>
        <w:left w:val="none" w:sz="0" w:space="0" w:color="auto"/>
        <w:bottom w:val="none" w:sz="0" w:space="0" w:color="auto"/>
        <w:right w:val="none" w:sz="0" w:space="0" w:color="auto"/>
      </w:divBdr>
    </w:div>
    <w:div w:id="1965889961">
      <w:marLeft w:val="0"/>
      <w:marRight w:val="0"/>
      <w:marTop w:val="160"/>
      <w:marBottom w:val="160"/>
      <w:divBdr>
        <w:top w:val="none" w:sz="0" w:space="0" w:color="auto"/>
        <w:left w:val="none" w:sz="0" w:space="0" w:color="auto"/>
        <w:bottom w:val="none" w:sz="0" w:space="0" w:color="auto"/>
        <w:right w:val="none" w:sz="0" w:space="0" w:color="auto"/>
      </w:divBdr>
    </w:div>
    <w:div w:id="1966885555">
      <w:marLeft w:val="0"/>
      <w:marRight w:val="0"/>
      <w:marTop w:val="0"/>
      <w:marBottom w:val="0"/>
      <w:divBdr>
        <w:top w:val="none" w:sz="0" w:space="0" w:color="auto"/>
        <w:left w:val="none" w:sz="0" w:space="0" w:color="auto"/>
        <w:bottom w:val="none" w:sz="0" w:space="0" w:color="auto"/>
        <w:right w:val="none" w:sz="0" w:space="0" w:color="auto"/>
      </w:divBdr>
      <w:divsChild>
        <w:div w:id="1444769599">
          <w:marLeft w:val="0"/>
          <w:marRight w:val="0"/>
          <w:marTop w:val="0"/>
          <w:marBottom w:val="0"/>
          <w:divBdr>
            <w:top w:val="none" w:sz="0" w:space="0" w:color="auto"/>
            <w:left w:val="none" w:sz="0" w:space="0" w:color="auto"/>
            <w:bottom w:val="none" w:sz="0" w:space="0" w:color="auto"/>
            <w:right w:val="none" w:sz="0" w:space="0" w:color="auto"/>
          </w:divBdr>
        </w:div>
      </w:divsChild>
    </w:div>
    <w:div w:id="1969386474">
      <w:marLeft w:val="0"/>
      <w:marRight w:val="0"/>
      <w:marTop w:val="160"/>
      <w:marBottom w:val="160"/>
      <w:divBdr>
        <w:top w:val="none" w:sz="0" w:space="0" w:color="auto"/>
        <w:left w:val="none" w:sz="0" w:space="0" w:color="auto"/>
        <w:bottom w:val="none" w:sz="0" w:space="0" w:color="auto"/>
        <w:right w:val="none" w:sz="0" w:space="0" w:color="auto"/>
      </w:divBdr>
    </w:div>
    <w:div w:id="1974481689">
      <w:marLeft w:val="0"/>
      <w:marRight w:val="0"/>
      <w:marTop w:val="160"/>
      <w:marBottom w:val="160"/>
      <w:divBdr>
        <w:top w:val="none" w:sz="0" w:space="0" w:color="auto"/>
        <w:left w:val="none" w:sz="0" w:space="0" w:color="auto"/>
        <w:bottom w:val="none" w:sz="0" w:space="0" w:color="auto"/>
        <w:right w:val="none" w:sz="0" w:space="0" w:color="auto"/>
      </w:divBdr>
    </w:div>
    <w:div w:id="1976833379">
      <w:marLeft w:val="0"/>
      <w:marRight w:val="0"/>
      <w:marTop w:val="160"/>
      <w:marBottom w:val="160"/>
      <w:divBdr>
        <w:top w:val="none" w:sz="0" w:space="0" w:color="auto"/>
        <w:left w:val="none" w:sz="0" w:space="0" w:color="auto"/>
        <w:bottom w:val="none" w:sz="0" w:space="0" w:color="auto"/>
        <w:right w:val="none" w:sz="0" w:space="0" w:color="auto"/>
      </w:divBdr>
    </w:div>
    <w:div w:id="1980065525">
      <w:marLeft w:val="0"/>
      <w:marRight w:val="0"/>
      <w:marTop w:val="0"/>
      <w:marBottom w:val="0"/>
      <w:divBdr>
        <w:top w:val="none" w:sz="0" w:space="0" w:color="auto"/>
        <w:left w:val="none" w:sz="0" w:space="0" w:color="auto"/>
        <w:bottom w:val="none" w:sz="0" w:space="0" w:color="auto"/>
        <w:right w:val="none" w:sz="0" w:space="0" w:color="auto"/>
      </w:divBdr>
      <w:divsChild>
        <w:div w:id="850989037">
          <w:marLeft w:val="0"/>
          <w:marRight w:val="0"/>
          <w:marTop w:val="0"/>
          <w:marBottom w:val="0"/>
          <w:divBdr>
            <w:top w:val="none" w:sz="0" w:space="0" w:color="auto"/>
            <w:left w:val="none" w:sz="0" w:space="0" w:color="auto"/>
            <w:bottom w:val="none" w:sz="0" w:space="0" w:color="auto"/>
            <w:right w:val="none" w:sz="0" w:space="0" w:color="auto"/>
          </w:divBdr>
        </w:div>
      </w:divsChild>
    </w:div>
    <w:div w:id="1983777028">
      <w:marLeft w:val="0"/>
      <w:marRight w:val="0"/>
      <w:marTop w:val="160"/>
      <w:marBottom w:val="160"/>
      <w:divBdr>
        <w:top w:val="none" w:sz="0" w:space="0" w:color="auto"/>
        <w:left w:val="none" w:sz="0" w:space="0" w:color="auto"/>
        <w:bottom w:val="none" w:sz="0" w:space="0" w:color="auto"/>
        <w:right w:val="none" w:sz="0" w:space="0" w:color="auto"/>
      </w:divBdr>
    </w:div>
    <w:div w:id="1994212012">
      <w:marLeft w:val="0"/>
      <w:marRight w:val="0"/>
      <w:marTop w:val="0"/>
      <w:marBottom w:val="0"/>
      <w:divBdr>
        <w:top w:val="none" w:sz="0" w:space="0" w:color="auto"/>
        <w:left w:val="none" w:sz="0" w:space="0" w:color="auto"/>
        <w:bottom w:val="none" w:sz="0" w:space="0" w:color="auto"/>
        <w:right w:val="none" w:sz="0" w:space="0" w:color="auto"/>
      </w:divBdr>
      <w:divsChild>
        <w:div w:id="1705399168">
          <w:marLeft w:val="0"/>
          <w:marRight w:val="0"/>
          <w:marTop w:val="0"/>
          <w:marBottom w:val="0"/>
          <w:divBdr>
            <w:top w:val="none" w:sz="0" w:space="0" w:color="auto"/>
            <w:left w:val="none" w:sz="0" w:space="0" w:color="auto"/>
            <w:bottom w:val="none" w:sz="0" w:space="0" w:color="auto"/>
            <w:right w:val="none" w:sz="0" w:space="0" w:color="auto"/>
          </w:divBdr>
        </w:div>
      </w:divsChild>
    </w:div>
    <w:div w:id="1997293269">
      <w:marLeft w:val="0"/>
      <w:marRight w:val="0"/>
      <w:marTop w:val="160"/>
      <w:marBottom w:val="160"/>
      <w:divBdr>
        <w:top w:val="none" w:sz="0" w:space="0" w:color="auto"/>
        <w:left w:val="none" w:sz="0" w:space="0" w:color="auto"/>
        <w:bottom w:val="none" w:sz="0" w:space="0" w:color="auto"/>
        <w:right w:val="none" w:sz="0" w:space="0" w:color="auto"/>
      </w:divBdr>
    </w:div>
    <w:div w:id="2016879142">
      <w:marLeft w:val="0"/>
      <w:marRight w:val="0"/>
      <w:marTop w:val="160"/>
      <w:marBottom w:val="0"/>
      <w:divBdr>
        <w:top w:val="none" w:sz="0" w:space="0" w:color="auto"/>
        <w:left w:val="none" w:sz="0" w:space="0" w:color="auto"/>
        <w:bottom w:val="none" w:sz="0" w:space="0" w:color="auto"/>
        <w:right w:val="none" w:sz="0" w:space="0" w:color="auto"/>
      </w:divBdr>
    </w:div>
    <w:div w:id="2019380155">
      <w:marLeft w:val="0"/>
      <w:marRight w:val="0"/>
      <w:marTop w:val="160"/>
      <w:marBottom w:val="160"/>
      <w:divBdr>
        <w:top w:val="none" w:sz="0" w:space="0" w:color="auto"/>
        <w:left w:val="none" w:sz="0" w:space="0" w:color="auto"/>
        <w:bottom w:val="none" w:sz="0" w:space="0" w:color="auto"/>
        <w:right w:val="none" w:sz="0" w:space="0" w:color="auto"/>
      </w:divBdr>
    </w:div>
    <w:div w:id="2026860581">
      <w:marLeft w:val="0"/>
      <w:marRight w:val="0"/>
      <w:marTop w:val="160"/>
      <w:marBottom w:val="160"/>
      <w:divBdr>
        <w:top w:val="none" w:sz="0" w:space="0" w:color="auto"/>
        <w:left w:val="none" w:sz="0" w:space="0" w:color="auto"/>
        <w:bottom w:val="none" w:sz="0" w:space="0" w:color="auto"/>
        <w:right w:val="none" w:sz="0" w:space="0" w:color="auto"/>
      </w:divBdr>
    </w:div>
    <w:div w:id="2033341640">
      <w:marLeft w:val="0"/>
      <w:marRight w:val="0"/>
      <w:marTop w:val="60"/>
      <w:marBottom w:val="60"/>
      <w:divBdr>
        <w:top w:val="none" w:sz="0" w:space="0" w:color="auto"/>
        <w:left w:val="none" w:sz="0" w:space="0" w:color="auto"/>
        <w:bottom w:val="none" w:sz="0" w:space="0" w:color="auto"/>
        <w:right w:val="none" w:sz="0" w:space="0" w:color="auto"/>
      </w:divBdr>
    </w:div>
    <w:div w:id="2051146725">
      <w:marLeft w:val="0"/>
      <w:marRight w:val="0"/>
      <w:marTop w:val="160"/>
      <w:marBottom w:val="160"/>
      <w:divBdr>
        <w:top w:val="none" w:sz="0" w:space="0" w:color="auto"/>
        <w:left w:val="none" w:sz="0" w:space="0" w:color="auto"/>
        <w:bottom w:val="none" w:sz="0" w:space="0" w:color="auto"/>
        <w:right w:val="none" w:sz="0" w:space="0" w:color="auto"/>
      </w:divBdr>
    </w:div>
    <w:div w:id="2055614395">
      <w:marLeft w:val="0"/>
      <w:marRight w:val="0"/>
      <w:marTop w:val="160"/>
      <w:marBottom w:val="160"/>
      <w:divBdr>
        <w:top w:val="none" w:sz="0" w:space="0" w:color="auto"/>
        <w:left w:val="none" w:sz="0" w:space="0" w:color="auto"/>
        <w:bottom w:val="none" w:sz="0" w:space="0" w:color="auto"/>
        <w:right w:val="none" w:sz="0" w:space="0" w:color="auto"/>
      </w:divBdr>
    </w:div>
    <w:div w:id="2072338342">
      <w:marLeft w:val="0"/>
      <w:marRight w:val="0"/>
      <w:marTop w:val="160"/>
      <w:marBottom w:val="160"/>
      <w:divBdr>
        <w:top w:val="none" w:sz="0" w:space="0" w:color="auto"/>
        <w:left w:val="none" w:sz="0" w:space="0" w:color="auto"/>
        <w:bottom w:val="none" w:sz="0" w:space="0" w:color="auto"/>
        <w:right w:val="none" w:sz="0" w:space="0" w:color="auto"/>
      </w:divBdr>
    </w:div>
    <w:div w:id="2076665329">
      <w:marLeft w:val="0"/>
      <w:marRight w:val="0"/>
      <w:marTop w:val="160"/>
      <w:marBottom w:val="160"/>
      <w:divBdr>
        <w:top w:val="none" w:sz="0" w:space="0" w:color="auto"/>
        <w:left w:val="none" w:sz="0" w:space="0" w:color="auto"/>
        <w:bottom w:val="none" w:sz="0" w:space="0" w:color="auto"/>
        <w:right w:val="none" w:sz="0" w:space="0" w:color="auto"/>
      </w:divBdr>
    </w:div>
    <w:div w:id="2078356894">
      <w:marLeft w:val="0"/>
      <w:marRight w:val="0"/>
      <w:marTop w:val="160"/>
      <w:marBottom w:val="160"/>
      <w:divBdr>
        <w:top w:val="none" w:sz="0" w:space="0" w:color="auto"/>
        <w:left w:val="none" w:sz="0" w:space="0" w:color="auto"/>
        <w:bottom w:val="none" w:sz="0" w:space="0" w:color="auto"/>
        <w:right w:val="none" w:sz="0" w:space="0" w:color="auto"/>
      </w:divBdr>
    </w:div>
    <w:div w:id="2079134746">
      <w:marLeft w:val="0"/>
      <w:marRight w:val="0"/>
      <w:marTop w:val="160"/>
      <w:marBottom w:val="160"/>
      <w:divBdr>
        <w:top w:val="none" w:sz="0" w:space="0" w:color="auto"/>
        <w:left w:val="none" w:sz="0" w:space="0" w:color="auto"/>
        <w:bottom w:val="none" w:sz="0" w:space="0" w:color="auto"/>
        <w:right w:val="none" w:sz="0" w:space="0" w:color="auto"/>
      </w:divBdr>
    </w:div>
    <w:div w:id="2082290488">
      <w:marLeft w:val="0"/>
      <w:marRight w:val="0"/>
      <w:marTop w:val="160"/>
      <w:marBottom w:val="160"/>
      <w:divBdr>
        <w:top w:val="none" w:sz="0" w:space="0" w:color="auto"/>
        <w:left w:val="none" w:sz="0" w:space="0" w:color="auto"/>
        <w:bottom w:val="none" w:sz="0" w:space="0" w:color="auto"/>
        <w:right w:val="none" w:sz="0" w:space="0" w:color="auto"/>
      </w:divBdr>
    </w:div>
    <w:div w:id="2085641047">
      <w:marLeft w:val="0"/>
      <w:marRight w:val="0"/>
      <w:marTop w:val="0"/>
      <w:marBottom w:val="160"/>
      <w:divBdr>
        <w:top w:val="none" w:sz="0" w:space="0" w:color="auto"/>
        <w:left w:val="none" w:sz="0" w:space="0" w:color="auto"/>
        <w:bottom w:val="none" w:sz="0" w:space="0" w:color="auto"/>
        <w:right w:val="none" w:sz="0" w:space="0" w:color="auto"/>
      </w:divBdr>
    </w:div>
    <w:div w:id="2095859583">
      <w:marLeft w:val="0"/>
      <w:marRight w:val="0"/>
      <w:marTop w:val="160"/>
      <w:marBottom w:val="160"/>
      <w:divBdr>
        <w:top w:val="none" w:sz="0" w:space="0" w:color="auto"/>
        <w:left w:val="none" w:sz="0" w:space="0" w:color="auto"/>
        <w:bottom w:val="none" w:sz="0" w:space="0" w:color="auto"/>
        <w:right w:val="none" w:sz="0" w:space="0" w:color="auto"/>
      </w:divBdr>
    </w:div>
    <w:div w:id="2100052671">
      <w:marLeft w:val="0"/>
      <w:marRight w:val="0"/>
      <w:marTop w:val="160"/>
      <w:marBottom w:val="160"/>
      <w:divBdr>
        <w:top w:val="none" w:sz="0" w:space="0" w:color="auto"/>
        <w:left w:val="none" w:sz="0" w:space="0" w:color="auto"/>
        <w:bottom w:val="none" w:sz="0" w:space="0" w:color="auto"/>
        <w:right w:val="none" w:sz="0" w:space="0" w:color="auto"/>
      </w:divBdr>
    </w:div>
    <w:div w:id="2105179083">
      <w:marLeft w:val="0"/>
      <w:marRight w:val="0"/>
      <w:marTop w:val="160"/>
      <w:marBottom w:val="160"/>
      <w:divBdr>
        <w:top w:val="none" w:sz="0" w:space="0" w:color="auto"/>
        <w:left w:val="none" w:sz="0" w:space="0" w:color="auto"/>
        <w:bottom w:val="none" w:sz="0" w:space="0" w:color="auto"/>
        <w:right w:val="none" w:sz="0" w:space="0" w:color="auto"/>
      </w:divBdr>
    </w:div>
    <w:div w:id="2108040247">
      <w:marLeft w:val="0"/>
      <w:marRight w:val="0"/>
      <w:marTop w:val="60"/>
      <w:marBottom w:val="60"/>
      <w:divBdr>
        <w:top w:val="none" w:sz="0" w:space="0" w:color="auto"/>
        <w:left w:val="none" w:sz="0" w:space="0" w:color="auto"/>
        <w:bottom w:val="none" w:sz="0" w:space="0" w:color="auto"/>
        <w:right w:val="none" w:sz="0" w:space="0" w:color="auto"/>
      </w:divBdr>
    </w:div>
    <w:div w:id="2108428773">
      <w:marLeft w:val="0"/>
      <w:marRight w:val="0"/>
      <w:marTop w:val="160"/>
      <w:marBottom w:val="160"/>
      <w:divBdr>
        <w:top w:val="none" w:sz="0" w:space="0" w:color="auto"/>
        <w:left w:val="none" w:sz="0" w:space="0" w:color="auto"/>
        <w:bottom w:val="none" w:sz="0" w:space="0" w:color="auto"/>
        <w:right w:val="none" w:sz="0" w:space="0" w:color="auto"/>
      </w:divBdr>
    </w:div>
    <w:div w:id="2117557498">
      <w:marLeft w:val="0"/>
      <w:marRight w:val="0"/>
      <w:marTop w:val="160"/>
      <w:marBottom w:val="160"/>
      <w:divBdr>
        <w:top w:val="none" w:sz="0" w:space="0" w:color="auto"/>
        <w:left w:val="none" w:sz="0" w:space="0" w:color="auto"/>
        <w:bottom w:val="none" w:sz="0" w:space="0" w:color="auto"/>
        <w:right w:val="none" w:sz="0" w:space="0" w:color="auto"/>
      </w:divBdr>
    </w:div>
    <w:div w:id="2119256131">
      <w:marLeft w:val="0"/>
      <w:marRight w:val="0"/>
      <w:marTop w:val="160"/>
      <w:marBottom w:val="160"/>
      <w:divBdr>
        <w:top w:val="none" w:sz="0" w:space="0" w:color="auto"/>
        <w:left w:val="none" w:sz="0" w:space="0" w:color="auto"/>
        <w:bottom w:val="none" w:sz="0" w:space="0" w:color="auto"/>
        <w:right w:val="none" w:sz="0" w:space="0" w:color="auto"/>
      </w:divBdr>
    </w:div>
    <w:div w:id="2120371580">
      <w:marLeft w:val="0"/>
      <w:marRight w:val="0"/>
      <w:marTop w:val="0"/>
      <w:marBottom w:val="0"/>
      <w:divBdr>
        <w:top w:val="none" w:sz="0" w:space="0" w:color="auto"/>
        <w:left w:val="none" w:sz="0" w:space="0" w:color="auto"/>
        <w:bottom w:val="none" w:sz="0" w:space="0" w:color="auto"/>
        <w:right w:val="none" w:sz="0" w:space="0" w:color="auto"/>
      </w:divBdr>
      <w:divsChild>
        <w:div w:id="1752970372">
          <w:marLeft w:val="0"/>
          <w:marRight w:val="0"/>
          <w:marTop w:val="160"/>
          <w:marBottom w:val="160"/>
          <w:divBdr>
            <w:top w:val="none" w:sz="0" w:space="0" w:color="auto"/>
            <w:left w:val="none" w:sz="0" w:space="0" w:color="auto"/>
            <w:bottom w:val="none" w:sz="0" w:space="0" w:color="auto"/>
            <w:right w:val="none" w:sz="0" w:space="0" w:color="auto"/>
          </w:divBdr>
        </w:div>
        <w:div w:id="925579860">
          <w:marLeft w:val="0"/>
          <w:marRight w:val="0"/>
          <w:marTop w:val="160"/>
          <w:marBottom w:val="160"/>
          <w:divBdr>
            <w:top w:val="none" w:sz="0" w:space="0" w:color="auto"/>
            <w:left w:val="none" w:sz="0" w:space="0" w:color="auto"/>
            <w:bottom w:val="none" w:sz="0" w:space="0" w:color="auto"/>
            <w:right w:val="none" w:sz="0" w:space="0" w:color="auto"/>
          </w:divBdr>
        </w:div>
        <w:div w:id="1226069327">
          <w:marLeft w:val="0"/>
          <w:marRight w:val="0"/>
          <w:marTop w:val="160"/>
          <w:marBottom w:val="160"/>
          <w:divBdr>
            <w:top w:val="none" w:sz="0" w:space="0" w:color="auto"/>
            <w:left w:val="none" w:sz="0" w:space="0" w:color="auto"/>
            <w:bottom w:val="none" w:sz="0" w:space="0" w:color="auto"/>
            <w:right w:val="none" w:sz="0" w:space="0" w:color="auto"/>
          </w:divBdr>
        </w:div>
        <w:div w:id="1503663162">
          <w:marLeft w:val="0"/>
          <w:marRight w:val="0"/>
          <w:marTop w:val="160"/>
          <w:marBottom w:val="160"/>
          <w:divBdr>
            <w:top w:val="none" w:sz="0" w:space="0" w:color="auto"/>
            <w:left w:val="none" w:sz="0" w:space="0" w:color="auto"/>
            <w:bottom w:val="none" w:sz="0" w:space="0" w:color="auto"/>
            <w:right w:val="none" w:sz="0" w:space="0" w:color="auto"/>
          </w:divBdr>
        </w:div>
        <w:div w:id="331103279">
          <w:marLeft w:val="0"/>
          <w:marRight w:val="0"/>
          <w:marTop w:val="160"/>
          <w:marBottom w:val="160"/>
          <w:divBdr>
            <w:top w:val="none" w:sz="0" w:space="0" w:color="auto"/>
            <w:left w:val="none" w:sz="0" w:space="0" w:color="auto"/>
            <w:bottom w:val="none" w:sz="0" w:space="0" w:color="auto"/>
            <w:right w:val="none" w:sz="0" w:space="0" w:color="auto"/>
          </w:divBdr>
        </w:div>
      </w:divsChild>
    </w:div>
    <w:div w:id="2125226004">
      <w:marLeft w:val="0"/>
      <w:marRight w:val="0"/>
      <w:marTop w:val="160"/>
      <w:marBottom w:val="160"/>
      <w:divBdr>
        <w:top w:val="none" w:sz="0" w:space="0" w:color="auto"/>
        <w:left w:val="none" w:sz="0" w:space="0" w:color="auto"/>
        <w:bottom w:val="none" w:sz="0" w:space="0" w:color="auto"/>
        <w:right w:val="none" w:sz="0" w:space="0" w:color="auto"/>
      </w:divBdr>
    </w:div>
    <w:div w:id="2129664484">
      <w:marLeft w:val="0"/>
      <w:marRight w:val="0"/>
      <w:marTop w:val="160"/>
      <w:marBottom w:val="160"/>
      <w:divBdr>
        <w:top w:val="none" w:sz="0" w:space="0" w:color="auto"/>
        <w:left w:val="none" w:sz="0" w:space="0" w:color="auto"/>
        <w:bottom w:val="none" w:sz="0" w:space="0" w:color="auto"/>
        <w:right w:val="none" w:sz="0" w:space="0" w:color="auto"/>
      </w:divBdr>
    </w:div>
    <w:div w:id="2130856651">
      <w:marLeft w:val="0"/>
      <w:marRight w:val="0"/>
      <w:marTop w:val="160"/>
      <w:marBottom w:val="160"/>
      <w:divBdr>
        <w:top w:val="none" w:sz="0" w:space="0" w:color="auto"/>
        <w:left w:val="none" w:sz="0" w:space="0" w:color="auto"/>
        <w:bottom w:val="none" w:sz="0" w:space="0" w:color="auto"/>
        <w:right w:val="none" w:sz="0" w:space="0" w:color="auto"/>
      </w:divBdr>
    </w:div>
    <w:div w:id="2133941662">
      <w:marLeft w:val="0"/>
      <w:marRight w:val="0"/>
      <w:marTop w:val="160"/>
      <w:marBottom w:val="160"/>
      <w:divBdr>
        <w:top w:val="none" w:sz="0" w:space="0" w:color="auto"/>
        <w:left w:val="none" w:sz="0" w:space="0" w:color="auto"/>
        <w:bottom w:val="none" w:sz="0" w:space="0" w:color="auto"/>
        <w:right w:val="none" w:sz="0" w:space="0" w:color="auto"/>
      </w:divBdr>
    </w:div>
    <w:div w:id="2136829415">
      <w:marLeft w:val="0"/>
      <w:marRight w:val="0"/>
      <w:marTop w:val="0"/>
      <w:marBottom w:val="0"/>
      <w:divBdr>
        <w:top w:val="none" w:sz="0" w:space="0" w:color="auto"/>
        <w:left w:val="none" w:sz="0" w:space="0" w:color="auto"/>
        <w:bottom w:val="none" w:sz="0" w:space="0" w:color="auto"/>
        <w:right w:val="none" w:sz="0" w:space="0" w:color="auto"/>
      </w:divBdr>
      <w:divsChild>
        <w:div w:id="50008989">
          <w:marLeft w:val="0"/>
          <w:marRight w:val="0"/>
          <w:marTop w:val="0"/>
          <w:marBottom w:val="0"/>
          <w:divBdr>
            <w:top w:val="none" w:sz="0" w:space="0" w:color="auto"/>
            <w:left w:val="none" w:sz="0" w:space="0" w:color="auto"/>
            <w:bottom w:val="none" w:sz="0" w:space="0" w:color="auto"/>
            <w:right w:val="none" w:sz="0" w:space="0" w:color="auto"/>
          </w:divBdr>
        </w:div>
      </w:divsChild>
    </w:div>
    <w:div w:id="2143887020">
      <w:marLeft w:val="0"/>
      <w:marRight w:val="0"/>
      <w:marTop w:val="160"/>
      <w:marBottom w:val="160"/>
      <w:divBdr>
        <w:top w:val="none" w:sz="0" w:space="0" w:color="auto"/>
        <w:left w:val="none" w:sz="0" w:space="0" w:color="auto"/>
        <w:bottom w:val="none" w:sz="0" w:space="0" w:color="auto"/>
        <w:right w:val="none" w:sz="0" w:space="0" w:color="auto"/>
      </w:divBdr>
    </w:div>
    <w:div w:id="2146584479">
      <w:marLeft w:val="0"/>
      <w:marRight w:val="0"/>
      <w:marTop w:val="10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20220331x10qexhibit321.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20220331x10qexhibit311.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www.sec.gov/Archives/edgar/data/912242/000119312519129272/d731295dex32.htm" TargetMode="External"/><Relationship Id="rId37" Type="http://schemas.openxmlformats.org/officeDocument/2006/relationships/hyperlink" Target="mac-20220331x10qexhibit312.htm" TargetMode="External"/><Relationship Id="rId40" Type="http://schemas.openxmlformats.org/officeDocument/2006/relationships/fontTable" Target="fontTable.xm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20331x10qexhibit312.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s://www.sec.gov/Archives/edgar/data/912242/000119312521182973/d417870dex31.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s://www.sec.gov/Archives/edgar/data/912242/000119312521182973/d417870dex31.htm" TargetMode="External"/><Relationship Id="rId35" Type="http://schemas.openxmlformats.org/officeDocument/2006/relationships/hyperlink" Target="mac-20220331x10qexhibit31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mac-20220331x10q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25044</Words>
  <Characters>142754</Characters>
  <Application>Microsoft Office Word</Application>
  <DocSecurity>0</DocSecurity>
  <Lines>1189</Lines>
  <Paragraphs>334</Paragraphs>
  <ScaleCrop>false</ScaleCrop>
  <Company/>
  <LinksUpToDate>false</LinksUpToDate>
  <CharactersWithSpaces>167464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mac-20220331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