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0821">
      <w:pPr>
        <w:divId w:val="2088653098"/>
        <w:rPr>
          <w:rFonts w:eastAsia="Times New Roman"/>
          <w:vanish/>
        </w:rPr>
      </w:pPr>
      <w:r>
        <w:rPr>
          <w:rFonts w:eastAsia="Times New Roman"/>
          <w:vanish/>
        </w:rPr>
        <w:t>0000912242FALSE12/312022Q3P4Y00009122422022-01-012022-09-3000009122422022-11-04xbrli:shares00009122422022-09-30iso4217:USD00009122422021-12-31iso4217:USDxbrli:shares00009122422022-07-012022-09-3000009122422021-07-012021-09-3000009122422021-01-01</w:t>
      </w:r>
      <w:r>
        <w:rPr>
          <w:rFonts w:eastAsia="Times New Roman"/>
          <w:vanish/>
        </w:rPr>
        <w:t>2021-09-300000912242us-gaap:RealEstateOtherMember2022-07-012022-09-300000912242us-gaap:RealEstateOtherMember2021-07-012021-09-300000912242us-gaap:RealEstateOtherMember2022-01-012022-09-300000912242us-gaap:RealEstateOtherMember2021-01-012021-09-300000912242</w:t>
      </w:r>
      <w:r>
        <w:rPr>
          <w:rFonts w:eastAsia="Times New Roman"/>
          <w:vanish/>
        </w:rPr>
        <w:t>us-gaap:ManagementServiceMember2022-07-012022-09-300000912242us-gaap:ManagementServiceMember2021-07-012021-09-300000912242us-gaap:ManagementServiceMember2022-01-012022-09-300000912242us-gaap:ManagementServiceMember2021-01-012021-09-300000912242us-gaap:Real</w:t>
      </w:r>
      <w:r>
        <w:rPr>
          <w:rFonts w:eastAsia="Times New Roman"/>
          <w:vanish/>
        </w:rPr>
        <w:t>EstateMember2022-07-012022-09-300000912242us-gaap:RealEstateMember2021-07-012021-09-300000912242us-gaap:RealEstateMember2022-01-012022-09-300000912242us-gaap:RealEstateMember2021-01-012021-09-300000912242us-gaap:CommonStockMember2022-06-300000912242us-gaap</w:t>
      </w:r>
      <w:r>
        <w:rPr>
          <w:rFonts w:eastAsia="Times New Roman"/>
          <w:vanish/>
        </w:rPr>
        <w:t>:AdditionalPaidInCapitalMember2022-06-300000912242us-gaap:RetainedEarningsMember2022-06-300000912242us-gaap:AccumulatedOtherComprehensiveIncomeMember2022-06-300000912242us-gaap:ParentMember2022-06-300000912242us-gaap:NoncontrollingInterestMember2022-06-300</w:t>
      </w:r>
      <w:r>
        <w:rPr>
          <w:rFonts w:eastAsia="Times New Roman"/>
          <w:vanish/>
        </w:rPr>
        <w:t>0009122422022-06-300000912242us-gaap:RetainedEarningsMember2022-07-012022-09-300000912242us-gaap:ParentMember2022-07-012022-09-300000912242us-gaap:NoncontrollingInterestMember2022-07-012022-09-300000912242us-gaap:AccumulatedOtherComprehensiveIncomeMember20</w:t>
      </w:r>
      <w:r>
        <w:rPr>
          <w:rFonts w:eastAsia="Times New Roman"/>
          <w:vanish/>
        </w:rPr>
        <w:t>22-07-012022-09-300000912242us-gaap:CommonStockMember2022-07-012022-09-300000912242us-gaap:AdditionalPaidInCapitalMember2022-07-012022-09-300000912242us-gaap:CommonStockMember2022-09-300000912242us-gaap:AdditionalPaidInCapitalMember2022-09-300000912242us-g</w:t>
      </w:r>
      <w:r>
        <w:rPr>
          <w:rFonts w:eastAsia="Times New Roman"/>
          <w:vanish/>
        </w:rPr>
        <w:t>aap:RetainedEarningsMember2022-09-300000912242us-gaap:AccumulatedOtherComprehensiveIncomeMember2022-09-300000912242us-gaap:ParentMember2022-09-300000912242us-gaap:NoncontrollingInterestMember2022-09-300000912242us-gaap:CommonStockMember2021-06-300000912242</w:t>
      </w:r>
      <w:r>
        <w:rPr>
          <w:rFonts w:eastAsia="Times New Roman"/>
          <w:vanish/>
        </w:rPr>
        <w:t>us-gaap:AdditionalPaidInCapitalMember2021-06-300000912242us-gaap:RetainedEarningsMember2021-06-300000912242us-gaap:AccumulatedOtherComprehensiveIncomeMember2021-06-300000912242us-gaap:ParentMember2021-06-300000912242us-gaap:NoncontrollingInterestMember2021</w:t>
      </w:r>
      <w:r>
        <w:rPr>
          <w:rFonts w:eastAsia="Times New Roman"/>
          <w:vanish/>
        </w:rPr>
        <w:t>-06-3000009122422021-06-300000912242us-gaap:RetainedEarningsMember2021-07-012021-09-300000912242us-gaap:ParentMember2021-07-012021-09-300000912242us-gaap:NoncontrollingInterestMember2021-07-012021-09-300000912242us-gaap:AccumulatedOtherComprehensiveIncomeM</w:t>
      </w:r>
      <w:r>
        <w:rPr>
          <w:rFonts w:eastAsia="Times New Roman"/>
          <w:vanish/>
        </w:rPr>
        <w:t>ember2021-07-012021-09-300000912242us-gaap:CommonStockMember2021-07-012021-09-300000912242us-gaap:AdditionalPaidInCapitalMember2021-07-012021-09-300000912242us-gaap:CommonStockMember2021-09-300000912242us-gaap:AdditionalPaidInCapitalMember2021-09-300000912</w:t>
      </w:r>
      <w:r>
        <w:rPr>
          <w:rFonts w:eastAsia="Times New Roman"/>
          <w:vanish/>
        </w:rPr>
        <w:t>242us-gaap:RetainedEarningsMember2021-09-300000912242us-gaap:AccumulatedOtherComprehensiveIncomeMember2021-09-300000912242us-gaap:ParentMember2021-09-300000912242us-gaap:NoncontrollingInterestMember2021-09-3000009122422021-09-300000912242us-gaap:CommonStoc</w:t>
      </w:r>
      <w:r>
        <w:rPr>
          <w:rFonts w:eastAsia="Times New Roman"/>
          <w:vanish/>
        </w:rPr>
        <w:t>kMember2021-12-310000912242us-gaap:AdditionalPaidInCapitalMember2021-12-310000912242us-gaap:RetainedEarningsMember2021-12-310000912242us-gaap:AccumulatedOtherComprehensiveIncomeMember2021-12-310000912242us-gaap:ParentMember2021-12-310000912242us-gaap:Nonco</w:t>
      </w:r>
      <w:r>
        <w:rPr>
          <w:rFonts w:eastAsia="Times New Roman"/>
          <w:vanish/>
        </w:rPr>
        <w:t>ntrollingInterestMember2021-12-310000912242us-gaap:RetainedEarningsMember2022-01-012022-09-300000912242us-gaap:ParentMember2022-01-012022-09-300000912242us-gaap:NoncontrollingInterestMember2022-01-012022-09-300000912242us-gaap:AccumulatedOtherComprehensive</w:t>
      </w:r>
      <w:r>
        <w:rPr>
          <w:rFonts w:eastAsia="Times New Roman"/>
          <w:vanish/>
        </w:rPr>
        <w:t>IncomeMember2022-01-012022-09-300000912242us-gaap:CommonStockMember2022-01-012022-09-300000912242us-gaap:AdditionalPaidInCapitalMember2022-01-012022-09-300000912242us-gaap:CommonStockMember2020-12-310000912242us-gaap:AdditionalPaidInCapitalMember2020-12-31</w:t>
      </w:r>
      <w:r>
        <w:rPr>
          <w:rFonts w:eastAsia="Times New Roman"/>
          <w:vanish/>
        </w:rPr>
        <w:t>0000912242us-gaap:RetainedEarningsMember2020-12-310000912242us-gaap:AccumulatedOtherComprehensiveIncomeMember2020-12-310000912242us-gaap:ParentMember2020-12-310000912242us-gaap:NoncontrollingInterestMember2020-12-3100009122422020-12-310000912242us-gaap:Ret</w:t>
      </w:r>
      <w:r>
        <w:rPr>
          <w:rFonts w:eastAsia="Times New Roman"/>
          <w:vanish/>
        </w:rPr>
        <w:t>ainedEarningsMember2021-01-012021-09-300000912242us-gaap:ParentMember2021-01-012021-09-300000912242us-gaap:NoncontrollingInterestMember2021-01-012021-09-300000912242us-gaap:AccumulatedOtherComprehensiveIncomeMember2021-01-012021-09-300000912242us-gaap:Comm</w:t>
      </w:r>
      <w:r>
        <w:rPr>
          <w:rFonts w:eastAsia="Times New Roman"/>
          <w:vanish/>
        </w:rPr>
        <w:t>onStockMember2021-01-012021-09-300000912242us-gaap:AdditionalPaidInCapitalMember2021-01-012021-09-300000912242mac:TheMacerichPartnershipLPMember2022-09-30xbrli:pure0000912242mac:TheMacerichPartnershipLPMember2021-12-31mac:entity0000912242us-gaap:VariableIn</w:t>
      </w:r>
      <w:r>
        <w:rPr>
          <w:rFonts w:eastAsia="Times New Roman"/>
          <w:vanish/>
        </w:rPr>
        <w:t>terestEntityPrimaryBeneficiaryMember2022-09-300000912242us-gaap:VariableInterestEntityPrimaryBeneficiaryMember2021-12-310000912242mac:PreferredNonparticipatingConvertibleUnitsMember2022-07-012022-09-300000912242mac:PreferredNonparticipatingConvertibleUnits</w:t>
      </w:r>
      <w:r>
        <w:rPr>
          <w:rFonts w:eastAsia="Times New Roman"/>
          <w:vanish/>
        </w:rPr>
        <w:t>Member2021-07-012021-09-300000912242mac:PreferredNonparticipatingConvertibleUnitsMember2022-01-012022-09-300000912242mac:PreferredNonparticipatingConvertibleUnitsMember2021-01-012021-09-300000912242mac:PartnershipUnitsMember2022-07-012022-09-300000912242ma</w:t>
      </w:r>
      <w:r>
        <w:rPr>
          <w:rFonts w:eastAsia="Times New Roman"/>
          <w:vanish/>
        </w:rPr>
        <w:t>c:PartnershipUnitsMember2021-07-012021-09-300000912242mac:PartnershipUnitsMember2022-01-012022-09-300000912242mac:PartnershipUnitsMember2021-01-012021-09-300000912242us-gaap:CorporateJointVentureMembermac:ParadiseValleyMallMember2021-03-290000912242us-gaap</w:t>
      </w:r>
      <w:r>
        <w:rPr>
          <w:rFonts w:eastAsia="Times New Roman"/>
          <w:vanish/>
        </w:rPr>
        <w:t>:CorporateJointVentureMembermac:ParadiseValleyMallMember2021-03-292021-03-290000912242us-gaap:CorporateJointVentureMembermac:TheShopsAtAtlasParkMember2021-10-262021-10-260000912242us-gaap:CorporateJointVentureMembermac:TheShopsAtAtlasParkMemberus-gaap:Lond</w:t>
      </w:r>
      <w:r>
        <w:rPr>
          <w:rFonts w:eastAsia="Times New Roman"/>
          <w:vanish/>
        </w:rPr>
        <w:t>onInterbankOfferedRateLIBORMember2021-10-262021-10-260000912242us-gaap:CorporateJointVentureMembermac:TheShopsAtAtlasParkMemberus-gaap:LondonInterbankOfferedRateLIBORMember2021-10-260000912242mac:NorthBridgeChicagoIllinoisMemberus-gaap:CorporateJointVentur</w:t>
      </w:r>
      <w:r>
        <w:rPr>
          <w:rFonts w:eastAsia="Times New Roman"/>
          <w:vanish/>
        </w:rPr>
        <w:t>eMember2021-12-312021-12-310000912242mac:FlatIronCrossingMemberus-gaap:CorporateJointVentureMember2022-02-022022-02-020000912242mac:FlatIronCrossingMemberus-gaap:CorporateJointVentureMemberus-gaap:SecuredOvernightFinancingRateSofrOvernightIndexSwapRateMemb</w:t>
      </w:r>
      <w:r>
        <w:rPr>
          <w:rFonts w:eastAsia="Times New Roman"/>
          <w:vanish/>
        </w:rPr>
        <w:t>er2022-02-022022-02-020000912242mac:FlatIronCrossingMemberus-gaap:CorporateJointVentureMemberus-gaap:SecuredOvernightFinancingRateSofrOvernightIndexSwapRateMember2022-02-020000912242us-gaap:CorporateJointVentureMembermac:ThirdPartyMembermac:SearsSouthPlain</w:t>
      </w:r>
      <w:r>
        <w:rPr>
          <w:rFonts w:eastAsia="Times New Roman"/>
          <w:vanish/>
        </w:rPr>
        <w:t>sMember2022-08-010000912242us-gaap:CorporateJointVentureMembermac:SearsSouthPlainsMember2022-08-022022-08-020000912242us-gaap:CorporateJointVentureMembermac:SearsSouthPlainsMember2022-01-012022-09-300000912242mac:SearsSouthPlainsMember2022-08-020000912242m</w:t>
      </w:r>
      <w:r>
        <w:rPr>
          <w:rFonts w:eastAsia="Times New Roman"/>
          <w:vanish/>
        </w:rPr>
        <w:t>ac:WashingtonSquareMemberus-gaap:CorporateJointVentureMemberus-gaap:SubsequentEventMembersrt:ScenarioForecastMember2022-11-012022-11-300000912242mac:WashingtonSquareMemberus-gaap:CorporateJointVentureMemberus-gaap:SecuredOvernightFinancingRateSofrOvernight</w:t>
      </w:r>
      <w:r>
        <w:rPr>
          <w:rFonts w:eastAsia="Times New Roman"/>
          <w:vanish/>
        </w:rPr>
        <w:t>IndexSwapRateMemberus-gaap:SubsequentEventMembersrt:ScenarioForecastMember2022-11-012022-11-300000912242us-gaap:CorporateJointVentureMember2022-09-300000912242us-gaap:CorporateJointVentureMember2021-12-310000912242mac:PacificPremierRetailLLCMemberus-gaap:C</w:t>
      </w:r>
      <w:r>
        <w:rPr>
          <w:rFonts w:eastAsia="Times New Roman"/>
          <w:vanish/>
        </w:rPr>
        <w:t>orporateJointVentureMember2022-09-300000912242mac:PacificPremierRetailLLCMemberus-gaap:CorporateJointVentureMember2021-12-310000912242us-gaap:CorporateJointVentureMember2022-07-012022-09-300000912242us-gaap:CorporateJointVentureMember2021-07-012021-09-3000</w:t>
      </w:r>
      <w:r>
        <w:rPr>
          <w:rFonts w:eastAsia="Times New Roman"/>
          <w:vanish/>
        </w:rPr>
        <w:t>00912242us-gaap:CorporateJointVentureMember2022-01-012022-09-300000912242us-gaap:CorporateJointVentureMember2021-01-012021-09-300000912242us-gaap:CorporateJointVentureMembermac:PacificPremierRetailLPMember2022-07-012022-09-300000912242us-gaap:CorporateJoin</w:t>
      </w:r>
      <w:r>
        <w:rPr>
          <w:rFonts w:eastAsia="Times New Roman"/>
          <w:vanish/>
        </w:rPr>
        <w:t>tVentureMembermac:OtherJointVenturesMember2022-07-012022-09-300000912242us-gaap:CorporateJointVentureMemberus-gaap:RealEstateOtherMembermac:PacificPremierRetailLPMember2022-07-012022-09-300000912242us-gaap:CorporateJointVentureMemberus-gaap:RealEstateOther</w:t>
      </w:r>
      <w:r>
        <w:rPr>
          <w:rFonts w:eastAsia="Times New Roman"/>
          <w:vanish/>
        </w:rPr>
        <w:t>Membermac:OtherJointVenturesMember2022-07-012022-09-300000912242us-gaap:CorporateJointVentureMemberus-gaap:RealEstateOtherMember2022-07-012022-09-300000912242us-gaap:CorporateJointVentureMemberus-gaap:RealEstateMembermac:PacificPremierRetailLPMember2022-07</w:t>
      </w:r>
      <w:r>
        <w:rPr>
          <w:rFonts w:eastAsia="Times New Roman"/>
          <w:vanish/>
        </w:rPr>
        <w:t>-012022-09-300000912242us-gaap:CorporateJointVentureMemberus-gaap:RealEstateMembermac:OtherJointVenturesMember2022-07-012022-09-300000912242us-gaap:CorporateJointVentureMemberus-gaap:RealEstateMember2022-07-012022-09-300000912242us-gaap:CorporateJointVentu</w:t>
      </w:r>
      <w:r>
        <w:rPr>
          <w:rFonts w:eastAsia="Times New Roman"/>
          <w:vanish/>
        </w:rPr>
        <w:t>reMembermac:PacificPremierRetailLPMember2021-07-012021-09-300000912242us-gaap:CorporateJointVentureMembermac:OtherJointVenturesMember2021-07-012021-09-300000912242us-gaap:CorporateJointVentureMemberus-gaap:RealEstateOtherMembermac:PacificPremierRetailLPMem</w:t>
      </w:r>
      <w:r>
        <w:rPr>
          <w:rFonts w:eastAsia="Times New Roman"/>
          <w:vanish/>
        </w:rPr>
        <w:t>ber2021-07-012021-09-300000912242us-gaap:CorporateJointVentureMemberus-gaap:RealEstateOtherMembermac:OtherJointVenturesMember2021-07-012021-09-300000912242us-gaap:CorporateJointVentureMemberus-gaap:RealEstateOtherMember2021-07-012021-09-300000912242us-gaap</w:t>
      </w:r>
      <w:r>
        <w:rPr>
          <w:rFonts w:eastAsia="Times New Roman"/>
          <w:vanish/>
        </w:rPr>
        <w:t>:CorporateJointVentureMemberus-gaap:RealEstateMembermac:PacificPremierRetailLPMember2021-07-012021-09-300000912242us-gaap:CorporateJointVentureMemberus-gaap:RealEstateMembermac:OtherJointVenturesMember2021-07-012021-09-300000912242us-gaap:CorporateJointVen</w:t>
      </w:r>
      <w:r>
        <w:rPr>
          <w:rFonts w:eastAsia="Times New Roman"/>
          <w:vanish/>
        </w:rPr>
        <w:t>tureMemberus-gaap:RealEstateMember2021-07-012021-09-300000912242us-gaap:CorporateJointVentureMembermac:PacificPremierRetailLPMember2022-01-012022-09-300000912242us-gaap:CorporateJointVentureMembermac:OtherJointVenturesMember2022-01-012022-09-300000912242us</w:t>
      </w:r>
      <w:r>
        <w:rPr>
          <w:rFonts w:eastAsia="Times New Roman"/>
          <w:vanish/>
        </w:rPr>
        <w:t>-gaap:CorporateJointVentureMemberus-gaap:RealEstateOtherMembermac:PacificPremierRetailLPMember2022-01-012022-09-300000912242us-gaap:CorporateJointVentureMemberus-gaap:RealEstateOtherMembermac:OtherJointVenturesMember2022-01-012022-09-300000912242us-gaap:Co</w:t>
      </w:r>
      <w:r>
        <w:rPr>
          <w:rFonts w:eastAsia="Times New Roman"/>
          <w:vanish/>
        </w:rPr>
        <w:t>rporateJointVentureMemberus-gaap:RealEstateOtherMember2022-01-012022-09-300000912242us-gaap:CorporateJointVentureMemberus-gaap:RealEstateMembermac:PacificPremierRetailLPMember2022-01-012022-09-300000912242us-gaap:CorporateJointVentureMemberus-gaap:RealEsta</w:t>
      </w:r>
      <w:r>
        <w:rPr>
          <w:rFonts w:eastAsia="Times New Roman"/>
          <w:vanish/>
        </w:rPr>
        <w:t>teMembermac:OtherJointVenturesMember2022-01-012022-09-300000912242us-gaap:CorporateJointVentureMemberus-gaap:RealEstateMember2022-01-012022-09-300000912242us-gaap:CorporateJointVentureMembermac:PacificPremierRetailLPMember2021-01-012021-09-300000912242us-g</w:t>
      </w:r>
      <w:r>
        <w:rPr>
          <w:rFonts w:eastAsia="Times New Roman"/>
          <w:vanish/>
        </w:rPr>
        <w:t>aap:CorporateJointVentureMembermac:OtherJointVenturesMember2021-01-012021-09-300000912242us-gaap:CorporateJointVentureMemberus-gaap:RealEstateOtherMembermac:PacificPremierRetailLPMember2021-01-012021-09-300000912242us-gaap:CorporateJointVentureMemberus-gaa</w:t>
      </w:r>
      <w:r>
        <w:rPr>
          <w:rFonts w:eastAsia="Times New Roman"/>
          <w:vanish/>
        </w:rPr>
        <w:t>p:RealEstateOtherMembermac:OtherJointVenturesMember2021-01-012021-09-300000912242us-gaap:CorporateJointVentureMemberus-gaap:RealEstateOtherMember2021-01-012021-09-300000912242us-gaap:CorporateJointVentureMemberus-gaap:RealEstateMembermac:PacificPremierReta</w:t>
      </w:r>
      <w:r>
        <w:rPr>
          <w:rFonts w:eastAsia="Times New Roman"/>
          <w:vanish/>
        </w:rPr>
        <w:t>ilLPMember2021-01-012021-09-300000912242us-gaap:CorporateJointVentureMemberus-gaap:RealEstateMembermac:OtherJointVenturesMember2021-01-012021-09-300000912242us-gaap:CorporateJointVentureMemberus-gaap:RealEstateMember2021-01-012021-09-300000912242us-gaap:Fa</w:t>
      </w:r>
      <w:r>
        <w:rPr>
          <w:rFonts w:eastAsia="Times New Roman"/>
          <w:vanish/>
        </w:rPr>
        <w:t>irValueInputsLevel2Memberus-gaap:InterestRateCapMember2022-09-300000912242us-gaap:FairValueInputsLevel2Memberus-gaap:InterestRateCapMember2021-12-310000912242us-gaap:LandMember2022-09-300000912242us-gaap:LandMember2021-12-310000912242us-gaap:BuildingAndBui</w:t>
      </w:r>
      <w:r>
        <w:rPr>
          <w:rFonts w:eastAsia="Times New Roman"/>
          <w:vanish/>
        </w:rPr>
        <w:t>ldingImprovementsMember2022-09-300000912242us-gaap:BuildingAndBuildingImprovementsMember2021-12-310000912242us-gaap:LeaseholdImprovementsMember2022-09-300000912242us-gaap:LeaseholdImprovementsMember2021-12-310000912242mac:EquipmentAndFurnishingMember2022-0</w:t>
      </w:r>
      <w:r>
        <w:rPr>
          <w:rFonts w:eastAsia="Times New Roman"/>
          <w:vanish/>
        </w:rPr>
        <w:t>9-300000912242mac:EquipmentAndFurnishingMember2021-12-310000912242us-gaap:ConstructionInProgressMember2022-09-300000912242us-gaap:ConstructionInProgressMember2021-12-310000912242us-gaap:LandBuildingsAndImprovementsMember2022-07-012022-09-300000912242us-gaa</w:t>
      </w:r>
      <w:r>
        <w:rPr>
          <w:rFonts w:eastAsia="Times New Roman"/>
          <w:vanish/>
        </w:rPr>
        <w:t>p:LandBuildingsAndImprovementsMember2021-07-012021-09-300000912242us-gaap:LandBuildingsAndImprovementsMember2022-01-012022-09-300000912242us-gaap:LandBuildingsAndImprovementsMember2021-01-012021-09-300000912242us-gaap:LandMember2022-07-012022-09-3000009122</w:t>
      </w:r>
      <w:r>
        <w:rPr>
          <w:rFonts w:eastAsia="Times New Roman"/>
          <w:vanish/>
        </w:rPr>
        <w:t>42us-gaap:LandMember2021-07-012021-09-300000912242us-gaap:LandMember2022-01-012022-09-300000912242us-gaap:LandMember2021-01-012021-09-300000912242mac:LaEncantadaMember2021-07-012021-09-300000912242mac:ParadiseValleyMallMember2021-01-012021-09-300000912242m</w:t>
      </w:r>
      <w:r>
        <w:rPr>
          <w:rFonts w:eastAsia="Times New Roman"/>
          <w:vanish/>
        </w:rPr>
        <w:t>ac:MSPortfolioLLCMember2022-01-012022-09-300000912242mac:EstrellaFallsMember2021-01-012021-09-300000912242mac:EstrellaFallsMember2022-01-012022-09-300000912242mac:TowneMallMember2022-01-012022-09-300000912242mac:TowneMallMember2022-07-012022-09-30000091224</w:t>
      </w:r>
      <w:r>
        <w:rPr>
          <w:rFonts w:eastAsia="Times New Roman"/>
          <w:vanish/>
        </w:rPr>
        <w:t>2us-gaap:FairValueMeasurementsNonrecurringMember2021-09-300000912242us-gaap:FairValueInputsLevel1Memberus-gaap:FairValueMeasurementsNonrecurringMember2021-09-300000912242us-gaap:FairValueInputsLevel2Memberus-gaap:FairValueMeasurementsNonrecurringMember2021</w:t>
      </w:r>
      <w:r>
        <w:rPr>
          <w:rFonts w:eastAsia="Times New Roman"/>
          <w:vanish/>
        </w:rPr>
        <w:t>-09-300000912242us-gaap:FairValueInputsLevel3Memberus-gaap:FairValueMeasurementsNonrecurringMember2021-09-300000912242us-gaap:FairValueMeasurementsNonrecurringMember2022-09-300000912242us-gaap:FairValueInputsLevel1Memberus-gaap:FairValueMeasurementsNonrecu</w:t>
      </w:r>
      <w:r>
        <w:rPr>
          <w:rFonts w:eastAsia="Times New Roman"/>
          <w:vanish/>
        </w:rPr>
        <w:t>rringMember2022-09-300000912242us-gaap:FairValueInputsLevel2Memberus-gaap:FairValueMeasurementsNonrecurringMember2022-09-300000912242us-gaap:FairValueInputsLevel3Memberus-gaap:FairValueMeasurementsNonrecurringMember2022-09-300000912242us-gaap:AccruedIncome</w:t>
      </w:r>
      <w:r>
        <w:rPr>
          <w:rFonts w:eastAsia="Times New Roman"/>
          <w:vanish/>
        </w:rPr>
        <w:t>ReceivableMember2022-09-300000912242us-gaap:AccruedIncomeReceivableMember2021-12-31mac:lease0000912242us-gaap:LeasesAcquiredInPlaceMember2022-09-300000912242us-gaap:LeasesAcquiredInPlaceMember2021-12-310000912242us-gaap:LeasesAcquiredInPlaceMember2022-07-0</w:t>
      </w:r>
      <w:r>
        <w:rPr>
          <w:rFonts w:eastAsia="Times New Roman"/>
          <w:vanish/>
        </w:rPr>
        <w:t>12022-09-300000912242us-gaap:LeasesAcquiredInPlaceMember2021-07-012021-09-300000912242us-gaap:LeasesAcquiredInPlaceMember2022-01-012022-09-300000912242us-gaap:LeasesAcquiredInPlaceMember2021-01-012021-09-300000912242us-gaap:AboveMarketLeasesMember2022-09-3</w:t>
      </w:r>
      <w:r>
        <w:rPr>
          <w:rFonts w:eastAsia="Times New Roman"/>
          <w:vanish/>
        </w:rPr>
        <w:t>00000912242us-gaap:AboveMarketLeasesMember2021-12-310000912242mac:BelowMarketLeaseMember2022-09-300000912242mac:BelowMarketLeaseMember2021-12-310000912242mac:ChandlerFashionCenterMortgageMember2022-09-300000912242mac:ChandlerFashionCenterMortgageMember2021</w:t>
      </w:r>
      <w:r>
        <w:rPr>
          <w:rFonts w:eastAsia="Times New Roman"/>
          <w:vanish/>
        </w:rPr>
        <w:t>-12-310000912242mac:ChandlerFashionCenterMortgageMember2022-01-012022-09-300000912242mac:DanburyFairMallMortgageMember2022-09-300000912242mac:DanburyFairMallMortgageMember2021-12-310000912242mac:DanburyFairMallMortgageMember2022-01-012022-09-300000912242ma</w:t>
      </w:r>
      <w:r>
        <w:rPr>
          <w:rFonts w:eastAsia="Times New Roman"/>
          <w:vanish/>
        </w:rPr>
        <w:t>c:FashionDistrictPhiladelphiaMember2022-09-300000912242mac:FashionDistrictPhiladelphiaMember2021-12-310000912242mac:FashionDistrictPhiladelphiaMember2022-01-012022-09-300000912242mac:FashionOutletsOfChicagoMortgageMember2022-09-300000912242mac:FashionOutle</w:t>
      </w:r>
      <w:r>
        <w:rPr>
          <w:rFonts w:eastAsia="Times New Roman"/>
          <w:vanish/>
        </w:rPr>
        <w:t>tsOfChicagoMortgageMember2021-12-310000912242mac:FashionOutletsOfChicagoMortgageMember2022-01-012022-09-300000912242mac:FashionOutletsAtNiagaraMortgageMember2022-09-300000912242mac:FashionOutletsAtNiagaraMortgageMember2021-12-310000912242mac:FashionOutlets</w:t>
      </w:r>
      <w:r>
        <w:rPr>
          <w:rFonts w:eastAsia="Times New Roman"/>
          <w:vanish/>
        </w:rPr>
        <w:t>AtNiagaraMortgageMember2022-01-012022-09-300000912242mac:FreeholdRacewayMallMortgageMember2022-09-300000912242mac:FreeholdRacewayMallMortgageMember2021-12-310000912242mac:FreeholdRacewayMallMortgageMember2022-01-012022-09-300000912242mac:FresnoFashionFairM</w:t>
      </w:r>
      <w:r>
        <w:rPr>
          <w:rFonts w:eastAsia="Times New Roman"/>
          <w:vanish/>
        </w:rPr>
        <w:t>ember2022-09-300000912242mac:FresnoFashionFairMember2021-12-310000912242mac:FresnoFashionFairMember2022-01-012022-09-300000912242mac:GreenAcresCommonsMember2022-09-300000912242mac:GreenAcresCommonsMember2021-12-310000912242mac:GreenAcresCommonsMember2022-0</w:t>
      </w:r>
      <w:r>
        <w:rPr>
          <w:rFonts w:eastAsia="Times New Roman"/>
          <w:vanish/>
        </w:rPr>
        <w:t>1-012022-09-300000912242mac:GreenAcresMallMember2022-09-300000912242mac:GreenAcresMallMember2021-12-310000912242mac:GreenAcresMallMember2022-01-012022-09-300000912242mac:KingsPlazaMortgageMember2022-09-300000912242mac:KingsPlazaMortgageMember2021-12-310000</w:t>
      </w:r>
      <w:r>
        <w:rPr>
          <w:rFonts w:eastAsia="Times New Roman"/>
          <w:vanish/>
        </w:rPr>
        <w:t>912242mac:KingsPlazaMortgageMember2022-01-012022-09-300000912242mac:TheOaksOneMortgageMember2022-09-300000912242mac:TheOaksOneMortgageMember2021-12-310000912242mac:TheOaksOneMortgageMember2022-01-012022-09-300000912242mac:PacificViewMortgageMember2022-09-3</w:t>
      </w:r>
      <w:r>
        <w:rPr>
          <w:rFonts w:eastAsia="Times New Roman"/>
          <w:vanish/>
        </w:rPr>
        <w:t>00000912242mac:PacificViewMortgageMember2021-12-310000912242mac:PacificViewMortgageMember2022-01-012022-09-300000912242mac:QueensCenterMember2022-09-300000912242mac:QueensCenterMember2021-12-310000912242mac:QueensCenterMember2022-01-012022-09-300000912242m</w:t>
      </w:r>
      <w:r>
        <w:rPr>
          <w:rFonts w:eastAsia="Times New Roman"/>
          <w:vanish/>
        </w:rPr>
        <w:t>ac:SantaMonicaPlaceMortgageMember2022-09-300000912242mac:SantaMonicaPlaceMortgageMember2021-12-310000912242mac:SantaMonicaPlaceMortgageMember2022-01-012022-09-300000912242mac:SanTanVillageRegionalCenterMortgageMember2022-09-300000912242mac:SanTanVillageReg</w:t>
      </w:r>
      <w:r>
        <w:rPr>
          <w:rFonts w:eastAsia="Times New Roman"/>
          <w:vanish/>
        </w:rPr>
        <w:t>ionalCenterMortgageMember2021-12-310000912242mac:SanTanVillageRegionalCenterMortgageMember2022-01-012022-09-300000912242mac:TowneMallMortgageMember2022-09-300000912242mac:TowneMallMortgageMember2021-12-310000912242mac:TowneMallMortgageMember2022-01-012022-</w:t>
      </w:r>
      <w:r>
        <w:rPr>
          <w:rFonts w:eastAsia="Times New Roman"/>
          <w:vanish/>
        </w:rPr>
        <w:t>09-300000912242mac:MallOfVictorValleyMortgageMember2022-09-300000912242mac:MallOfVictorValleyMortgageMember2021-12-310000912242mac:MallOfVictorValleyMortgageMember2022-01-012022-09-300000912242mac:VintageFaireMallMortgageMember2022-09-300000912242mac:Vinta</w:t>
      </w:r>
      <w:r>
        <w:rPr>
          <w:rFonts w:eastAsia="Times New Roman"/>
          <w:vanish/>
        </w:rPr>
        <w:t>geFaireMallMortgageMember2021-12-310000912242mac:VintageFaireMallMortgageMember2022-01-012022-09-300000912242mac:DanburyFairMallMember2021-09-152021-09-150000912242mac:DanburyFairMallMember2022-07-010000912242mac:DanburyFairMallMember2022-07-012022-07-0100</w:t>
      </w:r>
      <w:r>
        <w:rPr>
          <w:rFonts w:eastAsia="Times New Roman"/>
          <w:vanish/>
        </w:rPr>
        <w:t>00912242mac:FashionDistrictPhiladelphiaMember2022-08-262022-08-260000912242mac:GreenAcresCommonsMember2021-03-252021-03-250000912242mac:GreenAcresCommonsMemberus-gaap:LondonInterbankOfferedRateLIBORMember2021-03-252021-03-250000912242mac:GreenAcresMallMemb</w:t>
      </w:r>
      <w:r>
        <w:rPr>
          <w:rFonts w:eastAsia="Times New Roman"/>
          <w:vanish/>
        </w:rPr>
        <w:t>er2021-01-222021-01-220000912242mac:TheOaksOneMortgageMember2022-05-062022-05-060000912242mac:TheOaksOneMortgageMember2022-05-060000912242mac:PacificViewMortgageMember2022-04-292022-04-290000912242mac:PacificViewMortgageMember2022-04-290000912242us-gaap:Lo</w:t>
      </w:r>
      <w:r>
        <w:rPr>
          <w:rFonts w:eastAsia="Times New Roman"/>
          <w:vanish/>
        </w:rPr>
        <w:t>ndonInterbankOfferedRateLIBORMembermac:SantaMonicaPlaceMember2022-01-012022-09-300000912242us-gaap:LondonInterbankOfferedRateLIBORMembermac:SantaMonicaPlaceMember2022-09-300000912242mac:SantaMonicaPlaceMember2022-01-012022-09-300000912242us-gaap:SecuredOve</w:t>
      </w:r>
      <w:r>
        <w:rPr>
          <w:rFonts w:eastAsia="Times New Roman"/>
          <w:vanish/>
        </w:rPr>
        <w:t>rnightFinancingRateSofrOvernightIndexSwapRateMembermac:SantaMonicaPlaceMember2022-01-012022-09-300000912242mac:NewCreditAgreementMemberus-gaap:LineOfCreditMember2021-04-140000912242us-gaap:RevolvingCreditFacilityMemberus-gaap:LineOfCreditMembermac:Revolvin</w:t>
      </w:r>
      <w:r>
        <w:rPr>
          <w:rFonts w:eastAsia="Times New Roman"/>
          <w:vanish/>
        </w:rPr>
        <w:t>gLoanFacilityMaturesOnApril142023Member2021-04-140000912242us-gaap:RevolvingCreditFacilityMemberus-gaap:LineOfCreditMembermac:RevolvingLoanFacilityMaturesOnApril142023Member2021-04-142021-04-140000912242mac:TermLoanMembermac:TermLoanFacilityMaturesOnApril1</w:t>
      </w:r>
      <w:r>
        <w:rPr>
          <w:rFonts w:eastAsia="Times New Roman"/>
          <w:vanish/>
        </w:rPr>
        <w:t>42024Member2021-04-140000912242mac:TermLoanMembermac:TermLoanFacilityMaturesOnApril142024Member2021-04-142021-04-140000912242us-gaap:LineOfCreditMembermac:PriorRevolvingLineOfCreditFacilityMember2021-04-142021-04-140000912242us-gaap:LondonInterbankOfferedR</w:t>
      </w:r>
      <w:r>
        <w:rPr>
          <w:rFonts w:eastAsia="Times New Roman"/>
          <w:vanish/>
        </w:rPr>
        <w:t>ateLIBORMembermac:NewCreditAgreementMemberus-gaap:LineOfCreditMembersrt:MinimumMember2021-04-142021-04-140000912242us-gaap:LondonInterbankOfferedRateLIBORMembersrt:MaximumMembermac:NewCreditAgreementMemberus-gaap:LineOfCreditMember2021-04-142021-04-1400009</w:t>
      </w:r>
      <w:r>
        <w:rPr>
          <w:rFonts w:eastAsia="Times New Roman"/>
          <w:vanish/>
        </w:rPr>
        <w:t>12242us-gaap:LondonInterbankOfferedRateLIBORMembermac:NewCreditAgreementMemberus-gaap:LineOfCreditMember2022-09-300000912242mac:NewCreditAgreementMemberus-gaap:LineOfCreditMember2022-09-300000912242us-gaap:RevolvingCreditFacilityMemberus-gaap:LineOfCreditM</w:t>
      </w:r>
      <w:r>
        <w:rPr>
          <w:rFonts w:eastAsia="Times New Roman"/>
          <w:vanish/>
        </w:rPr>
        <w:t>embermac:RevolvingLoanFacilityMaturesOnApril142023Member2022-01-012022-09-300000912242us-gaap:FairValueInputsLevel2Memberus-gaap:RevolvingCreditFacilityMemberus-gaap:LineOfCreditMembermac:RevolvingLoanFacilityMaturesOnApril142023Member2022-09-300000912242m</w:t>
      </w:r>
      <w:r>
        <w:rPr>
          <w:rFonts w:eastAsia="Times New Roman"/>
          <w:vanish/>
        </w:rPr>
        <w:t>ac:FreeholdRacewayMallMembermac:FinancingArrangementMember2009-09-302009-09-300000912242mac:ChandlerFashionCenterMembermac:FinancingArrangementMember2009-09-302009-09-300000912242mac:ChandlerFashionCenterMembermac:FinancingArrangementMember2009-09-30utr:sq</w:t>
      </w:r>
      <w:r>
        <w:rPr>
          <w:rFonts w:eastAsia="Times New Roman"/>
          <w:vanish/>
        </w:rPr>
        <w:t>ft0000912242mac:FreeholdRacewayMallMembermac:FinancingArrangementMember2009-09-300000912242mac:FinancingArrangementMembersrt:MinimumMember2021-12-31iso4217:USDutr:sqft0000912242mac:FinancingArrangementMembersrt:MinimumMember2022-09-300000912242mac:Financin</w:t>
      </w:r>
      <w:r>
        <w:rPr>
          <w:rFonts w:eastAsia="Times New Roman"/>
          <w:vanish/>
        </w:rPr>
        <w:t>gArrangementMembersrt:MaximumMember2021-12-310000912242mac:FinancingArrangementMembersrt:MaximumMember2022-09-300000912242us-gaap:CorporateJointVentureMembermac:FinancingArrangementMember2022-07-012022-09-300000912242us-gaap:CorporateJointVentureMembermac:</w:t>
      </w:r>
      <w:r>
        <w:rPr>
          <w:rFonts w:eastAsia="Times New Roman"/>
          <w:vanish/>
        </w:rPr>
        <w:t>FinancingArrangementMember2021-07-012021-09-300000912242us-gaap:CorporateJointVentureMembermac:FinancingArrangementMember2022-01-012022-09-300000912242us-gaap:CorporateJointVentureMembermac:FinancingArrangementMember2021-01-012021-09-300000912242mac:March2</w:t>
      </w:r>
      <w:r>
        <w:rPr>
          <w:rFonts w:eastAsia="Times New Roman"/>
          <w:vanish/>
        </w:rPr>
        <w:t>021ATMProgramMember2021-03-260000912242mac:February2021ATMProgramMember2021-02-010000912242mac:ATMProgramsMember2022-09-300000912242mac:March2021ATMProgramMember2022-09-300000912242mac:ATMProgramsMember2021-01-012021-09-3000009122422017-02-120000912242mac:</w:t>
      </w:r>
      <w:r>
        <w:rPr>
          <w:rFonts w:eastAsia="Times New Roman"/>
          <w:vanish/>
        </w:rPr>
        <w:t>SearsSouthPlainsMember2021-12-310000912242us-gaap:DisposalGroupDisposedOfBySaleNotDiscontinuedOperationsMembermac:ParadiseValleyMallMember2021-03-292021-03-290000912242us-gaap:LandMemberus-gaap:DisposalGroupDisposedOfBySaleNotDiscontinuedOperationsMemberma</w:t>
      </w:r>
      <w:r>
        <w:rPr>
          <w:rFonts w:eastAsia="Times New Roman"/>
          <w:vanish/>
        </w:rPr>
        <w:t>c:ParadiseValleyMallMember2021-03-292021-03-290000912242us-gaap:DisposalGroupDisposedOfBySaleNotDiscontinuedOperationsMembermac:ParadiseValleyMallMember2021-03-290000912242mac:TucsonLaEncantadaInTucsonArizonaMemberus-gaap:DisposalGroupDisposedOfBySaleNotDi</w:t>
      </w:r>
      <w:r>
        <w:rPr>
          <w:rFonts w:eastAsia="Times New Roman"/>
          <w:vanish/>
        </w:rPr>
        <w:t>scontinuedOperationsMember2021-09-172021-09-1700009122422021-09-172021-09-170000912242us-gaap:LandMember2022-07-012022-09-300000912242us-gaap:LandMember2022-01-012022-09-300000912242us-gaap:LandMember2021-07-012021-09-300000912242us-gaap:LandMember2021-01-</w:t>
      </w:r>
      <w:r>
        <w:rPr>
          <w:rFonts w:eastAsia="Times New Roman"/>
          <w:vanish/>
        </w:rPr>
        <w:t>012021-09-300000912242us-gaap:LetterOfCreditMemberus-gaap:SecuredDebtMember2022-09-300000912242mac:UnconsolidatedJointVenturesAndThirdPartyManagedPropertiesMemberus-gaap:ManagementServiceMember2022-07-012022-09-300000912242mac:UnconsolidatedJointVenturesAn</w:t>
      </w:r>
      <w:r>
        <w:rPr>
          <w:rFonts w:eastAsia="Times New Roman"/>
          <w:vanish/>
        </w:rPr>
        <w:t>dThirdPartyManagedPropertiesMemberus-gaap:ManagementServiceMember2021-07-012021-09-300000912242mac:UnconsolidatedJointVenturesAndThirdPartyManagedPropertiesMemberus-gaap:ManagementServiceMember2022-01-012022-09-300000912242mac:UnconsolidatedJointVenturesAn</w:t>
      </w:r>
      <w:r>
        <w:rPr>
          <w:rFonts w:eastAsia="Times New Roman"/>
          <w:vanish/>
        </w:rPr>
        <w:t>dThirdPartyManagedPropertiesMemberus-gaap:ManagementServiceMember2021-01-012021-09-300000912242mac:UnconsolidatedJointVenturesAndThirdPartyManagedPropertiesMembermac:DevelopmentandLeasingFeesMember2022-07-012022-09-300000912242mac:UnconsolidatedJointVentur</w:t>
      </w:r>
      <w:r>
        <w:rPr>
          <w:rFonts w:eastAsia="Times New Roman"/>
          <w:vanish/>
        </w:rPr>
        <w:t>esAndThirdPartyManagedPropertiesMembermac:DevelopmentandLeasingFeesMember2021-07-012021-09-300000912242mac:UnconsolidatedJointVenturesAndThirdPartyManagedPropertiesMembermac:DevelopmentandLeasingFeesMember2022-01-012022-09-300000912242mac:UnconsolidatedJoi</w:t>
      </w:r>
      <w:r>
        <w:rPr>
          <w:rFonts w:eastAsia="Times New Roman"/>
          <w:vanish/>
        </w:rPr>
        <w:t>ntVenturesAndThirdPartyManagedPropertiesMembermac:DevelopmentandLeasingFeesMember2021-01-012021-09-300000912242mac:UnconsolidatedJointVenturesAndThirdPartyManagedPropertiesMember2022-07-012022-09-300000912242mac:UnconsolidatedJointVenturesAndThirdPartyMana</w:t>
      </w:r>
      <w:r>
        <w:rPr>
          <w:rFonts w:eastAsia="Times New Roman"/>
          <w:vanish/>
        </w:rPr>
        <w:t>gedPropertiesMember2021-07-012021-09-300000912242mac:UnconsolidatedJointVenturesAndThirdPartyManagedPropertiesMember2022-01-012022-09-300000912242mac:UnconsolidatedJointVenturesAndThirdPartyManagedPropertiesMember2021-01-012021-09-300000912242mac:Unconsoli</w:t>
      </w:r>
      <w:r>
        <w:rPr>
          <w:rFonts w:eastAsia="Times New Roman"/>
          <w:vanish/>
        </w:rPr>
        <w:t>datedJointVenturesMember2022-09-300000912242mac:UnconsolidatedJointVenturesMember2021-12-310000912242mac:StockUnitsMember2022-01-012022-09-300000912242mac:LongTermIncentivePlanMember2022-01-012022-09-300000912242mac:January12022Membermac:LongTermIncentiveP</w:t>
      </w:r>
      <w:r>
        <w:rPr>
          <w:rFonts w:eastAsia="Times New Roman"/>
          <w:vanish/>
        </w:rPr>
        <w:t>lanServicebasedMemberus-gaap:ShareBasedCompensationAwardTrancheOneMember2022-01-012022-09-300000912242mac:January12022Membermac:LongTermIncentivePlanPerformanceBasedMemberus-gaap:ShareBasedCompensationAwardTrancheOneMember2022-01-012022-09-300000912242mac:</w:t>
      </w:r>
      <w:r>
        <w:rPr>
          <w:rFonts w:eastAsia="Times New Roman"/>
          <w:vanish/>
        </w:rPr>
        <w:t>LongTermIncentivePlanMembermac:January12022Member2022-01-012022-01-010000912242mac:LongTermIncentivePlanMember2021-12-310000912242us-gaap:PhantomShareUnitsPSUsMember2021-12-310000912242mac:StockUnitsMember2021-12-310000912242us-gaap:PhantomShareUnitsPSUsMe</w:t>
      </w:r>
      <w:r>
        <w:rPr>
          <w:rFonts w:eastAsia="Times New Roman"/>
          <w:vanish/>
        </w:rPr>
        <w:t>mber2022-01-012022-09-300000912242mac:LongTermIncentivePlanMember2022-09-300000912242us-gaap:PhantomShareUnitsPSUsMember2022-09-300000912242mac:StockUnitsMember2022-09-300000912242us-gaap:EmployeeStockOptionMember2021-12-310000912242us-gaap:EmployeeStockOp</w:t>
      </w:r>
      <w:r>
        <w:rPr>
          <w:rFonts w:eastAsia="Times New Roman"/>
          <w:vanish/>
        </w:rPr>
        <w:t>tionMember2022-01-012022-09-300000912242us-gaap:EmployeeStockOptionMember2022-09-300000912242mac:LongTermIncentivePlanMember2022-07-012022-09-300000912242mac:LongTermIncentivePlanMember2021-07-012021-09-300000912242mac:LongTermIncentivePlanMember2021-01-01</w:t>
      </w:r>
      <w:r>
        <w:rPr>
          <w:rFonts w:eastAsia="Times New Roman"/>
          <w:vanish/>
        </w:rPr>
        <w:t>2021-09-300000912242mac:StockUnitsMember2022-07-012022-09-300000912242mac:StockUnitsMember2021-07-012021-09-300000912242mac:StockUnitsMember2021-01-012021-09-300000912242us-gaap:PhantomShareUnitsPSUsMember2022-07-012022-09-300000912242us-gaap:PhantomShareU</w:t>
      </w:r>
      <w:r>
        <w:rPr>
          <w:rFonts w:eastAsia="Times New Roman"/>
          <w:vanish/>
        </w:rPr>
        <w:t>nitsPSUsMember2021-07-012021-09-300000912242us-gaap:PhantomShareUnitsPSUsMember2021-01-012021-09-300000912242us-gaap:SubsequentEventMember2022-10-282022-10-28</w:t>
      </w:r>
    </w:p>
    <w:p w:rsidR="00000000" w:rsidRDefault="00BC0821">
      <w:pPr>
        <w:jc w:val="center"/>
        <w:divId w:val="1335835789"/>
        <w:rPr>
          <w:rFonts w:eastAsia="Times New Roman"/>
        </w:rPr>
      </w:pPr>
    </w:p>
    <w:p w:rsidR="00000000" w:rsidRDefault="00BC0821">
      <w:pPr>
        <w:jc w:val="center"/>
        <w:divId w:val="299311491"/>
        <w:rPr>
          <w:rFonts w:eastAsia="Times New Roman"/>
        </w:rPr>
      </w:pPr>
    </w:p>
    <w:p w:rsidR="00000000" w:rsidRDefault="00BC0821">
      <w:pPr>
        <w:jc w:val="center"/>
        <w:divId w:val="580650412"/>
        <w:rPr>
          <w:rFonts w:eastAsia="Times New Roman"/>
        </w:rPr>
      </w:pPr>
    </w:p>
    <w:p w:rsidR="00000000" w:rsidRDefault="00BC0821">
      <w:pPr>
        <w:jc w:val="center"/>
        <w:divId w:val="798914877"/>
        <w:rPr>
          <w:rFonts w:eastAsia="Times New Roman"/>
        </w:rPr>
      </w:pPr>
    </w:p>
    <w:p w:rsidR="00000000" w:rsidRDefault="00BC0821">
      <w:pPr>
        <w:jc w:val="center"/>
        <w:divId w:val="109544091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BC0821">
            <w:pPr>
              <w:jc w:val="center"/>
              <w:rPr>
                <w:rFonts w:eastAsia="Times New Roman"/>
              </w:rPr>
            </w:pPr>
          </w:p>
        </w:tc>
        <w:tc>
          <w:tcPr>
            <w:tcW w:w="494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jc w:val="center"/>
        <w:rPr>
          <w:rFonts w:eastAsia="Times New Roman"/>
        </w:rPr>
      </w:pPr>
      <w:r>
        <w:rPr>
          <w:rFonts w:eastAsia="Times New Roman"/>
          <w:b/>
          <w:bCs/>
          <w:color w:val="000000"/>
          <w:sz w:val="32"/>
          <w:szCs w:val="32"/>
        </w:rPr>
        <w:t>UNITED STATES</w:t>
      </w:r>
    </w:p>
    <w:p w:rsidR="00000000" w:rsidRDefault="00BC0821">
      <w:pPr>
        <w:jc w:val="center"/>
        <w:divId w:val="1247879477"/>
        <w:rPr>
          <w:rFonts w:eastAsia="Times New Roman"/>
        </w:rPr>
      </w:pPr>
      <w:r>
        <w:rPr>
          <w:rFonts w:eastAsia="Times New Roman"/>
          <w:b/>
          <w:bCs/>
          <w:color w:val="000000"/>
          <w:sz w:val="32"/>
          <w:szCs w:val="32"/>
        </w:rPr>
        <w:t>SECURITIES AND EXCHANGE COMMISSION</w:t>
      </w:r>
    </w:p>
    <w:p w:rsidR="00000000" w:rsidRDefault="00BC0821">
      <w:pPr>
        <w:jc w:val="center"/>
        <w:divId w:val="156963463"/>
        <w:rPr>
          <w:rFonts w:eastAsia="Times New Roman"/>
        </w:rPr>
      </w:pPr>
      <w:r>
        <w:rPr>
          <w:rFonts w:eastAsia="Times New Roman"/>
          <w:b/>
          <w:bCs/>
          <w:color w:val="000000"/>
          <w:sz w:val="20"/>
          <w:szCs w:val="20"/>
        </w:rPr>
        <w:t>Washington, D.C. 20549</w:t>
      </w:r>
    </w:p>
    <w:p w:rsidR="00000000" w:rsidRDefault="00BC0821">
      <w:pPr>
        <w:jc w:val="center"/>
        <w:divId w:val="1117482616"/>
        <w:rPr>
          <w:rFonts w:eastAsia="Times New Roman"/>
        </w:rPr>
      </w:pPr>
      <w:r>
        <w:rPr>
          <w:rFonts w:eastAsia="Times New Roman"/>
          <w:b/>
          <w:bCs/>
          <w:color w:val="000000"/>
          <w:sz w:val="32"/>
          <w:szCs w:val="32"/>
        </w:rPr>
        <w:t xml:space="preserve">FORM 10-Q </w:t>
      </w:r>
    </w:p>
    <w:p w:rsidR="00000000" w:rsidRDefault="00BC0821">
      <w:pPr>
        <w:ind w:hanging="630"/>
        <w:divId w:val="374234026"/>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rsidR="00000000" w:rsidRDefault="00BC0821">
      <w:pPr>
        <w:ind w:firstLine="90"/>
        <w:divId w:val="1021861186"/>
        <w:rPr>
          <w:rFonts w:eastAsia="Times New Roman"/>
        </w:rPr>
      </w:pPr>
      <w:r>
        <w:rPr>
          <w:rFonts w:eastAsia="Times New Roman"/>
          <w:b/>
          <w:bCs/>
          <w:color w:val="000000"/>
          <w:sz w:val="20"/>
          <w:szCs w:val="20"/>
        </w:rPr>
        <w:t xml:space="preserve">For the quarterly period ended September 30, 2022 </w:t>
      </w:r>
    </w:p>
    <w:p w:rsidR="00000000" w:rsidRDefault="00BC0821">
      <w:pPr>
        <w:ind w:hanging="630"/>
        <w:divId w:val="1351101065"/>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w:t>
      </w:r>
      <w:r>
        <w:rPr>
          <w:rFonts w:eastAsia="Times New Roman"/>
          <w:color w:val="000000"/>
          <w:sz w:val="20"/>
          <w:szCs w:val="20"/>
        </w:rPr>
        <w:t xml:space="preserve"> 15(d) OF THE SECURITIES EXCHANGE ACT OF 1934 </w:t>
      </w:r>
    </w:p>
    <w:p w:rsidR="00000000" w:rsidRDefault="00BC0821">
      <w:pPr>
        <w:ind w:firstLine="90"/>
        <w:divId w:val="1622490294"/>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rsidR="00000000" w:rsidRDefault="00BC0821">
      <w:pPr>
        <w:ind w:hanging="630"/>
        <w:jc w:val="center"/>
        <w:divId w:val="1037973397"/>
        <w:rPr>
          <w:rFonts w:eastAsia="Times New Roman"/>
        </w:rPr>
      </w:pPr>
      <w:r>
        <w:rPr>
          <w:rFonts w:eastAsia="Times New Roman"/>
          <w:color w:val="000000"/>
          <w:sz w:val="20"/>
          <w:szCs w:val="20"/>
        </w:rPr>
        <w:t xml:space="preserve">Commission File No.: 1-12504 </w:t>
      </w:r>
    </w:p>
    <w:p w:rsidR="00000000" w:rsidRDefault="00BC0821">
      <w:pPr>
        <w:jc w:val="center"/>
        <w:divId w:val="1458715877"/>
        <w:rPr>
          <w:rFonts w:eastAsia="Times New Roman"/>
        </w:rPr>
      </w:pPr>
      <w:r>
        <w:rPr>
          <w:rFonts w:eastAsia="Times New Roman"/>
          <w:color w:val="000000"/>
          <w:sz w:val="20"/>
          <w:szCs w:val="20"/>
        </w:rPr>
        <w:t>THE MACERICH COMPANY</w:t>
      </w:r>
    </w:p>
    <w:p w:rsidR="00000000" w:rsidRDefault="00BC0821">
      <w:pPr>
        <w:jc w:val="center"/>
        <w:divId w:val="781337899"/>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trPr>
          <w:divId w:val="781337899"/>
          <w:jc w:val="center"/>
        </w:trPr>
        <w:tc>
          <w:tcPr>
            <w:tcW w:w="50" w:type="pct"/>
            <w:vAlign w:val="center"/>
            <w:hideMark/>
          </w:tcPr>
          <w:p w:rsidR="00000000" w:rsidRDefault="00BC0821">
            <w:pPr>
              <w:jc w:val="center"/>
              <w:rPr>
                <w:rFonts w:eastAsia="Times New Roman"/>
              </w:rPr>
            </w:pPr>
          </w:p>
        </w:tc>
        <w:tc>
          <w:tcPr>
            <w:tcW w:w="93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1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41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781337899"/>
          <w:jc w:val="center"/>
        </w:trPr>
        <w:tc>
          <w:tcPr>
            <w:tcW w:w="0" w:type="auto"/>
            <w:gridSpan w:val="12"/>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95-4448705</w:t>
            </w:r>
          </w:p>
        </w:tc>
      </w:tr>
      <w:tr w:rsidR="00000000">
        <w:trPr>
          <w:divId w:val="781337899"/>
          <w:jc w:val="center"/>
        </w:trPr>
        <w:tc>
          <w:tcPr>
            <w:tcW w:w="0" w:type="auto"/>
            <w:gridSpan w:val="12"/>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(I.R.S. Employer Identification Number)</w:t>
            </w:r>
          </w:p>
        </w:tc>
      </w:tr>
      <w:tr w:rsidR="00000000">
        <w:trPr>
          <w:divId w:val="781337899"/>
          <w:jc w:val="center"/>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90401</w:t>
            </w:r>
          </w:p>
        </w:tc>
      </w:tr>
      <w:tr w:rsidR="00000000">
        <w:trPr>
          <w:divId w:val="781337899"/>
          <w:jc w:val="center"/>
        </w:trPr>
        <w:tc>
          <w:tcPr>
            <w:tcW w:w="0" w:type="auto"/>
            <w:gridSpan w:val="12"/>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(Zip Code)</w:t>
            </w:r>
          </w:p>
        </w:tc>
      </w:tr>
      <w:tr w:rsidR="00000000">
        <w:trPr>
          <w:divId w:val="781337899"/>
          <w:jc w:val="center"/>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394-6000</w:t>
            </w:r>
          </w:p>
        </w:tc>
      </w:tr>
      <w:tr w:rsidR="00000000">
        <w:trPr>
          <w:divId w:val="781337899"/>
          <w:jc w:val="center"/>
        </w:trPr>
        <w:tc>
          <w:tcPr>
            <w:tcW w:w="0" w:type="auto"/>
            <w:gridSpan w:val="18"/>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 (Registrant's telephone number, including area code)</w:t>
            </w:r>
          </w:p>
        </w:tc>
      </w:tr>
      <w:tr w:rsidR="00000000">
        <w:trPr>
          <w:divId w:val="781337899"/>
          <w:jc w:val="center"/>
        </w:trPr>
        <w:tc>
          <w:tcPr>
            <w:tcW w:w="0" w:type="auto"/>
            <w:gridSpan w:val="18"/>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18"/>
                <w:szCs w:val="18"/>
              </w:rPr>
              <w:t>N/A</w:t>
            </w:r>
          </w:p>
          <w:p w:rsidR="00000000" w:rsidRDefault="00BC0821">
            <w:pPr>
              <w:spacing w:after="100"/>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rsidR="00000000" w:rsidRDefault="00BC0821">
      <w:pPr>
        <w:ind w:firstLine="495"/>
        <w:divId w:val="682392134"/>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trPr>
          <w:divId w:val="682392134"/>
        </w:trPr>
        <w:tc>
          <w:tcPr>
            <w:tcW w:w="50" w:type="pct"/>
            <w:vAlign w:val="center"/>
            <w:hideMark/>
          </w:tcPr>
          <w:p w:rsidR="00000000" w:rsidRDefault="00BC0821">
            <w:pPr>
              <w:ind w:firstLine="495"/>
              <w:rPr>
                <w:rFonts w:eastAsia="Times New Roman"/>
              </w:rPr>
            </w:pPr>
          </w:p>
        </w:tc>
        <w:tc>
          <w:tcPr>
            <w:tcW w:w="160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37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84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682392134"/>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Name of each exchange on which registered</w:t>
            </w:r>
          </w:p>
        </w:tc>
      </w:tr>
      <w:tr w:rsidR="00000000">
        <w:trPr>
          <w:divId w:val="682392134"/>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New York Stock Exchange</w:t>
            </w:r>
          </w:p>
        </w:tc>
      </w:tr>
    </w:tbl>
    <w:p w:rsidR="00000000" w:rsidRDefault="00BC0821">
      <w:pPr>
        <w:ind w:firstLine="495"/>
        <w:divId w:val="227304158"/>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BC0821">
      <w:pPr>
        <w:ind w:firstLine="495"/>
        <w:divId w:val="2012950488"/>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BC0821">
      <w:pPr>
        <w:ind w:firstLine="495"/>
        <w:divId w:val="2040427040"/>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trPr>
          <w:divId w:val="2040427040"/>
        </w:trPr>
        <w:tc>
          <w:tcPr>
            <w:tcW w:w="50" w:type="pct"/>
            <w:vAlign w:val="center"/>
            <w:hideMark/>
          </w:tcPr>
          <w:p w:rsidR="00000000" w:rsidRDefault="00BC0821">
            <w:pPr>
              <w:ind w:firstLine="495"/>
              <w:rPr>
                <w:rFonts w:eastAsia="Times New Roman"/>
              </w:rPr>
            </w:pPr>
          </w:p>
        </w:tc>
        <w:tc>
          <w:tcPr>
            <w:tcW w:w="105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11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7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11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04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11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29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11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040427040"/>
        </w:trPr>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r>
              <w:rPr>
                <w:rFonts w:ascii="Segoe UI Symbol" w:eastAsia="Times New Roman" w:hAnsi="Segoe UI Symbol" w:cs="Segoe UI Symbol"/>
                <w:color w:val="000000"/>
                <w:sz w:val="18"/>
                <w:szCs w:val="18"/>
              </w:rPr>
              <w:t>☐</w:t>
            </w:r>
          </w:p>
        </w:tc>
      </w:tr>
      <w:tr w:rsidR="00000000">
        <w:trPr>
          <w:divId w:val="2040427040"/>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r>
              <w:rPr>
                <w:rFonts w:ascii="Segoe UI Symbol" w:eastAsia="Times New Roman" w:hAnsi="Segoe UI Symbol" w:cs="Segoe UI Symbol"/>
                <w:color w:val="000000"/>
                <w:sz w:val="18"/>
                <w:szCs w:val="18"/>
              </w:rPr>
              <w:t>☐</w:t>
            </w:r>
          </w:p>
        </w:tc>
      </w:tr>
    </w:tbl>
    <w:p w:rsidR="00000000" w:rsidRDefault="00BC0821">
      <w:pPr>
        <w:ind w:firstLine="495"/>
        <w:divId w:val="1789161432"/>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BC0821">
      <w:pPr>
        <w:ind w:firstLine="495"/>
        <w:divId w:val="1816682639"/>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BC0821">
      <w:pPr>
        <w:ind w:firstLine="495"/>
        <w:divId w:val="1635867285"/>
        <w:rPr>
          <w:rFonts w:eastAsia="Times New Roman"/>
        </w:rPr>
      </w:pPr>
      <w:r>
        <w:rPr>
          <w:rFonts w:eastAsia="Times New Roman"/>
          <w:color w:val="000000"/>
          <w:sz w:val="18"/>
          <w:szCs w:val="18"/>
        </w:rPr>
        <w:t>Number of shares outstanding as of November 4, 2022 of the registrant's common stock, par value $0.01 per share: 214,784,758 shar</w:t>
      </w:r>
      <w:r>
        <w:rPr>
          <w:rFonts w:eastAsia="Times New Roman"/>
          <w:color w:val="000000"/>
          <w:sz w:val="18"/>
          <w:szCs w:val="18"/>
        </w:rPr>
        <w:t>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35867285"/>
        </w:trPr>
        <w:tc>
          <w:tcPr>
            <w:tcW w:w="50" w:type="pct"/>
            <w:vAlign w:val="center"/>
            <w:hideMark/>
          </w:tcPr>
          <w:p w:rsidR="00000000" w:rsidRDefault="00BC0821">
            <w:pPr>
              <w:ind w:firstLine="495"/>
              <w:rPr>
                <w:rFonts w:eastAsia="Times New Roman"/>
              </w:rPr>
            </w:pPr>
          </w:p>
        </w:tc>
        <w:tc>
          <w:tcPr>
            <w:tcW w:w="494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635867285"/>
          <w:trHeight w:val="6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jc w:val="center"/>
        <w:rPr>
          <w:rFonts w:eastAsia="Times New Roman"/>
        </w:rPr>
      </w:pPr>
    </w:p>
    <w:p w:rsidR="00000000" w:rsidRDefault="00BC0821">
      <w:pPr>
        <w:divId w:val="787969687"/>
        <w:rPr>
          <w:rFonts w:eastAsia="Times New Roman"/>
        </w:rPr>
      </w:pPr>
    </w:p>
    <w:p w:rsidR="00000000" w:rsidRDefault="00BC0821">
      <w:pPr>
        <w:rPr>
          <w:rFonts w:eastAsia="Times New Roman"/>
        </w:rPr>
      </w:pPr>
      <w:r>
        <w:rPr>
          <w:rFonts w:eastAsia="Times New Roman"/>
        </w:rPr>
        <w:pict>
          <v:rect id="_x0000_i1025" style="width:0;height:1.5pt" o:hralign="center" o:hrstd="t" o:hr="t" fillcolor="#a0a0a0" stroked="f"/>
        </w:pict>
      </w:r>
    </w:p>
    <w:p w:rsidR="00000000" w:rsidRDefault="00BC0821">
      <w:pPr>
        <w:jc w:val="center"/>
        <w:divId w:val="1424912787"/>
        <w:rPr>
          <w:rFonts w:eastAsia="Times New Roman"/>
        </w:rPr>
      </w:pPr>
    </w:p>
    <w:p w:rsidR="00000000" w:rsidRDefault="00BC0821">
      <w:pPr>
        <w:jc w:val="center"/>
        <w:divId w:val="1168598225"/>
        <w:rPr>
          <w:rFonts w:eastAsia="Times New Roman"/>
        </w:rPr>
      </w:pPr>
    </w:p>
    <w:p w:rsidR="00000000" w:rsidRDefault="00BC0821">
      <w:pPr>
        <w:jc w:val="center"/>
        <w:divId w:val="1510371443"/>
        <w:rPr>
          <w:rFonts w:eastAsia="Times New Roman"/>
        </w:rPr>
      </w:pPr>
    </w:p>
    <w:p w:rsidR="00000000" w:rsidRDefault="00BC0821">
      <w:pPr>
        <w:jc w:val="center"/>
        <w:divId w:val="372969960"/>
        <w:rPr>
          <w:rFonts w:eastAsia="Times New Roman"/>
        </w:rPr>
      </w:pPr>
    </w:p>
    <w:p w:rsidR="00000000" w:rsidRDefault="00BC0821">
      <w:pPr>
        <w:jc w:val="center"/>
        <w:divId w:val="132646153"/>
        <w:rPr>
          <w:rFonts w:eastAsia="Times New Roman"/>
        </w:rPr>
      </w:pPr>
    </w:p>
    <w:p w:rsidR="00000000" w:rsidRDefault="00BC0821">
      <w:pPr>
        <w:jc w:val="center"/>
        <w:divId w:val="1045329293"/>
        <w:rPr>
          <w:rFonts w:eastAsia="Times New Roman"/>
        </w:rPr>
      </w:pPr>
      <w:r>
        <w:rPr>
          <w:rFonts w:eastAsia="Times New Roman"/>
          <w:b/>
          <w:bCs/>
          <w:color w:val="000000"/>
          <w:sz w:val="20"/>
          <w:szCs w:val="20"/>
        </w:rPr>
        <w:t>THE MACERICH COMPANY</w:t>
      </w:r>
    </w:p>
    <w:p w:rsidR="00000000" w:rsidRDefault="00BC0821">
      <w:pPr>
        <w:jc w:val="center"/>
        <w:divId w:val="1280843135"/>
        <w:rPr>
          <w:rFonts w:eastAsia="Times New Roman"/>
        </w:rPr>
      </w:pPr>
      <w:r>
        <w:rPr>
          <w:rFonts w:eastAsia="Times New Roman"/>
          <w:b/>
          <w:bCs/>
          <w:color w:val="000000"/>
          <w:sz w:val="20"/>
          <w:szCs w:val="20"/>
        </w:rPr>
        <w:t>FORM 10-Q</w:t>
      </w:r>
    </w:p>
    <w:p w:rsidR="00000000" w:rsidRDefault="00BC0821">
      <w:pPr>
        <w:jc w:val="center"/>
        <w:divId w:val="1685594468"/>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8"/>
        <w:gridCol w:w="6909"/>
        <w:gridCol w:w="37"/>
        <w:gridCol w:w="36"/>
        <w:gridCol w:w="36"/>
        <w:gridCol w:w="36"/>
        <w:gridCol w:w="50"/>
        <w:gridCol w:w="242"/>
        <w:gridCol w:w="36"/>
      </w:tblGrid>
      <w:tr w:rsidR="00000000">
        <w:trPr>
          <w:divId w:val="1685594468"/>
          <w:jc w:val="center"/>
        </w:trPr>
        <w:tc>
          <w:tcPr>
            <w:tcW w:w="50" w:type="pct"/>
            <w:vAlign w:val="center"/>
            <w:hideMark/>
          </w:tcPr>
          <w:p w:rsidR="00000000" w:rsidRDefault="00BC0821">
            <w:pPr>
              <w:jc w:val="center"/>
              <w:rPr>
                <w:rFonts w:eastAsia="Times New Roman"/>
              </w:rPr>
            </w:pPr>
          </w:p>
        </w:tc>
        <w:tc>
          <w:tcPr>
            <w:tcW w:w="35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0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8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Financial Information</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514154758"/>
              <w:rPr>
                <w:rFonts w:eastAsia="Times New Roman"/>
              </w:rPr>
            </w:pPr>
            <w:hyperlink w:anchor="if29fc3b4d1744e89bfd34e51e96b86e1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077829227"/>
              <w:rPr>
                <w:rFonts w:eastAsia="Times New Roman"/>
              </w:rPr>
            </w:pPr>
            <w:hyperlink w:anchor="if29fc3b4d1744e89bfd34e51e96b86e1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0" w:history="1">
              <w:r>
                <w:rPr>
                  <w:rStyle w:val="a3"/>
                  <w:rFonts w:eastAsia="Times New Roman"/>
                  <w:sz w:val="20"/>
                  <w:szCs w:val="20"/>
                </w:rPr>
                <w:t>3</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1267732267"/>
              <w:rPr>
                <w:rFonts w:eastAsia="Times New Roman"/>
              </w:rPr>
            </w:pPr>
            <w:hyperlink w:anchor="if29fc3b4d1744e89bfd34e51e96b86e1_13" w:history="1">
              <w:r>
                <w:rPr>
                  <w:rStyle w:val="a3"/>
                  <w:rFonts w:eastAsia="Times New Roman"/>
                  <w:sz w:val="20"/>
                  <w:szCs w:val="20"/>
                </w:rPr>
                <w:t>Consolidated Balance Sheets as of September 30, 2022 and December 31, 2021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3" w:history="1">
              <w:r>
                <w:rPr>
                  <w:rStyle w:val="a3"/>
                  <w:rFonts w:eastAsia="Times New Roman"/>
                  <w:sz w:val="20"/>
                  <w:szCs w:val="20"/>
                </w:rPr>
                <w:t>3</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2041472353"/>
              <w:rPr>
                <w:rFonts w:eastAsia="Times New Roman"/>
              </w:rPr>
            </w:pPr>
            <w:hyperlink w:anchor="if29fc3b4d1744e89bfd34e51e96b86e1_16" w:history="1">
              <w:r>
                <w:rPr>
                  <w:rStyle w:val="a3"/>
                  <w:rFonts w:eastAsia="Times New Roman"/>
                  <w:sz w:val="20"/>
                  <w:szCs w:val="20"/>
                </w:rPr>
                <w:t>Consolidated Statements of Operations for the three and nine months ended September 30, 2022 and 2021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6" w:history="1">
              <w:r>
                <w:rPr>
                  <w:rStyle w:val="a3"/>
                  <w:rFonts w:eastAsia="Times New Roman"/>
                  <w:sz w:val="20"/>
                  <w:szCs w:val="20"/>
                </w:rPr>
                <w:t>4</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1874884096"/>
              <w:rPr>
                <w:rFonts w:eastAsia="Times New Roman"/>
              </w:rPr>
            </w:pPr>
            <w:hyperlink w:anchor="if29fc3b4d1744e89bfd34e51e96b86e1_19" w:history="1">
              <w:r>
                <w:rPr>
                  <w:rStyle w:val="a3"/>
                  <w:rFonts w:eastAsia="Times New Roman"/>
                  <w:sz w:val="20"/>
                  <w:szCs w:val="20"/>
                </w:rPr>
                <w:t xml:space="preserve">Consolidated Statements of Comprehensive </w:t>
              </w:r>
            </w:hyperlink>
            <w:hyperlink w:anchor="if29fc3b4d1744e89bfd34e51e96b86e1_19" w:history="1">
              <w:r>
                <w:rPr>
                  <w:rStyle w:val="a3"/>
                  <w:rFonts w:eastAsia="Times New Roman"/>
                  <w:sz w:val="20"/>
                  <w:szCs w:val="20"/>
                </w:rPr>
                <w:t>(</w:t>
              </w:r>
            </w:hyperlink>
            <w:hyperlink w:anchor="if29fc3b4d1744e89bfd34e51e96b86e1_19" w:history="1">
              <w:r>
                <w:rPr>
                  <w:rStyle w:val="a3"/>
                  <w:rFonts w:eastAsia="Times New Roman"/>
                  <w:sz w:val="20"/>
                  <w:szCs w:val="20"/>
                </w:rPr>
                <w:t>Loss</w:t>
              </w:r>
            </w:hyperlink>
            <w:hyperlink w:anchor="if29fc3b4d1744e89bfd34e51e96b86e1_19" w:history="1">
              <w:r>
                <w:rPr>
                  <w:rStyle w:val="a3"/>
                  <w:rFonts w:eastAsia="Times New Roman"/>
                  <w:sz w:val="20"/>
                  <w:szCs w:val="20"/>
                </w:rPr>
                <w:t>) Income</w:t>
              </w:r>
            </w:hyperlink>
            <w:hyperlink w:anchor="if29fc3b4d1744e89bfd34e51e96b86e1_19" w:history="1">
              <w:r>
                <w:rPr>
                  <w:rStyle w:val="a3"/>
                  <w:rFonts w:eastAsia="Times New Roman"/>
                  <w:sz w:val="20"/>
                  <w:szCs w:val="20"/>
                </w:rPr>
                <w:t xml:space="preserve"> for the three and nine months ended September 30, 2022 and 2001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9" w:history="1">
              <w:r>
                <w:rPr>
                  <w:rStyle w:val="a3"/>
                  <w:rFonts w:eastAsia="Times New Roman"/>
                  <w:sz w:val="20"/>
                  <w:szCs w:val="20"/>
                </w:rPr>
                <w:t>5</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361053727"/>
              <w:rPr>
                <w:rFonts w:eastAsia="Times New Roman"/>
              </w:rPr>
            </w:pPr>
            <w:hyperlink w:anchor="if29fc3b4d1744e89bfd34e51e96b86e1_25" w:history="1">
              <w:r>
                <w:rPr>
                  <w:rStyle w:val="a3"/>
                  <w:rFonts w:eastAsia="Times New Roman"/>
                  <w:sz w:val="20"/>
                  <w:szCs w:val="20"/>
                </w:rPr>
                <w:t>Consolidated Statements of Equity for the three and nine months ended September 30, 2022 and 2021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22" w:history="1">
              <w:r>
                <w:rPr>
                  <w:rStyle w:val="a3"/>
                  <w:rFonts w:eastAsia="Times New Roman"/>
                  <w:sz w:val="20"/>
                  <w:szCs w:val="20"/>
                </w:rPr>
                <w:t>6</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1289357078"/>
              <w:rPr>
                <w:rFonts w:eastAsia="Times New Roman"/>
              </w:rPr>
            </w:pPr>
            <w:hyperlink w:anchor="if29fc3b4d1744e89bfd34e51e96b86e1_28" w:history="1">
              <w:r>
                <w:rPr>
                  <w:rStyle w:val="a3"/>
                  <w:rFonts w:eastAsia="Times New Roman"/>
                  <w:sz w:val="20"/>
                  <w:szCs w:val="20"/>
                </w:rPr>
                <w:t>Consolidated Statements of Cash Flows for the nine months ended September 30, 2022 and 2021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28" w:history="1">
              <w:r>
                <w:rPr>
                  <w:rStyle w:val="a3"/>
                  <w:rFonts w:eastAsia="Times New Roman"/>
                  <w:sz w:val="20"/>
                  <w:szCs w:val="20"/>
                </w:rPr>
                <w:t>8</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0821">
            <w:pPr>
              <w:spacing w:after="100"/>
              <w:divId w:val="1439830504"/>
              <w:rPr>
                <w:rFonts w:eastAsia="Times New Roman"/>
              </w:rPr>
            </w:pPr>
            <w:hyperlink w:anchor="if29fc3b4d1744e89bfd34e51e96b86e1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31" w:history="1">
              <w:r>
                <w:rPr>
                  <w:rStyle w:val="a3"/>
                  <w:rFonts w:eastAsia="Times New Roman"/>
                  <w:sz w:val="20"/>
                  <w:szCs w:val="20"/>
                </w:rPr>
                <w:t>10</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90067810"/>
              <w:rPr>
                <w:rFonts w:eastAsia="Times New Roman"/>
              </w:rPr>
            </w:pPr>
            <w:hyperlink w:anchor="if29fc3b4d1744e89bfd34e51e96b86e1_103"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877208038"/>
              <w:rPr>
                <w:rFonts w:eastAsia="Times New Roman"/>
              </w:rPr>
            </w:pPr>
            <w:hyperlink w:anchor="if29fc3b4d1744e89bfd34e51e96b86e1_103"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03" w:history="1">
              <w:r>
                <w:rPr>
                  <w:rStyle w:val="a3"/>
                  <w:rFonts w:eastAsia="Times New Roman"/>
                  <w:sz w:val="20"/>
                  <w:szCs w:val="20"/>
                </w:rPr>
                <w:t>28</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983458128"/>
              <w:rPr>
                <w:rFonts w:eastAsia="Times New Roman"/>
              </w:rPr>
            </w:pPr>
            <w:hyperlink w:anchor="if29fc3b4d1744e89bfd34e51e96b86e1_127"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909076884"/>
              <w:rPr>
                <w:rFonts w:eastAsia="Times New Roman"/>
              </w:rPr>
            </w:pPr>
            <w:hyperlink w:anchor="if29fc3b4d1744e89bfd34e51e96b86e1_127"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27" w:history="1">
              <w:r>
                <w:rPr>
                  <w:rStyle w:val="a3"/>
                  <w:rFonts w:eastAsia="Times New Roman"/>
                  <w:sz w:val="20"/>
                  <w:szCs w:val="20"/>
                </w:rPr>
                <w:t>43</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819615486"/>
              <w:rPr>
                <w:rFonts w:eastAsia="Times New Roman"/>
              </w:rPr>
            </w:pPr>
            <w:hyperlink w:anchor="if29fc3b4d1744e89bfd34e51e96b86e1_130"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823006749"/>
              <w:rPr>
                <w:rFonts w:eastAsia="Times New Roman"/>
              </w:rPr>
            </w:pPr>
            <w:hyperlink w:anchor="if29fc3b4d1744e89bfd34e51e96b86e1_130"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30" w:history="1">
              <w:r>
                <w:rPr>
                  <w:rStyle w:val="a3"/>
                  <w:rFonts w:eastAsia="Times New Roman"/>
                  <w:sz w:val="20"/>
                  <w:szCs w:val="20"/>
                </w:rPr>
                <w:t>44</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575892459"/>
              <w:rPr>
                <w:rFonts w:eastAsia="Times New Roman"/>
              </w:rPr>
            </w:pPr>
            <w:hyperlink w:anchor="if29fc3b4d1744e89bfd34e51e96b86e1_136"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517819077"/>
              <w:rPr>
                <w:rFonts w:eastAsia="Times New Roman"/>
              </w:rPr>
            </w:pPr>
            <w:hyperlink w:anchor="if29fc3b4d1744e89bfd34e51e96b86e1_136"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36" w:history="1">
              <w:r>
                <w:rPr>
                  <w:rStyle w:val="a3"/>
                  <w:rFonts w:eastAsia="Times New Roman"/>
                  <w:sz w:val="20"/>
                  <w:szCs w:val="20"/>
                </w:rPr>
                <w:t>44</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84485785"/>
              <w:rPr>
                <w:rFonts w:eastAsia="Times New Roman"/>
              </w:rPr>
            </w:pPr>
            <w:hyperlink w:anchor="if29fc3b4d1744e89bfd34e51e96b86e1_139"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966613797"/>
              <w:rPr>
                <w:rFonts w:eastAsia="Times New Roman"/>
              </w:rPr>
            </w:pPr>
            <w:hyperlink w:anchor="if29fc3b4d1744e89bfd34e51e96b86e1_139"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39" w:history="1">
              <w:r>
                <w:rPr>
                  <w:rStyle w:val="a3"/>
                  <w:rFonts w:eastAsia="Times New Roman"/>
                  <w:sz w:val="20"/>
                  <w:szCs w:val="20"/>
                </w:rPr>
                <w:t>44</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432090701"/>
              <w:rPr>
                <w:rFonts w:eastAsia="Times New Roman"/>
              </w:rPr>
            </w:pPr>
            <w:hyperlink w:anchor="if29fc3b4d1744e89bfd34e51e96b86e1_142"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170296271"/>
              <w:rPr>
                <w:rFonts w:eastAsia="Times New Roman"/>
              </w:rPr>
            </w:pPr>
            <w:hyperlink w:anchor="if29fc3b4d1744e89bfd34e51e96b86e1_142"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42" w:history="1">
              <w:r>
                <w:rPr>
                  <w:rStyle w:val="a3"/>
                  <w:rFonts w:eastAsia="Times New Roman"/>
                  <w:sz w:val="20"/>
                  <w:szCs w:val="20"/>
                </w:rPr>
                <w:t>45</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419644890"/>
              <w:rPr>
                <w:rFonts w:eastAsia="Times New Roman"/>
              </w:rPr>
            </w:pPr>
            <w:hyperlink w:anchor="if29fc3b4d1744e89bfd34e51e96b86e1_145"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358771356"/>
              <w:rPr>
                <w:rFonts w:eastAsia="Times New Roman"/>
              </w:rPr>
            </w:pPr>
            <w:hyperlink w:anchor="if29fc3b4d1744e89bfd34e51e96b86e1_145"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45" w:history="1">
              <w:r>
                <w:rPr>
                  <w:rStyle w:val="a3"/>
                  <w:rFonts w:eastAsia="Times New Roman"/>
                  <w:sz w:val="20"/>
                  <w:szCs w:val="20"/>
                </w:rPr>
                <w:t>45</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1273516724"/>
              <w:rPr>
                <w:rFonts w:eastAsia="Times New Roman"/>
              </w:rPr>
            </w:pPr>
            <w:hyperlink w:anchor="if29fc3b4d1744e89bfd34e51e96b86e1_148"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732999623"/>
              <w:rPr>
                <w:rFonts w:eastAsia="Times New Roman"/>
              </w:rPr>
            </w:pPr>
            <w:hyperlink w:anchor="if29fc3b4d1744e89bfd34e51e96b86e1_148"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48" w:history="1">
              <w:r>
                <w:rPr>
                  <w:rStyle w:val="a3"/>
                  <w:rFonts w:eastAsia="Times New Roman"/>
                  <w:sz w:val="20"/>
                  <w:szCs w:val="20"/>
                </w:rPr>
                <w:t>45</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21396182"/>
              <w:rPr>
                <w:rFonts w:eastAsia="Times New Roman"/>
              </w:rPr>
            </w:pPr>
            <w:hyperlink w:anchor="if29fc3b4d1744e89bfd34e51e96b86e1_151"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63730311"/>
              <w:rPr>
                <w:rFonts w:eastAsia="Times New Roman"/>
              </w:rPr>
            </w:pPr>
            <w:hyperlink w:anchor="if29fc3b4d1744e89bfd34e51e96b86e1_151"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51" w:history="1">
              <w:r>
                <w:rPr>
                  <w:rStyle w:val="a3"/>
                  <w:rFonts w:eastAsia="Times New Roman"/>
                  <w:sz w:val="20"/>
                  <w:szCs w:val="20"/>
                </w:rPr>
                <w:t>45</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3"/>
            <w:tcMar>
              <w:top w:w="30" w:type="dxa"/>
              <w:left w:w="20" w:type="dxa"/>
              <w:bottom w:w="30" w:type="dxa"/>
              <w:right w:w="20" w:type="dxa"/>
            </w:tcMar>
            <w:hideMark/>
          </w:tcPr>
          <w:p w:rsidR="00000000" w:rsidRDefault="00BC0821">
            <w:pPr>
              <w:spacing w:after="100"/>
              <w:divId w:val="757096459"/>
              <w:rPr>
                <w:rFonts w:eastAsia="Times New Roman"/>
              </w:rPr>
            </w:pPr>
            <w:hyperlink w:anchor="if29fc3b4d1744e89bfd34e51e96b86e1_154"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931551961"/>
              <w:rPr>
                <w:rFonts w:eastAsia="Times New Roman"/>
              </w:rPr>
            </w:pPr>
            <w:hyperlink w:anchor="if29fc3b4d1744e89bfd34e51e96b86e1_154"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54" w:history="1">
              <w:r>
                <w:rPr>
                  <w:rStyle w:val="a3"/>
                  <w:rFonts w:eastAsia="Times New Roman"/>
                  <w:sz w:val="20"/>
                  <w:szCs w:val="20"/>
                </w:rPr>
                <w:t>46</w:t>
              </w:r>
            </w:hyperlink>
          </w:p>
        </w:tc>
      </w:tr>
      <w:tr w:rsidR="00000000">
        <w:trPr>
          <w:divId w:val="168559446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685594468"/>
          <w:jc w:val="center"/>
        </w:trPr>
        <w:tc>
          <w:tcPr>
            <w:tcW w:w="0" w:type="auto"/>
            <w:gridSpan w:val="9"/>
            <w:tcMar>
              <w:top w:w="30" w:type="dxa"/>
              <w:left w:w="20" w:type="dxa"/>
              <w:bottom w:w="30" w:type="dxa"/>
              <w:right w:w="20" w:type="dxa"/>
            </w:tcMar>
            <w:hideMark/>
          </w:tcPr>
          <w:p w:rsidR="00000000" w:rsidRDefault="00BC0821">
            <w:pPr>
              <w:spacing w:after="100"/>
              <w:divId w:val="1338996125"/>
              <w:rPr>
                <w:rFonts w:eastAsia="Times New Roman"/>
              </w:rPr>
            </w:pPr>
            <w:hyperlink w:anchor="if29fc3b4d1744e89bfd34e51e96b86e1_157"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right"/>
              <w:rPr>
                <w:rFonts w:eastAsia="Times New Roman"/>
              </w:rPr>
            </w:pPr>
            <w:hyperlink w:anchor="if29fc3b4d1744e89bfd34e51e96b86e1_157" w:history="1">
              <w:r>
                <w:rPr>
                  <w:rStyle w:val="a3"/>
                  <w:rFonts w:eastAsia="Times New Roman"/>
                  <w:sz w:val="20"/>
                  <w:szCs w:val="20"/>
                </w:rPr>
                <w:t>48</w:t>
              </w:r>
            </w:hyperlink>
          </w:p>
        </w:tc>
      </w:tr>
    </w:tbl>
    <w:p w:rsidR="00000000" w:rsidRDefault="00BC0821">
      <w:pPr>
        <w:jc w:val="center"/>
        <w:rPr>
          <w:rFonts w:eastAsia="Times New Roman"/>
        </w:rPr>
      </w:pPr>
    </w:p>
    <w:p w:rsidR="00000000" w:rsidRDefault="00BC0821">
      <w:pPr>
        <w:jc w:val="center"/>
        <w:divId w:val="4669811"/>
        <w:rPr>
          <w:rFonts w:eastAsia="Times New Roman"/>
        </w:rPr>
      </w:pPr>
      <w:r>
        <w:rPr>
          <w:rFonts w:eastAsia="Times New Roman"/>
          <w:color w:val="000000"/>
          <w:sz w:val="20"/>
          <w:szCs w:val="20"/>
        </w:rPr>
        <w:t>2</w:t>
      </w:r>
    </w:p>
    <w:p w:rsidR="00000000" w:rsidRDefault="00BC0821">
      <w:pPr>
        <w:rPr>
          <w:rFonts w:eastAsia="Times New Roman"/>
        </w:rPr>
      </w:pPr>
      <w:r>
        <w:rPr>
          <w:rFonts w:eastAsia="Times New Roman"/>
        </w:rPr>
        <w:pict>
          <v:rect id="_x0000_i1026" style="width:0;height:1.5pt" o:hralign="center" o:hrstd="t" o:hr="t" fillcolor="#a0a0a0" stroked="f"/>
        </w:pict>
      </w:r>
    </w:p>
    <w:p w:rsidR="00000000" w:rsidRDefault="00BC0821">
      <w:pPr>
        <w:divId w:val="568465167"/>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578369451"/>
        <w:rPr>
          <w:rFonts w:eastAsia="Times New Roman"/>
        </w:rPr>
      </w:pPr>
    </w:p>
    <w:p w:rsidR="00000000" w:rsidRDefault="00BC0821">
      <w:pPr>
        <w:jc w:val="center"/>
        <w:divId w:val="688607850"/>
        <w:rPr>
          <w:rFonts w:eastAsia="Times New Roman"/>
        </w:rPr>
      </w:pPr>
      <w:r>
        <w:rPr>
          <w:rFonts w:eastAsia="Times New Roman"/>
          <w:b/>
          <w:bCs/>
          <w:color w:val="000000"/>
          <w:sz w:val="20"/>
          <w:szCs w:val="20"/>
        </w:rPr>
        <w:t>THE MACERICH COMPANY</w:t>
      </w:r>
    </w:p>
    <w:p w:rsidR="00000000" w:rsidRDefault="00BC0821">
      <w:pPr>
        <w:jc w:val="center"/>
        <w:divId w:val="1401322477"/>
        <w:rPr>
          <w:rFonts w:eastAsia="Times New Roman"/>
        </w:rPr>
      </w:pPr>
      <w:r>
        <w:rPr>
          <w:rFonts w:eastAsia="Times New Roman"/>
          <w:b/>
          <w:bCs/>
          <w:color w:val="000000"/>
          <w:sz w:val="20"/>
          <w:szCs w:val="20"/>
        </w:rPr>
        <w:t>CONSOLIDATED BALANCE SHEETS</w:t>
      </w:r>
    </w:p>
    <w:p w:rsidR="00000000" w:rsidRDefault="00BC0821">
      <w:pPr>
        <w:jc w:val="center"/>
        <w:divId w:val="1691253405"/>
        <w:rPr>
          <w:rFonts w:eastAsia="Times New Roman"/>
        </w:rPr>
      </w:pPr>
      <w:r>
        <w:rPr>
          <w:rFonts w:eastAsia="Times New Roman"/>
          <w:b/>
          <w:bCs/>
          <w:color w:val="000000"/>
          <w:sz w:val="20"/>
          <w:szCs w:val="20"/>
        </w:rPr>
        <w:t>(Dollars in thousands, except par value)</w:t>
      </w:r>
    </w:p>
    <w:p w:rsidR="00000000" w:rsidRDefault="00BC0821">
      <w:pPr>
        <w:jc w:val="center"/>
        <w:divId w:val="129251693"/>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trPr>
          <w:divId w:val="129251693"/>
          <w:jc w:val="center"/>
        </w:trPr>
        <w:tc>
          <w:tcPr>
            <w:tcW w:w="50" w:type="pct"/>
            <w:vAlign w:val="center"/>
            <w:hideMark/>
          </w:tcPr>
          <w:p w:rsidR="00000000" w:rsidRDefault="00BC0821">
            <w:pPr>
              <w:jc w:val="center"/>
              <w:rPr>
                <w:rFonts w:eastAsia="Times New Roman"/>
              </w:rPr>
            </w:pPr>
          </w:p>
        </w:tc>
        <w:tc>
          <w:tcPr>
            <w:tcW w:w="363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29251693"/>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6,164,795 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6,284,206 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109,991 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54,984 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170,353 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211,361 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129,025 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110,638 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226,341 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254,908 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9,168 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1,204,153 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1,317,571 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60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8,068,810 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4,259,503 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4,423,554 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91,541 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104,811 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65,929 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59,228 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97,679 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80,711 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315,393 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254,279 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126,795 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127,608 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133,825 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118,988 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60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5,090,665 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5,169,506 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Equity:</w:t>
            </w: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29251693"/>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29251693"/>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divId w:val="413623819"/>
              <w:rPr>
                <w:rFonts w:eastAsia="Times New Roman"/>
              </w:rPr>
            </w:pPr>
            <w:r>
              <w:rPr>
                <w:rFonts w:eastAsia="Times New Roman"/>
                <w:color w:val="000000"/>
                <w:sz w:val="20"/>
                <w:szCs w:val="20"/>
              </w:rPr>
              <w:t xml:space="preserve">Common stock, $0.01 par value, 500,000,000 shares authorized at September 30, 2022 and December 31, 2021, and 215,146,141 and 214,797,057 </w:t>
            </w:r>
            <w:r>
              <w:rPr>
                <w:rFonts w:eastAsia="Times New Roman"/>
                <w:color w:val="000000"/>
                <w:sz w:val="20"/>
                <w:szCs w:val="20"/>
              </w:rPr>
              <w:t>shares issued and outstanding at September 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5,505,307 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5,488,440 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(2,608,239)</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(2,443,696)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60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2,899,231 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3,046,867 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78,914 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129,282 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FFFFFF"/>
            <w:tcMar>
              <w:top w:w="30" w:type="dxa"/>
              <w:left w:w="60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2,978,145 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3,176,149 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9251693"/>
          <w:jc w:val="center"/>
        </w:trPr>
        <w:tc>
          <w:tcPr>
            <w:tcW w:w="0" w:type="auto"/>
            <w:gridSpan w:val="3"/>
            <w:shd w:val="clear" w:color="auto" w:fill="CCEEFF"/>
            <w:tcMar>
              <w:top w:w="30" w:type="dxa"/>
              <w:left w:w="60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8,068,810 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360"/>
        <w:jc w:val="center"/>
        <w:divId w:val="294991573"/>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BC0821">
      <w:pPr>
        <w:jc w:val="center"/>
        <w:divId w:val="596208278"/>
        <w:rPr>
          <w:rFonts w:eastAsia="Times New Roman"/>
        </w:rPr>
      </w:pPr>
      <w:r>
        <w:rPr>
          <w:rFonts w:eastAsia="Times New Roman"/>
          <w:color w:val="000000"/>
          <w:sz w:val="20"/>
          <w:szCs w:val="20"/>
        </w:rPr>
        <w:t>3</w:t>
      </w:r>
    </w:p>
    <w:p w:rsidR="00000000" w:rsidRDefault="00BC0821">
      <w:pPr>
        <w:rPr>
          <w:rFonts w:eastAsia="Times New Roman"/>
        </w:rPr>
      </w:pPr>
      <w:r>
        <w:rPr>
          <w:rFonts w:eastAsia="Times New Roman"/>
        </w:rPr>
        <w:pict>
          <v:rect id="_x0000_i1027" style="width:0;height:1.5pt" o:hralign="center" o:hrstd="t" o:hr="t" fillcolor="#a0a0a0" stroked="f"/>
        </w:pict>
      </w:r>
    </w:p>
    <w:p w:rsidR="00000000" w:rsidRDefault="00BC0821">
      <w:pPr>
        <w:divId w:val="2064480568"/>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430323794"/>
        <w:rPr>
          <w:rFonts w:eastAsia="Times New Roman"/>
        </w:rPr>
      </w:pPr>
      <w:r>
        <w:rPr>
          <w:rFonts w:eastAsia="Times New Roman"/>
          <w:b/>
          <w:bCs/>
          <w:color w:val="000000"/>
          <w:sz w:val="20"/>
          <w:szCs w:val="20"/>
        </w:rPr>
        <w:t>THE MACERICH COMPANY</w:t>
      </w:r>
    </w:p>
    <w:p w:rsidR="00000000" w:rsidRDefault="00BC0821">
      <w:pPr>
        <w:jc w:val="center"/>
        <w:divId w:val="1259220781"/>
        <w:rPr>
          <w:rFonts w:eastAsia="Times New Roman"/>
        </w:rPr>
      </w:pPr>
      <w:r>
        <w:rPr>
          <w:rFonts w:eastAsia="Times New Roman"/>
          <w:b/>
          <w:bCs/>
          <w:color w:val="000000"/>
          <w:sz w:val="20"/>
          <w:szCs w:val="20"/>
        </w:rPr>
        <w:t>CONSOLIDATED STATEMENTS OF OPERATIONS</w:t>
      </w:r>
    </w:p>
    <w:p w:rsidR="00000000" w:rsidRDefault="00BC0821">
      <w:pPr>
        <w:jc w:val="center"/>
        <w:divId w:val="1747607158"/>
        <w:rPr>
          <w:rFonts w:eastAsia="Times New Roman"/>
        </w:rPr>
      </w:pPr>
      <w:r>
        <w:rPr>
          <w:rFonts w:eastAsia="Times New Roman"/>
          <w:b/>
          <w:bCs/>
          <w:color w:val="000000"/>
          <w:sz w:val="20"/>
          <w:szCs w:val="20"/>
        </w:rPr>
        <w:t>(Dollars in thousands, except per share amounts)</w:t>
      </w:r>
    </w:p>
    <w:tbl>
      <w:tblPr>
        <w:tblW w:w="4561" w:type="pct"/>
        <w:jc w:val="center"/>
        <w:tblCellMar>
          <w:top w:w="15" w:type="dxa"/>
          <w:left w:w="15" w:type="dxa"/>
          <w:bottom w:w="15" w:type="dxa"/>
          <w:right w:w="15" w:type="dxa"/>
        </w:tblCellMar>
        <w:tblLook w:val="04A0" w:firstRow="1" w:lastRow="0" w:firstColumn="1" w:lastColumn="0" w:noHBand="0" w:noVBand="1"/>
      </w:tblPr>
      <w:tblGrid>
        <w:gridCol w:w="40"/>
        <w:gridCol w:w="3526"/>
        <w:gridCol w:w="39"/>
        <w:gridCol w:w="101"/>
        <w:gridCol w:w="780"/>
        <w:gridCol w:w="36"/>
        <w:gridCol w:w="36"/>
        <w:gridCol w:w="36"/>
        <w:gridCol w:w="36"/>
        <w:gridCol w:w="101"/>
        <w:gridCol w:w="780"/>
        <w:gridCol w:w="36"/>
        <w:gridCol w:w="36"/>
        <w:gridCol w:w="36"/>
        <w:gridCol w:w="36"/>
        <w:gridCol w:w="101"/>
        <w:gridCol w:w="770"/>
        <w:gridCol w:w="36"/>
        <w:gridCol w:w="36"/>
        <w:gridCol w:w="36"/>
        <w:gridCol w:w="36"/>
        <w:gridCol w:w="101"/>
        <w:gridCol w:w="770"/>
        <w:gridCol w:w="36"/>
      </w:tblGrid>
      <w:tr w:rsidR="00000000">
        <w:trPr>
          <w:divId w:val="743337907"/>
          <w:jc w:val="center"/>
        </w:trPr>
        <w:tc>
          <w:tcPr>
            <w:tcW w:w="50" w:type="pct"/>
            <w:vAlign w:val="center"/>
            <w:hideMark/>
          </w:tcPr>
          <w:p w:rsidR="00000000" w:rsidRDefault="00BC0821">
            <w:pPr>
              <w:jc w:val="center"/>
              <w:rPr>
                <w:rFonts w:eastAsia="Times New Roman"/>
              </w:rPr>
            </w:pPr>
          </w:p>
        </w:tc>
        <w:tc>
          <w:tcPr>
            <w:tcW w:w="278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743337907"/>
          <w:jc w:val="center"/>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743337907"/>
          <w:jc w:val="center"/>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743337907"/>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195,594 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197,135 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587,596 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573,657 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7,503 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8,215 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21,911 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25,391 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lastRenderedPageBreak/>
              <w:t>Management Companies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7,607 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6,787 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21,432 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18,986 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210,704 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212,137 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630,939 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618,034 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74,694 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70,696 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217,342 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214,506 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Leasing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8,704 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6,200 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24,463 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18,003 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16,553 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14,601 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51,242 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44,465 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6,779 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7,599 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20,082 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22,365 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43337907"/>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72,739 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75,465 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218,053 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231,491 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179,469 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174,561 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531,182 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530,830 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Interest expense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743337907"/>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6,473 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(7,708)</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23,368 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(3,435)</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46,157 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48,044 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134,312 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152,581 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52,630 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40,336 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157,680 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149,146 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Loss on extinguishment of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232,099 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215,904 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688,862 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680,983 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Equity in income (loss)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6,322 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(1,733)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(16,422)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20,212 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166 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(963)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(9,452)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Gain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1,405 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118,566 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6,767 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93,356 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43337907"/>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Net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(13,502)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112,959 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(68,541)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1,691 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6,257 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(784)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9,834 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Net (loss) income attributable to the Company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(15,193)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(67,757)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31,333 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(Loss) income per common share—attributable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(0.07)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(0.32)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0.16 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(0.07)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0.50 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(0.32)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0.16 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743337907"/>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Basic</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215,134,000 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213,214,000 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214,982,000 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192,717,000 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43337907"/>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215,134,000 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213,214,000 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214,982,000 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192,717,000 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360"/>
        <w:jc w:val="center"/>
        <w:divId w:val="1215897311"/>
        <w:rPr>
          <w:rFonts w:eastAsia="Times New Roman"/>
        </w:rPr>
      </w:pPr>
      <w:r>
        <w:rPr>
          <w:rFonts w:eastAsia="Times New Roman"/>
          <w:color w:val="000000"/>
          <w:sz w:val="20"/>
          <w:szCs w:val="20"/>
        </w:rPr>
        <w:t>   The accompanying notes are an integral part of these consolidated financial statements.</w:t>
      </w:r>
    </w:p>
    <w:p w:rsidR="00000000" w:rsidRDefault="00BC0821">
      <w:pPr>
        <w:jc w:val="center"/>
        <w:divId w:val="1700937364"/>
        <w:rPr>
          <w:rFonts w:eastAsia="Times New Roman"/>
        </w:rPr>
      </w:pPr>
      <w:r>
        <w:rPr>
          <w:rFonts w:eastAsia="Times New Roman"/>
          <w:color w:val="000000"/>
          <w:sz w:val="20"/>
          <w:szCs w:val="20"/>
        </w:rPr>
        <w:t>4</w:t>
      </w:r>
    </w:p>
    <w:p w:rsidR="00000000" w:rsidRDefault="00BC0821">
      <w:pPr>
        <w:rPr>
          <w:rFonts w:eastAsia="Times New Roman"/>
        </w:rPr>
      </w:pPr>
      <w:r>
        <w:rPr>
          <w:rFonts w:eastAsia="Times New Roman"/>
        </w:rPr>
        <w:pict>
          <v:rect id="_x0000_i1028" style="width:0;height:1.5pt" o:hralign="center" o:hrstd="t" o:hr="t" fillcolor="#a0a0a0" stroked="f"/>
        </w:pict>
      </w:r>
    </w:p>
    <w:p w:rsidR="00000000" w:rsidRDefault="00BC0821">
      <w:pPr>
        <w:divId w:val="2009285890"/>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289967367"/>
        <w:rPr>
          <w:rFonts w:eastAsia="Times New Roman"/>
        </w:rPr>
      </w:pPr>
      <w:r>
        <w:rPr>
          <w:rFonts w:eastAsia="Times New Roman"/>
          <w:b/>
          <w:bCs/>
          <w:color w:val="000000"/>
          <w:sz w:val="20"/>
          <w:szCs w:val="20"/>
        </w:rPr>
        <w:t>THE MACERICH COMPANY</w:t>
      </w:r>
    </w:p>
    <w:p w:rsidR="00000000" w:rsidRDefault="00BC0821">
      <w:pPr>
        <w:jc w:val="center"/>
        <w:divId w:val="1496459554"/>
        <w:rPr>
          <w:rFonts w:eastAsia="Times New Roman"/>
        </w:rPr>
      </w:pPr>
      <w:r>
        <w:rPr>
          <w:rFonts w:eastAsia="Times New Roman"/>
          <w:b/>
          <w:bCs/>
          <w:color w:val="000000"/>
          <w:sz w:val="20"/>
          <w:szCs w:val="20"/>
        </w:rPr>
        <w:t>CONSOLIDATED STATEMENTS OF COMPREHENSIVE (LOSS) INCOME</w:t>
      </w:r>
    </w:p>
    <w:p w:rsidR="00000000" w:rsidRDefault="00BC0821">
      <w:pPr>
        <w:jc w:val="center"/>
        <w:divId w:val="154036879"/>
        <w:rPr>
          <w:rFonts w:eastAsia="Times New Roman"/>
        </w:rPr>
      </w:pPr>
      <w:r>
        <w:rPr>
          <w:rFonts w:eastAsia="Times New Roman"/>
          <w:b/>
          <w:bCs/>
          <w:color w:val="000000"/>
          <w:sz w:val="20"/>
          <w:szCs w:val="20"/>
        </w:rPr>
        <w:t>(Dollars in thousands, except per share amounts)</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4173"/>
        <w:gridCol w:w="37"/>
        <w:gridCol w:w="100"/>
        <w:gridCol w:w="684"/>
        <w:gridCol w:w="36"/>
        <w:gridCol w:w="36"/>
        <w:gridCol w:w="36"/>
        <w:gridCol w:w="36"/>
        <w:gridCol w:w="100"/>
        <w:gridCol w:w="648"/>
        <w:gridCol w:w="36"/>
        <w:gridCol w:w="36"/>
        <w:gridCol w:w="36"/>
        <w:gridCol w:w="36"/>
        <w:gridCol w:w="100"/>
        <w:gridCol w:w="575"/>
        <w:gridCol w:w="36"/>
        <w:gridCol w:w="36"/>
        <w:gridCol w:w="36"/>
        <w:gridCol w:w="36"/>
        <w:gridCol w:w="100"/>
        <w:gridCol w:w="565"/>
        <w:gridCol w:w="36"/>
      </w:tblGrid>
      <w:tr w:rsidR="00000000">
        <w:trPr>
          <w:divId w:val="680667918"/>
          <w:jc w:val="center"/>
        </w:trPr>
        <w:tc>
          <w:tcPr>
            <w:tcW w:w="50" w:type="pct"/>
            <w:vAlign w:val="center"/>
            <w:hideMark/>
          </w:tcPr>
          <w:p w:rsidR="00000000" w:rsidRDefault="00BC0821">
            <w:pPr>
              <w:jc w:val="center"/>
              <w:rPr>
                <w:rFonts w:eastAsia="Times New Roman"/>
              </w:rPr>
            </w:pPr>
          </w:p>
        </w:tc>
        <w:tc>
          <w:tcPr>
            <w:tcW w:w="278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680667918"/>
          <w:jc w:val="center"/>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680667918"/>
          <w:jc w:val="center"/>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lastRenderedPageBreak/>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680667918"/>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(13,502)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112,959 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(68,541)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41,167 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680667918"/>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680667918"/>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2,775 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8,208 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680667918"/>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(13,505)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115,734 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(68,504)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49,375 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680667918"/>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1,691 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6,257 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(784)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9,834 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680667918"/>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Comprehensive (loss) income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(15,196)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109,477 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(67,720)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39,541 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360"/>
        <w:jc w:val="center"/>
        <w:divId w:val="976253570"/>
        <w:rPr>
          <w:rFonts w:eastAsia="Times New Roman"/>
        </w:rPr>
      </w:pPr>
      <w:r>
        <w:rPr>
          <w:rFonts w:eastAsia="Times New Roman"/>
          <w:color w:val="000000"/>
          <w:sz w:val="20"/>
          <w:szCs w:val="20"/>
        </w:rPr>
        <w:t>   The accompanying notes are an integral part of these consolidated financial statements.</w:t>
      </w:r>
    </w:p>
    <w:p w:rsidR="00000000" w:rsidRDefault="00BC0821">
      <w:pPr>
        <w:divId w:val="258370921"/>
        <w:rPr>
          <w:rFonts w:eastAsia="Times New Roman"/>
        </w:rPr>
      </w:pPr>
    </w:p>
    <w:p w:rsidR="00000000" w:rsidRDefault="00BC0821">
      <w:pPr>
        <w:divId w:val="237909407"/>
        <w:rPr>
          <w:rFonts w:eastAsia="Times New Roman"/>
        </w:rPr>
      </w:pPr>
    </w:p>
    <w:p w:rsidR="00000000" w:rsidRDefault="00BC0821">
      <w:pPr>
        <w:divId w:val="843977580"/>
        <w:rPr>
          <w:rFonts w:eastAsia="Times New Roman"/>
        </w:rPr>
      </w:pPr>
    </w:p>
    <w:p w:rsidR="00000000" w:rsidRDefault="00BC0821">
      <w:pPr>
        <w:divId w:val="313031386"/>
        <w:rPr>
          <w:rFonts w:eastAsia="Times New Roman"/>
        </w:rPr>
      </w:pPr>
    </w:p>
    <w:p w:rsidR="00000000" w:rsidRDefault="00BC0821">
      <w:pPr>
        <w:jc w:val="center"/>
        <w:divId w:val="524446622"/>
        <w:rPr>
          <w:rFonts w:eastAsia="Times New Roman"/>
        </w:rPr>
      </w:pPr>
      <w:r>
        <w:rPr>
          <w:rFonts w:eastAsia="Times New Roman"/>
          <w:color w:val="000000"/>
          <w:sz w:val="20"/>
          <w:szCs w:val="20"/>
        </w:rPr>
        <w:t>5</w:t>
      </w:r>
    </w:p>
    <w:p w:rsidR="00000000" w:rsidRDefault="00BC0821">
      <w:pPr>
        <w:rPr>
          <w:rFonts w:eastAsia="Times New Roman"/>
        </w:rPr>
      </w:pPr>
      <w:r>
        <w:rPr>
          <w:rFonts w:eastAsia="Times New Roman"/>
        </w:rPr>
        <w:pict>
          <v:rect id="_x0000_i1029" style="width:0;height:1.5pt" o:hralign="center" o:hrstd="t" o:hr="t" fillcolor="#a0a0a0" stroked="f"/>
        </w:pict>
      </w:r>
    </w:p>
    <w:p w:rsidR="00000000" w:rsidRDefault="00BC0821">
      <w:pPr>
        <w:divId w:val="194664681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rPr>
          <w:rFonts w:eastAsia="Times New Roman"/>
        </w:rPr>
      </w:pPr>
      <w:r>
        <w:rPr>
          <w:rFonts w:eastAsia="Times New Roman"/>
          <w:b/>
          <w:bCs/>
          <w:color w:val="000000"/>
          <w:sz w:val="20"/>
          <w:szCs w:val="20"/>
        </w:rPr>
        <w:t>THE MACERICH COMPANY</w:t>
      </w:r>
    </w:p>
    <w:p w:rsidR="00000000" w:rsidRDefault="00BC0821">
      <w:pPr>
        <w:jc w:val="center"/>
        <w:divId w:val="380712190"/>
        <w:rPr>
          <w:rFonts w:eastAsia="Times New Roman"/>
        </w:rPr>
      </w:pPr>
      <w:r>
        <w:rPr>
          <w:rFonts w:eastAsia="Times New Roman"/>
          <w:b/>
          <w:bCs/>
          <w:color w:val="000000"/>
          <w:sz w:val="20"/>
          <w:szCs w:val="20"/>
        </w:rPr>
        <w:t>CONSOLIDATED STATEMENTS OF EQUITY</w:t>
      </w:r>
    </w:p>
    <w:p w:rsidR="00000000" w:rsidRDefault="00BC0821">
      <w:pPr>
        <w:jc w:val="center"/>
        <w:divId w:val="186406729"/>
        <w:rPr>
          <w:rFonts w:eastAsia="Times New Roman"/>
        </w:rPr>
      </w:pPr>
      <w:r>
        <w:rPr>
          <w:rFonts w:eastAsia="Times New Roman"/>
          <w:b/>
          <w:bCs/>
          <w:color w:val="000000"/>
          <w:sz w:val="20"/>
          <w:szCs w:val="20"/>
        </w:rPr>
        <w:t>(Dollars in thousands, except per share data)</w:t>
      </w:r>
    </w:p>
    <w:p w:rsidR="00000000" w:rsidRDefault="00BC0821">
      <w:pPr>
        <w:jc w:val="center"/>
        <w:divId w:val="1026174734"/>
        <w:rPr>
          <w:rFonts w:eastAsia="Times New Roman"/>
        </w:rPr>
      </w:pPr>
      <w:r>
        <w:rPr>
          <w:rFonts w:eastAsia="Times New Roman"/>
          <w:b/>
          <w:bCs/>
          <w:color w:val="000000"/>
          <w:sz w:val="20"/>
          <w:szCs w:val="20"/>
        </w:rPr>
        <w:t>(Unaudited)</w:t>
      </w:r>
    </w:p>
    <w:p w:rsidR="00000000" w:rsidRDefault="00BC0821">
      <w:pPr>
        <w:jc w:val="center"/>
        <w:divId w:val="1249459094"/>
        <w:rPr>
          <w:rFonts w:eastAsia="Times New Roman"/>
        </w:rPr>
      </w:pPr>
      <w:r>
        <w:rPr>
          <w:rFonts w:eastAsia="Times New Roman"/>
          <w:b/>
          <w:bCs/>
          <w:color w:val="000000"/>
          <w:sz w:val="20"/>
          <w:szCs w:val="20"/>
        </w:rPr>
        <w:t>Three Months Ended September 30</w:t>
      </w:r>
      <w:r>
        <w:rPr>
          <w:rFonts w:eastAsia="Times New Roman"/>
          <w:b/>
          <w:bCs/>
          <w:color w:val="000000"/>
          <w:sz w:val="20"/>
          <w:szCs w:val="20"/>
        </w:rPr>
        <w:t>, 2022 and 2021</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1249459094"/>
          <w:jc w:val="center"/>
        </w:trPr>
        <w:tc>
          <w:tcPr>
            <w:tcW w:w="50" w:type="pct"/>
            <w:vAlign w:val="center"/>
            <w:hideMark/>
          </w:tcPr>
          <w:p w:rsidR="00000000" w:rsidRDefault="00BC0821">
            <w:pPr>
              <w:jc w:val="center"/>
              <w:rPr>
                <w:rFonts w:eastAsia="Times New Roman"/>
              </w:rPr>
            </w:pPr>
          </w:p>
        </w:tc>
        <w:tc>
          <w:tcPr>
            <w:tcW w:w="846"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9"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84" w:type="pct"/>
            <w:gridSpan w:val="6"/>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1" w:type="pct"/>
            <w:gridSpan w:val="4"/>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2"/>
            <w:vAlign w:val="center"/>
            <w:hideMark/>
          </w:tcPr>
          <w:p w:rsidR="00000000" w:rsidRDefault="00BC0821">
            <w:pPr>
              <w:spacing w:after="100"/>
              <w:rPr>
                <w:rFonts w:eastAsia="Times New Roman"/>
                <w:sz w:val="20"/>
                <w:szCs w:val="20"/>
              </w:rPr>
            </w:pPr>
          </w:p>
        </w:tc>
        <w:tc>
          <w:tcPr>
            <w:tcW w:w="541"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gridSpan w:val="7"/>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2"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gridAfter w:val="19"/>
          <w:divId w:val="1249459094"/>
          <w:trHeight w:val="240"/>
          <w:jc w:val="center"/>
        </w:trPr>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(Loss) Income</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gridAfter w:val="19"/>
          <w:divId w:val="1249459094"/>
          <w:trHeight w:val="420"/>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BC0821">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C0821">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BC0821">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July 1, 2022</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215,113,342 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5,500,101 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(2,560,793)</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2,941,474 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114,919 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3,056,393 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 xml:space="preserve">Net (loss) income </w:t>
            </w:r>
          </w:p>
        </w:tc>
        <w:tc>
          <w:tcPr>
            <w:tcW w:w="0" w:type="auto"/>
            <w:gridSpan w:val="5"/>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8"/>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(15,193)</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(15,193)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1,691 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(13,502)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Interest rate cap agreement</w:t>
            </w:r>
          </w:p>
        </w:tc>
        <w:tc>
          <w:tcPr>
            <w:tcW w:w="0" w:type="auto"/>
            <w:gridSpan w:val="5"/>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21,772 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5,369 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5,369 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5,369 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vAlign w:val="center"/>
            <w:hideMark/>
          </w:tcPr>
          <w:p w:rsidR="00000000" w:rsidRDefault="00BC0821">
            <w:pPr>
              <w:spacing w:after="100"/>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vAlign w:val="center"/>
            <w:hideMark/>
          </w:tcPr>
          <w:p w:rsidR="00000000" w:rsidRDefault="00BC0821">
            <w:pPr>
              <w:spacing w:after="100"/>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Stock offerings, net</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divId w:val="1130854690"/>
              <w:rPr>
                <w:rFonts w:eastAsia="Times New Roman"/>
              </w:rPr>
            </w:pPr>
            <w:r>
              <w:rPr>
                <w:rFonts w:eastAsia="Times New Roman"/>
                <w:color w:val="000000"/>
                <w:sz w:val="14"/>
                <w:szCs w:val="14"/>
              </w:rPr>
              <w:t>Distributions paid ($0.15 per share)</w:t>
            </w:r>
          </w:p>
        </w:tc>
        <w:tc>
          <w:tcPr>
            <w:tcW w:w="0" w:type="auto"/>
            <w:gridSpan w:val="5"/>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(32,253)</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(32,253)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(32,253)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Distributions to noncontrolling interests</w:t>
            </w:r>
          </w:p>
        </w:tc>
        <w:tc>
          <w:tcPr>
            <w:tcW w:w="0" w:type="auto"/>
            <w:gridSpan w:val="5"/>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w:t>
            </w:r>
            <w:r>
              <w:rPr>
                <w:rFonts w:eastAsia="Times New Roman"/>
                <w:color w:val="000000"/>
                <w:sz w:val="14"/>
                <w:szCs w:val="14"/>
              </w:rPr>
              <w:t>37,829)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(37,829)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Contributions from noncontrolling interests</w:t>
            </w:r>
          </w:p>
        </w:tc>
        <w:tc>
          <w:tcPr>
            <w:tcW w:w="0" w:type="auto"/>
            <w:gridSpan w:val="5"/>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11,027 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249459094"/>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249459094"/>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5"/>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(753)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(753)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753 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BC0821">
        <w:trPr>
          <w:gridAfter w:val="19"/>
          <w:divId w:val="1249459094"/>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September 30, 2022</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215,146,141 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5,505,307 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(2,608,239)</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2,899,231 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78,914 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2,978,145 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50" w:type="pct"/>
            <w:gridSpan w:val="2"/>
            <w:vAlign w:val="center"/>
            <w:hideMark/>
          </w:tcPr>
          <w:p w:rsidR="00000000" w:rsidRDefault="00BC0821">
            <w:pPr>
              <w:jc w:val="center"/>
              <w:rPr>
                <w:rFonts w:eastAsia="Times New Roman"/>
              </w:rPr>
            </w:pPr>
          </w:p>
        </w:tc>
        <w:tc>
          <w:tcPr>
            <w:tcW w:w="846"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5"/>
            <w:vAlign w:val="center"/>
            <w:hideMark/>
          </w:tcPr>
          <w:p w:rsidR="00000000" w:rsidRDefault="00BC0821">
            <w:pPr>
              <w:spacing w:after="100"/>
              <w:rPr>
                <w:rFonts w:eastAsia="Times New Roman"/>
                <w:sz w:val="20"/>
                <w:szCs w:val="20"/>
              </w:rPr>
            </w:pPr>
          </w:p>
        </w:tc>
        <w:tc>
          <w:tcPr>
            <w:tcW w:w="429" w:type="pct"/>
            <w:gridSpan w:val="9"/>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5"/>
            <w:vAlign w:val="center"/>
            <w:hideMark/>
          </w:tcPr>
          <w:p w:rsidR="00000000" w:rsidRDefault="00BC0821">
            <w:pPr>
              <w:spacing w:after="100"/>
              <w:rPr>
                <w:rFonts w:eastAsia="Times New Roman"/>
                <w:sz w:val="20"/>
                <w:szCs w:val="20"/>
              </w:rPr>
            </w:pPr>
          </w:p>
        </w:tc>
        <w:tc>
          <w:tcPr>
            <w:tcW w:w="265"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gridSpan w:val="2"/>
            <w:vAlign w:val="center"/>
            <w:hideMark/>
          </w:tcPr>
          <w:p w:rsidR="00000000" w:rsidRDefault="00BC0821">
            <w:pPr>
              <w:spacing w:after="100"/>
              <w:rPr>
                <w:rFonts w:eastAsia="Times New Roman"/>
                <w:sz w:val="20"/>
                <w:szCs w:val="20"/>
              </w:rPr>
            </w:pPr>
          </w:p>
        </w:tc>
        <w:tc>
          <w:tcPr>
            <w:tcW w:w="5" w:type="pct"/>
            <w:gridSpan w:val="5"/>
            <w:vAlign w:val="center"/>
            <w:hideMark/>
          </w:tcPr>
          <w:p w:rsidR="00000000" w:rsidRDefault="00BC0821">
            <w:pPr>
              <w:spacing w:after="100"/>
              <w:rPr>
                <w:rFonts w:eastAsia="Times New Roman"/>
                <w:sz w:val="20"/>
                <w:szCs w:val="20"/>
              </w:rPr>
            </w:pPr>
          </w:p>
        </w:tc>
        <w:tc>
          <w:tcPr>
            <w:tcW w:w="50" w:type="pct"/>
            <w:gridSpan w:val="2"/>
            <w:vAlign w:val="center"/>
            <w:hideMark/>
          </w:tcPr>
          <w:p w:rsidR="00000000" w:rsidRDefault="00BC0821">
            <w:pPr>
              <w:spacing w:after="100"/>
              <w:rPr>
                <w:rFonts w:eastAsia="Times New Roman"/>
                <w:sz w:val="20"/>
                <w:szCs w:val="20"/>
              </w:rPr>
            </w:pPr>
          </w:p>
        </w:tc>
        <w:tc>
          <w:tcPr>
            <w:tcW w:w="38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gridSpan w:val="4"/>
            <w:vAlign w:val="center"/>
            <w:hideMark/>
          </w:tcPr>
          <w:p w:rsidR="00000000" w:rsidRDefault="00BC0821">
            <w:pPr>
              <w:spacing w:after="100"/>
              <w:rPr>
                <w:rFonts w:eastAsia="Times New Roman"/>
                <w:sz w:val="20"/>
                <w:szCs w:val="20"/>
              </w:rPr>
            </w:pPr>
          </w:p>
        </w:tc>
        <w:tc>
          <w:tcPr>
            <w:tcW w:w="27"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1" w:type="pct"/>
            <w:gridSpan w:val="7"/>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41" w:type="pct"/>
            <w:gridSpan w:val="7"/>
            <w:vAlign w:val="center"/>
            <w:hideMark/>
          </w:tcPr>
          <w:p w:rsidR="00000000" w:rsidRDefault="00BC0821">
            <w:pPr>
              <w:spacing w:after="100"/>
              <w:rPr>
                <w:rFonts w:eastAsia="Times New Roman"/>
                <w:sz w:val="20"/>
                <w:szCs w:val="20"/>
              </w:rPr>
            </w:pPr>
          </w:p>
        </w:tc>
        <w:tc>
          <w:tcPr>
            <w:tcW w:w="5"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BC0821">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July 1, 2021</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(2,469,336)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(2,775)</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Net income</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106,702 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106,702 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6,257 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112,959 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2,775 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16,320 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vAlign w:val="center"/>
            <w:hideMark/>
          </w:tcPr>
          <w:p w:rsidR="00000000" w:rsidRDefault="00BC0821">
            <w:pPr>
              <w:spacing w:after="100"/>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vAlign w:val="center"/>
            <w:hideMark/>
          </w:tcPr>
          <w:p w:rsidR="00000000" w:rsidRDefault="00BC0821">
            <w:pPr>
              <w:spacing w:after="100"/>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Stock offerings, net</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2,122,016 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23,799 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23,820 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23,820 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divId w:val="170074454"/>
              <w:rPr>
                <w:rFonts w:eastAsia="Times New Roman"/>
              </w:rPr>
            </w:pPr>
            <w:r>
              <w:rPr>
                <w:rFonts w:eastAsia="Times New Roman"/>
                <w:color w:val="000000"/>
                <w:sz w:val="14"/>
                <w:szCs w:val="14"/>
              </w:rPr>
              <w:t>Distributions paid ($0.15 per share)</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(32,000)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(32,000)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(32,000)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(3,972)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(3,972)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vAlign w:val="center"/>
            <w:hideMark/>
          </w:tcPr>
          <w:p w:rsidR="00000000" w:rsidRDefault="00BC0821">
            <w:pPr>
              <w:spacing w:after="100"/>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642 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642 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(642)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September 30, 2021</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213,307,990 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5,467,235 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(2,394,634)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3,074,734 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160,057 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3,234,791 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360"/>
        <w:jc w:val="center"/>
        <w:divId w:val="1345130339"/>
        <w:rPr>
          <w:rFonts w:eastAsia="Times New Roman"/>
        </w:rPr>
      </w:pPr>
    </w:p>
    <w:p w:rsidR="00000000" w:rsidRDefault="00BC0821">
      <w:pPr>
        <w:ind w:firstLine="360"/>
        <w:jc w:val="center"/>
        <w:divId w:val="1546484614"/>
        <w:rPr>
          <w:rFonts w:eastAsia="Times New Roman"/>
        </w:rPr>
      </w:pPr>
      <w:r>
        <w:rPr>
          <w:rFonts w:eastAsia="Times New Roman"/>
          <w:color w:val="000000"/>
          <w:sz w:val="20"/>
          <w:szCs w:val="20"/>
        </w:rPr>
        <w:t>The accompanying notes are an integral part of these consolidated financial statements.</w:t>
      </w:r>
    </w:p>
    <w:p w:rsidR="00000000" w:rsidRDefault="00BC0821">
      <w:pPr>
        <w:jc w:val="center"/>
        <w:divId w:val="1991671343"/>
        <w:rPr>
          <w:rFonts w:eastAsia="Times New Roman"/>
        </w:rPr>
      </w:pPr>
      <w:r>
        <w:rPr>
          <w:rFonts w:eastAsia="Times New Roman"/>
          <w:color w:val="000000"/>
          <w:sz w:val="20"/>
          <w:szCs w:val="20"/>
        </w:rPr>
        <w:t>6</w:t>
      </w:r>
    </w:p>
    <w:p w:rsidR="00000000" w:rsidRDefault="00BC0821">
      <w:pPr>
        <w:rPr>
          <w:rFonts w:eastAsia="Times New Roman"/>
        </w:rPr>
      </w:pPr>
      <w:r>
        <w:rPr>
          <w:rFonts w:eastAsia="Times New Roman"/>
        </w:rPr>
        <w:pict>
          <v:rect id="_x0000_i1030" style="width:0;height:1.5pt" o:hralign="center" o:hrstd="t" o:hr="t" fillcolor="#a0a0a0" stroked="f"/>
        </w:pict>
      </w:r>
    </w:p>
    <w:p w:rsidR="00000000" w:rsidRDefault="00BC0821">
      <w:pPr>
        <w:divId w:val="7000878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534317104"/>
        <w:rPr>
          <w:rFonts w:eastAsia="Times New Roman"/>
        </w:rPr>
      </w:pPr>
      <w:r>
        <w:rPr>
          <w:rFonts w:eastAsia="Times New Roman"/>
          <w:b/>
          <w:bCs/>
          <w:color w:val="000000"/>
          <w:sz w:val="20"/>
          <w:szCs w:val="20"/>
        </w:rPr>
        <w:t>THE MACERICH COMPANY</w:t>
      </w:r>
    </w:p>
    <w:p w:rsidR="00000000" w:rsidRDefault="00BC0821">
      <w:pPr>
        <w:jc w:val="center"/>
        <w:divId w:val="693992850"/>
        <w:rPr>
          <w:rFonts w:eastAsia="Times New Roman"/>
        </w:rPr>
      </w:pPr>
      <w:r>
        <w:rPr>
          <w:rFonts w:eastAsia="Times New Roman"/>
          <w:b/>
          <w:bCs/>
          <w:color w:val="000000"/>
          <w:sz w:val="20"/>
          <w:szCs w:val="20"/>
        </w:rPr>
        <w:t>CONSOLIDATED STATEMENTS OF EQUITY</w:t>
      </w:r>
    </w:p>
    <w:p w:rsidR="00000000" w:rsidRDefault="00BC0821">
      <w:pPr>
        <w:jc w:val="center"/>
        <w:divId w:val="34090196"/>
        <w:rPr>
          <w:rFonts w:eastAsia="Times New Roman"/>
        </w:rPr>
      </w:pPr>
      <w:r>
        <w:rPr>
          <w:rFonts w:eastAsia="Times New Roman"/>
          <w:b/>
          <w:bCs/>
          <w:color w:val="000000"/>
          <w:sz w:val="20"/>
          <w:szCs w:val="20"/>
        </w:rPr>
        <w:t>(Dollars in thousands, except per share data)</w:t>
      </w:r>
    </w:p>
    <w:p w:rsidR="00000000" w:rsidRDefault="00BC0821">
      <w:pPr>
        <w:jc w:val="center"/>
        <w:divId w:val="1499344648"/>
        <w:rPr>
          <w:rFonts w:eastAsia="Times New Roman"/>
        </w:rPr>
      </w:pPr>
      <w:r>
        <w:rPr>
          <w:rFonts w:eastAsia="Times New Roman"/>
          <w:b/>
          <w:bCs/>
          <w:color w:val="000000"/>
          <w:sz w:val="20"/>
          <w:szCs w:val="20"/>
        </w:rPr>
        <w:t>(Unaudited)</w:t>
      </w:r>
    </w:p>
    <w:p w:rsidR="00000000" w:rsidRDefault="00BC0821">
      <w:pPr>
        <w:jc w:val="center"/>
        <w:divId w:val="18699638"/>
        <w:rPr>
          <w:rFonts w:eastAsia="Times New Roman"/>
        </w:rPr>
      </w:pPr>
      <w:r>
        <w:rPr>
          <w:rFonts w:eastAsia="Times New Roman"/>
          <w:b/>
          <w:bCs/>
          <w:color w:val="000000"/>
          <w:sz w:val="20"/>
          <w:szCs w:val="20"/>
        </w:rPr>
        <w:t>Nine Months Ended September 30,</w:t>
      </w:r>
      <w:r>
        <w:rPr>
          <w:rFonts w:eastAsia="Times New Roman"/>
          <w:b/>
          <w:bCs/>
          <w:color w:val="000000"/>
          <w:sz w:val="20"/>
          <w:szCs w:val="20"/>
        </w:rPr>
        <w:t xml:space="preserve"> 2022 and 2021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18699638"/>
          <w:jc w:val="center"/>
        </w:trPr>
        <w:tc>
          <w:tcPr>
            <w:tcW w:w="50" w:type="pct"/>
            <w:vAlign w:val="center"/>
            <w:hideMark/>
          </w:tcPr>
          <w:p w:rsidR="00000000" w:rsidRDefault="00BC0821">
            <w:pPr>
              <w:jc w:val="center"/>
              <w:rPr>
                <w:rFonts w:eastAsia="Times New Roman"/>
              </w:rPr>
            </w:pPr>
          </w:p>
        </w:tc>
        <w:tc>
          <w:tcPr>
            <w:tcW w:w="846"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9"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84" w:type="pct"/>
            <w:gridSpan w:val="6"/>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1" w:type="pct"/>
            <w:gridSpan w:val="4"/>
            <w:vAlign w:val="center"/>
            <w:hideMark/>
          </w:tcPr>
          <w:p w:rsidR="00000000" w:rsidRDefault="00BC0821">
            <w:pPr>
              <w:spacing w:after="100"/>
              <w:rPr>
                <w:rFonts w:eastAsia="Times New Roman"/>
                <w:sz w:val="20"/>
                <w:szCs w:val="20"/>
              </w:rPr>
            </w:pPr>
          </w:p>
        </w:tc>
        <w:tc>
          <w:tcPr>
            <w:tcW w:w="5"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2"/>
            <w:vAlign w:val="center"/>
            <w:hideMark/>
          </w:tcPr>
          <w:p w:rsidR="00000000" w:rsidRDefault="00BC0821">
            <w:pPr>
              <w:spacing w:after="100"/>
              <w:rPr>
                <w:rFonts w:eastAsia="Times New Roman"/>
                <w:sz w:val="20"/>
                <w:szCs w:val="20"/>
              </w:rPr>
            </w:pPr>
          </w:p>
        </w:tc>
        <w:tc>
          <w:tcPr>
            <w:tcW w:w="541"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gridSpan w:val="7"/>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2" w:type="pct"/>
            <w:gridSpan w:val="2"/>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gridAfter w:val="19"/>
          <w:divId w:val="18699638"/>
          <w:trHeight w:val="240"/>
          <w:jc w:val="center"/>
        </w:trPr>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gridAfter w:val="19"/>
          <w:divId w:val="18699638"/>
          <w:trHeight w:val="420"/>
          <w:jc w:val="center"/>
        </w:trPr>
        <w:tc>
          <w:tcPr>
            <w:tcW w:w="0" w:type="auto"/>
            <w:gridSpan w:val="4"/>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BC0821">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BC0821">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BC0821">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January 1, 2022</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w:t>
            </w:r>
            <w:r>
              <w:rPr>
                <w:rFonts w:eastAsia="Times New Roman"/>
                <w:color w:val="000000"/>
                <w:sz w:val="14"/>
                <w:szCs w:val="14"/>
              </w:rPr>
              <w:t>2,443,696)</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Net loss</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(67,757)</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(67,757)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(784)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(68,541)</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Interest rate cap agreement</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206,564 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16,813 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16,815 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16,815 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vAlign w:val="center"/>
            <w:hideMark/>
          </w:tcPr>
          <w:p w:rsidR="00000000" w:rsidRDefault="00BC0821">
            <w:pPr>
              <w:spacing w:after="100"/>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96,942 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959 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divId w:val="1725367157"/>
              <w:rPr>
                <w:rFonts w:eastAsia="Times New Roman"/>
              </w:rPr>
            </w:pPr>
            <w:r>
              <w:rPr>
                <w:rFonts w:eastAsia="Times New Roman"/>
                <w:color w:val="000000"/>
                <w:sz w:val="14"/>
                <w:szCs w:val="14"/>
              </w:rPr>
              <w:t>Distributions paid ($0.45 per share)</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(96,786)</w:t>
            </w:r>
          </w:p>
        </w:tc>
        <w:tc>
          <w:tcPr>
            <w:tcW w:w="0" w:type="auto"/>
            <w:gridSpan w:val="2"/>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(96,786)</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(96,786)</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Distributions to noncontrolling interests</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(50,011)</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(50,011)</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Contributions from noncontrolling interests</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vAlign w:val="center"/>
            <w:hideMark/>
          </w:tcPr>
          <w:p w:rsidR="00000000" w:rsidRDefault="00BC0821">
            <w:pPr>
              <w:spacing w:after="100"/>
              <w:jc w:val="right"/>
              <w:rPr>
                <w:rFonts w:eastAsia="Times New Roman"/>
                <w:sz w:val="20"/>
                <w:szCs w:val="20"/>
              </w:rPr>
            </w:pPr>
          </w:p>
        </w:tc>
        <w:tc>
          <w:tcPr>
            <w:tcW w:w="0" w:type="auto"/>
            <w:gridSpan w:val="5"/>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7"/>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6"/>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45,578 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(2,700)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Redemption of noncontrolling interests</w:t>
            </w:r>
          </w:p>
        </w:tc>
        <w:tc>
          <w:tcPr>
            <w:tcW w:w="0" w:type="auto"/>
            <w:gridSpan w:val="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w:t>
            </w:r>
            <w:r>
              <w:rPr>
                <w:rFonts w:eastAsia="Times New Roman"/>
                <w:color w:val="000000"/>
                <w:sz w:val="14"/>
                <w:szCs w:val="14"/>
              </w:rPr>
              <w:t>505)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gridAfter w:val="19"/>
          <w:divId w:val="18699638"/>
          <w:jc w:val="center"/>
        </w:trPr>
        <w:tc>
          <w:tcPr>
            <w:tcW w:w="0" w:type="auto"/>
            <w:gridSpan w:val="4"/>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(3,630)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(3,630)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3,630 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BC0821">
        <w:trPr>
          <w:gridAfter w:val="19"/>
          <w:divId w:val="18699638"/>
          <w:jc w:val="center"/>
        </w:trPr>
        <w:tc>
          <w:tcPr>
            <w:tcW w:w="0" w:type="auto"/>
            <w:gridSpan w:val="4"/>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September 30, 2022</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215,146,141 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5,505,307 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w:t>
            </w:r>
            <w:r>
              <w:rPr>
                <w:rFonts w:eastAsia="Times New Roman"/>
                <w:color w:val="000000"/>
                <w:sz w:val="14"/>
                <w:szCs w:val="14"/>
              </w:rPr>
              <w:t>2,608,239)</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2,899,231 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78,914 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2,978,145 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50" w:type="pct"/>
            <w:gridSpan w:val="2"/>
            <w:vAlign w:val="center"/>
            <w:hideMark/>
          </w:tcPr>
          <w:p w:rsidR="00000000" w:rsidRDefault="00BC0821">
            <w:pPr>
              <w:jc w:val="center"/>
              <w:rPr>
                <w:rFonts w:eastAsia="Times New Roman"/>
              </w:rPr>
            </w:pPr>
          </w:p>
        </w:tc>
        <w:tc>
          <w:tcPr>
            <w:tcW w:w="846"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5"/>
            <w:vAlign w:val="center"/>
            <w:hideMark/>
          </w:tcPr>
          <w:p w:rsidR="00000000" w:rsidRDefault="00BC0821">
            <w:pPr>
              <w:spacing w:after="100"/>
              <w:rPr>
                <w:rFonts w:eastAsia="Times New Roman"/>
                <w:sz w:val="20"/>
                <w:szCs w:val="20"/>
              </w:rPr>
            </w:pPr>
          </w:p>
        </w:tc>
        <w:tc>
          <w:tcPr>
            <w:tcW w:w="429" w:type="pct"/>
            <w:gridSpan w:val="9"/>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gridSpan w:val="5"/>
            <w:vAlign w:val="center"/>
            <w:hideMark/>
          </w:tcPr>
          <w:p w:rsidR="00000000" w:rsidRDefault="00BC0821">
            <w:pPr>
              <w:spacing w:after="100"/>
              <w:rPr>
                <w:rFonts w:eastAsia="Times New Roman"/>
                <w:sz w:val="20"/>
                <w:szCs w:val="20"/>
              </w:rPr>
            </w:pPr>
          </w:p>
        </w:tc>
        <w:tc>
          <w:tcPr>
            <w:tcW w:w="265"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gridSpan w:val="2"/>
            <w:vAlign w:val="center"/>
            <w:hideMark/>
          </w:tcPr>
          <w:p w:rsidR="00000000" w:rsidRDefault="00BC0821">
            <w:pPr>
              <w:spacing w:after="100"/>
              <w:rPr>
                <w:rFonts w:eastAsia="Times New Roman"/>
                <w:sz w:val="20"/>
                <w:szCs w:val="20"/>
              </w:rPr>
            </w:pPr>
          </w:p>
        </w:tc>
        <w:tc>
          <w:tcPr>
            <w:tcW w:w="5" w:type="pct"/>
            <w:gridSpan w:val="5"/>
            <w:vAlign w:val="center"/>
            <w:hideMark/>
          </w:tcPr>
          <w:p w:rsidR="00000000" w:rsidRDefault="00BC0821">
            <w:pPr>
              <w:spacing w:after="100"/>
              <w:rPr>
                <w:rFonts w:eastAsia="Times New Roman"/>
                <w:sz w:val="20"/>
                <w:szCs w:val="20"/>
              </w:rPr>
            </w:pPr>
          </w:p>
        </w:tc>
        <w:tc>
          <w:tcPr>
            <w:tcW w:w="50" w:type="pct"/>
            <w:gridSpan w:val="2"/>
            <w:vAlign w:val="center"/>
            <w:hideMark/>
          </w:tcPr>
          <w:p w:rsidR="00000000" w:rsidRDefault="00BC0821">
            <w:pPr>
              <w:spacing w:after="100"/>
              <w:rPr>
                <w:rFonts w:eastAsia="Times New Roman"/>
                <w:sz w:val="20"/>
                <w:szCs w:val="20"/>
              </w:rPr>
            </w:pPr>
          </w:p>
        </w:tc>
        <w:tc>
          <w:tcPr>
            <w:tcW w:w="38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gridSpan w:val="4"/>
            <w:vAlign w:val="center"/>
            <w:hideMark/>
          </w:tcPr>
          <w:p w:rsidR="00000000" w:rsidRDefault="00BC0821">
            <w:pPr>
              <w:spacing w:after="100"/>
              <w:rPr>
                <w:rFonts w:eastAsia="Times New Roman"/>
                <w:sz w:val="20"/>
                <w:szCs w:val="20"/>
              </w:rPr>
            </w:pPr>
          </w:p>
        </w:tc>
        <w:tc>
          <w:tcPr>
            <w:tcW w:w="27" w:type="pct"/>
            <w:gridSpan w:val="4"/>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1" w:type="pct"/>
            <w:gridSpan w:val="7"/>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41" w:type="pct"/>
            <w:gridSpan w:val="7"/>
            <w:vAlign w:val="center"/>
            <w:hideMark/>
          </w:tcPr>
          <w:p w:rsidR="00000000" w:rsidRDefault="00BC0821">
            <w:pPr>
              <w:spacing w:after="100"/>
              <w:rPr>
                <w:rFonts w:eastAsia="Times New Roman"/>
                <w:sz w:val="20"/>
                <w:szCs w:val="20"/>
              </w:rPr>
            </w:pPr>
          </w:p>
        </w:tc>
        <w:tc>
          <w:tcPr>
            <w:tcW w:w="5" w:type="pct"/>
            <w:gridSpan w:val="3"/>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BC0821">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January 1, 2021</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(8,208)</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Net income</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31,333 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31,333 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9,834 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41,167 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8,208 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241,001 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13,679 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13,681 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13,681 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vAlign w:val="center"/>
            <w:hideMark/>
          </w:tcPr>
          <w:p w:rsidR="00000000" w:rsidRDefault="00BC0821">
            <w:pPr>
              <w:spacing w:after="100"/>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Stock offerings, net</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62,029,777 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620 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829,254 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829,874 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829,874 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divId w:val="1015811615"/>
              <w:rPr>
                <w:rFonts w:eastAsia="Times New Roman"/>
              </w:rPr>
            </w:pPr>
            <w:r>
              <w:rPr>
                <w:rFonts w:eastAsia="Times New Roman"/>
                <w:color w:val="000000"/>
                <w:sz w:val="14"/>
                <w:szCs w:val="14"/>
              </w:rPr>
              <w:t>Distributions paid ($0.45 per share)</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(86,348)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w:t>
            </w:r>
            <w:r>
              <w:rPr>
                <w:rFonts w:eastAsia="Times New Roman"/>
                <w:color w:val="000000"/>
                <w:sz w:val="14"/>
                <w:szCs w:val="14"/>
              </w:rPr>
              <w:t>86,348)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(86,348)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(18,166)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(18,166)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vAlign w:val="center"/>
            <w:hideMark/>
          </w:tcPr>
          <w:p w:rsidR="00000000" w:rsidRDefault="00BC0821">
            <w:pPr>
              <w:spacing w:after="100"/>
              <w:jc w:val="right"/>
              <w:rPr>
                <w:rFonts w:eastAsia="Times New Roman"/>
                <w:sz w:val="20"/>
                <w:szCs w:val="20"/>
              </w:rPr>
            </w:pPr>
          </w:p>
        </w:tc>
        <w:tc>
          <w:tcPr>
            <w:tcW w:w="0" w:type="auto"/>
            <w:gridSpan w:val="15"/>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8"/>
            <w:vAlign w:val="center"/>
            <w:hideMark/>
          </w:tcPr>
          <w:p w:rsidR="00000000" w:rsidRDefault="00BC0821">
            <w:pPr>
              <w:spacing w:after="100"/>
              <w:rPr>
                <w:rFonts w:eastAsia="Times New Roman"/>
                <w:sz w:val="20"/>
                <w:szCs w:val="20"/>
              </w:rPr>
            </w:pPr>
          </w:p>
        </w:tc>
        <w:tc>
          <w:tcPr>
            <w:tcW w:w="0" w:type="auto"/>
            <w:gridSpan w:val="4"/>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9"/>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11"/>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1,178,530 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22,206 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22,218 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(22,218)</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(43)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(60)</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1,859 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4"/>
                <w:szCs w:val="14"/>
              </w:rPr>
              <w:t>Balance at September 30, 2021</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213,307,990 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5,467,235 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(2,394,634)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3,074,734 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160,057 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4"/>
                <w:szCs w:val="14"/>
              </w:rPr>
              <w:t>3,234,791 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jc w:val="center"/>
        <w:rPr>
          <w:rFonts w:eastAsia="Times New Roman"/>
        </w:rPr>
      </w:pPr>
      <w:r>
        <w:rPr>
          <w:rFonts w:eastAsia="Times New Roman"/>
          <w:color w:val="000000"/>
          <w:sz w:val="20"/>
          <w:szCs w:val="20"/>
        </w:rPr>
        <w:t>  </w:t>
      </w:r>
    </w:p>
    <w:p w:rsidR="00000000" w:rsidRDefault="00BC0821">
      <w:pPr>
        <w:jc w:val="center"/>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BC0821">
      <w:pPr>
        <w:jc w:val="center"/>
        <w:divId w:val="1129397091"/>
        <w:rPr>
          <w:rFonts w:eastAsia="Times New Roman"/>
        </w:rPr>
      </w:pPr>
      <w:r>
        <w:rPr>
          <w:rFonts w:eastAsia="Times New Roman"/>
          <w:color w:val="000000"/>
          <w:sz w:val="20"/>
          <w:szCs w:val="20"/>
        </w:rPr>
        <w:t>7</w:t>
      </w:r>
    </w:p>
    <w:p w:rsidR="00000000" w:rsidRDefault="00BC0821">
      <w:pPr>
        <w:rPr>
          <w:rFonts w:eastAsia="Times New Roman"/>
        </w:rPr>
      </w:pPr>
      <w:r>
        <w:rPr>
          <w:rFonts w:eastAsia="Times New Roman"/>
        </w:rPr>
        <w:pict>
          <v:rect id="_x0000_i1031" style="width:0;height:1.5pt" o:hralign="center" o:hrstd="t" o:hr="t" fillcolor="#a0a0a0" stroked="f"/>
        </w:pict>
      </w:r>
    </w:p>
    <w:p w:rsidR="00000000" w:rsidRDefault="00BC0821">
      <w:pPr>
        <w:divId w:val="210017455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625308240"/>
        <w:rPr>
          <w:rFonts w:eastAsia="Times New Roman"/>
        </w:rPr>
      </w:pPr>
      <w:r>
        <w:rPr>
          <w:rFonts w:eastAsia="Times New Roman"/>
          <w:b/>
          <w:bCs/>
          <w:color w:val="000000"/>
          <w:sz w:val="20"/>
          <w:szCs w:val="20"/>
        </w:rPr>
        <w:t>THE MACERICH COMPANY</w:t>
      </w:r>
    </w:p>
    <w:p w:rsidR="00000000" w:rsidRDefault="00BC0821">
      <w:pPr>
        <w:jc w:val="center"/>
        <w:divId w:val="1712850613"/>
        <w:rPr>
          <w:rFonts w:eastAsia="Times New Roman"/>
        </w:rPr>
      </w:pPr>
      <w:r>
        <w:rPr>
          <w:rFonts w:eastAsia="Times New Roman"/>
          <w:b/>
          <w:bCs/>
          <w:color w:val="000000"/>
          <w:sz w:val="20"/>
          <w:szCs w:val="20"/>
        </w:rPr>
        <w:t>CONSOLIDATED STATEMENTS OF CASH F</w:t>
      </w:r>
      <w:r>
        <w:rPr>
          <w:rFonts w:eastAsia="Times New Roman"/>
          <w:b/>
          <w:bCs/>
          <w:color w:val="000000"/>
          <w:sz w:val="20"/>
          <w:szCs w:val="20"/>
        </w:rPr>
        <w:t>LOWS</w:t>
      </w:r>
    </w:p>
    <w:p w:rsidR="00000000" w:rsidRDefault="00BC0821">
      <w:pPr>
        <w:jc w:val="center"/>
        <w:divId w:val="1312102835"/>
        <w:rPr>
          <w:rFonts w:eastAsia="Times New Roman"/>
        </w:rPr>
      </w:pPr>
      <w:r>
        <w:rPr>
          <w:rFonts w:eastAsia="Times New Roman"/>
          <w:b/>
          <w:bCs/>
          <w:color w:val="000000"/>
          <w:sz w:val="20"/>
          <w:szCs w:val="20"/>
        </w:rPr>
        <w:t>(Dollars in thousands)</w:t>
      </w:r>
    </w:p>
    <w:p w:rsidR="00000000" w:rsidRDefault="00BC0821">
      <w:pPr>
        <w:jc w:val="center"/>
        <w:divId w:val="91559138"/>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984"/>
        <w:gridCol w:w="38"/>
        <w:gridCol w:w="120"/>
        <w:gridCol w:w="741"/>
        <w:gridCol w:w="36"/>
        <w:gridCol w:w="36"/>
        <w:gridCol w:w="36"/>
        <w:gridCol w:w="36"/>
        <w:gridCol w:w="120"/>
        <w:gridCol w:w="719"/>
        <w:gridCol w:w="36"/>
      </w:tblGrid>
      <w:tr w:rsidR="00000000">
        <w:trPr>
          <w:divId w:val="91559138"/>
          <w:jc w:val="center"/>
        </w:trPr>
        <w:tc>
          <w:tcPr>
            <w:tcW w:w="50" w:type="pct"/>
            <w:vAlign w:val="center"/>
            <w:hideMark/>
          </w:tcPr>
          <w:p w:rsidR="00000000" w:rsidRDefault="00BC0821">
            <w:pPr>
              <w:jc w:val="center"/>
              <w:rPr>
                <w:rFonts w:eastAsia="Times New Roman"/>
              </w:rPr>
            </w:pPr>
          </w:p>
        </w:tc>
        <w:tc>
          <w:tcPr>
            <w:tcW w:w="379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91559138"/>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For the Nine Months Ended September 30,</w:t>
            </w:r>
          </w:p>
        </w:tc>
      </w:tr>
      <w:tr w:rsidR="00000000">
        <w:trPr>
          <w:divId w:val="91559138"/>
          <w:jc w:val="center"/>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2021</w:t>
            </w:r>
          </w:p>
        </w:tc>
      </w:tr>
      <w:tr w:rsidR="00000000">
        <w:trPr>
          <w:divId w:val="91559138"/>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(68,541)</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41,167 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1,007 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(6,767)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(93,356)</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226,136 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241,450 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91559138"/>
          <w:jc w:val="center"/>
        </w:trPr>
        <w:tc>
          <w:tcPr>
            <w:tcW w:w="0" w:type="auto"/>
            <w:gridSpan w:val="3"/>
            <w:shd w:val="clear" w:color="auto" w:fill="CCEE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13,420 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10,868 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821 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(9,429)</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Recovery of doubtful accounts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(1,585)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(4,269)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9,452 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16,422 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(20,212)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Distributions of income from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866 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14,837 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(12,608)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24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1559138"/>
          <w:jc w:val="center"/>
        </w:trPr>
        <w:tc>
          <w:tcPr>
            <w:tcW w:w="0" w:type="auto"/>
            <w:gridSpan w:val="3"/>
            <w:shd w:val="clear" w:color="auto" w:fill="CCEEFF"/>
            <w:tcMar>
              <w:top w:w="30" w:type="dxa"/>
              <w:left w:w="51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19,517 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77,748 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51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5,639 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22,133 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51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Due from affiliates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(9,495)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(1,365)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51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8,177 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(6,992)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51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64,578 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(44,009)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284,988 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211,633 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Acquisitions of property</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(24,544)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(28,180)</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(52,788)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(32,712)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(27,906)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(1,974)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(1,878)</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107,255 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70,955 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(42,963)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(56,577)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Proceeds from collection of receivable in connection with sale of joint venture property</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48,768 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323,018 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256,124 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1559138"/>
          <w:trHeight w:val="60"/>
          <w:jc w:val="center"/>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jc w:val="center"/>
        <w:divId w:val="717972651"/>
        <w:rPr>
          <w:rFonts w:eastAsia="Times New Roman"/>
        </w:rPr>
      </w:pPr>
      <w:r>
        <w:rPr>
          <w:rFonts w:eastAsia="Times New Roman"/>
          <w:color w:val="000000"/>
          <w:sz w:val="20"/>
          <w:szCs w:val="20"/>
        </w:rPr>
        <w:t>8</w:t>
      </w:r>
    </w:p>
    <w:p w:rsidR="00000000" w:rsidRDefault="00BC0821">
      <w:pPr>
        <w:rPr>
          <w:rFonts w:eastAsia="Times New Roman"/>
        </w:rPr>
      </w:pPr>
      <w:r>
        <w:rPr>
          <w:rFonts w:eastAsia="Times New Roman"/>
        </w:rPr>
        <w:pict>
          <v:rect id="_x0000_i1032" style="width:0;height:1.5pt" o:hralign="center" o:hrstd="t" o:hr="t" fillcolor="#a0a0a0" stroked="f"/>
        </w:pict>
      </w:r>
    </w:p>
    <w:p w:rsidR="00000000" w:rsidRDefault="00BC0821">
      <w:pPr>
        <w:divId w:val="1176925352"/>
        <w:rPr>
          <w:rFonts w:eastAsia="Times New Roman"/>
        </w:rPr>
      </w:pPr>
      <w:hyperlink w:anchor="if29fc3b4d1744e89bfd34e51e96b86e1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75"/>
        <w:gridCol w:w="38"/>
        <w:gridCol w:w="120"/>
        <w:gridCol w:w="700"/>
        <w:gridCol w:w="36"/>
        <w:gridCol w:w="36"/>
        <w:gridCol w:w="36"/>
        <w:gridCol w:w="36"/>
        <w:gridCol w:w="121"/>
        <w:gridCol w:w="868"/>
        <w:gridCol w:w="36"/>
      </w:tblGrid>
      <w:tr w:rsidR="00000000">
        <w:trPr>
          <w:divId w:val="735781034"/>
          <w:jc w:val="center"/>
        </w:trPr>
        <w:tc>
          <w:tcPr>
            <w:tcW w:w="50" w:type="pct"/>
            <w:vAlign w:val="center"/>
            <w:hideMark/>
          </w:tcPr>
          <w:p w:rsidR="00000000" w:rsidRDefault="00BC0821">
            <w:pPr>
              <w:rPr>
                <w:rFonts w:eastAsia="Times New Roman"/>
              </w:rPr>
            </w:pPr>
          </w:p>
        </w:tc>
        <w:tc>
          <w:tcPr>
            <w:tcW w:w="379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12"/>
            <w:tcMar>
              <w:top w:w="30" w:type="dxa"/>
              <w:left w:w="20" w:type="dxa"/>
              <w:bottom w:w="30" w:type="dxa"/>
              <w:right w:w="20" w:type="dxa"/>
            </w:tcMar>
            <w:vAlign w:val="bottom"/>
            <w:hideMark/>
          </w:tcPr>
          <w:p w:rsidR="00000000" w:rsidRDefault="00BC0821">
            <w:pPr>
              <w:spacing w:after="100"/>
              <w:jc w:val="center"/>
              <w:divId w:val="1202595661"/>
              <w:rPr>
                <w:rFonts w:eastAsia="Times New Roman"/>
              </w:rPr>
            </w:pPr>
            <w:r>
              <w:rPr>
                <w:rFonts w:eastAsia="Times New Roman"/>
                <w:b/>
                <w:bCs/>
                <w:color w:val="000000"/>
                <w:sz w:val="20"/>
                <w:szCs w:val="20"/>
              </w:rPr>
              <w:t>THE MACERICH COMPANY</w:t>
            </w:r>
          </w:p>
          <w:p w:rsidR="00000000" w:rsidRDefault="00BC0821">
            <w:pPr>
              <w:spacing w:after="100"/>
              <w:jc w:val="center"/>
              <w:divId w:val="948973845"/>
              <w:rPr>
                <w:rFonts w:eastAsia="Times New Roman"/>
              </w:rPr>
            </w:pPr>
            <w:r>
              <w:rPr>
                <w:rFonts w:eastAsia="Times New Roman"/>
                <w:b/>
                <w:bCs/>
                <w:color w:val="000000"/>
                <w:sz w:val="20"/>
                <w:szCs w:val="20"/>
              </w:rPr>
              <w:t>CONSOLIDATED STATEMENTS OF CASH FLOWS (Continued)</w:t>
            </w:r>
          </w:p>
          <w:p w:rsidR="00000000" w:rsidRDefault="00BC0821">
            <w:pPr>
              <w:spacing w:after="100"/>
              <w:jc w:val="center"/>
              <w:divId w:val="29260654"/>
              <w:rPr>
                <w:rFonts w:eastAsia="Times New Roman"/>
              </w:rPr>
            </w:pPr>
            <w:r>
              <w:rPr>
                <w:rFonts w:eastAsia="Times New Roman"/>
                <w:b/>
                <w:bCs/>
                <w:color w:val="000000"/>
                <w:sz w:val="20"/>
                <w:szCs w:val="20"/>
              </w:rPr>
              <w:t>(Dollars in thousands)</w:t>
            </w:r>
          </w:p>
          <w:p w:rsidR="00000000" w:rsidRDefault="00BC0821">
            <w:pPr>
              <w:spacing w:after="100"/>
              <w:jc w:val="center"/>
              <w:divId w:val="1279874625"/>
              <w:rPr>
                <w:rFonts w:eastAsia="Times New Roman"/>
              </w:rPr>
            </w:pPr>
            <w:r>
              <w:rPr>
                <w:rFonts w:eastAsia="Times New Roman"/>
                <w:b/>
                <w:bCs/>
                <w:color w:val="000000"/>
                <w:sz w:val="20"/>
                <w:szCs w:val="20"/>
              </w:rPr>
              <w:t>(Unaudited)</w:t>
            </w:r>
          </w:p>
        </w:tc>
      </w:tr>
      <w:tr w:rsidR="00000000">
        <w:trPr>
          <w:divId w:val="735781034"/>
          <w:jc w:val="center"/>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For the Nine Months Ended September 30,</w:t>
            </w:r>
          </w:p>
        </w:tc>
      </w:tr>
      <w:tr w:rsidR="00000000">
        <w:trPr>
          <w:divId w:val="735781034"/>
          <w:jc w:val="center"/>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2021</w:t>
            </w: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130,000 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495,000 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(312,630)</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(1,973,668)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(2,766)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(22,813)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Payments on finance leases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(1,923)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(1,848)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(costs) proceeds from stock offerings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829,874 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Proceeds from share and unit-based plans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960 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Contributions from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Dividends and distributions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(146,797)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(104,514)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(333,634)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(777,306)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(309,549)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166,971 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482,659 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164,975 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135,548 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161,474 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34,534 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18,281 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22,218 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Assets acquired from unconsolidated joint venture</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23,554 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735781034"/>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735781034"/>
          <w:jc w:val="center"/>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bl>
    <w:p w:rsidR="00000000" w:rsidRDefault="00BC0821">
      <w:pPr>
        <w:jc w:val="center"/>
        <w:divId w:val="875894689"/>
        <w:rPr>
          <w:rFonts w:eastAsia="Times New Roman"/>
        </w:rPr>
      </w:pPr>
      <w:r>
        <w:rPr>
          <w:rFonts w:eastAsia="Times New Roman"/>
          <w:color w:val="000000"/>
          <w:sz w:val="20"/>
          <w:szCs w:val="20"/>
        </w:rPr>
        <w:t>The accompanying notes are an integral part of these consolidated financial statements.</w:t>
      </w:r>
    </w:p>
    <w:p w:rsidR="00000000" w:rsidRDefault="00BC0821">
      <w:pPr>
        <w:jc w:val="center"/>
        <w:divId w:val="231355089"/>
        <w:rPr>
          <w:rFonts w:eastAsia="Times New Roman"/>
        </w:rPr>
      </w:pPr>
      <w:r>
        <w:rPr>
          <w:rFonts w:eastAsia="Times New Roman"/>
          <w:color w:val="000000"/>
          <w:sz w:val="20"/>
          <w:szCs w:val="20"/>
        </w:rPr>
        <w:t>9</w:t>
      </w:r>
    </w:p>
    <w:p w:rsidR="00000000" w:rsidRDefault="00BC0821">
      <w:pPr>
        <w:rPr>
          <w:rFonts w:eastAsia="Times New Roman"/>
        </w:rPr>
      </w:pPr>
      <w:r>
        <w:rPr>
          <w:rFonts w:eastAsia="Times New Roman"/>
        </w:rPr>
        <w:pict>
          <v:rect id="_x0000_i1033" style="width:0;height:1.5pt" o:hralign="center" o:hrstd="t" o:hr="t" fillcolor="#a0a0a0" stroked="f"/>
        </w:pict>
      </w:r>
    </w:p>
    <w:p w:rsidR="00000000" w:rsidRDefault="00BC0821">
      <w:pPr>
        <w:jc w:val="center"/>
        <w:divId w:val="925847415"/>
        <w:rPr>
          <w:rFonts w:eastAsia="Times New Roman"/>
        </w:rPr>
      </w:pPr>
    </w:p>
    <w:p w:rsidR="00000000" w:rsidRDefault="00BC0821">
      <w:pPr>
        <w:jc w:val="center"/>
        <w:divId w:val="871575067"/>
        <w:rPr>
          <w:rFonts w:eastAsia="Times New Roman"/>
        </w:rPr>
      </w:pPr>
      <w:r>
        <w:rPr>
          <w:rFonts w:eastAsia="Times New Roman"/>
          <w:b/>
          <w:bCs/>
          <w:color w:val="000000"/>
          <w:sz w:val="20"/>
          <w:szCs w:val="20"/>
        </w:rPr>
        <w:t>THE MACERICH COMPANY</w:t>
      </w:r>
    </w:p>
    <w:p w:rsidR="00000000" w:rsidRDefault="00BC0821">
      <w:pPr>
        <w:jc w:val="center"/>
        <w:divId w:val="1169295270"/>
        <w:rPr>
          <w:rFonts w:eastAsia="Times New Roman"/>
        </w:rPr>
      </w:pPr>
      <w:r>
        <w:rPr>
          <w:rFonts w:eastAsia="Times New Roman"/>
          <w:b/>
          <w:bCs/>
          <w:color w:val="000000"/>
          <w:sz w:val="20"/>
          <w:szCs w:val="20"/>
        </w:rPr>
        <w:t>NOTES TO CONSOLIDATED FINANCIAL STATEMENTS</w:t>
      </w:r>
    </w:p>
    <w:p w:rsidR="00000000" w:rsidRDefault="00BC0821">
      <w:pPr>
        <w:jc w:val="center"/>
        <w:divId w:val="1950624988"/>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2123838950"/>
        <w:rPr>
          <w:rFonts w:eastAsia="Times New Roman"/>
        </w:rPr>
      </w:pPr>
      <w:r>
        <w:rPr>
          <w:rFonts w:eastAsia="Times New Roman"/>
          <w:b/>
          <w:bCs/>
          <w:color w:val="000000"/>
          <w:sz w:val="20"/>
          <w:szCs w:val="20"/>
        </w:rPr>
        <w:t>(Unaudited)</w:t>
      </w:r>
    </w:p>
    <w:p w:rsidR="00000000" w:rsidRDefault="00BC0821">
      <w:pPr>
        <w:jc w:val="center"/>
        <w:divId w:val="1400208847"/>
        <w:rPr>
          <w:rFonts w:eastAsia="Times New Roman"/>
        </w:rPr>
      </w:pPr>
    </w:p>
    <w:p w:rsidR="00000000" w:rsidRDefault="00BC0821">
      <w:pPr>
        <w:divId w:val="571550442"/>
        <w:rPr>
          <w:rFonts w:eastAsia="Times New Roman"/>
        </w:rPr>
      </w:pPr>
      <w:r>
        <w:rPr>
          <w:rFonts w:eastAsia="Times New Roman"/>
          <w:b/>
          <w:bCs/>
          <w:color w:val="000000"/>
          <w:sz w:val="20"/>
          <w:szCs w:val="20"/>
        </w:rPr>
        <w:t>1. Organization:</w:t>
      </w:r>
    </w:p>
    <w:p w:rsidR="00000000" w:rsidRDefault="00BC0821">
      <w:pPr>
        <w:ind w:firstLine="495"/>
        <w:divId w:val="1839543142"/>
        <w:rPr>
          <w:rFonts w:eastAsia="Times New Roman"/>
        </w:rPr>
      </w:pPr>
      <w:r>
        <w:rPr>
          <w:rFonts w:eastAsia="Times New Roman"/>
          <w:color w:val="000000"/>
          <w:sz w:val="20"/>
          <w:szCs w:val="20"/>
        </w:rPr>
        <w:t>The Macerich Company (the "Company") is involved in the acquisition, ownership, development, redevelopment, management and leasing of regional town centers and community/power shopping centers (the "Centers") located through</w:t>
      </w:r>
      <w:r>
        <w:rPr>
          <w:rFonts w:eastAsia="Times New Roman"/>
          <w:color w:val="000000"/>
          <w:sz w:val="20"/>
          <w:szCs w:val="20"/>
        </w:rPr>
        <w:t>out the United States.</w:t>
      </w:r>
    </w:p>
    <w:p w:rsidR="00000000" w:rsidRDefault="00BC0821">
      <w:pPr>
        <w:ind w:firstLine="495"/>
        <w:divId w:val="1842356990"/>
        <w:rPr>
          <w:rFonts w:eastAsia="Times New Roman"/>
        </w:rPr>
      </w:pPr>
      <w:r>
        <w:rPr>
          <w:rFonts w:eastAsia="Times New Roman"/>
          <w:color w:val="000000"/>
          <w:sz w:val="20"/>
          <w:szCs w:val="20"/>
        </w:rPr>
        <w:t xml:space="preserve">The Company commenced operations effective with the completion of its initial public offering on March 16, 1994. As of September 30, 2022, the Company was the sole general partner of and held a 96% ownership interest in The Macerich </w:t>
      </w:r>
      <w:r>
        <w:rPr>
          <w:rFonts w:eastAsia="Times New Roman"/>
          <w:color w:val="000000"/>
          <w:sz w:val="20"/>
          <w:szCs w:val="20"/>
        </w:rPr>
        <w:t>Partnership, L.P. (the "Operating Partnership"). The Company was organized to qualify as a real estate investment trust ("REIT") under the Internal Revenue Code of 1986, as amended (the "Code").</w:t>
      </w:r>
    </w:p>
    <w:p w:rsidR="00000000" w:rsidRDefault="00BC0821">
      <w:pPr>
        <w:ind w:firstLine="495"/>
        <w:divId w:val="2054422639"/>
        <w:rPr>
          <w:rFonts w:eastAsia="Times New Roman"/>
        </w:rPr>
      </w:pPr>
      <w:r>
        <w:rPr>
          <w:rFonts w:eastAsia="Times New Roman"/>
          <w:color w:val="000000"/>
          <w:sz w:val="20"/>
          <w:szCs w:val="20"/>
        </w:rPr>
        <w:t>The property management, leasing and redevelopment of the Com</w:t>
      </w:r>
      <w:r>
        <w:rPr>
          <w:rFonts w:eastAsia="Times New Roman"/>
          <w:color w:val="000000"/>
          <w:sz w:val="20"/>
          <w:szCs w:val="20"/>
        </w:rPr>
        <w:t>pany's portfolio is provided by the Company's management companies, Macerich Property Management Company, LLC, a single member Delaware limited liability company, Macerich Management Company, a California corporation, Macerich Arizona Partners LLC, a singl</w:t>
      </w:r>
      <w:r>
        <w:rPr>
          <w:rFonts w:eastAsia="Times New Roman"/>
          <w:color w:val="000000"/>
          <w:sz w:val="20"/>
          <w:szCs w:val="20"/>
        </w:rPr>
        <w:t>e member Arizona limited liability company, Macerich Arizona Management LLC, a single member Delaware limited liability company, Macerich Partners of Colorado LLC, a single member Colorado limited liability company, MACW Mall Management, Inc., a New York c</w:t>
      </w:r>
      <w:r>
        <w:rPr>
          <w:rFonts w:eastAsia="Times New Roman"/>
          <w:color w:val="000000"/>
          <w:sz w:val="20"/>
          <w:szCs w:val="20"/>
        </w:rPr>
        <w:t>orporation, and MACW Property Management, LLC, a single member New York limited liability company. All seven of the management companies are collectively referred to herein as the "Management Companies."</w:t>
      </w:r>
    </w:p>
    <w:p w:rsidR="00000000" w:rsidRDefault="00BC0821">
      <w:pPr>
        <w:ind w:firstLine="495"/>
        <w:divId w:val="928269338"/>
        <w:rPr>
          <w:rFonts w:eastAsia="Times New Roman"/>
        </w:rPr>
      </w:pPr>
      <w:r>
        <w:rPr>
          <w:rFonts w:eastAsia="Times New Roman"/>
          <w:color w:val="000000"/>
          <w:sz w:val="20"/>
          <w:szCs w:val="20"/>
        </w:rPr>
        <w:t>All references to the Company in this Quarterly Repo</w:t>
      </w:r>
      <w:r>
        <w:rPr>
          <w:rFonts w:eastAsia="Times New Roman"/>
          <w:color w:val="000000"/>
          <w:sz w:val="20"/>
          <w:szCs w:val="20"/>
        </w:rPr>
        <w:t>rt on Form 10-Q include the Company, those entities owned or controlled by the Company and predecessors of the Company, unless the context indicates otherwise.</w:t>
      </w:r>
    </w:p>
    <w:p w:rsidR="00000000" w:rsidRDefault="00BC0821">
      <w:pPr>
        <w:divId w:val="812987360"/>
        <w:rPr>
          <w:rFonts w:eastAsia="Times New Roman"/>
        </w:rPr>
      </w:pPr>
      <w:r>
        <w:rPr>
          <w:rFonts w:eastAsia="Times New Roman"/>
          <w:b/>
          <w:bCs/>
          <w:color w:val="000000"/>
          <w:sz w:val="20"/>
          <w:szCs w:val="20"/>
        </w:rPr>
        <w:t>2. Summary of Significant Accounting Policies:</w:t>
      </w:r>
    </w:p>
    <w:p w:rsidR="00000000" w:rsidRDefault="00BC0821">
      <w:pPr>
        <w:ind w:firstLine="450"/>
        <w:divId w:val="838888706"/>
        <w:rPr>
          <w:rFonts w:eastAsia="Times New Roman"/>
        </w:rPr>
      </w:pPr>
      <w:r>
        <w:rPr>
          <w:rFonts w:eastAsia="Times New Roman"/>
          <w:i/>
          <w:iCs/>
          <w:color w:val="000000"/>
          <w:sz w:val="20"/>
          <w:szCs w:val="20"/>
        </w:rPr>
        <w:t>Basis of Presentation:</w:t>
      </w:r>
    </w:p>
    <w:p w:rsidR="00000000" w:rsidRDefault="00BC0821">
      <w:pPr>
        <w:ind w:firstLine="495"/>
        <w:divId w:val="449662611"/>
        <w:rPr>
          <w:rFonts w:eastAsia="Times New Roman"/>
        </w:rPr>
      </w:pPr>
      <w:r>
        <w:rPr>
          <w:rFonts w:eastAsia="Times New Roman"/>
          <w:color w:val="000000"/>
          <w:sz w:val="20"/>
          <w:szCs w:val="20"/>
        </w:rPr>
        <w:t>The accompanying consolida</w:t>
      </w:r>
      <w:r>
        <w:rPr>
          <w:rFonts w:eastAsia="Times New Roman"/>
          <w:color w:val="000000"/>
          <w:sz w:val="20"/>
          <w:szCs w:val="20"/>
        </w:rPr>
        <w:t xml:space="preserve">ted financial statements of the Company have been prepared in accordance with generally accepted accounting principles in the United States ("GAAP") for interim financial information and with the instructions to Form 10-Q and Article 10 of Regulation S-X. </w:t>
      </w:r>
      <w:r>
        <w:rPr>
          <w:rFonts w:eastAsia="Times New Roman"/>
          <w:color w:val="000000"/>
          <w:sz w:val="20"/>
          <w:szCs w:val="20"/>
        </w:rPr>
        <w:t>They do not include all of the information and footnotes required by GAAP for complete financial statements and have not been audited by an independent registered public accounting firm.</w:t>
      </w:r>
    </w:p>
    <w:p w:rsidR="00000000" w:rsidRDefault="00BC0821">
      <w:pPr>
        <w:ind w:firstLine="495"/>
        <w:divId w:val="34548117"/>
        <w:rPr>
          <w:rFonts w:eastAsia="Times New Roman"/>
        </w:rPr>
      </w:pPr>
      <w:r>
        <w:rPr>
          <w:rFonts w:eastAsia="Times New Roman"/>
          <w:color w:val="000000"/>
          <w:sz w:val="20"/>
          <w:szCs w:val="20"/>
        </w:rPr>
        <w:t>The Company's sole significant asset is its investment in the Operati</w:t>
      </w:r>
      <w:r>
        <w:rPr>
          <w:rFonts w:eastAsia="Times New Roman"/>
          <w:color w:val="000000"/>
          <w:sz w:val="20"/>
          <w:szCs w:val="20"/>
        </w:rPr>
        <w:t>ng Partnership and as a result, substantially all of the Company's assets and liabilities represent the assets and liabilities of the Operating Partnership. In addition, the Operating Partnership has investments in a number of consolidated variable interes</w:t>
      </w:r>
      <w:r>
        <w:rPr>
          <w:rFonts w:eastAsia="Times New Roman"/>
          <w:color w:val="000000"/>
          <w:sz w:val="20"/>
          <w:szCs w:val="20"/>
        </w:rPr>
        <w:t xml:space="preserve">t entities ("VIEs"), including Fashion District Philadelphia and SanTan Village Regional Center. </w:t>
      </w:r>
    </w:p>
    <w:p w:rsidR="00000000" w:rsidRDefault="00BC0821">
      <w:pPr>
        <w:ind w:firstLine="495"/>
        <w:divId w:val="2147048043"/>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trPr>
          <w:divId w:val="2147048043"/>
        </w:trPr>
        <w:tc>
          <w:tcPr>
            <w:tcW w:w="50" w:type="pct"/>
            <w:vAlign w:val="center"/>
            <w:hideMark/>
          </w:tcPr>
          <w:p w:rsidR="00000000" w:rsidRDefault="00BC0821">
            <w:pPr>
              <w:ind w:firstLine="495"/>
              <w:rPr>
                <w:rFonts w:eastAsia="Times New Roman"/>
              </w:rPr>
            </w:pPr>
          </w:p>
        </w:tc>
        <w:tc>
          <w:tcPr>
            <w:tcW w:w="36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5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147048043"/>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214704804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14704804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455,264 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458,964 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47048043"/>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91,245 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83,685 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4704804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546,509 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4704804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14704804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330,935 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413,925 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47048043"/>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136,744 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56,947 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4704804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467,679 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470,872 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1550728856"/>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BC0821">
      <w:pPr>
        <w:ind w:firstLine="495"/>
        <w:divId w:val="2022127352"/>
        <w:rPr>
          <w:rFonts w:eastAsia="Times New Roman"/>
        </w:rPr>
      </w:pPr>
    </w:p>
    <w:p w:rsidR="00000000" w:rsidRDefault="00BC0821">
      <w:pPr>
        <w:jc w:val="center"/>
        <w:divId w:val="1336222390"/>
        <w:rPr>
          <w:rFonts w:eastAsia="Times New Roman"/>
        </w:rPr>
      </w:pPr>
      <w:r>
        <w:rPr>
          <w:rFonts w:eastAsia="Times New Roman"/>
          <w:color w:val="000000"/>
          <w:sz w:val="20"/>
          <w:szCs w:val="20"/>
        </w:rPr>
        <w:t>10</w:t>
      </w:r>
    </w:p>
    <w:p w:rsidR="00000000" w:rsidRDefault="00BC0821">
      <w:pPr>
        <w:rPr>
          <w:rFonts w:eastAsia="Times New Roman"/>
        </w:rPr>
      </w:pPr>
      <w:r>
        <w:rPr>
          <w:rFonts w:eastAsia="Times New Roman"/>
        </w:rPr>
        <w:pict>
          <v:rect id="_x0000_i1034" style="width:0;height:1.5pt" o:hralign="center" o:hrstd="t" o:hr="t" fillcolor="#a0a0a0" stroked="f"/>
        </w:pict>
      </w:r>
    </w:p>
    <w:p w:rsidR="00000000" w:rsidRDefault="00BC0821">
      <w:pPr>
        <w:divId w:val="214565508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2898934"/>
        <w:rPr>
          <w:rFonts w:eastAsia="Times New Roman"/>
        </w:rPr>
      </w:pPr>
      <w:r>
        <w:rPr>
          <w:rFonts w:eastAsia="Times New Roman"/>
          <w:b/>
          <w:bCs/>
          <w:color w:val="000000"/>
          <w:sz w:val="20"/>
          <w:szCs w:val="20"/>
        </w:rPr>
        <w:t>THE MACERICH COMPANY</w:t>
      </w:r>
    </w:p>
    <w:p w:rsidR="00000000" w:rsidRDefault="00BC0821">
      <w:pPr>
        <w:jc w:val="center"/>
        <w:divId w:val="2013407660"/>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010983930"/>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524707560"/>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BC0821">
      <w:pPr>
        <w:divId w:val="2005232247"/>
        <w:rPr>
          <w:rFonts w:eastAsia="Times New Roman"/>
        </w:rPr>
      </w:pPr>
    </w:p>
    <w:p w:rsidR="00000000" w:rsidRDefault="00BC0821">
      <w:pPr>
        <w:divId w:val="1908954394"/>
        <w:rPr>
          <w:rFonts w:eastAsia="Times New Roman"/>
        </w:rPr>
      </w:pPr>
      <w:r>
        <w:rPr>
          <w:rFonts w:eastAsia="Times New Roman"/>
          <w:b/>
          <w:bCs/>
          <w:color w:val="000000"/>
          <w:sz w:val="20"/>
          <w:szCs w:val="20"/>
        </w:rPr>
        <w:t>2. Summary of Significant Accounting Policies: (Continued)</w:t>
      </w:r>
    </w:p>
    <w:p w:rsidR="00000000" w:rsidRDefault="00BC0821">
      <w:pPr>
        <w:ind w:firstLine="495"/>
        <w:divId w:val="1999839343"/>
        <w:rPr>
          <w:rFonts w:eastAsia="Times New Roman"/>
        </w:rPr>
      </w:pPr>
    </w:p>
    <w:p w:rsidR="00000000" w:rsidRDefault="00BC0821">
      <w:pPr>
        <w:ind w:firstLine="495"/>
        <w:divId w:val="1103067253"/>
        <w:rPr>
          <w:rFonts w:eastAsia="Times New Roman"/>
        </w:rPr>
      </w:pPr>
      <w:r>
        <w:rPr>
          <w:rFonts w:eastAsia="Times New Roman"/>
          <w:color w:val="000000"/>
          <w:sz w:val="20"/>
          <w:szCs w:val="20"/>
        </w:rPr>
        <w:t>The unaudited interim consolidated financial statements should be read in conjunction with the Company's audited consolidated financial statements and notes thereto included in the Com</w:t>
      </w:r>
      <w:r>
        <w:rPr>
          <w:rFonts w:eastAsia="Times New Roman"/>
          <w:color w:val="000000"/>
          <w:sz w:val="20"/>
          <w:szCs w:val="20"/>
        </w:rPr>
        <w:t>pany's Annual Report on Form 10-K for the year ended December 31, 2021. In the opinion of management, all adjustments (consisting of normal recurring adjustments) necessary for a fair presentation of the consolidated financial statements for the interim pe</w:t>
      </w:r>
      <w:r>
        <w:rPr>
          <w:rFonts w:eastAsia="Times New Roman"/>
          <w:color w:val="000000"/>
          <w:sz w:val="20"/>
          <w:szCs w:val="20"/>
        </w:rPr>
        <w:t>riods have been made. The preparation of consolidated financial statements in conformity with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consolidated financial statements and the reported amounts of revenues and expenses during the reporting period. Actual results could differ from those estimates. The accompanying consolidated balance sheet as of December 31, 202</w:t>
      </w:r>
      <w:r>
        <w:rPr>
          <w:rFonts w:eastAsia="Times New Roman"/>
          <w:color w:val="000000"/>
          <w:sz w:val="20"/>
          <w:szCs w:val="20"/>
        </w:rPr>
        <w:t>1 has been derived from the audited financial statements but does not include all disclosures required by GAAP. The following table presents a reconciliation of the beginning of period and end of period cash, cash equivalents and restricted cash reported o</w:t>
      </w:r>
      <w:r>
        <w:rPr>
          <w:rFonts w:eastAsia="Times New Roman"/>
          <w:color w:val="000000"/>
          <w:sz w:val="20"/>
          <w:szCs w:val="20"/>
        </w:rPr>
        <w:t>n the Company's consolidated balance sheets to the totals shown on its consolidated statements of cash flows:</w:t>
      </w:r>
    </w:p>
    <w:p w:rsidR="00000000" w:rsidRDefault="00BC0821">
      <w:pPr>
        <w:ind w:firstLine="495"/>
        <w:divId w:val="1380202347"/>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92"/>
        <w:gridCol w:w="37"/>
        <w:gridCol w:w="120"/>
        <w:gridCol w:w="741"/>
        <w:gridCol w:w="36"/>
        <w:gridCol w:w="36"/>
        <w:gridCol w:w="36"/>
        <w:gridCol w:w="36"/>
        <w:gridCol w:w="120"/>
        <w:gridCol w:w="719"/>
        <w:gridCol w:w="36"/>
      </w:tblGrid>
      <w:tr w:rsidR="00000000">
        <w:trPr>
          <w:divId w:val="1736195824"/>
        </w:trPr>
        <w:tc>
          <w:tcPr>
            <w:tcW w:w="50" w:type="pct"/>
            <w:vAlign w:val="center"/>
            <w:hideMark/>
          </w:tcPr>
          <w:p w:rsidR="00000000" w:rsidRDefault="00BC0821">
            <w:pPr>
              <w:ind w:firstLine="495"/>
              <w:rPr>
                <w:rFonts w:eastAsia="Times New Roman"/>
              </w:rPr>
            </w:pPr>
          </w:p>
        </w:tc>
        <w:tc>
          <w:tcPr>
            <w:tcW w:w="38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736195824"/>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736195824"/>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73619582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73619582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112,454 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619582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54,517 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6195824"/>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619582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73619582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109,991 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117,596 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619582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54,984 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55,514 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6195824"/>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164,975 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50"/>
        <w:divId w:val="552473628"/>
        <w:rPr>
          <w:rFonts w:eastAsia="Times New Roman"/>
        </w:rPr>
      </w:pPr>
      <w:r>
        <w:rPr>
          <w:rFonts w:eastAsia="Times New Roman"/>
          <w:i/>
          <w:iCs/>
          <w:color w:val="000000"/>
          <w:sz w:val="20"/>
          <w:szCs w:val="20"/>
        </w:rPr>
        <w:t>COVID-19 Pandemic:</w:t>
      </w:r>
    </w:p>
    <w:p w:rsidR="00000000" w:rsidRDefault="00BC0821">
      <w:pPr>
        <w:ind w:firstLine="495"/>
        <w:divId w:val="161431444"/>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eliminated across the Company’s markets.</w:t>
      </w:r>
    </w:p>
    <w:p w:rsidR="00000000" w:rsidRDefault="00BC0821">
      <w:pPr>
        <w:ind w:firstLine="450"/>
        <w:divId w:val="893006632"/>
        <w:rPr>
          <w:rFonts w:eastAsia="Times New Roman"/>
        </w:rPr>
      </w:pPr>
      <w:r>
        <w:rPr>
          <w:rFonts w:eastAsia="Times New Roman"/>
          <w:i/>
          <w:iCs/>
          <w:color w:val="000000"/>
          <w:sz w:val="20"/>
          <w:szCs w:val="20"/>
        </w:rPr>
        <w:t xml:space="preserve">COVID-19 </w:t>
      </w:r>
      <w:r>
        <w:rPr>
          <w:rFonts w:eastAsia="Times New Roman"/>
          <w:i/>
          <w:iCs/>
          <w:color w:val="000000"/>
          <w:sz w:val="20"/>
          <w:szCs w:val="20"/>
        </w:rPr>
        <w:t>Lease Accounting:</w:t>
      </w:r>
    </w:p>
    <w:p w:rsidR="00000000" w:rsidRDefault="00BC0821">
      <w:pPr>
        <w:ind w:firstLine="495"/>
        <w:divId w:val="613483346"/>
        <w:rPr>
          <w:rFonts w:eastAsia="Times New Roman"/>
        </w:rPr>
      </w:pPr>
      <w:r>
        <w:rPr>
          <w:rFonts w:eastAsia="Times New Roman"/>
          <w:color w:val="000000"/>
          <w:sz w:val="20"/>
          <w:szCs w:val="20"/>
        </w:rPr>
        <w:t>In April 2020, the Financial Accounting Standards Board issued a Staff Question-and-Answer (“Q&amp;A”) to clarify whether lease concessions related to the effects of COVID-19 require the application of the lease modification guidance under Ac</w:t>
      </w:r>
      <w:r>
        <w:rPr>
          <w:rFonts w:eastAsia="Times New Roman"/>
          <w:color w:val="000000"/>
          <w:sz w:val="20"/>
          <w:szCs w:val="20"/>
        </w:rPr>
        <w:t>counting Standards Codification ("ASC") 842, "Leases" ("the lease modification accounting framework"). Under ASC 842, the Company would have to determine, on a lease-by-lease basis, if a lease concession was the result of a new arrangement reached with the</w:t>
      </w:r>
      <w:r>
        <w:rPr>
          <w:rFonts w:eastAsia="Times New Roman"/>
          <w:color w:val="000000"/>
          <w:sz w:val="20"/>
          <w:szCs w:val="20"/>
        </w:rPr>
        <w:t xml:space="preserve"> tenant or an enforceable right and obligation within the existing lease. The Q&amp;A allows for the bypass of a lease-by-lease analysis, and allows the Company to elect to either apply the lease modification accounting framework or not to all of its lease con</w:t>
      </w:r>
      <w:r>
        <w:rPr>
          <w:rFonts w:eastAsia="Times New Roman"/>
          <w:color w:val="000000"/>
          <w:sz w:val="20"/>
          <w:szCs w:val="20"/>
        </w:rPr>
        <w:t>cessions with similar characteristics and circumstances. The Company has elected to apply the lease modification accounting framework to lease concessions that include the abatement of rent in its consolidated financial statements for the three and nine mo</w:t>
      </w:r>
      <w:r>
        <w:rPr>
          <w:rFonts w:eastAsia="Times New Roman"/>
          <w:color w:val="000000"/>
          <w:sz w:val="20"/>
          <w:szCs w:val="20"/>
        </w:rPr>
        <w:t>nths ended September 30, 2022 and 2021.</w:t>
      </w:r>
    </w:p>
    <w:p w:rsidR="00000000" w:rsidRDefault="00BC0821">
      <w:pPr>
        <w:ind w:firstLine="495"/>
        <w:divId w:val="1962566633"/>
        <w:rPr>
          <w:rFonts w:eastAsia="Times New Roman"/>
        </w:rPr>
      </w:pPr>
    </w:p>
    <w:p w:rsidR="00000000" w:rsidRDefault="00BC0821">
      <w:pPr>
        <w:ind w:firstLine="450"/>
        <w:divId w:val="420952373"/>
        <w:rPr>
          <w:rFonts w:eastAsia="Times New Roman"/>
        </w:rPr>
      </w:pPr>
    </w:p>
    <w:p w:rsidR="00000000" w:rsidRDefault="00BC0821">
      <w:pPr>
        <w:ind w:firstLine="450"/>
        <w:divId w:val="1306083515"/>
        <w:rPr>
          <w:rFonts w:eastAsia="Times New Roman"/>
        </w:rPr>
      </w:pPr>
    </w:p>
    <w:p w:rsidR="00000000" w:rsidRDefault="00BC0821">
      <w:pPr>
        <w:jc w:val="center"/>
        <w:divId w:val="1883904114"/>
        <w:rPr>
          <w:rFonts w:eastAsia="Times New Roman"/>
        </w:rPr>
      </w:pPr>
      <w:r>
        <w:rPr>
          <w:rFonts w:eastAsia="Times New Roman"/>
          <w:color w:val="000000"/>
          <w:sz w:val="20"/>
          <w:szCs w:val="20"/>
        </w:rPr>
        <w:t>11</w:t>
      </w:r>
    </w:p>
    <w:p w:rsidR="00000000" w:rsidRDefault="00BC0821">
      <w:pPr>
        <w:rPr>
          <w:rFonts w:eastAsia="Times New Roman"/>
        </w:rPr>
      </w:pPr>
      <w:r>
        <w:rPr>
          <w:rFonts w:eastAsia="Times New Roman"/>
        </w:rPr>
        <w:pict>
          <v:rect id="_x0000_i1035" style="width:0;height:1.5pt" o:hralign="center" o:hrstd="t" o:hr="t" fillcolor="#a0a0a0" stroked="f"/>
        </w:pict>
      </w:r>
    </w:p>
    <w:p w:rsidR="00000000" w:rsidRDefault="00BC0821">
      <w:pPr>
        <w:divId w:val="1181775124"/>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993332600"/>
        <w:rPr>
          <w:rFonts w:eastAsia="Times New Roman"/>
        </w:rPr>
      </w:pPr>
      <w:r>
        <w:rPr>
          <w:rFonts w:eastAsia="Times New Roman"/>
          <w:b/>
          <w:bCs/>
          <w:color w:val="000000"/>
          <w:sz w:val="20"/>
          <w:szCs w:val="20"/>
        </w:rPr>
        <w:t>THE MACERICH COMPANY</w:t>
      </w:r>
    </w:p>
    <w:p w:rsidR="00000000" w:rsidRDefault="00BC0821">
      <w:pPr>
        <w:jc w:val="center"/>
        <w:divId w:val="866527358"/>
        <w:rPr>
          <w:rFonts w:eastAsia="Times New Roman"/>
        </w:rPr>
      </w:pPr>
      <w:r>
        <w:rPr>
          <w:rFonts w:eastAsia="Times New Roman"/>
          <w:b/>
          <w:bCs/>
          <w:color w:val="000000"/>
          <w:sz w:val="20"/>
          <w:szCs w:val="20"/>
        </w:rPr>
        <w:t>NOTES TO CONSOLIDATED FINANCIAL STATEMENTS (Continued)</w:t>
      </w:r>
    </w:p>
    <w:p w:rsidR="00000000" w:rsidRDefault="00BC0821">
      <w:pPr>
        <w:jc w:val="center"/>
        <w:divId w:val="2054891006"/>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528300068"/>
        <w:rPr>
          <w:rFonts w:eastAsia="Times New Roman"/>
        </w:rPr>
      </w:pPr>
      <w:r>
        <w:rPr>
          <w:rFonts w:eastAsia="Times New Roman"/>
          <w:b/>
          <w:bCs/>
          <w:color w:val="000000"/>
          <w:sz w:val="20"/>
          <w:szCs w:val="20"/>
        </w:rPr>
        <w:t>(Unaudited)</w:t>
      </w:r>
    </w:p>
    <w:p w:rsidR="00000000" w:rsidRDefault="00BC0821">
      <w:pPr>
        <w:divId w:val="1592004851"/>
        <w:rPr>
          <w:rFonts w:eastAsia="Times New Roman"/>
        </w:rPr>
      </w:pPr>
    </w:p>
    <w:p w:rsidR="00000000" w:rsidRDefault="00BC0821">
      <w:pPr>
        <w:divId w:val="157503536"/>
        <w:rPr>
          <w:rFonts w:eastAsia="Times New Roman"/>
        </w:rPr>
      </w:pPr>
      <w:r>
        <w:rPr>
          <w:rFonts w:eastAsia="Times New Roman"/>
          <w:b/>
          <w:bCs/>
          <w:color w:val="000000"/>
          <w:sz w:val="20"/>
          <w:szCs w:val="20"/>
        </w:rPr>
        <w:t>3. Earnings Per Share ("EPS"):</w:t>
      </w:r>
    </w:p>
    <w:p w:rsidR="00000000" w:rsidRDefault="00BC0821">
      <w:pPr>
        <w:ind w:firstLine="495"/>
        <w:divId w:val="173422763"/>
        <w:rPr>
          <w:rFonts w:eastAsia="Times New Roman"/>
        </w:rPr>
      </w:pPr>
      <w:r>
        <w:rPr>
          <w:rFonts w:eastAsia="Times New Roman"/>
          <w:color w:val="000000"/>
          <w:sz w:val="20"/>
          <w:szCs w:val="20"/>
        </w:rPr>
        <w:t>The following table reconciles the numerator and denominator used in the computation of EPS</w:t>
      </w:r>
      <w:r>
        <w:rPr>
          <w:rFonts w:eastAsia="Times New Roman"/>
          <w:color w:val="000000"/>
          <w:sz w:val="20"/>
          <w:szCs w:val="20"/>
        </w:rPr>
        <w:t xml:space="preserve"> for the three and nine months ended September 30, 2022 and 2021 (shares in thousands):</w:t>
      </w:r>
    </w:p>
    <w:tbl>
      <w:tblPr>
        <w:tblW w:w="4926" w:type="pct"/>
        <w:tblCellMar>
          <w:top w:w="15" w:type="dxa"/>
          <w:left w:w="15" w:type="dxa"/>
          <w:bottom w:w="15" w:type="dxa"/>
          <w:right w:w="15" w:type="dxa"/>
        </w:tblCellMar>
        <w:tblLook w:val="04A0" w:firstRow="1" w:lastRow="0" w:firstColumn="1" w:lastColumn="0" w:noHBand="0" w:noVBand="1"/>
      </w:tblPr>
      <w:tblGrid>
        <w:gridCol w:w="38"/>
        <w:gridCol w:w="4492"/>
        <w:gridCol w:w="37"/>
        <w:gridCol w:w="120"/>
        <w:gridCol w:w="684"/>
        <w:gridCol w:w="36"/>
        <w:gridCol w:w="36"/>
        <w:gridCol w:w="36"/>
        <w:gridCol w:w="36"/>
        <w:gridCol w:w="120"/>
        <w:gridCol w:w="700"/>
        <w:gridCol w:w="36"/>
        <w:gridCol w:w="36"/>
        <w:gridCol w:w="36"/>
        <w:gridCol w:w="36"/>
        <w:gridCol w:w="120"/>
        <w:gridCol w:w="684"/>
        <w:gridCol w:w="36"/>
        <w:gridCol w:w="36"/>
        <w:gridCol w:w="36"/>
        <w:gridCol w:w="36"/>
        <w:gridCol w:w="120"/>
        <w:gridCol w:w="600"/>
        <w:gridCol w:w="36"/>
      </w:tblGrid>
      <w:tr w:rsidR="00000000">
        <w:trPr>
          <w:divId w:val="173422763"/>
        </w:trPr>
        <w:tc>
          <w:tcPr>
            <w:tcW w:w="50" w:type="pct"/>
            <w:vAlign w:val="center"/>
            <w:hideMark/>
          </w:tcPr>
          <w:p w:rsidR="00000000" w:rsidRDefault="00BC0821">
            <w:pPr>
              <w:ind w:firstLine="495"/>
              <w:rPr>
                <w:rFonts w:eastAsia="Times New Roman"/>
              </w:rPr>
            </w:pPr>
          </w:p>
        </w:tc>
        <w:tc>
          <w:tcPr>
            <w:tcW w:w="281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8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7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7342276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7342276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7342276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7342276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(13,502)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112,959 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(68,541)</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41,167 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(784)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9,834 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(15,193)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(67,757)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(211)</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(290)</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(641)</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Numerator for basic and diluted EPS—net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(15,404)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106,412 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(68,399)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73422763"/>
        </w:trPr>
        <w:tc>
          <w:tcPr>
            <w:tcW w:w="0" w:type="auto"/>
            <w:gridSpan w:val="3"/>
            <w:vAlign w:val="center"/>
            <w:hideMark/>
          </w:tcPr>
          <w:p w:rsidR="00000000" w:rsidRDefault="00BC0821">
            <w:pPr>
              <w:spacing w:after="100"/>
              <w:rPr>
                <w:rFonts w:eastAsia="Times New Roman"/>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73422763"/>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73422763"/>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7342276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Denominator for basic and diluted EPS—weighted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215,134 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213,214 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214,982 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192,717 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EPS—</w:t>
            </w:r>
            <w:r>
              <w:rPr>
                <w:rFonts w:eastAsia="Times New Roman"/>
                <w:b/>
                <w:bCs/>
                <w:color w:val="000000"/>
                <w:sz w:val="20"/>
                <w:szCs w:val="20"/>
              </w:rPr>
              <w:t>net (loss) income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7342276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(0.07)</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0.50 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(0.32)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0.16 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73422763"/>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bl>
    <w:p w:rsidR="00000000" w:rsidRDefault="00BC0821">
      <w:pPr>
        <w:ind w:hanging="360"/>
        <w:divId w:val="598176884"/>
        <w:rPr>
          <w:rFonts w:eastAsia="Times New Roman"/>
        </w:rPr>
      </w:pPr>
      <w:r>
        <w:rPr>
          <w:rFonts w:eastAsia="Times New Roman"/>
          <w:color w:val="000000"/>
          <w:sz w:val="16"/>
          <w:szCs w:val="16"/>
        </w:rPr>
        <w:t xml:space="preserve">(1)     Diluted EPS excludes 99,565 and 101,799 </w:t>
      </w:r>
      <w:r>
        <w:rPr>
          <w:rFonts w:eastAsia="Times New Roman"/>
          <w:color w:val="000000"/>
          <w:sz w:val="16"/>
          <w:szCs w:val="16"/>
        </w:rPr>
        <w:t>convertible preferred partnership units for the three months ended September 30, 2022 and 2021, respectively, and 99,565 and 102,751 convertible preferred partnership units for the nine months ended September 30, 2022 and 2021, respectively, as their impac</w:t>
      </w:r>
      <w:r>
        <w:rPr>
          <w:rFonts w:eastAsia="Times New Roman"/>
          <w:color w:val="000000"/>
          <w:sz w:val="16"/>
          <w:szCs w:val="16"/>
        </w:rPr>
        <w:t>t was antidilutive. Diluted EPS also excludes 8,620,767 and 9,818,917 Operating Partnership units ("OP Units") for the three months ended September 30, 2022 and 2021, respectively, and 8,653,348 and 10,160,575 OP Units for the nine months ended September 3</w:t>
      </w:r>
      <w:r>
        <w:rPr>
          <w:rFonts w:eastAsia="Times New Roman"/>
          <w:color w:val="000000"/>
          <w:sz w:val="16"/>
          <w:szCs w:val="16"/>
        </w:rPr>
        <w:t>0, 2022 and 2021, respectively, as their impact was antidilutive.</w:t>
      </w:r>
    </w:p>
    <w:p w:rsidR="00000000" w:rsidRDefault="00BC0821">
      <w:pPr>
        <w:ind w:hanging="360"/>
        <w:divId w:val="1089742061"/>
        <w:rPr>
          <w:rFonts w:eastAsia="Times New Roman"/>
        </w:rPr>
      </w:pPr>
    </w:p>
    <w:p w:rsidR="00000000" w:rsidRDefault="00BC0821">
      <w:pPr>
        <w:divId w:val="838929717"/>
        <w:rPr>
          <w:rFonts w:eastAsia="Times New Roman"/>
        </w:rPr>
      </w:pPr>
      <w:r>
        <w:rPr>
          <w:rFonts w:eastAsia="Times New Roman"/>
          <w:b/>
          <w:bCs/>
          <w:color w:val="000000"/>
          <w:sz w:val="20"/>
          <w:szCs w:val="20"/>
        </w:rPr>
        <w:t>4. Investments in Unconsolidated Joint Ventures:</w:t>
      </w:r>
    </w:p>
    <w:p w:rsidR="00000000" w:rsidRDefault="00BC0821">
      <w:pPr>
        <w:ind w:firstLine="495"/>
        <w:divId w:val="1120302680"/>
        <w:rPr>
          <w:rFonts w:eastAsia="Times New Roman"/>
        </w:rPr>
      </w:pPr>
      <w:r>
        <w:rPr>
          <w:rFonts w:eastAsia="Times New Roman"/>
          <w:color w:val="000000"/>
          <w:sz w:val="20"/>
          <w:szCs w:val="20"/>
        </w:rPr>
        <w:t>The Company has made the following recent financings or other events of its unconsolidated joint ventures:</w:t>
      </w:r>
    </w:p>
    <w:p w:rsidR="00000000" w:rsidRDefault="00BC0821">
      <w:pPr>
        <w:ind w:firstLine="495"/>
        <w:divId w:val="1030493381"/>
        <w:rPr>
          <w:rFonts w:eastAsia="Times New Roman"/>
        </w:rPr>
      </w:pPr>
      <w:r>
        <w:rPr>
          <w:rFonts w:eastAsia="Times New Roman"/>
          <w:color w:val="000000"/>
          <w:sz w:val="20"/>
          <w:szCs w:val="20"/>
        </w:rPr>
        <w:t>On March 29, 2021, concurrent wi</w:t>
      </w:r>
      <w:r>
        <w:rPr>
          <w:rFonts w:eastAsia="Times New Roman"/>
          <w:color w:val="000000"/>
          <w:sz w:val="20"/>
          <w:szCs w:val="20"/>
        </w:rPr>
        <w:t>th the sale of Paradise Valley Mall (see Note 16 – Dispositions), the Company elected to reinvest into the newly formed joint venture at a 5% ownership interest for $3,819 in cash that is accounted for under the equity method of accounting.</w:t>
      </w:r>
    </w:p>
    <w:p w:rsidR="00000000" w:rsidRDefault="00BC0821">
      <w:pPr>
        <w:ind w:firstLine="495"/>
        <w:divId w:val="1596937291"/>
        <w:rPr>
          <w:rFonts w:eastAsia="Times New Roman"/>
        </w:rPr>
      </w:pPr>
      <w:r>
        <w:rPr>
          <w:rFonts w:eastAsia="Times New Roman"/>
          <w:color w:val="000000"/>
          <w:sz w:val="20"/>
          <w:szCs w:val="20"/>
        </w:rPr>
        <w:t xml:space="preserve">On October 26, </w:t>
      </w:r>
      <w:r>
        <w:rPr>
          <w:rFonts w:eastAsia="Times New Roman"/>
          <w:color w:val="000000"/>
          <w:sz w:val="20"/>
          <w:szCs w:val="20"/>
        </w:rPr>
        <w:t>2021, the Company's joint venture in The Shops at Atlas Park replaced the existing loan on the property with a new $65,000 loan that bears interest at a floating rate of LIBOR plus 4.15% and matures on November 9, 2026, including extension options. The loa</w:t>
      </w:r>
      <w:r>
        <w:rPr>
          <w:rFonts w:eastAsia="Times New Roman"/>
          <w:color w:val="000000"/>
          <w:sz w:val="20"/>
          <w:szCs w:val="20"/>
        </w:rPr>
        <w:t>n is covered by an interest rate cap agreement that effectively prevents LIBOR from exceeding 3.0% through November 7, 2023.</w:t>
      </w:r>
    </w:p>
    <w:p w:rsidR="00000000" w:rsidRDefault="00BC0821">
      <w:pPr>
        <w:ind w:firstLine="495"/>
        <w:divId w:val="1970015930"/>
        <w:rPr>
          <w:rFonts w:eastAsia="Times New Roman"/>
        </w:rPr>
      </w:pPr>
      <w:r>
        <w:rPr>
          <w:rFonts w:eastAsia="Times New Roman"/>
          <w:color w:val="000000"/>
          <w:sz w:val="20"/>
          <w:szCs w:val="20"/>
        </w:rPr>
        <w:t>On December 31, 2021, the Company assigned its joint venture interest in The Shops at North Bridge in Chicago, Illinois to its part</w:t>
      </w:r>
      <w:r>
        <w:rPr>
          <w:rFonts w:eastAsia="Times New Roman"/>
          <w:color w:val="000000"/>
          <w:sz w:val="20"/>
          <w:szCs w:val="20"/>
        </w:rPr>
        <w:t>ner in the joint venture. The assignment included the assumption by the joint venture partner of the Company’s share of the debt owed by the joint venture and no cash consideration was received by the Company. The Company recognized a loss of $28,276 in co</w:t>
      </w:r>
      <w:r>
        <w:rPr>
          <w:rFonts w:eastAsia="Times New Roman"/>
          <w:color w:val="000000"/>
          <w:sz w:val="20"/>
          <w:szCs w:val="20"/>
        </w:rPr>
        <w:t>nnection with the assignment.</w:t>
      </w:r>
    </w:p>
    <w:p w:rsidR="00000000" w:rsidRDefault="00BC0821">
      <w:pPr>
        <w:ind w:firstLine="495"/>
        <w:divId w:val="183444314"/>
        <w:rPr>
          <w:rFonts w:eastAsia="Times New Roman"/>
        </w:rPr>
      </w:pPr>
      <w:r>
        <w:rPr>
          <w:rFonts w:eastAsia="Times New Roman"/>
          <w:color w:val="000000"/>
          <w:sz w:val="20"/>
          <w:szCs w:val="20"/>
        </w:rPr>
        <w:t>On December 31, 2021, the Company sold its joint venture interest in the undeveloped property at 443 North Wabash Avenue in Chicago, Illinois to its partner in the joint venture for $21,000. The Company recognized an immateria</w:t>
      </w:r>
      <w:r>
        <w:rPr>
          <w:rFonts w:eastAsia="Times New Roman"/>
          <w:color w:val="000000"/>
          <w:sz w:val="20"/>
          <w:szCs w:val="20"/>
        </w:rPr>
        <w:t xml:space="preserve">l gain in connection with the sale. </w:t>
      </w:r>
    </w:p>
    <w:p w:rsidR="00000000" w:rsidRDefault="00BC0821">
      <w:pPr>
        <w:ind w:firstLine="495"/>
        <w:divId w:val="1447114838"/>
        <w:rPr>
          <w:rFonts w:eastAsia="Times New Roman"/>
        </w:rPr>
      </w:pPr>
      <w:r>
        <w:rPr>
          <w:rFonts w:eastAsia="Times New Roman"/>
          <w:color w:val="000000"/>
          <w:sz w:val="20"/>
          <w:szCs w:val="20"/>
        </w:rPr>
        <w:t>On February 2, 2022, the Company’s joint venture in FlatIron Crossing replaced the existing $197,011 loan on the property with a new $175,000 loan that bears interest at the Secured Overnight Financing Rate ("SOFR") plu</w:t>
      </w:r>
      <w:r>
        <w:rPr>
          <w:rFonts w:eastAsia="Times New Roman"/>
          <w:color w:val="000000"/>
          <w:sz w:val="20"/>
          <w:szCs w:val="20"/>
        </w:rPr>
        <w:t>s 3.70% and matures on February 9, 2025, including extension options. The loan is covered by an interest rate cap agreement that effectively prevents SOFR from exceeding 4.0% through February 15, 2024.</w:t>
      </w:r>
    </w:p>
    <w:p w:rsidR="00000000" w:rsidRDefault="00BC0821">
      <w:pPr>
        <w:jc w:val="center"/>
        <w:divId w:val="1438021936"/>
        <w:rPr>
          <w:rFonts w:eastAsia="Times New Roman"/>
        </w:rPr>
      </w:pPr>
      <w:r>
        <w:rPr>
          <w:rFonts w:eastAsia="Times New Roman"/>
          <w:color w:val="000000"/>
          <w:sz w:val="20"/>
          <w:szCs w:val="20"/>
        </w:rPr>
        <w:t>12</w:t>
      </w:r>
    </w:p>
    <w:p w:rsidR="00000000" w:rsidRDefault="00BC0821">
      <w:pPr>
        <w:rPr>
          <w:rFonts w:eastAsia="Times New Roman"/>
        </w:rPr>
      </w:pPr>
      <w:r>
        <w:rPr>
          <w:rFonts w:eastAsia="Times New Roman"/>
        </w:rPr>
        <w:pict>
          <v:rect id="_x0000_i1036" style="width:0;height:1.5pt" o:hralign="center" o:hrstd="t" o:hr="t" fillcolor="#a0a0a0" stroked="f"/>
        </w:pict>
      </w:r>
    </w:p>
    <w:p w:rsidR="00000000" w:rsidRDefault="00BC0821">
      <w:pPr>
        <w:divId w:val="111217183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614211559"/>
        <w:rPr>
          <w:rFonts w:eastAsia="Times New Roman"/>
        </w:rPr>
      </w:pPr>
      <w:r>
        <w:rPr>
          <w:rFonts w:eastAsia="Times New Roman"/>
          <w:b/>
          <w:bCs/>
          <w:color w:val="000000"/>
          <w:sz w:val="20"/>
          <w:szCs w:val="20"/>
        </w:rPr>
        <w:t>THE MACERICH COMPANY</w:t>
      </w:r>
    </w:p>
    <w:p w:rsidR="00000000" w:rsidRDefault="00BC0821">
      <w:pPr>
        <w:jc w:val="center"/>
        <w:divId w:val="1975406927"/>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920598585"/>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579904969"/>
        <w:rPr>
          <w:rFonts w:eastAsia="Times New Roman"/>
        </w:rPr>
      </w:pPr>
      <w:r>
        <w:rPr>
          <w:rFonts w:eastAsia="Times New Roman"/>
          <w:b/>
          <w:bCs/>
          <w:color w:val="000000"/>
          <w:sz w:val="20"/>
          <w:szCs w:val="20"/>
        </w:rPr>
        <w:t>(Unaudited)</w:t>
      </w:r>
    </w:p>
    <w:p w:rsidR="00000000" w:rsidRDefault="00BC0821">
      <w:pPr>
        <w:divId w:val="761997829"/>
        <w:rPr>
          <w:rFonts w:eastAsia="Times New Roman"/>
        </w:rPr>
      </w:pPr>
      <w:r>
        <w:rPr>
          <w:rFonts w:eastAsia="Times New Roman"/>
          <w:b/>
          <w:bCs/>
          <w:color w:val="000000"/>
          <w:sz w:val="20"/>
          <w:szCs w:val="20"/>
        </w:rPr>
        <w:t>4. Investments in Unconsoli</w:t>
      </w:r>
      <w:r>
        <w:rPr>
          <w:rFonts w:eastAsia="Times New Roman"/>
          <w:b/>
          <w:bCs/>
          <w:color w:val="000000"/>
          <w:sz w:val="20"/>
          <w:szCs w:val="20"/>
        </w:rPr>
        <w:t>dated Joint Ventures: (Continued)</w:t>
      </w:r>
    </w:p>
    <w:p w:rsidR="00000000" w:rsidRDefault="00BC0821">
      <w:pPr>
        <w:ind w:firstLine="495"/>
        <w:divId w:val="510415269"/>
        <w:rPr>
          <w:rFonts w:eastAsia="Times New Roman"/>
        </w:rPr>
      </w:pPr>
      <w:r>
        <w:rPr>
          <w:rFonts w:eastAsia="Times New Roman"/>
          <w:color w:val="000000"/>
          <w:sz w:val="20"/>
          <w:szCs w:val="20"/>
        </w:rPr>
        <w:t>On August 2, 2022, the Company acquired the remaining 50% ownership interest in two former Sears parcels (Deptford Mall and Vintage Faire Mall) in MS Portfolio LLC, the Company's joint venture with Seritage Growth Properti</w:t>
      </w:r>
      <w:r>
        <w:rPr>
          <w:rFonts w:eastAsia="Times New Roman"/>
          <w:color w:val="000000"/>
          <w:sz w:val="20"/>
          <w:szCs w:val="20"/>
        </w:rPr>
        <w:t xml:space="preserve">es, for a total purchase price of approximately $24,544. As a result of this transaction and the shortening of holding periods on certain other assets in the joint venture, an impairment loss was recorded for the nine months ending September 30, 2022. The </w:t>
      </w:r>
      <w:r>
        <w:rPr>
          <w:rFonts w:eastAsia="Times New Roman"/>
          <w:color w:val="000000"/>
          <w:sz w:val="20"/>
          <w:szCs w:val="20"/>
        </w:rPr>
        <w:t>Company's share of the impairment loss was $27,054. Effective as of August 2, 2022, the Company now owns and has consolidated its 100% interest in these two former Sears parcels in its consolidated financial statements (See Note 15</w:t>
      </w:r>
      <w:r>
        <w:rPr>
          <w:rFonts w:eastAsia="Times New Roman"/>
          <w:color w:val="000000"/>
          <w:sz w:val="16"/>
          <w:szCs w:val="16"/>
        </w:rPr>
        <w:t>—</w:t>
      </w:r>
      <w:r>
        <w:rPr>
          <w:rFonts w:eastAsia="Times New Roman"/>
          <w:color w:val="000000"/>
          <w:sz w:val="20"/>
          <w:szCs w:val="20"/>
        </w:rPr>
        <w:t>Acquisitions).</w:t>
      </w:r>
    </w:p>
    <w:p w:rsidR="00000000" w:rsidRDefault="00BC0821">
      <w:pPr>
        <w:ind w:firstLine="495"/>
        <w:divId w:val="1179389931"/>
        <w:rPr>
          <w:rFonts w:eastAsia="Times New Roman"/>
        </w:rPr>
      </w:pPr>
      <w:r>
        <w:rPr>
          <w:rFonts w:eastAsia="Times New Roman"/>
          <w:color w:val="000000"/>
          <w:sz w:val="20"/>
          <w:szCs w:val="20"/>
        </w:rPr>
        <w:t>The Compa</w:t>
      </w:r>
      <w:r>
        <w:rPr>
          <w:rFonts w:eastAsia="Times New Roman"/>
          <w:color w:val="000000"/>
          <w:sz w:val="20"/>
          <w:szCs w:val="20"/>
        </w:rPr>
        <w:t>ny's joint venture in Washington Square expects to close in November 2022 a</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-year extension, including options, on the $519,848 loan on the property, at a floating interest rate of SOFR plus 4.0%, subject to negotiating final loan terms and documentati</w:t>
      </w:r>
      <w:r>
        <w:rPr>
          <w:rFonts w:eastAsia="Times New Roman"/>
          <w:color w:val="000000"/>
          <w:sz w:val="20"/>
          <w:szCs w:val="20"/>
        </w:rPr>
        <w:t xml:space="preserve">on and customary closing conditions. </w:t>
      </w:r>
    </w:p>
    <w:p w:rsidR="00000000" w:rsidRDefault="00BC0821">
      <w:pPr>
        <w:ind w:firstLine="495"/>
        <w:divId w:val="1232079177"/>
        <w:rPr>
          <w:rFonts w:eastAsia="Times New Roman"/>
        </w:rPr>
      </w:pPr>
      <w:r>
        <w:rPr>
          <w:rFonts w:eastAsia="Times New Roman"/>
          <w:color w:val="000000"/>
          <w:sz w:val="20"/>
          <w:szCs w:val="20"/>
        </w:rPr>
        <w:t>Combined and condensed balance sheets and statements of operations are presented below for all unconsolidated joint ventures.</w:t>
      </w:r>
    </w:p>
    <w:p w:rsidR="00000000" w:rsidRDefault="00BC0821">
      <w:pPr>
        <w:ind w:firstLine="495"/>
        <w:divId w:val="1337801749"/>
        <w:rPr>
          <w:rFonts w:eastAsia="Times New Roman"/>
        </w:rPr>
      </w:pPr>
      <w:r>
        <w:rPr>
          <w:rFonts w:eastAsia="Times New Roman"/>
          <w:b/>
          <w:bCs/>
          <w:color w:val="000000"/>
          <w:sz w:val="20"/>
          <w:szCs w:val="20"/>
        </w:rPr>
        <w:t>Combined and Condensed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1337801749"/>
        </w:trPr>
        <w:tc>
          <w:tcPr>
            <w:tcW w:w="50" w:type="pct"/>
            <w:vAlign w:val="center"/>
            <w:hideMark/>
          </w:tcPr>
          <w:p w:rsidR="00000000" w:rsidRDefault="00BC0821">
            <w:pPr>
              <w:ind w:firstLine="495"/>
              <w:rPr>
                <w:rFonts w:eastAsia="Times New Roman"/>
              </w:rPr>
            </w:pPr>
          </w:p>
        </w:tc>
        <w:tc>
          <w:tcPr>
            <w:tcW w:w="363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337801749"/>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33780174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8,149,910 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8,289,412 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654,721 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750,629 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8,804,631 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5,488,671 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5,686,500 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475,780 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325,115 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1,509,376 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1,330,804 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1,390,314 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8,804,631 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1337801749"/>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1,509,376 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(432,018)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(448,149)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1,077,358 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Height w:val="300"/>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33780174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1,204,153 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1,317,571 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(126,795)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(127,608)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337801749"/>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1,077,358 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C0821">
            <w:pPr>
              <w:ind w:firstLine="495"/>
              <w:rPr>
                <w:rFonts w:eastAsia="Times New Roman"/>
              </w:rPr>
            </w:pPr>
          </w:p>
        </w:tc>
        <w:tc>
          <w:tcPr>
            <w:tcW w:w="1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67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01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ind w:hanging="450"/>
        <w:divId w:val="1747605697"/>
        <w:rPr>
          <w:rFonts w:eastAsia="Times New Roman"/>
        </w:rPr>
      </w:pPr>
      <w:r>
        <w:rPr>
          <w:rFonts w:eastAsia="Times New Roman"/>
          <w:color w:val="000000"/>
          <w:sz w:val="16"/>
          <w:szCs w:val="16"/>
        </w:rPr>
        <w:t xml:space="preserve">(1)     These amounts include assets of $2,704,552 and $2,789,568 </w:t>
      </w:r>
      <w:r>
        <w:rPr>
          <w:rFonts w:eastAsia="Times New Roman"/>
          <w:color w:val="000000"/>
          <w:sz w:val="16"/>
          <w:szCs w:val="16"/>
        </w:rPr>
        <w:t>of Pacific Premier Retail LLC (the "PPR Portfolio") as of September 30, 2022 and December 31, 2021, respectively, and liabilities of $1,640,093 and $1,661,110 of the PPR Portfolio as of September 30, 2022 and December 31, 2021, respectively.</w:t>
      </w:r>
    </w:p>
    <w:p w:rsidR="00000000" w:rsidRDefault="00BC0821">
      <w:pPr>
        <w:ind w:hanging="450"/>
        <w:divId w:val="359362054"/>
        <w:rPr>
          <w:rFonts w:eastAsia="Times New Roman"/>
        </w:rPr>
      </w:pPr>
      <w:r>
        <w:rPr>
          <w:rFonts w:eastAsia="Times New Roman"/>
          <w:color w:val="000000"/>
          <w:sz w:val="16"/>
          <w:szCs w:val="16"/>
        </w:rPr>
        <w:t>(2)     The Co</w:t>
      </w:r>
      <w:r>
        <w:rPr>
          <w:rFonts w:eastAsia="Times New Roman"/>
          <w:color w:val="000000"/>
          <w:sz w:val="16"/>
          <w:szCs w:val="16"/>
        </w:rPr>
        <w:t>mpany amortizes the difference between the cost of its investments in unconsolidated joint ventures and the book value of the underlying equity into income on a straight-line basis consistent with the lives of the underlying assets. The amortization of thi</w:t>
      </w:r>
      <w:r>
        <w:rPr>
          <w:rFonts w:eastAsia="Times New Roman"/>
          <w:color w:val="000000"/>
          <w:sz w:val="16"/>
          <w:szCs w:val="16"/>
        </w:rPr>
        <w:t>s difference was $2,164 and $2,768 for the three months ended September 30, 2022 and 2021, respectively, and $7,034 and $7,431 for the nine months ended September 30, 2022 and 2021, respectively.</w:t>
      </w:r>
    </w:p>
    <w:p w:rsidR="00000000" w:rsidRDefault="00BC0821">
      <w:pPr>
        <w:jc w:val="center"/>
        <w:divId w:val="2012101463"/>
        <w:rPr>
          <w:rFonts w:eastAsia="Times New Roman"/>
        </w:rPr>
      </w:pPr>
      <w:r>
        <w:rPr>
          <w:rFonts w:eastAsia="Times New Roman"/>
          <w:color w:val="000000"/>
          <w:sz w:val="20"/>
          <w:szCs w:val="20"/>
        </w:rPr>
        <w:t>13</w:t>
      </w:r>
    </w:p>
    <w:p w:rsidR="00000000" w:rsidRDefault="00BC0821">
      <w:pPr>
        <w:rPr>
          <w:rFonts w:eastAsia="Times New Roman"/>
        </w:rPr>
      </w:pPr>
      <w:r>
        <w:rPr>
          <w:rFonts w:eastAsia="Times New Roman"/>
        </w:rPr>
        <w:pict>
          <v:rect id="_x0000_i1037" style="width:0;height:1.5pt" o:hralign="center" o:hrstd="t" o:hr="t" fillcolor="#a0a0a0" stroked="f"/>
        </w:pict>
      </w:r>
    </w:p>
    <w:p w:rsidR="00000000" w:rsidRDefault="00BC0821">
      <w:pPr>
        <w:jc w:val="center"/>
        <w:divId w:val="1654991243"/>
        <w:rPr>
          <w:rFonts w:eastAsia="Times New Roman"/>
        </w:rPr>
      </w:pPr>
      <w:r>
        <w:rPr>
          <w:rFonts w:eastAsia="Times New Roman"/>
          <w:b/>
          <w:bCs/>
          <w:color w:val="000000"/>
          <w:sz w:val="20"/>
          <w:szCs w:val="20"/>
        </w:rPr>
        <w:t>THE MACERICH COMPANY</w:t>
      </w:r>
    </w:p>
    <w:p w:rsidR="00000000" w:rsidRDefault="00BC0821">
      <w:pPr>
        <w:jc w:val="center"/>
        <w:divId w:val="1600915693"/>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790277413"/>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770736050"/>
        <w:rPr>
          <w:rFonts w:eastAsia="Times New Roman"/>
        </w:rPr>
      </w:pPr>
      <w:r>
        <w:rPr>
          <w:rFonts w:eastAsia="Times New Roman"/>
          <w:b/>
          <w:bCs/>
          <w:color w:val="000000"/>
          <w:sz w:val="20"/>
          <w:szCs w:val="20"/>
        </w:rPr>
        <w:t>(Unaudited)</w:t>
      </w:r>
    </w:p>
    <w:p w:rsidR="00000000" w:rsidRDefault="00BC0821">
      <w:pPr>
        <w:divId w:val="1252010394"/>
        <w:rPr>
          <w:rFonts w:eastAsia="Times New Roman"/>
        </w:rPr>
      </w:pPr>
    </w:p>
    <w:p w:rsidR="00000000" w:rsidRDefault="00BC0821">
      <w:pPr>
        <w:divId w:val="256132738"/>
        <w:rPr>
          <w:rFonts w:eastAsia="Times New Roman"/>
        </w:rPr>
      </w:pPr>
      <w:r>
        <w:rPr>
          <w:rFonts w:eastAsia="Times New Roman"/>
          <w:b/>
          <w:bCs/>
          <w:color w:val="000000"/>
          <w:sz w:val="20"/>
          <w:szCs w:val="20"/>
        </w:rPr>
        <w:t>4. Investments in Unconsolidated Joint Ventures: (Continued)</w:t>
      </w:r>
    </w:p>
    <w:p w:rsidR="00000000" w:rsidRDefault="00BC0821">
      <w:pPr>
        <w:ind w:firstLine="495"/>
        <w:divId w:val="856112737"/>
        <w:rPr>
          <w:rFonts w:eastAsia="Times New Roman"/>
        </w:rPr>
      </w:pPr>
      <w:r>
        <w:rPr>
          <w:rFonts w:eastAsia="Times New Roman"/>
          <w:b/>
          <w:bCs/>
          <w:color w:val="000000"/>
          <w:sz w:val="20"/>
          <w:szCs w:val="20"/>
        </w:rPr>
        <w:t>Combined and Condensed Statements of Operations of Unconsolidated Joint Ventures:</w:t>
      </w:r>
    </w:p>
    <w:p w:rsidR="00000000" w:rsidRDefault="00BC0821">
      <w:pPr>
        <w:ind w:firstLine="495"/>
        <w:divId w:val="803740935"/>
        <w:rPr>
          <w:rFonts w:eastAsia="Times New Roman"/>
        </w:rPr>
      </w:pP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trPr>
          <w:jc w:val="center"/>
        </w:trPr>
        <w:tc>
          <w:tcPr>
            <w:tcW w:w="50" w:type="pct"/>
            <w:vAlign w:val="center"/>
            <w:hideMark/>
          </w:tcPr>
          <w:p w:rsidR="00000000" w:rsidRDefault="00BC0821">
            <w:pPr>
              <w:ind w:firstLine="495"/>
              <w:rPr>
                <w:rFonts w:eastAsia="Times New Roman"/>
              </w:rPr>
            </w:pPr>
          </w:p>
        </w:tc>
        <w:tc>
          <w:tcPr>
            <w:tcW w:w="265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Three Months Ended September 30,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44,157 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164,518 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208,675 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2,085 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210,760 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10,949 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59,450 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70,399 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1,627 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15,546 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37,556 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53,102 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24,269 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64,002 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88,271 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51,188 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162,211 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213,399 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equity in net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1,851 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Three Months Ended September 30, 2021</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44,304 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160,044 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204,348 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6,658 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6,672 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44,318 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211,020 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10,078 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67,627 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77,705 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963 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15,801 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36,483 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52,284 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24,154 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61,734 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85,888 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50,365 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217,172 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(1,390)</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hanging="450"/>
        <w:divId w:val="516699430"/>
        <w:rPr>
          <w:rFonts w:eastAsia="Times New Roman"/>
        </w:rPr>
      </w:pPr>
    </w:p>
    <w:p w:rsidR="00000000" w:rsidRDefault="00BC0821">
      <w:pPr>
        <w:ind w:firstLine="495"/>
        <w:divId w:val="56513701"/>
        <w:rPr>
          <w:rFonts w:eastAsia="Times New Roman"/>
        </w:rPr>
      </w:pPr>
      <w:r>
        <w:rPr>
          <w:rFonts w:eastAsia="Times New Roman"/>
          <w:color w:val="000000"/>
          <w:sz w:val="20"/>
          <w:szCs w:val="20"/>
        </w:rPr>
        <w:t>Significant accounting policies used by the unconsolidated joint ventures are similar to those used by the Company.</w:t>
      </w:r>
    </w:p>
    <w:p w:rsidR="00000000" w:rsidRDefault="00BC0821">
      <w:pPr>
        <w:ind w:firstLine="495"/>
        <w:divId w:val="1879317348"/>
        <w:rPr>
          <w:rFonts w:eastAsia="Times New Roman"/>
        </w:rPr>
      </w:pPr>
    </w:p>
    <w:p w:rsidR="00000000" w:rsidRDefault="00BC0821">
      <w:pPr>
        <w:ind w:firstLine="495"/>
        <w:divId w:val="1799371245"/>
        <w:rPr>
          <w:rFonts w:eastAsia="Times New Roman"/>
        </w:rPr>
      </w:pPr>
    </w:p>
    <w:p w:rsidR="00000000" w:rsidRDefault="00BC0821">
      <w:pPr>
        <w:ind w:firstLine="495"/>
        <w:divId w:val="1391734006"/>
        <w:rPr>
          <w:rFonts w:eastAsia="Times New Roman"/>
        </w:rPr>
      </w:pPr>
    </w:p>
    <w:p w:rsidR="00000000" w:rsidRDefault="00BC0821">
      <w:pPr>
        <w:ind w:firstLine="495"/>
        <w:divId w:val="2133788737"/>
        <w:rPr>
          <w:rFonts w:eastAsia="Times New Roman"/>
        </w:rPr>
      </w:pPr>
    </w:p>
    <w:p w:rsidR="00000000" w:rsidRDefault="00BC0821">
      <w:pPr>
        <w:jc w:val="center"/>
        <w:divId w:val="878663574"/>
        <w:rPr>
          <w:rFonts w:eastAsia="Times New Roman"/>
        </w:rPr>
      </w:pPr>
      <w:r>
        <w:rPr>
          <w:rFonts w:eastAsia="Times New Roman"/>
          <w:color w:val="000000"/>
          <w:sz w:val="20"/>
          <w:szCs w:val="20"/>
        </w:rPr>
        <w:t>14</w:t>
      </w:r>
    </w:p>
    <w:p w:rsidR="00000000" w:rsidRDefault="00BC0821">
      <w:pPr>
        <w:rPr>
          <w:rFonts w:eastAsia="Times New Roman"/>
        </w:rPr>
      </w:pPr>
      <w:r>
        <w:rPr>
          <w:rFonts w:eastAsia="Times New Roman"/>
        </w:rPr>
        <w:pict>
          <v:rect id="_x0000_i1038" style="width:0;height:1.5pt" o:hralign="center" o:hrstd="t" o:hr="t" fillcolor="#a0a0a0" stroked="f"/>
        </w:pict>
      </w:r>
    </w:p>
    <w:p w:rsidR="00000000" w:rsidRDefault="00BC0821">
      <w:pPr>
        <w:divId w:val="1212619999"/>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621226539"/>
        <w:rPr>
          <w:rFonts w:eastAsia="Times New Roman"/>
        </w:rPr>
      </w:pPr>
      <w:r>
        <w:rPr>
          <w:rFonts w:eastAsia="Times New Roman"/>
          <w:b/>
          <w:bCs/>
          <w:color w:val="000000"/>
          <w:sz w:val="20"/>
          <w:szCs w:val="20"/>
        </w:rPr>
        <w:t>THE MACERICH COMPANY</w:t>
      </w:r>
    </w:p>
    <w:p w:rsidR="00000000" w:rsidRDefault="00BC0821">
      <w:pPr>
        <w:jc w:val="center"/>
        <w:divId w:val="1058287520"/>
        <w:rPr>
          <w:rFonts w:eastAsia="Times New Roman"/>
        </w:rPr>
      </w:pPr>
      <w:r>
        <w:rPr>
          <w:rFonts w:eastAsia="Times New Roman"/>
          <w:b/>
          <w:bCs/>
          <w:color w:val="000000"/>
          <w:sz w:val="20"/>
          <w:szCs w:val="20"/>
        </w:rPr>
        <w:t>NOTES TO CONSOLIDATED FINANCIAL STATEMENTS (Continued)</w:t>
      </w:r>
    </w:p>
    <w:p w:rsidR="00000000" w:rsidRDefault="00BC0821">
      <w:pPr>
        <w:jc w:val="center"/>
        <w:divId w:val="286471777"/>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990014983"/>
        <w:rPr>
          <w:rFonts w:eastAsia="Times New Roman"/>
        </w:rPr>
      </w:pPr>
      <w:r>
        <w:rPr>
          <w:rFonts w:eastAsia="Times New Roman"/>
          <w:b/>
          <w:bCs/>
          <w:color w:val="000000"/>
          <w:sz w:val="20"/>
          <w:szCs w:val="20"/>
        </w:rPr>
        <w:t>(Unaudited)</w:t>
      </w:r>
    </w:p>
    <w:p w:rsidR="00000000" w:rsidRDefault="00BC0821">
      <w:pPr>
        <w:divId w:val="623344921"/>
        <w:rPr>
          <w:rFonts w:eastAsia="Times New Roman"/>
        </w:rPr>
      </w:pPr>
      <w:r>
        <w:rPr>
          <w:rFonts w:eastAsia="Times New Roman"/>
          <w:b/>
          <w:bCs/>
          <w:color w:val="000000"/>
          <w:sz w:val="20"/>
          <w:szCs w:val="20"/>
        </w:rPr>
        <w:t>4. Invest</w:t>
      </w:r>
      <w:r>
        <w:rPr>
          <w:rFonts w:eastAsia="Times New Roman"/>
          <w:b/>
          <w:bCs/>
          <w:color w:val="000000"/>
          <w:sz w:val="20"/>
          <w:szCs w:val="20"/>
        </w:rPr>
        <w:t>ments in Unconsolidated Joint Ventures: (Continued)</w:t>
      </w:r>
    </w:p>
    <w:p w:rsidR="00000000" w:rsidRDefault="00BC0821">
      <w:pPr>
        <w:ind w:firstLine="495"/>
        <w:divId w:val="1043559595"/>
        <w:rPr>
          <w:rFonts w:eastAsia="Times New Roman"/>
        </w:rPr>
      </w:pPr>
    </w:p>
    <w:p w:rsidR="00000000" w:rsidRDefault="00BC0821">
      <w:pPr>
        <w:ind w:firstLine="495"/>
        <w:divId w:val="2023781353"/>
        <w:rPr>
          <w:rFonts w:eastAsia="Times New Roman"/>
        </w:rPr>
      </w:pPr>
    </w:p>
    <w:p w:rsidR="00000000" w:rsidRDefault="00BC0821">
      <w:pPr>
        <w:ind w:firstLine="495"/>
        <w:divId w:val="1750032879"/>
        <w:rPr>
          <w:rFonts w:eastAsia="Times New Roman"/>
        </w:rPr>
      </w:pPr>
    </w:p>
    <w:p w:rsidR="00000000" w:rsidRDefault="00BC0821">
      <w:pPr>
        <w:ind w:firstLine="495"/>
        <w:divId w:val="843011992"/>
        <w:rPr>
          <w:rFonts w:eastAsia="Times New Roman"/>
        </w:rPr>
      </w:pPr>
    </w:p>
    <w:p w:rsidR="00000000" w:rsidRDefault="00BC0821">
      <w:pPr>
        <w:ind w:firstLine="495"/>
        <w:divId w:val="2140830594"/>
        <w:rPr>
          <w:rFonts w:eastAsia="Times New Roman"/>
        </w:rPr>
      </w:pPr>
    </w:p>
    <w:p w:rsidR="00000000" w:rsidRDefault="00BC0821">
      <w:pPr>
        <w:ind w:firstLine="495"/>
        <w:divId w:val="1613325088"/>
        <w:rPr>
          <w:rFonts w:eastAsia="Times New Roman"/>
        </w:rPr>
      </w:pPr>
    </w:p>
    <w:p w:rsidR="00000000" w:rsidRDefault="00BC0821">
      <w:pPr>
        <w:ind w:firstLine="495"/>
        <w:divId w:val="1758818974"/>
        <w:rPr>
          <w:rFonts w:eastAsia="Times New Roman"/>
        </w:rPr>
      </w:pPr>
    </w:p>
    <w:p w:rsidR="00000000" w:rsidRDefault="00BC0821">
      <w:pPr>
        <w:ind w:firstLine="495"/>
        <w:divId w:val="1275673132"/>
        <w:rPr>
          <w:rFonts w:eastAsia="Times New Roman"/>
        </w:rPr>
      </w:pPr>
    </w:p>
    <w:p w:rsidR="00000000" w:rsidRDefault="00BC0821">
      <w:pPr>
        <w:ind w:firstLine="495"/>
        <w:divId w:val="1374185459"/>
        <w:rPr>
          <w:rFonts w:eastAsia="Times New Roman"/>
        </w:rPr>
      </w:pPr>
      <w:r>
        <w:rPr>
          <w:rFonts w:eastAsia="Times New Roman"/>
          <w:b/>
          <w:bCs/>
          <w:color w:val="000000"/>
          <w:sz w:val="20"/>
          <w:szCs w:val="20"/>
        </w:rPr>
        <w:t>Combined and Condensed Statements of Operations of Unconsolidated Joint Ventures:</w:t>
      </w:r>
    </w:p>
    <w:p w:rsidR="00000000" w:rsidRDefault="00BC0821">
      <w:pPr>
        <w:ind w:firstLine="495"/>
        <w:divId w:val="1782063624"/>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trPr>
          <w:divId w:val="288825228"/>
        </w:trPr>
        <w:tc>
          <w:tcPr>
            <w:tcW w:w="50" w:type="pct"/>
            <w:vAlign w:val="center"/>
            <w:hideMark/>
          </w:tcPr>
          <w:p w:rsidR="00000000" w:rsidRDefault="00BC0821">
            <w:pPr>
              <w:ind w:firstLine="495"/>
              <w:rPr>
                <w:rFonts w:eastAsia="Times New Roman"/>
              </w:rPr>
            </w:pPr>
          </w:p>
        </w:tc>
        <w:tc>
          <w:tcPr>
            <w:tcW w:w="265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88825228"/>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Total</w:t>
            </w:r>
          </w:p>
        </w:tc>
      </w:tr>
      <w:tr w:rsidR="00000000">
        <w:trPr>
          <w:divId w:val="28882522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Nine Months Ended September 30,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136,344 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488,513 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624,857 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12,040 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12,309 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136,613 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500,553 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637,166 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31,807 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172,681 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204,488 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1,258 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3,724 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4,982 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46,299 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109,881 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156,180 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72,760 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195,408 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268,168 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152,124 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481,694 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633,818 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28882522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(15,511)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w:t>
            </w:r>
            <w:r>
              <w:rPr>
                <w:rFonts w:eastAsia="Times New Roman"/>
                <w:color w:val="000000"/>
                <w:sz w:val="20"/>
                <w:szCs w:val="20"/>
              </w:rPr>
              <w:t>12,011)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(27,522)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(2,354)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(14,068)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(16,422)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Nine Months Ended September 30, 2021</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122,311 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459,826 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582,137 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56,508 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56,652 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122,455 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516,334 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638,789 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29,339 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183,013 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212,352 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1,106 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3,423 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4,529 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47,438 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110,586 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158,024 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73,042 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192,149 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265,191 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FFFFFF"/>
            <w:tcMar>
              <w:top w:w="30" w:type="dxa"/>
              <w:left w:w="38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150,925 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489,171 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640,096 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28882522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(28,470)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8882522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(10,269)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30,481 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20,212 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jc w:val="center"/>
        <w:divId w:val="1275559113"/>
        <w:rPr>
          <w:rFonts w:eastAsia="Times New Roman"/>
        </w:rPr>
      </w:pPr>
      <w:r>
        <w:rPr>
          <w:rFonts w:eastAsia="Times New Roman"/>
          <w:color w:val="000000"/>
          <w:sz w:val="20"/>
          <w:szCs w:val="20"/>
        </w:rPr>
        <w:t>15</w:t>
      </w:r>
    </w:p>
    <w:p w:rsidR="00000000" w:rsidRDefault="00BC0821">
      <w:pPr>
        <w:rPr>
          <w:rFonts w:eastAsia="Times New Roman"/>
        </w:rPr>
      </w:pPr>
      <w:r>
        <w:rPr>
          <w:rFonts w:eastAsia="Times New Roman"/>
        </w:rPr>
        <w:pict>
          <v:rect id="_x0000_i1039" style="width:0;height:1.5pt" o:hralign="center" o:hrstd="t" o:hr="t" fillcolor="#a0a0a0" stroked="f"/>
        </w:pict>
      </w:r>
    </w:p>
    <w:p w:rsidR="00000000" w:rsidRDefault="00BC0821">
      <w:pPr>
        <w:divId w:val="197494108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021010932"/>
        <w:rPr>
          <w:rFonts w:eastAsia="Times New Roman"/>
        </w:rPr>
      </w:pPr>
      <w:r>
        <w:rPr>
          <w:rFonts w:eastAsia="Times New Roman"/>
          <w:b/>
          <w:bCs/>
          <w:color w:val="000000"/>
          <w:sz w:val="20"/>
          <w:szCs w:val="20"/>
        </w:rPr>
        <w:t>THE MACERICH COMPANY</w:t>
      </w:r>
    </w:p>
    <w:p w:rsidR="00000000" w:rsidRDefault="00BC0821">
      <w:pPr>
        <w:jc w:val="center"/>
        <w:divId w:val="996106930"/>
        <w:rPr>
          <w:rFonts w:eastAsia="Times New Roman"/>
        </w:rPr>
      </w:pPr>
      <w:r>
        <w:rPr>
          <w:rFonts w:eastAsia="Times New Roman"/>
          <w:b/>
          <w:bCs/>
          <w:color w:val="000000"/>
          <w:sz w:val="20"/>
          <w:szCs w:val="20"/>
        </w:rPr>
        <w:t>NOTES TO CONSOLID</w:t>
      </w:r>
      <w:r>
        <w:rPr>
          <w:rFonts w:eastAsia="Times New Roman"/>
          <w:b/>
          <w:bCs/>
          <w:color w:val="000000"/>
          <w:sz w:val="20"/>
          <w:szCs w:val="20"/>
        </w:rPr>
        <w:t>ATED FINANCIAL STATEMENTS (Continued)</w:t>
      </w:r>
    </w:p>
    <w:p w:rsidR="00000000" w:rsidRDefault="00BC0821">
      <w:pPr>
        <w:jc w:val="center"/>
        <w:divId w:val="1966696850"/>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028918319"/>
        <w:rPr>
          <w:rFonts w:eastAsia="Times New Roman"/>
        </w:rPr>
      </w:pPr>
      <w:r>
        <w:rPr>
          <w:rFonts w:eastAsia="Times New Roman"/>
          <w:b/>
          <w:bCs/>
          <w:color w:val="000000"/>
          <w:sz w:val="20"/>
          <w:szCs w:val="20"/>
        </w:rPr>
        <w:t>(Unaudited)</w:t>
      </w:r>
    </w:p>
    <w:p w:rsidR="00000000" w:rsidRDefault="00BC0821">
      <w:pPr>
        <w:divId w:val="637227077"/>
        <w:rPr>
          <w:rFonts w:eastAsia="Times New Roman"/>
        </w:rPr>
      </w:pPr>
      <w:r>
        <w:rPr>
          <w:rFonts w:eastAsia="Times New Roman"/>
          <w:b/>
          <w:bCs/>
          <w:color w:val="000000"/>
          <w:sz w:val="20"/>
          <w:szCs w:val="20"/>
        </w:rPr>
        <w:t>5. Derivative Instruments and Hedging Activities:</w:t>
      </w:r>
    </w:p>
    <w:p w:rsidR="00000000" w:rsidRDefault="00BC0821">
      <w:pPr>
        <w:ind w:firstLine="495"/>
        <w:divId w:val="2013993487"/>
        <w:rPr>
          <w:rFonts w:eastAsia="Times New Roman"/>
        </w:rPr>
      </w:pPr>
      <w:r>
        <w:rPr>
          <w:rFonts w:eastAsia="Times New Roman"/>
          <w:color w:val="000000"/>
          <w:sz w:val="20"/>
          <w:szCs w:val="20"/>
        </w:rPr>
        <w:t>The Company uses an interest rate cap agreement to manage the interest rate risk on certain</w:t>
      </w:r>
      <w:r>
        <w:rPr>
          <w:rFonts w:eastAsia="Times New Roman"/>
          <w:color w:val="000000"/>
          <w:sz w:val="20"/>
          <w:szCs w:val="20"/>
        </w:rPr>
        <w:t xml:space="preserve"> floating rate debt. The Company recorded other comprehensive income related to the marking-to-market of derivative instruments of $(3) and $2,775 for the three months ended September 30, 2022 and 2021, respectively, and $37 and $8,208 for the nine months </w:t>
      </w:r>
      <w:r>
        <w:rPr>
          <w:rFonts w:eastAsia="Times New Roman"/>
          <w:color w:val="000000"/>
          <w:sz w:val="20"/>
          <w:szCs w:val="20"/>
        </w:rPr>
        <w:t xml:space="preserve">ended September 30, 2022 and 2021, respectively. </w:t>
      </w:r>
    </w:p>
    <w:p w:rsidR="00000000" w:rsidRDefault="00BC0821">
      <w:pPr>
        <w:ind w:firstLine="495"/>
        <w:divId w:val="596988555"/>
        <w:rPr>
          <w:rFonts w:eastAsia="Times New Roman"/>
        </w:rPr>
      </w:pPr>
      <w:r>
        <w:rPr>
          <w:rFonts w:eastAsia="Times New Roman"/>
          <w:color w:val="000000"/>
          <w:sz w:val="20"/>
          <w:szCs w:val="20"/>
        </w:rPr>
        <w:t>The following derivative was outstanding at September 30, 2022:    </w:t>
      </w:r>
    </w:p>
    <w:tbl>
      <w:tblPr>
        <w:tblW w:w="4261" w:type="pct"/>
        <w:tblCellMar>
          <w:top w:w="15" w:type="dxa"/>
          <w:left w:w="15" w:type="dxa"/>
          <w:bottom w:w="15" w:type="dxa"/>
          <w:right w:w="15" w:type="dxa"/>
        </w:tblCellMar>
        <w:tblLook w:val="04A0" w:firstRow="1" w:lastRow="0" w:firstColumn="1" w:lastColumn="0" w:noHBand="0" w:noVBand="1"/>
      </w:tblPr>
      <w:tblGrid>
        <w:gridCol w:w="37"/>
        <w:gridCol w:w="1680"/>
        <w:gridCol w:w="36"/>
        <w:gridCol w:w="36"/>
        <w:gridCol w:w="36"/>
        <w:gridCol w:w="36"/>
        <w:gridCol w:w="110"/>
        <w:gridCol w:w="711"/>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1"/>
        <w:gridCol w:w="713"/>
        <w:gridCol w:w="36"/>
        <w:gridCol w:w="36"/>
        <w:gridCol w:w="36"/>
        <w:gridCol w:w="36"/>
        <w:gridCol w:w="111"/>
        <w:gridCol w:w="671"/>
        <w:gridCol w:w="36"/>
      </w:tblGrid>
      <w:tr w:rsidR="00000000">
        <w:trPr>
          <w:divId w:val="596988555"/>
        </w:trPr>
        <w:tc>
          <w:tcPr>
            <w:tcW w:w="50" w:type="pct"/>
            <w:vAlign w:val="center"/>
            <w:hideMark/>
          </w:tcPr>
          <w:p w:rsidR="00000000" w:rsidRDefault="00BC0821">
            <w:pPr>
              <w:ind w:firstLine="495"/>
              <w:rPr>
                <w:rFonts w:eastAsia="Times New Roman"/>
              </w:rPr>
            </w:pPr>
          </w:p>
        </w:tc>
        <w:tc>
          <w:tcPr>
            <w:tcW w:w="129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0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9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9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596988555"/>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Fair Value</w:t>
            </w:r>
          </w:p>
        </w:tc>
      </w:tr>
      <w:tr w:rsidR="00000000">
        <w:trPr>
          <w:divId w:val="596988555"/>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5969885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8"/>
                <w:szCs w:val="18"/>
              </w:rPr>
              <w:t>12/9/2022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96988555"/>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bl>
    <w:p w:rsidR="00000000" w:rsidRDefault="00BC0821">
      <w:pPr>
        <w:ind w:firstLine="495"/>
        <w:divId w:val="842672256"/>
        <w:rPr>
          <w:rFonts w:eastAsia="Times New Roman"/>
        </w:rPr>
      </w:pPr>
      <w:r>
        <w:rPr>
          <w:rFonts w:eastAsia="Times New Roman"/>
          <w:color w:val="000000"/>
          <w:sz w:val="20"/>
          <w:szCs w:val="20"/>
        </w:rPr>
        <w:t>The above derivative was valued with an aggregate fair value (Level 2 measurement) and was included in other accrued liabilities. The fair value of the Company's interest rate derivative was determined using discounted cash flow analysis on the expected ca</w:t>
      </w:r>
      <w:r>
        <w:rPr>
          <w:rFonts w:eastAsia="Times New Roman"/>
          <w:color w:val="000000"/>
          <w:sz w:val="20"/>
          <w:szCs w:val="20"/>
        </w:rPr>
        <w:t xml:space="preserve">sh flows of the derivative. This analysis reflects the contractual terms of the derivative, including the period to maturity, and uses observable market-based inputs, including interest rate curves and implied volatilities. The Company incorporates credit </w:t>
      </w:r>
      <w:r>
        <w:rPr>
          <w:rFonts w:eastAsia="Times New Roman"/>
          <w:color w:val="000000"/>
          <w:sz w:val="20"/>
          <w:szCs w:val="20"/>
        </w:rPr>
        <w:t>valuation adjustments to appropriately reflect both its own nonperformance risk and the respective counterparty's nonperformance risk in the fair value measurements.</w:t>
      </w:r>
    </w:p>
    <w:p w:rsidR="00000000" w:rsidRDefault="00BC0821">
      <w:pPr>
        <w:ind w:firstLine="495"/>
        <w:divId w:val="1359500993"/>
        <w:rPr>
          <w:rFonts w:eastAsia="Times New Roman"/>
        </w:rPr>
      </w:pPr>
      <w:r>
        <w:rPr>
          <w:rFonts w:eastAsia="Times New Roman"/>
          <w:color w:val="000000"/>
          <w:sz w:val="20"/>
          <w:szCs w:val="20"/>
        </w:rPr>
        <w:t>Although the Company has determined that the majority of the inputs used to value its deri</w:t>
      </w:r>
      <w:r>
        <w:rPr>
          <w:rFonts w:eastAsia="Times New Roman"/>
          <w:color w:val="000000"/>
          <w:sz w:val="20"/>
          <w:szCs w:val="20"/>
        </w:rPr>
        <w:t>vative fall within Level 2 of the fair value hierarchy, the credit valuation adjustments associated with its derivatives utilize Level 3 inputs, such as estimates of current credit spreads, to evaluate the likelihood of default by the Company and its count</w:t>
      </w:r>
      <w:r>
        <w:rPr>
          <w:rFonts w:eastAsia="Times New Roman"/>
          <w:color w:val="000000"/>
          <w:sz w:val="20"/>
          <w:szCs w:val="20"/>
        </w:rPr>
        <w:t>erparties. The Company has assessed the significance of the impact of the credit valuation adjustments on the overall valuation of its derivative positions and has determined that the credit valuation adjustments are not significant to the overall valuatio</w:t>
      </w:r>
      <w:r>
        <w:rPr>
          <w:rFonts w:eastAsia="Times New Roman"/>
          <w:color w:val="000000"/>
          <w:sz w:val="20"/>
          <w:szCs w:val="20"/>
        </w:rPr>
        <w:t>n of its interest rate swap. As a result, the Company determined that its interest rate cap valuation in its entirety is classified in Level 2 of the fair value hierarchy.</w:t>
      </w:r>
    </w:p>
    <w:p w:rsidR="00000000" w:rsidRDefault="00BC0821">
      <w:pPr>
        <w:divId w:val="1028215467"/>
        <w:rPr>
          <w:rFonts w:eastAsia="Times New Roman"/>
        </w:rPr>
      </w:pPr>
      <w:r>
        <w:rPr>
          <w:rFonts w:eastAsia="Times New Roman"/>
          <w:b/>
          <w:bCs/>
          <w:color w:val="000000"/>
          <w:sz w:val="20"/>
          <w:szCs w:val="20"/>
        </w:rPr>
        <w:t>6. Property, net:</w:t>
      </w:r>
    </w:p>
    <w:p w:rsidR="00000000" w:rsidRDefault="00BC0821">
      <w:pPr>
        <w:ind w:firstLine="495"/>
        <w:divId w:val="225990438"/>
        <w:rPr>
          <w:rFonts w:eastAsia="Times New Roman"/>
        </w:rPr>
      </w:pPr>
      <w:r>
        <w:rPr>
          <w:rFonts w:eastAsia="Times New Roman"/>
          <w:color w:val="000000"/>
          <w:sz w:val="20"/>
          <w:szCs w:val="20"/>
        </w:rPr>
        <w:t>Property, net consists of the following: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trPr>
          <w:divId w:val="1673797955"/>
        </w:trPr>
        <w:tc>
          <w:tcPr>
            <w:tcW w:w="50" w:type="pct"/>
            <w:vAlign w:val="center"/>
            <w:hideMark/>
          </w:tcPr>
          <w:p w:rsidR="00000000" w:rsidRDefault="00BC0821">
            <w:pPr>
              <w:ind w:firstLine="495"/>
              <w:rPr>
                <w:rFonts w:eastAsia="Times New Roman"/>
              </w:rPr>
            </w:pPr>
          </w:p>
        </w:tc>
        <w:tc>
          <w:tcPr>
            <w:tcW w:w="34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673797955"/>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67379795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1,425,651 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1,441,858 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6,362,667 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6,306,764 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703,448 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685,242 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189,658 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191,266 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219,183 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222,420 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8,900,607 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(2,735,812)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(2,563,344)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73797955"/>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6,164,795 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6,284,206 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hanging="540"/>
        <w:divId w:val="424039781"/>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September 30, 2022 and December 31, 2021 (See Note 8—Leases). </w:t>
      </w:r>
    </w:p>
    <w:p w:rsidR="00000000" w:rsidRDefault="00BC0821">
      <w:pPr>
        <w:ind w:firstLine="495"/>
        <w:divId w:val="782921303"/>
        <w:rPr>
          <w:rFonts w:eastAsia="Times New Roman"/>
        </w:rPr>
      </w:pPr>
      <w:r>
        <w:rPr>
          <w:rFonts w:eastAsia="Times New Roman"/>
          <w:color w:val="000000"/>
          <w:sz w:val="20"/>
          <w:szCs w:val="20"/>
        </w:rPr>
        <w:t>Depreciation expense was $67,631 and $68,715 for the three months ended September 30, 2022 and 2021, respectively, and $202,804 and $211,139 for the nine months ended September 30, 2022 and 2021, respectively.</w:t>
      </w:r>
    </w:p>
    <w:p w:rsidR="00000000" w:rsidRDefault="00BC0821">
      <w:pPr>
        <w:ind w:firstLine="495"/>
        <w:divId w:val="918516511"/>
        <w:rPr>
          <w:rFonts w:eastAsia="Times New Roman"/>
        </w:rPr>
      </w:pPr>
    </w:p>
    <w:p w:rsidR="00000000" w:rsidRDefault="00BC0821">
      <w:pPr>
        <w:ind w:firstLine="495"/>
        <w:divId w:val="383650148"/>
        <w:rPr>
          <w:rFonts w:eastAsia="Times New Roman"/>
        </w:rPr>
      </w:pPr>
    </w:p>
    <w:p w:rsidR="00000000" w:rsidRDefault="00BC0821">
      <w:pPr>
        <w:jc w:val="center"/>
        <w:divId w:val="1459303305"/>
        <w:rPr>
          <w:rFonts w:eastAsia="Times New Roman"/>
        </w:rPr>
      </w:pPr>
      <w:r>
        <w:rPr>
          <w:rFonts w:eastAsia="Times New Roman"/>
          <w:color w:val="000000"/>
          <w:sz w:val="20"/>
          <w:szCs w:val="20"/>
        </w:rPr>
        <w:t>16</w:t>
      </w:r>
    </w:p>
    <w:p w:rsidR="00000000" w:rsidRDefault="00BC0821">
      <w:pPr>
        <w:rPr>
          <w:rFonts w:eastAsia="Times New Roman"/>
        </w:rPr>
      </w:pPr>
      <w:r>
        <w:rPr>
          <w:rFonts w:eastAsia="Times New Roman"/>
        </w:rPr>
        <w:pict>
          <v:rect id="_x0000_i1040" style="width:0;height:1.5pt" o:hralign="center" o:hrstd="t" o:hr="t" fillcolor="#a0a0a0" stroked="f"/>
        </w:pict>
      </w:r>
    </w:p>
    <w:p w:rsidR="00000000" w:rsidRDefault="00BC0821">
      <w:pPr>
        <w:divId w:val="1006442225"/>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760878786"/>
        <w:rPr>
          <w:rFonts w:eastAsia="Times New Roman"/>
        </w:rPr>
      </w:pPr>
      <w:r>
        <w:rPr>
          <w:rFonts w:eastAsia="Times New Roman"/>
          <w:b/>
          <w:bCs/>
          <w:color w:val="000000"/>
          <w:sz w:val="20"/>
          <w:szCs w:val="20"/>
        </w:rPr>
        <w:t>THE MACERICH COMPANY</w:t>
      </w:r>
    </w:p>
    <w:p w:rsidR="00000000" w:rsidRDefault="00BC0821">
      <w:pPr>
        <w:jc w:val="center"/>
        <w:divId w:val="688144991"/>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506171525"/>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080979933"/>
        <w:rPr>
          <w:rFonts w:eastAsia="Times New Roman"/>
        </w:rPr>
      </w:pPr>
      <w:r>
        <w:rPr>
          <w:rFonts w:eastAsia="Times New Roman"/>
          <w:b/>
          <w:bCs/>
          <w:color w:val="000000"/>
          <w:sz w:val="20"/>
          <w:szCs w:val="20"/>
        </w:rPr>
        <w:t>(Unaudited)</w:t>
      </w:r>
    </w:p>
    <w:p w:rsidR="00000000" w:rsidRDefault="00BC0821">
      <w:pPr>
        <w:divId w:val="1591739143"/>
        <w:rPr>
          <w:rFonts w:eastAsia="Times New Roman"/>
        </w:rPr>
      </w:pPr>
      <w:r>
        <w:rPr>
          <w:rFonts w:eastAsia="Times New Roman"/>
          <w:b/>
          <w:bCs/>
          <w:color w:val="000000"/>
          <w:sz w:val="20"/>
          <w:szCs w:val="20"/>
        </w:rPr>
        <w:t>6. Property, net: (Continued)</w:t>
      </w:r>
    </w:p>
    <w:p w:rsidR="00000000" w:rsidRDefault="00BC0821">
      <w:pPr>
        <w:divId w:val="791897260"/>
        <w:rPr>
          <w:rFonts w:eastAsia="Times New Roman"/>
        </w:rPr>
      </w:pPr>
    </w:p>
    <w:p w:rsidR="00000000" w:rsidRDefault="00BC0821">
      <w:pPr>
        <w:ind w:firstLine="495"/>
        <w:divId w:val="328288873"/>
        <w:rPr>
          <w:rFonts w:eastAsia="Times New Roman"/>
        </w:rPr>
      </w:pPr>
      <w:r>
        <w:rPr>
          <w:rFonts w:eastAsia="Times New Roman"/>
          <w:color w:val="000000"/>
          <w:sz w:val="20"/>
          <w:szCs w:val="20"/>
        </w:rPr>
        <w:t>Gain on sale or write-down of assets, net for the three and nine months ended September 30, 2022 and 2021 consist of the following:</w:t>
      </w:r>
    </w:p>
    <w:tbl>
      <w:tblPr>
        <w:tblW w:w="4561" w:type="pct"/>
        <w:tblCellMar>
          <w:top w:w="15" w:type="dxa"/>
          <w:left w:w="15" w:type="dxa"/>
          <w:bottom w:w="15" w:type="dxa"/>
          <w:right w:w="15" w:type="dxa"/>
        </w:tblCellMar>
        <w:tblLook w:val="04A0" w:firstRow="1" w:lastRow="0" w:firstColumn="1" w:lastColumn="0" w:noHBand="0" w:noVBand="1"/>
      </w:tblPr>
      <w:tblGrid>
        <w:gridCol w:w="37"/>
        <w:gridCol w:w="3793"/>
        <w:gridCol w:w="36"/>
        <w:gridCol w:w="36"/>
        <w:gridCol w:w="36"/>
        <w:gridCol w:w="36"/>
        <w:gridCol w:w="120"/>
        <w:gridCol w:w="616"/>
        <w:gridCol w:w="36"/>
        <w:gridCol w:w="36"/>
        <w:gridCol w:w="36"/>
        <w:gridCol w:w="36"/>
        <w:gridCol w:w="120"/>
        <w:gridCol w:w="700"/>
        <w:gridCol w:w="36"/>
        <w:gridCol w:w="36"/>
        <w:gridCol w:w="36"/>
        <w:gridCol w:w="36"/>
        <w:gridCol w:w="121"/>
        <w:gridCol w:w="638"/>
        <w:gridCol w:w="36"/>
        <w:gridCol w:w="36"/>
        <w:gridCol w:w="36"/>
        <w:gridCol w:w="36"/>
        <w:gridCol w:w="120"/>
        <w:gridCol w:w="700"/>
        <w:gridCol w:w="36"/>
      </w:tblGrid>
      <w:tr w:rsidR="00000000">
        <w:trPr>
          <w:divId w:val="373432820"/>
        </w:trPr>
        <w:tc>
          <w:tcPr>
            <w:tcW w:w="50" w:type="pct"/>
            <w:vAlign w:val="center"/>
            <w:hideMark/>
          </w:tcPr>
          <w:p w:rsidR="00000000" w:rsidRDefault="00BC0821">
            <w:pPr>
              <w:ind w:firstLine="495"/>
              <w:rPr>
                <w:rFonts w:eastAsia="Times New Roman"/>
              </w:rPr>
            </w:pPr>
          </w:p>
        </w:tc>
        <w:tc>
          <w:tcPr>
            <w:tcW w:w="257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8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373432820"/>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373432820"/>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373432820"/>
        </w:trPr>
        <w:tc>
          <w:tcPr>
            <w:tcW w:w="0" w:type="auto"/>
            <w:gridSpan w:val="3"/>
            <w:vAlign w:val="center"/>
            <w:hideMark/>
          </w:tcPr>
          <w:p w:rsidR="00000000" w:rsidRDefault="00BC0821">
            <w:pPr>
              <w:spacing w:after="100"/>
              <w:jc w:val="center"/>
              <w:rPr>
                <w:rFonts w:eastAsia="Times New Roman"/>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373432820"/>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property sales, net(1)</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111,805 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373432820"/>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Loss on write-down of assets(2)</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(5,148)</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(15,006)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(38,362)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373432820"/>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373432820"/>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Gain on land sales, net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6,240 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21,387 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19,913 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373432820"/>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93,356 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hanging="450"/>
        <w:divId w:val="745303070"/>
        <w:rPr>
          <w:rFonts w:eastAsia="Times New Roman"/>
        </w:rPr>
      </w:pPr>
      <w:r>
        <w:rPr>
          <w:rFonts w:eastAsia="Times New Roman"/>
          <w:color w:val="000000"/>
          <w:sz w:val="16"/>
          <w:szCs w:val="16"/>
        </w:rPr>
        <w:t>(1)    Includes $117,242 and $4,</w:t>
      </w:r>
      <w:r>
        <w:rPr>
          <w:rFonts w:eastAsia="Times New Roman"/>
          <w:color w:val="000000"/>
          <w:sz w:val="16"/>
          <w:szCs w:val="16"/>
        </w:rPr>
        <w:t>229 of gain related to the sale of La Encantada and Paradise Valley Mall, respectively, during the three and nine months ended September 30, 2021, respectively (See Note 16-Dispositions).</w:t>
      </w:r>
    </w:p>
    <w:p w:rsidR="00000000" w:rsidRDefault="00BC0821">
      <w:pPr>
        <w:ind w:hanging="450"/>
        <w:divId w:val="1496801511"/>
        <w:rPr>
          <w:rFonts w:eastAsia="Times New Roman"/>
        </w:rPr>
      </w:pPr>
      <w:r>
        <w:rPr>
          <w:rFonts w:eastAsia="Times New Roman"/>
          <w:color w:val="000000"/>
          <w:sz w:val="16"/>
          <w:szCs w:val="16"/>
        </w:rPr>
        <w:t xml:space="preserve">(2)    Includes impairment loss of $5,471 relating to the Company's </w:t>
      </w:r>
      <w:r>
        <w:rPr>
          <w:rFonts w:eastAsia="Times New Roman"/>
          <w:color w:val="000000"/>
          <w:sz w:val="16"/>
          <w:szCs w:val="16"/>
        </w:rPr>
        <w:t xml:space="preserve">investment in MS Portfolio LLC (See Note 4-Investments in Unconsolidated Joint Ventures) and impairment loss of $27,281 on Estrella Falls during the nine months ended September 30, 2022 and 2021, respectively, and $5,140 on Towne Mall during the three and </w:t>
      </w:r>
      <w:r>
        <w:rPr>
          <w:rFonts w:eastAsia="Times New Roman"/>
          <w:color w:val="000000"/>
          <w:sz w:val="16"/>
          <w:szCs w:val="16"/>
        </w:rPr>
        <w:t xml:space="preserve">nine months ended September 30, 2022. The impairment losses were due to the reduction of the estimated holding periods of the properties. The remaining amounts for the three and nine months ended September 30, 2022 and 2021 mainly pertain to the write off </w:t>
      </w:r>
      <w:r>
        <w:rPr>
          <w:rFonts w:eastAsia="Times New Roman"/>
          <w:color w:val="000000"/>
          <w:sz w:val="16"/>
          <w:szCs w:val="16"/>
        </w:rPr>
        <w:t>of development costs.</w:t>
      </w:r>
    </w:p>
    <w:p w:rsidR="00000000" w:rsidRDefault="00BC0821">
      <w:pPr>
        <w:ind w:hanging="450"/>
        <w:divId w:val="832256523"/>
        <w:rPr>
          <w:rFonts w:eastAsia="Times New Roman"/>
        </w:rPr>
      </w:pPr>
    </w:p>
    <w:p w:rsidR="00000000" w:rsidRDefault="00BC0821">
      <w:pPr>
        <w:ind w:firstLine="720"/>
        <w:divId w:val="1665820768"/>
        <w:rPr>
          <w:rFonts w:eastAsia="Times New Roman"/>
        </w:rPr>
      </w:pPr>
      <w:r>
        <w:rPr>
          <w:rFonts w:eastAsia="Times New Roman"/>
          <w:color w:val="000000"/>
          <w:sz w:val="20"/>
          <w:szCs w:val="20"/>
        </w:rPr>
        <w:t>The following table summarizes certain of the Company's assets that were measured on a nonrecurring basis as a result of the impairment losses recorded for the nine months ended September 30, 2022 and 2021,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6"/>
        <w:gridCol w:w="36"/>
        <w:gridCol w:w="36"/>
        <w:gridCol w:w="38"/>
        <w:gridCol w:w="36"/>
        <w:gridCol w:w="121"/>
        <w:gridCol w:w="1134"/>
        <w:gridCol w:w="36"/>
        <w:gridCol w:w="36"/>
        <w:gridCol w:w="51"/>
        <w:gridCol w:w="36"/>
        <w:gridCol w:w="121"/>
        <w:gridCol w:w="1122"/>
        <w:gridCol w:w="36"/>
        <w:gridCol w:w="36"/>
        <w:gridCol w:w="39"/>
        <w:gridCol w:w="36"/>
        <w:gridCol w:w="121"/>
        <w:gridCol w:w="1134"/>
        <w:gridCol w:w="36"/>
        <w:gridCol w:w="36"/>
        <w:gridCol w:w="36"/>
        <w:gridCol w:w="36"/>
        <w:gridCol w:w="121"/>
        <w:gridCol w:w="1135"/>
        <w:gridCol w:w="36"/>
      </w:tblGrid>
      <w:tr w:rsidR="00000000">
        <w:trPr>
          <w:divId w:val="1665820768"/>
        </w:trPr>
        <w:tc>
          <w:tcPr>
            <w:tcW w:w="50" w:type="pct"/>
            <w:vAlign w:val="center"/>
            <w:hideMark/>
          </w:tcPr>
          <w:p w:rsidR="00000000" w:rsidRDefault="00BC0821">
            <w:pPr>
              <w:ind w:firstLine="720"/>
              <w:rPr>
                <w:rFonts w:eastAsia="Times New Roman"/>
              </w:rPr>
            </w:pPr>
          </w:p>
        </w:tc>
        <w:tc>
          <w:tcPr>
            <w:tcW w:w="14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7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5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665820768"/>
          <w:trHeight w:val="880"/>
        </w:trPr>
        <w:tc>
          <w:tcPr>
            <w:tcW w:w="0" w:type="auto"/>
            <w:gridSpan w:val="3"/>
            <w:vMerge w:val="restart"/>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Total Fair Value Measurement</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Significant Other Unobservable Inputs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Significant Unobservable Inputs</w:t>
            </w:r>
          </w:p>
        </w:tc>
      </w:tr>
      <w:tr w:rsidR="00000000">
        <w:trPr>
          <w:divId w:val="1665820768"/>
          <w:trHeight w:val="300"/>
        </w:trPr>
        <w:tc>
          <w:tcPr>
            <w:tcW w:w="0" w:type="auto"/>
            <w:gridSpan w:val="3"/>
            <w:vMerge/>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vMerge/>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(Level 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(Level 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20"/>
                <w:szCs w:val="20"/>
              </w:rPr>
              <w:t>(Level 3)</w:t>
            </w:r>
          </w:p>
        </w:tc>
      </w:tr>
      <w:tr w:rsidR="00000000">
        <w:trPr>
          <w:divId w:val="16658207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6582076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18,250 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18,250 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6582076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665820768"/>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bl>
    <w:p w:rsidR="00000000" w:rsidRDefault="00BC0821">
      <w:pPr>
        <w:ind w:firstLine="495"/>
        <w:divId w:val="1496260806"/>
        <w:rPr>
          <w:rFonts w:eastAsia="Times New Roman"/>
        </w:rPr>
      </w:pPr>
      <w:r>
        <w:rPr>
          <w:rFonts w:eastAsia="Times New Roman"/>
          <w:color w:val="000000"/>
          <w:sz w:val="20"/>
          <w:szCs w:val="20"/>
        </w:rPr>
        <w:t>The fair values relating to a portion of the 2021 impairments were based on sales contracts and are classified within Level 2 of the fair value hierarchy. The fair value (Level 3 measurement) related to the 2022 impairment was based upon an income approach</w:t>
      </w:r>
      <w:r>
        <w:rPr>
          <w:rFonts w:eastAsia="Times New Roman"/>
          <w:color w:val="000000"/>
          <w:sz w:val="20"/>
          <w:szCs w:val="20"/>
        </w:rPr>
        <w:t>, using an estimated terminal capitalization rate, discount rate, and in-place contractual rent and other income. The fair value is sensitive to these significant unobservable inputs.</w:t>
      </w:r>
    </w:p>
    <w:p w:rsidR="00000000" w:rsidRDefault="00BC0821">
      <w:pPr>
        <w:divId w:val="1735469030"/>
        <w:rPr>
          <w:rFonts w:eastAsia="Times New Roman"/>
        </w:rPr>
      </w:pPr>
      <w:r>
        <w:rPr>
          <w:rFonts w:eastAsia="Times New Roman"/>
          <w:b/>
          <w:bCs/>
          <w:color w:val="000000"/>
          <w:sz w:val="20"/>
          <w:szCs w:val="20"/>
        </w:rPr>
        <w:t>7. Tenant and Other Receivables, net:</w:t>
      </w:r>
    </w:p>
    <w:p w:rsidR="00000000" w:rsidRDefault="00BC0821">
      <w:pPr>
        <w:ind w:firstLine="495"/>
        <w:divId w:val="814761220"/>
        <w:rPr>
          <w:rFonts w:eastAsia="Times New Roman"/>
        </w:rPr>
      </w:pPr>
      <w:r>
        <w:rPr>
          <w:rFonts w:eastAsia="Times New Roman"/>
          <w:color w:val="000000"/>
          <w:sz w:val="20"/>
          <w:szCs w:val="20"/>
        </w:rPr>
        <w:t>Included in tenant and other recei</w:t>
      </w:r>
      <w:r>
        <w:rPr>
          <w:rFonts w:eastAsia="Times New Roman"/>
          <w:color w:val="000000"/>
          <w:sz w:val="20"/>
          <w:szCs w:val="20"/>
        </w:rPr>
        <w:t xml:space="preserve">vables, net is an allowance for doubtful accounts of $10,360 and $14,917 at September 30, 2022 and December 31, 2021, respectively. Also included in tenant and other receivables, net are accrued percentage rents of $5,322 and $19,907 at September 30, 2022 </w:t>
      </w:r>
      <w:r>
        <w:rPr>
          <w:rFonts w:eastAsia="Times New Roman"/>
          <w:color w:val="000000"/>
          <w:sz w:val="20"/>
          <w:szCs w:val="20"/>
        </w:rPr>
        <w:t>and December 31, 2021, respectively, and a deferred rent receivable due to straight-line rent adjustments of $108,758 and $110,969 at September 30, 2022 and December 31, 2021, respectively.</w:t>
      </w:r>
    </w:p>
    <w:p w:rsidR="00000000" w:rsidRDefault="00BC0821">
      <w:pPr>
        <w:divId w:val="1016267374"/>
        <w:rPr>
          <w:rFonts w:eastAsia="Times New Roman"/>
        </w:rPr>
      </w:pPr>
      <w:r>
        <w:rPr>
          <w:rFonts w:eastAsia="Times New Roman"/>
          <w:b/>
          <w:bCs/>
          <w:color w:val="000000"/>
          <w:sz w:val="20"/>
          <w:szCs w:val="20"/>
        </w:rPr>
        <w:t>8. Leases:</w:t>
      </w:r>
    </w:p>
    <w:p w:rsidR="00000000" w:rsidRDefault="00BC0821">
      <w:pPr>
        <w:ind w:firstLine="450"/>
        <w:divId w:val="1255748299"/>
        <w:rPr>
          <w:rFonts w:eastAsia="Times New Roman"/>
        </w:rPr>
      </w:pPr>
      <w:r>
        <w:rPr>
          <w:rFonts w:eastAsia="Times New Roman"/>
          <w:i/>
          <w:iCs/>
          <w:color w:val="000000"/>
          <w:sz w:val="20"/>
          <w:szCs w:val="20"/>
        </w:rPr>
        <w:t>Lessor Leases:</w:t>
      </w:r>
    </w:p>
    <w:p w:rsidR="00000000" w:rsidRDefault="00BC0821">
      <w:pPr>
        <w:ind w:firstLine="495"/>
        <w:divId w:val="1000738038"/>
        <w:rPr>
          <w:rFonts w:eastAsia="Times New Roman"/>
        </w:rPr>
      </w:pPr>
      <w:r>
        <w:rPr>
          <w:rFonts w:eastAsia="Times New Roman"/>
          <w:color w:val="000000"/>
          <w:sz w:val="20"/>
          <w:szCs w:val="20"/>
        </w:rPr>
        <w:t>The Company leases its Centers under agr</w:t>
      </w:r>
      <w:r>
        <w:rPr>
          <w:rFonts w:eastAsia="Times New Roman"/>
          <w:color w:val="000000"/>
          <w:sz w:val="20"/>
          <w:szCs w:val="20"/>
        </w:rPr>
        <w:t>eements that are classified as operating leases. These leases generally include minimum rents, percentage rents and recoveries of real estate taxes, insurance and other shopping center operating expenses. Minimum rental revenues are recognized on a straigh</w:t>
      </w:r>
      <w:r>
        <w:rPr>
          <w:rFonts w:eastAsia="Times New Roman"/>
          <w:color w:val="000000"/>
          <w:sz w:val="20"/>
          <w:szCs w:val="20"/>
        </w:rPr>
        <w:t>t-line basis over the terms of the related leases. Percentage rents are recognized and accrued when tenants' specified sales targets have been met. Estimated recoveries from certain tenants for their pro rata share of real estate taxes, insurance and other</w:t>
      </w:r>
      <w:r>
        <w:rPr>
          <w:rFonts w:eastAsia="Times New Roman"/>
          <w:color w:val="000000"/>
          <w:sz w:val="20"/>
          <w:szCs w:val="20"/>
        </w:rPr>
        <w:t xml:space="preserve"> shopping center operating expenses are recognized as revenues in the period the applicable expenses are incurred. Other tenants pay a fixed rate and these tenant recoveries are recognized as </w:t>
      </w:r>
    </w:p>
    <w:p w:rsidR="00000000" w:rsidRDefault="00BC0821">
      <w:pPr>
        <w:jc w:val="center"/>
        <w:divId w:val="1330016744"/>
        <w:rPr>
          <w:rFonts w:eastAsia="Times New Roman"/>
        </w:rPr>
      </w:pPr>
      <w:r>
        <w:rPr>
          <w:rFonts w:eastAsia="Times New Roman"/>
          <w:color w:val="000000"/>
          <w:sz w:val="20"/>
          <w:szCs w:val="20"/>
        </w:rPr>
        <w:t>17</w:t>
      </w:r>
    </w:p>
    <w:p w:rsidR="00000000" w:rsidRDefault="00BC0821">
      <w:pPr>
        <w:rPr>
          <w:rFonts w:eastAsia="Times New Roman"/>
        </w:rPr>
      </w:pPr>
      <w:r>
        <w:rPr>
          <w:rFonts w:eastAsia="Times New Roman"/>
        </w:rPr>
        <w:pict>
          <v:rect id="_x0000_i1041" style="width:0;height:1.5pt" o:hralign="center" o:hrstd="t" o:hr="t" fillcolor="#a0a0a0" stroked="f"/>
        </w:pict>
      </w:r>
    </w:p>
    <w:p w:rsidR="00000000" w:rsidRDefault="00BC0821">
      <w:pPr>
        <w:divId w:val="126555747"/>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965499858"/>
        <w:rPr>
          <w:rFonts w:eastAsia="Times New Roman"/>
        </w:rPr>
      </w:pPr>
      <w:r>
        <w:rPr>
          <w:rFonts w:eastAsia="Times New Roman"/>
          <w:b/>
          <w:bCs/>
          <w:color w:val="000000"/>
          <w:sz w:val="20"/>
          <w:szCs w:val="20"/>
        </w:rPr>
        <w:t>THE MACERICH COMPANY</w:t>
      </w:r>
    </w:p>
    <w:p w:rsidR="00000000" w:rsidRDefault="00BC0821">
      <w:pPr>
        <w:jc w:val="center"/>
        <w:divId w:val="132409705"/>
        <w:rPr>
          <w:rFonts w:eastAsia="Times New Roman"/>
        </w:rPr>
      </w:pPr>
      <w:r>
        <w:rPr>
          <w:rFonts w:eastAsia="Times New Roman"/>
          <w:b/>
          <w:bCs/>
          <w:color w:val="000000"/>
          <w:sz w:val="20"/>
          <w:szCs w:val="20"/>
        </w:rPr>
        <w:t>NOTES TO CONSOLIDATED FINANCIAL STATEMENTS (Continued)</w:t>
      </w:r>
    </w:p>
    <w:p w:rsidR="00000000" w:rsidRDefault="00BC0821">
      <w:pPr>
        <w:jc w:val="center"/>
        <w:divId w:val="309023692"/>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715345154"/>
        <w:rPr>
          <w:rFonts w:eastAsia="Times New Roman"/>
        </w:rPr>
      </w:pPr>
      <w:r>
        <w:rPr>
          <w:rFonts w:eastAsia="Times New Roman"/>
          <w:b/>
          <w:bCs/>
          <w:color w:val="000000"/>
          <w:sz w:val="20"/>
          <w:szCs w:val="20"/>
        </w:rPr>
        <w:t>(Unaudited)</w:t>
      </w:r>
    </w:p>
    <w:p w:rsidR="00000000" w:rsidRDefault="00BC0821">
      <w:pPr>
        <w:divId w:val="1047149167"/>
        <w:rPr>
          <w:rFonts w:eastAsia="Times New Roman"/>
        </w:rPr>
      </w:pPr>
      <w:r>
        <w:rPr>
          <w:rFonts w:eastAsia="Times New Roman"/>
          <w:b/>
          <w:bCs/>
          <w:color w:val="000000"/>
          <w:sz w:val="20"/>
          <w:szCs w:val="20"/>
        </w:rPr>
        <w:t>8. Leases: (Continued)</w:t>
      </w:r>
    </w:p>
    <w:p w:rsidR="00000000" w:rsidRDefault="00BC0821">
      <w:pPr>
        <w:divId w:val="1544516105"/>
        <w:rPr>
          <w:rFonts w:eastAsia="Times New Roman"/>
        </w:rPr>
      </w:pPr>
    </w:p>
    <w:p w:rsidR="00000000" w:rsidRDefault="00BC0821">
      <w:pPr>
        <w:divId w:val="619535127"/>
        <w:rPr>
          <w:rFonts w:eastAsia="Times New Roman"/>
        </w:rPr>
      </w:pPr>
      <w:r>
        <w:rPr>
          <w:rFonts w:eastAsia="Times New Roman"/>
          <w:color w:val="000000"/>
          <w:sz w:val="20"/>
          <w:szCs w:val="20"/>
        </w:rPr>
        <w:t>revenues on a straight-lin</w:t>
      </w:r>
      <w:r>
        <w:rPr>
          <w:rFonts w:eastAsia="Times New Roman"/>
          <w:color w:val="000000"/>
          <w:sz w:val="20"/>
          <w:szCs w:val="20"/>
        </w:rPr>
        <w:t>e basis over the term of the related leases. For leasing revenues in which collectability is not considered probable, lease income is recognized on a cash basis and all previously recognized tenant accounts receivables, including straight-line rent, are fu</w:t>
      </w:r>
      <w:r>
        <w:rPr>
          <w:rFonts w:eastAsia="Times New Roman"/>
          <w:color w:val="000000"/>
          <w:sz w:val="20"/>
          <w:szCs w:val="20"/>
        </w:rPr>
        <w:t xml:space="preserve">lly reserved in the period in which the lease income is determined not to be probable of collection. </w:t>
      </w:r>
    </w:p>
    <w:p w:rsidR="00000000" w:rsidRDefault="00BC0821">
      <w:pPr>
        <w:ind w:firstLine="495"/>
        <w:divId w:val="833181550"/>
        <w:rPr>
          <w:rFonts w:eastAsia="Times New Roman"/>
        </w:rPr>
      </w:pPr>
      <w:r>
        <w:rPr>
          <w:rFonts w:eastAsia="Times New Roman"/>
          <w:color w:val="000000"/>
          <w:sz w:val="20"/>
          <w:szCs w:val="20"/>
        </w:rPr>
        <w:t>The following table summarizes the components of leasing revenue for the three and nine months ended September 30, 2022 and 2021:</w:t>
      </w:r>
    </w:p>
    <w:tbl>
      <w:tblPr>
        <w:tblW w:w="3954" w:type="pct"/>
        <w:tblCellMar>
          <w:top w:w="15" w:type="dxa"/>
          <w:left w:w="15" w:type="dxa"/>
          <w:bottom w:w="15" w:type="dxa"/>
          <w:right w:w="15" w:type="dxa"/>
        </w:tblCellMar>
        <w:tblLook w:val="04A0" w:firstRow="1" w:lastRow="0" w:firstColumn="1" w:lastColumn="0" w:noHBand="0" w:noVBand="1"/>
      </w:tblPr>
      <w:tblGrid>
        <w:gridCol w:w="37"/>
        <w:gridCol w:w="2747"/>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trPr>
          <w:divId w:val="1638100497"/>
        </w:trPr>
        <w:tc>
          <w:tcPr>
            <w:tcW w:w="50" w:type="pct"/>
            <w:vAlign w:val="center"/>
            <w:hideMark/>
          </w:tcPr>
          <w:p w:rsidR="00000000" w:rsidRDefault="00BC0821">
            <w:pPr>
              <w:ind w:firstLine="495"/>
              <w:rPr>
                <w:rFonts w:eastAsia="Times New Roman"/>
              </w:rPr>
            </w:pPr>
          </w:p>
        </w:tc>
        <w:tc>
          <w:tcPr>
            <w:tcW w:w="25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6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638100497"/>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638100497"/>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638100497"/>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139,261 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132,789 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409,518 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395,796 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38100497"/>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revenue—variable payments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55,624 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65,984 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176,493 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173,592 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38100497"/>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Recovery of (provision for) doubtful accounts, net</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(1,638)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1,585 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4,269 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638100497"/>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195,594 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197,135 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587,596 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573,657 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689992755"/>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7"/>
        <w:gridCol w:w="4950"/>
        <w:gridCol w:w="36"/>
        <w:gridCol w:w="36"/>
        <w:gridCol w:w="239"/>
        <w:gridCol w:w="36"/>
        <w:gridCol w:w="120"/>
        <w:gridCol w:w="957"/>
        <w:gridCol w:w="36"/>
      </w:tblGrid>
      <w:tr w:rsidR="00000000">
        <w:trPr>
          <w:divId w:val="1476138103"/>
        </w:trPr>
        <w:tc>
          <w:tcPr>
            <w:tcW w:w="50" w:type="pct"/>
            <w:vAlign w:val="center"/>
            <w:hideMark/>
          </w:tcPr>
          <w:p w:rsidR="00000000" w:rsidRDefault="00BC0821">
            <w:pPr>
              <w:ind w:firstLine="495"/>
              <w:rPr>
                <w:rFonts w:eastAsia="Times New Roman"/>
              </w:rPr>
            </w:pPr>
          </w:p>
        </w:tc>
        <w:tc>
          <w:tcPr>
            <w:tcW w:w="386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0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6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47613810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Twelve months ending September 30,</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 </w:t>
            </w:r>
          </w:p>
        </w:tc>
      </w:tr>
      <w:tr w:rsidR="00000000">
        <w:trPr>
          <w:divId w:val="14761381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374,739 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321,265 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260,668 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209,139 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158,821 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458,664 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76138103"/>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1,783,296 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884174045"/>
        <w:rPr>
          <w:rFonts w:eastAsia="Times New Roman"/>
        </w:rPr>
      </w:pPr>
    </w:p>
    <w:p w:rsidR="00000000" w:rsidRDefault="00BC0821">
      <w:pPr>
        <w:ind w:firstLine="495"/>
        <w:divId w:val="1872835517"/>
        <w:rPr>
          <w:rFonts w:eastAsia="Times New Roman"/>
        </w:rPr>
      </w:pPr>
      <w:r>
        <w:rPr>
          <w:rFonts w:eastAsia="Times New Roman"/>
          <w:i/>
          <w:iCs/>
          <w:color w:val="000000"/>
          <w:sz w:val="20"/>
          <w:szCs w:val="20"/>
        </w:rPr>
        <w:t>Lessee Leases:</w:t>
      </w:r>
    </w:p>
    <w:p w:rsidR="00000000" w:rsidRDefault="00BC0821">
      <w:pPr>
        <w:ind w:firstLine="495"/>
        <w:divId w:val="1632050135"/>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rsidR="00000000" w:rsidRDefault="00BC0821">
      <w:pPr>
        <w:ind w:firstLine="495"/>
        <w:divId w:val="251284787"/>
        <w:rPr>
          <w:rFonts w:eastAsia="Times New Roman"/>
        </w:rPr>
      </w:pPr>
      <w:r>
        <w:rPr>
          <w:rFonts w:eastAsia="Times New Roman"/>
          <w:color w:val="000000"/>
          <w:sz w:val="20"/>
          <w:szCs w:val="20"/>
        </w:rPr>
        <w:t>The following table summarizes the lease costs for the three and nine months ended September </w:t>
      </w:r>
      <w:r>
        <w:rPr>
          <w:rFonts w:eastAsia="Times New Roman"/>
          <w:color w:val="000000"/>
          <w:sz w:val="20"/>
          <w:szCs w:val="20"/>
        </w:rPr>
        <w:t>30, 2022 and 2021:</w:t>
      </w:r>
    </w:p>
    <w:tbl>
      <w:tblPr>
        <w:tblW w:w="3925" w:type="pct"/>
        <w:tblCellMar>
          <w:top w:w="15" w:type="dxa"/>
          <w:left w:w="15" w:type="dxa"/>
          <w:bottom w:w="15" w:type="dxa"/>
          <w:right w:w="15" w:type="dxa"/>
        </w:tblCellMar>
        <w:tblLook w:val="04A0" w:firstRow="1" w:lastRow="0" w:firstColumn="1" w:lastColumn="0" w:noHBand="0" w:noVBand="1"/>
      </w:tblPr>
      <w:tblGrid>
        <w:gridCol w:w="38"/>
        <w:gridCol w:w="3202"/>
        <w:gridCol w:w="37"/>
        <w:gridCol w:w="120"/>
        <w:gridCol w:w="558"/>
        <w:gridCol w:w="36"/>
        <w:gridCol w:w="36"/>
        <w:gridCol w:w="36"/>
        <w:gridCol w:w="36"/>
        <w:gridCol w:w="120"/>
        <w:gridCol w:w="537"/>
        <w:gridCol w:w="36"/>
        <w:gridCol w:w="36"/>
        <w:gridCol w:w="36"/>
        <w:gridCol w:w="36"/>
        <w:gridCol w:w="120"/>
        <w:gridCol w:w="600"/>
        <w:gridCol w:w="36"/>
        <w:gridCol w:w="36"/>
        <w:gridCol w:w="36"/>
        <w:gridCol w:w="36"/>
        <w:gridCol w:w="120"/>
        <w:gridCol w:w="600"/>
        <w:gridCol w:w="36"/>
      </w:tblGrid>
      <w:tr w:rsidR="00000000">
        <w:trPr>
          <w:divId w:val="119956588"/>
        </w:trPr>
        <w:tc>
          <w:tcPr>
            <w:tcW w:w="50" w:type="pct"/>
            <w:vAlign w:val="center"/>
            <w:hideMark/>
          </w:tcPr>
          <w:p w:rsidR="00000000" w:rsidRDefault="00BC0821">
            <w:pPr>
              <w:ind w:firstLine="495"/>
              <w:rPr>
                <w:rFonts w:eastAsia="Times New Roman"/>
              </w:rPr>
            </w:pPr>
          </w:p>
        </w:tc>
        <w:tc>
          <w:tcPr>
            <w:tcW w:w="255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6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9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6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19956588"/>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19956588"/>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1995658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Operating lease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1995658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1995658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Amortization of ROU assets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1,446 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1,436 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1995658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19956588"/>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13,186 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jc w:val="center"/>
        <w:divId w:val="993728389"/>
        <w:rPr>
          <w:rFonts w:eastAsia="Times New Roman"/>
        </w:rPr>
      </w:pPr>
      <w:r>
        <w:rPr>
          <w:rFonts w:eastAsia="Times New Roman"/>
          <w:color w:val="000000"/>
          <w:sz w:val="20"/>
          <w:szCs w:val="20"/>
        </w:rPr>
        <w:t>18</w:t>
      </w:r>
    </w:p>
    <w:p w:rsidR="00000000" w:rsidRDefault="00BC0821">
      <w:pPr>
        <w:rPr>
          <w:rFonts w:eastAsia="Times New Roman"/>
        </w:rPr>
      </w:pPr>
      <w:r>
        <w:rPr>
          <w:rFonts w:eastAsia="Times New Roman"/>
        </w:rPr>
        <w:pict>
          <v:rect id="_x0000_i1042" style="width:0;height:1.5pt" o:hralign="center" o:hrstd="t" o:hr="t" fillcolor="#a0a0a0" stroked="f"/>
        </w:pict>
      </w:r>
    </w:p>
    <w:p w:rsidR="00000000" w:rsidRDefault="00BC0821">
      <w:pPr>
        <w:divId w:val="1008168863"/>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507482455"/>
        <w:rPr>
          <w:rFonts w:eastAsia="Times New Roman"/>
        </w:rPr>
      </w:pPr>
      <w:r>
        <w:rPr>
          <w:rFonts w:eastAsia="Times New Roman"/>
          <w:b/>
          <w:bCs/>
          <w:color w:val="000000"/>
          <w:sz w:val="20"/>
          <w:szCs w:val="20"/>
        </w:rPr>
        <w:t>THE MACERICH COMPANY</w:t>
      </w:r>
    </w:p>
    <w:p w:rsidR="00000000" w:rsidRDefault="00BC0821">
      <w:pPr>
        <w:jc w:val="center"/>
        <w:divId w:val="837234343"/>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394037821"/>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359351565"/>
        <w:rPr>
          <w:rFonts w:eastAsia="Times New Roman"/>
        </w:rPr>
      </w:pPr>
      <w:r>
        <w:rPr>
          <w:rFonts w:eastAsia="Times New Roman"/>
          <w:b/>
          <w:bCs/>
          <w:color w:val="000000"/>
          <w:sz w:val="20"/>
          <w:szCs w:val="20"/>
        </w:rPr>
        <w:t>(Unaudited)</w:t>
      </w:r>
    </w:p>
    <w:p w:rsidR="00000000" w:rsidRDefault="00BC0821">
      <w:pPr>
        <w:divId w:val="1929920967"/>
        <w:rPr>
          <w:rFonts w:eastAsia="Times New Roman"/>
        </w:rPr>
      </w:pPr>
      <w:r>
        <w:rPr>
          <w:rFonts w:eastAsia="Times New Roman"/>
          <w:b/>
          <w:bCs/>
          <w:color w:val="000000"/>
          <w:sz w:val="20"/>
          <w:szCs w:val="20"/>
        </w:rPr>
        <w:t>8. Leases: (Continued)</w:t>
      </w:r>
    </w:p>
    <w:p w:rsidR="00000000" w:rsidRDefault="00BC0821">
      <w:pPr>
        <w:divId w:val="188228835"/>
        <w:rPr>
          <w:rFonts w:eastAsia="Times New Roman"/>
        </w:rPr>
      </w:pPr>
    </w:p>
    <w:p w:rsidR="00000000" w:rsidRDefault="00BC0821">
      <w:pPr>
        <w:ind w:firstLine="720"/>
        <w:divId w:val="146556944"/>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trPr>
          <w:divId w:val="146556944"/>
        </w:trPr>
        <w:tc>
          <w:tcPr>
            <w:tcW w:w="50" w:type="pct"/>
            <w:vAlign w:val="center"/>
            <w:hideMark/>
          </w:tcPr>
          <w:p w:rsidR="00000000" w:rsidRDefault="00BC0821">
            <w:pPr>
              <w:ind w:firstLine="720"/>
              <w:rPr>
                <w:rFonts w:eastAsia="Times New Roman"/>
              </w:rPr>
            </w:pPr>
          </w:p>
        </w:tc>
        <w:tc>
          <w:tcPr>
            <w:tcW w:w="21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5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9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0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46556944"/>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 2021</w:t>
            </w:r>
          </w:p>
        </w:tc>
      </w:tr>
      <w:tr w:rsidR="00000000">
        <w:trPr>
          <w:divId w:val="146556944"/>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Finance Leases</w:t>
            </w:r>
          </w:p>
        </w:tc>
      </w:tr>
      <w:tr w:rsidR="00000000">
        <w:trPr>
          <w:divId w:val="14655694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12,255 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2,450 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8,452 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11,563 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9,478 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6,471 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11,746 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6,513 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11,864 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6,470 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121,193 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109,358 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172,741 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151,566 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(87,667)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(3,173)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(85,383)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85,074 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12,605 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66,183 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4655694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32.1 years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1.9 years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36.3 years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xml:space="preserve">2.1 </w:t>
            </w:r>
            <w:r>
              <w:rPr>
                <w:rFonts w:eastAsia="Times New Roman"/>
                <w:color w:val="000000"/>
                <w:sz w:val="20"/>
                <w:szCs w:val="20"/>
              </w:rPr>
              <w:t>years</w:t>
            </w:r>
          </w:p>
        </w:tc>
      </w:tr>
      <w:tr w:rsidR="00000000">
        <w:trPr>
          <w:divId w:val="14655694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r>
    </w:tbl>
    <w:p w:rsidR="00000000" w:rsidRDefault="00BC0821">
      <w:pPr>
        <w:ind w:firstLine="495"/>
        <w:divId w:val="726296870"/>
        <w:rPr>
          <w:rFonts w:eastAsia="Times New Roman"/>
        </w:rPr>
      </w:pPr>
    </w:p>
    <w:p w:rsidR="00000000" w:rsidRDefault="00BC0821">
      <w:pPr>
        <w:divId w:val="280890245"/>
        <w:rPr>
          <w:rFonts w:eastAsia="Times New Roman"/>
        </w:rPr>
      </w:pPr>
      <w:r>
        <w:rPr>
          <w:rFonts w:eastAsia="Times New Roman"/>
          <w:b/>
          <w:bCs/>
          <w:color w:val="000000"/>
          <w:sz w:val="20"/>
          <w:szCs w:val="20"/>
        </w:rPr>
        <w:t>9. Deferred Charges and Oth</w:t>
      </w:r>
      <w:r>
        <w:rPr>
          <w:rFonts w:eastAsia="Times New Roman"/>
          <w:b/>
          <w:bCs/>
          <w:color w:val="000000"/>
          <w:sz w:val="20"/>
          <w:szCs w:val="20"/>
        </w:rPr>
        <w:t>er Assets, net:</w:t>
      </w:r>
    </w:p>
    <w:p w:rsidR="00000000" w:rsidRDefault="00BC0821">
      <w:pPr>
        <w:ind w:firstLine="720"/>
        <w:divId w:val="565997936"/>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trPr>
          <w:divId w:val="565997936"/>
        </w:trPr>
        <w:tc>
          <w:tcPr>
            <w:tcW w:w="50" w:type="pct"/>
            <w:vAlign w:val="center"/>
            <w:hideMark/>
          </w:tcPr>
          <w:p w:rsidR="00000000" w:rsidRDefault="00BC0821">
            <w:pPr>
              <w:ind w:firstLine="720"/>
              <w:rPr>
                <w:rFonts w:eastAsia="Times New Roman"/>
              </w:rPr>
            </w:pPr>
          </w:p>
        </w:tc>
        <w:tc>
          <w:tcPr>
            <w:tcW w:w="34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565997936"/>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565997936"/>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113,356 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565997936"/>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65,082 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62,826 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17,377 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16,710 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72,659 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72,289 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22,856 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23,406 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51,781 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68,807 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42,596 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46,319 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385,707 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425,244 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(159,366)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(170,336)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565997936"/>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226,341 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C0821">
            <w:pPr>
              <w:ind w:firstLine="720"/>
              <w:rPr>
                <w:rFonts w:eastAsia="Times New Roman"/>
              </w:rPr>
            </w:pPr>
          </w:p>
        </w:tc>
        <w:tc>
          <w:tcPr>
            <w:tcW w:w="1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67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01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ind w:hanging="360"/>
        <w:divId w:val="438454610"/>
        <w:rPr>
          <w:rFonts w:eastAsia="Times New Roman"/>
        </w:rPr>
      </w:pPr>
      <w:r>
        <w:rPr>
          <w:rFonts w:eastAsia="Times New Roman"/>
          <w:color w:val="000000"/>
          <w:sz w:val="16"/>
          <w:szCs w:val="16"/>
        </w:rPr>
        <w:t xml:space="preserve">(1)   Accumulated amortization includes $43,845 and $43,978 </w:t>
      </w:r>
      <w:r>
        <w:rPr>
          <w:rFonts w:eastAsia="Times New Roman"/>
          <w:color w:val="000000"/>
          <w:sz w:val="16"/>
          <w:szCs w:val="16"/>
        </w:rPr>
        <w:t xml:space="preserve">relating to in-place lease values, leasing commissions and legal costs at September 30, 2022 and December 31, 2021, respectively. Amortization expense of in-place lease values, leasing commissions and legal costs was $1,688 and $2,262 for the three months </w:t>
      </w:r>
      <w:r>
        <w:rPr>
          <w:rFonts w:eastAsia="Times New Roman"/>
          <w:color w:val="000000"/>
          <w:sz w:val="16"/>
          <w:szCs w:val="16"/>
        </w:rPr>
        <w:t>ended September 30, 2022 and 2021, respectively, and $5,019 and $6,868 for the nine months ended September 30, 2022 and 2021, respectively.</w:t>
      </w:r>
    </w:p>
    <w:p w:rsidR="00000000" w:rsidRDefault="00BC0821">
      <w:pPr>
        <w:ind w:hanging="360"/>
        <w:divId w:val="1772893510"/>
        <w:rPr>
          <w:rFonts w:eastAsia="Times New Roman"/>
        </w:rPr>
      </w:pPr>
    </w:p>
    <w:p w:rsidR="00000000" w:rsidRDefault="00BC0821">
      <w:pPr>
        <w:jc w:val="center"/>
        <w:divId w:val="1486969241"/>
        <w:rPr>
          <w:rFonts w:eastAsia="Times New Roman"/>
        </w:rPr>
      </w:pPr>
      <w:r>
        <w:rPr>
          <w:rFonts w:eastAsia="Times New Roman"/>
          <w:color w:val="000000"/>
          <w:sz w:val="20"/>
          <w:szCs w:val="20"/>
        </w:rPr>
        <w:t>19</w:t>
      </w:r>
    </w:p>
    <w:p w:rsidR="00000000" w:rsidRDefault="00BC0821">
      <w:pPr>
        <w:rPr>
          <w:rFonts w:eastAsia="Times New Roman"/>
        </w:rPr>
      </w:pPr>
      <w:r>
        <w:rPr>
          <w:rFonts w:eastAsia="Times New Roman"/>
        </w:rPr>
        <w:pict>
          <v:rect id="_x0000_i1043" style="width:0;height:1.5pt" o:hralign="center" o:hrstd="t" o:hr="t" fillcolor="#a0a0a0" stroked="f"/>
        </w:pict>
      </w:r>
    </w:p>
    <w:p w:rsidR="00000000" w:rsidRDefault="00BC0821">
      <w:pPr>
        <w:divId w:val="868758650"/>
        <w:rPr>
          <w:rFonts w:eastAsia="Times New Roman"/>
        </w:rPr>
      </w:pPr>
      <w:hyperlink w:anchor="if29fc3b4d1744e89bfd34e51e96b86e1_7" w:history="1">
        <w:r>
          <w:rPr>
            <w:rStyle w:val="a3"/>
            <w:rFonts w:eastAsia="Times New Roman"/>
            <w:sz w:val="16"/>
            <w:szCs w:val="16"/>
          </w:rPr>
          <w:t>Table of Content</w:t>
        </w:r>
        <w:r>
          <w:rPr>
            <w:rStyle w:val="a3"/>
            <w:rFonts w:eastAsia="Times New Roman"/>
            <w:sz w:val="16"/>
            <w:szCs w:val="16"/>
          </w:rPr>
          <w:t>s</w:t>
        </w:r>
      </w:hyperlink>
    </w:p>
    <w:p w:rsidR="00000000" w:rsidRDefault="00BC0821">
      <w:pPr>
        <w:jc w:val="center"/>
        <w:divId w:val="968512632"/>
        <w:rPr>
          <w:rFonts w:eastAsia="Times New Roman"/>
        </w:rPr>
      </w:pPr>
      <w:r>
        <w:rPr>
          <w:rFonts w:eastAsia="Times New Roman"/>
          <w:b/>
          <w:bCs/>
          <w:color w:val="000000"/>
          <w:sz w:val="20"/>
          <w:szCs w:val="20"/>
        </w:rPr>
        <w:t>THE MACERICH COMPANY</w:t>
      </w:r>
    </w:p>
    <w:p w:rsidR="00000000" w:rsidRDefault="00BC0821">
      <w:pPr>
        <w:jc w:val="center"/>
        <w:divId w:val="515658579"/>
        <w:rPr>
          <w:rFonts w:eastAsia="Times New Roman"/>
        </w:rPr>
      </w:pPr>
      <w:r>
        <w:rPr>
          <w:rFonts w:eastAsia="Times New Roman"/>
          <w:b/>
          <w:bCs/>
          <w:color w:val="000000"/>
          <w:sz w:val="20"/>
          <w:szCs w:val="20"/>
        </w:rPr>
        <w:t>NOTES TO CONSOLIDATED FINANCIAL STATEMENTS (Continued)</w:t>
      </w:r>
    </w:p>
    <w:p w:rsidR="00000000" w:rsidRDefault="00BC0821">
      <w:pPr>
        <w:jc w:val="center"/>
        <w:divId w:val="705326859"/>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894244971"/>
        <w:rPr>
          <w:rFonts w:eastAsia="Times New Roman"/>
        </w:rPr>
      </w:pPr>
      <w:r>
        <w:rPr>
          <w:rFonts w:eastAsia="Times New Roman"/>
          <w:b/>
          <w:bCs/>
          <w:color w:val="000000"/>
          <w:sz w:val="20"/>
          <w:szCs w:val="20"/>
        </w:rPr>
        <w:t>(Unaudited)</w:t>
      </w:r>
    </w:p>
    <w:p w:rsidR="00000000" w:rsidRDefault="00BC0821">
      <w:pPr>
        <w:divId w:val="1186754279"/>
        <w:rPr>
          <w:rFonts w:eastAsia="Times New Roman"/>
        </w:rPr>
      </w:pPr>
      <w:r>
        <w:rPr>
          <w:rFonts w:eastAsia="Times New Roman"/>
          <w:b/>
          <w:bCs/>
          <w:color w:val="000000"/>
          <w:sz w:val="20"/>
          <w:szCs w:val="20"/>
        </w:rPr>
        <w:t>9. Deferred Charges and Other Assets, net: (Continued)</w:t>
      </w:r>
    </w:p>
    <w:p w:rsidR="00000000" w:rsidRDefault="00BC0821">
      <w:pPr>
        <w:ind w:hanging="360"/>
        <w:divId w:val="972830811"/>
        <w:rPr>
          <w:rFonts w:eastAsia="Times New Roman"/>
        </w:rPr>
      </w:pPr>
      <w:r>
        <w:rPr>
          <w:rFonts w:eastAsia="Times New Roman"/>
          <w:color w:val="000000"/>
          <w:sz w:val="20"/>
          <w:szCs w:val="20"/>
        </w:rPr>
        <w:t>The allocated values of above-market leases an</w:t>
      </w:r>
      <w:r>
        <w:rPr>
          <w:rFonts w:eastAsia="Times New Roman"/>
          <w:color w:val="000000"/>
          <w:sz w:val="20"/>
          <w:szCs w:val="20"/>
        </w:rPr>
        <w:t>d below-market leases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1"/>
        <w:gridCol w:w="928"/>
        <w:gridCol w:w="36"/>
        <w:gridCol w:w="36"/>
        <w:gridCol w:w="36"/>
        <w:gridCol w:w="36"/>
        <w:gridCol w:w="120"/>
        <w:gridCol w:w="891"/>
        <w:gridCol w:w="36"/>
      </w:tblGrid>
      <w:tr w:rsidR="00000000">
        <w:trPr>
          <w:divId w:val="972830811"/>
        </w:trPr>
        <w:tc>
          <w:tcPr>
            <w:tcW w:w="50" w:type="pct"/>
            <w:vAlign w:val="center"/>
            <w:hideMark/>
          </w:tcPr>
          <w:p w:rsidR="00000000" w:rsidRDefault="00BC0821">
            <w:pPr>
              <w:ind w:hanging="360"/>
              <w:rPr>
                <w:rFonts w:eastAsia="Times New Roman"/>
              </w:rPr>
            </w:pPr>
          </w:p>
        </w:tc>
        <w:tc>
          <w:tcPr>
            <w:tcW w:w="343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8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972830811"/>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97283081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72830811"/>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72,659 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72,289 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7283081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(34,901)</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(32,484)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72830811"/>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7283081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72830811"/>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97,194 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99,332 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7283081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(38,874)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(37,122)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72830811"/>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58,320 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BC0821">
            <w:pPr>
              <w:ind w:hanging="360"/>
              <w:rPr>
                <w:rFonts w:eastAsia="Times New Roman"/>
              </w:rPr>
            </w:pPr>
          </w:p>
        </w:tc>
        <w:tc>
          <w:tcPr>
            <w:tcW w:w="1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67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01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ind w:hanging="360"/>
        <w:divId w:val="2051151301"/>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p>
    <w:p w:rsidR="00000000" w:rsidRDefault="00BC0821">
      <w:pPr>
        <w:ind w:hanging="360"/>
        <w:divId w:val="860974682"/>
        <w:rPr>
          <w:rFonts w:eastAsia="Times New Roman"/>
        </w:rPr>
      </w:pPr>
    </w:p>
    <w:p w:rsidR="00000000" w:rsidRDefault="00BC0821">
      <w:pPr>
        <w:divId w:val="644234788"/>
        <w:rPr>
          <w:rFonts w:eastAsia="Times New Roman"/>
        </w:rPr>
      </w:pPr>
      <w:r>
        <w:rPr>
          <w:rFonts w:eastAsia="Times New Roman"/>
          <w:b/>
          <w:bCs/>
          <w:color w:val="000000"/>
          <w:sz w:val="20"/>
          <w:szCs w:val="20"/>
        </w:rPr>
        <w:t>10. Mortgage Notes Payable:</w:t>
      </w:r>
    </w:p>
    <w:p w:rsidR="00000000" w:rsidRDefault="00BC0821">
      <w:pPr>
        <w:ind w:firstLine="495"/>
        <w:divId w:val="201213379"/>
        <w:rPr>
          <w:rFonts w:eastAsia="Times New Roman"/>
        </w:rPr>
      </w:pPr>
      <w:r>
        <w:rPr>
          <w:rFonts w:eastAsia="Times New Roman"/>
          <w:color w:val="000000"/>
          <w:sz w:val="20"/>
          <w:szCs w:val="20"/>
        </w:rPr>
        <w:t>Mortgage notes payable at September 30, 2022 and December 31, 2021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39"/>
        <w:gridCol w:w="2370"/>
        <w:gridCol w:w="38"/>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trPr>
          <w:divId w:val="201213379"/>
        </w:trPr>
        <w:tc>
          <w:tcPr>
            <w:tcW w:w="50" w:type="pct"/>
            <w:vAlign w:val="center"/>
            <w:hideMark/>
          </w:tcPr>
          <w:p w:rsidR="00000000" w:rsidRDefault="00BC0821">
            <w:pPr>
              <w:ind w:firstLine="495"/>
              <w:rPr>
                <w:rFonts w:eastAsia="Times New Roman"/>
              </w:rPr>
            </w:pPr>
          </w:p>
        </w:tc>
        <w:tc>
          <w:tcPr>
            <w:tcW w:w="19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1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3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01213379"/>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201213379"/>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trPr>
          <w:divId w:val="20121337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255,689 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255,548 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2024</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150,522 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168,037 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2023</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Fashion District Philadelphia(7)</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111,544 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2024</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299,334 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299,274 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2031</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91,903 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95,329 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2023</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398,836 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398,711 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2029</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324,205 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324,056 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2026</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Green Acres Commons(8)</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125,161 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124,875 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5.58 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2023</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Green Acres Mall(9)</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239,639 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246,061 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2023</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Kings Plaza Shopping Center</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536,313 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535,928 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2030</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Oaks, The(10)</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167,050 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176,721 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2024</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Pacific View(11)</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70,927 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111,481 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2032</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Queens Center</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1,744 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2025</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Santa Monica Place(12)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299,875 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299,314 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2022</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219,391 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219,323 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2029</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Towne Mall(13)</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18,934 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19,320 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2022</w:t>
            </w:r>
          </w:p>
        </w:tc>
      </w:tr>
      <w:tr w:rsidR="00000000">
        <w:trPr>
          <w:divId w:val="20121337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114,893 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114,850 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2024</w:t>
            </w:r>
          </w:p>
        </w:tc>
      </w:tr>
      <w:tr w:rsidR="00000000">
        <w:trPr>
          <w:divId w:val="20121337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235,287 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240,124 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2026</w:t>
            </w:r>
          </w:p>
        </w:tc>
      </w:tr>
      <w:tr w:rsidR="00000000">
        <w:trPr>
          <w:divId w:val="201213379"/>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4,259,503 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4,423,554 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r>
    </w:tbl>
    <w:p w:rsidR="00000000" w:rsidRDefault="00BC0821">
      <w:pPr>
        <w:jc w:val="center"/>
        <w:rPr>
          <w:rFonts w:eastAsia="Times New Roman"/>
        </w:rPr>
      </w:pPr>
    </w:p>
    <w:p w:rsidR="00000000" w:rsidRDefault="00BC0821">
      <w:pPr>
        <w:ind w:hanging="450"/>
        <w:divId w:val="1832939656"/>
        <w:rPr>
          <w:rFonts w:eastAsia="Times New Roman"/>
        </w:rPr>
      </w:pPr>
      <w:r>
        <w:rPr>
          <w:rFonts w:eastAsia="Times New Roman"/>
          <w:color w:val="000000"/>
          <w:sz w:val="16"/>
          <w:szCs w:val="16"/>
        </w:rPr>
        <w:t>(1)The mortgage notes payable also include unamortized deferred f</w:t>
      </w:r>
      <w:r>
        <w:rPr>
          <w:rFonts w:eastAsia="Times New Roman"/>
          <w:color w:val="000000"/>
          <w:sz w:val="16"/>
          <w:szCs w:val="16"/>
        </w:rPr>
        <w:t>inance costs that are amortized into interest expense over the remaining term of the related debt in a manner that approximates the effective interest method. Unamortized deferred finance costs were $11,368 and $11,946 at September 30, 2022 and December 31</w:t>
      </w:r>
      <w:r>
        <w:rPr>
          <w:rFonts w:eastAsia="Times New Roman"/>
          <w:color w:val="000000"/>
          <w:sz w:val="16"/>
          <w:szCs w:val="16"/>
        </w:rPr>
        <w:t>, 2021, respectively.</w:t>
      </w:r>
    </w:p>
    <w:p w:rsidR="00000000" w:rsidRDefault="00BC0821">
      <w:pPr>
        <w:ind w:hanging="450"/>
        <w:divId w:val="1104808975"/>
        <w:rPr>
          <w:rFonts w:eastAsia="Times New Roman"/>
        </w:rPr>
      </w:pPr>
      <w:r>
        <w:rPr>
          <w:rFonts w:eastAsia="Times New Roman"/>
          <w:color w:val="000000"/>
          <w:sz w:val="16"/>
          <w:szCs w:val="16"/>
        </w:rPr>
        <w:t>(2)</w:t>
      </w:r>
      <w:r>
        <w:rPr>
          <w:rFonts w:eastAsia="Times New Roman"/>
          <w:color w:val="000000"/>
          <w:sz w:val="16"/>
          <w:szCs w:val="16"/>
        </w:rPr>
        <w:t>The interest rate disclosed represents the effective interest rate, including the impact of debt premium and deferred finance costs.</w:t>
      </w:r>
    </w:p>
    <w:p w:rsidR="00000000" w:rsidRDefault="00BC0821">
      <w:pPr>
        <w:jc w:val="center"/>
        <w:divId w:val="592977862"/>
        <w:rPr>
          <w:rFonts w:eastAsia="Times New Roman"/>
        </w:rPr>
      </w:pPr>
      <w:r>
        <w:rPr>
          <w:rFonts w:eastAsia="Times New Roman"/>
          <w:color w:val="000000"/>
          <w:sz w:val="20"/>
          <w:szCs w:val="20"/>
        </w:rPr>
        <w:t>20</w:t>
      </w:r>
    </w:p>
    <w:p w:rsidR="00000000" w:rsidRDefault="00BC0821">
      <w:pPr>
        <w:rPr>
          <w:rFonts w:eastAsia="Times New Roman"/>
        </w:rPr>
      </w:pPr>
      <w:r>
        <w:rPr>
          <w:rFonts w:eastAsia="Times New Roman"/>
        </w:rPr>
        <w:pict>
          <v:rect id="_x0000_i1044" style="width:0;height:1.5pt" o:hralign="center" o:hrstd="t" o:hr="t" fillcolor="#a0a0a0" stroked="f"/>
        </w:pict>
      </w:r>
    </w:p>
    <w:p w:rsidR="00000000" w:rsidRDefault="00BC0821">
      <w:pPr>
        <w:divId w:val="1258291675"/>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005061739"/>
        <w:rPr>
          <w:rFonts w:eastAsia="Times New Roman"/>
        </w:rPr>
      </w:pPr>
      <w:r>
        <w:rPr>
          <w:rFonts w:eastAsia="Times New Roman"/>
          <w:b/>
          <w:bCs/>
          <w:color w:val="000000"/>
          <w:sz w:val="20"/>
          <w:szCs w:val="20"/>
        </w:rPr>
        <w:t>THE MACERICH COMPANY</w:t>
      </w:r>
    </w:p>
    <w:p w:rsidR="00000000" w:rsidRDefault="00BC0821">
      <w:pPr>
        <w:jc w:val="center"/>
        <w:divId w:val="815225687"/>
        <w:rPr>
          <w:rFonts w:eastAsia="Times New Roman"/>
        </w:rPr>
      </w:pPr>
      <w:r>
        <w:rPr>
          <w:rFonts w:eastAsia="Times New Roman"/>
          <w:b/>
          <w:bCs/>
          <w:color w:val="000000"/>
          <w:sz w:val="20"/>
          <w:szCs w:val="20"/>
        </w:rPr>
        <w:t>NOTES TO CONSOLIDATED FINANCIAL STATEMENTS (Continued)</w:t>
      </w:r>
    </w:p>
    <w:p w:rsidR="00000000" w:rsidRDefault="00BC0821">
      <w:pPr>
        <w:jc w:val="center"/>
        <w:divId w:val="880703094"/>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088885721"/>
        <w:rPr>
          <w:rFonts w:eastAsia="Times New Roman"/>
        </w:rPr>
      </w:pPr>
      <w:r>
        <w:rPr>
          <w:rFonts w:eastAsia="Times New Roman"/>
          <w:b/>
          <w:bCs/>
          <w:color w:val="000000"/>
          <w:sz w:val="20"/>
          <w:szCs w:val="20"/>
        </w:rPr>
        <w:t>(Unaudited)</w:t>
      </w:r>
    </w:p>
    <w:p w:rsidR="00000000" w:rsidRDefault="00BC0821">
      <w:pPr>
        <w:divId w:val="156044726"/>
        <w:rPr>
          <w:rFonts w:eastAsia="Times New Roman"/>
        </w:rPr>
      </w:pPr>
      <w:r>
        <w:rPr>
          <w:rFonts w:eastAsia="Times New Roman"/>
          <w:b/>
          <w:bCs/>
          <w:color w:val="000000"/>
          <w:sz w:val="20"/>
          <w:szCs w:val="20"/>
        </w:rPr>
        <w:t>10. Mortgage Notes Payable: (Continued)</w:t>
      </w:r>
    </w:p>
    <w:p w:rsidR="00000000" w:rsidRDefault="00BC0821">
      <w:pPr>
        <w:ind w:hanging="450"/>
        <w:divId w:val="902258017"/>
        <w:rPr>
          <w:rFonts w:eastAsia="Times New Roman"/>
        </w:rPr>
      </w:pPr>
      <w:r>
        <w:rPr>
          <w:rFonts w:eastAsia="Times New Roman"/>
          <w:color w:val="000000"/>
          <w:sz w:val="16"/>
          <w:szCs w:val="16"/>
        </w:rPr>
        <w:t>(3)The monthly debt service represents the pa</w:t>
      </w:r>
      <w:r>
        <w:rPr>
          <w:rFonts w:eastAsia="Times New Roman"/>
          <w:color w:val="000000"/>
          <w:sz w:val="16"/>
          <w:szCs w:val="16"/>
        </w:rPr>
        <w:t>yment of principal and interest.</w:t>
      </w:r>
    </w:p>
    <w:p w:rsidR="00000000" w:rsidRDefault="00BC0821">
      <w:pPr>
        <w:ind w:hanging="450"/>
        <w:divId w:val="1699575826"/>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extension options are at the Company's discretion, subject to c</w:t>
      </w:r>
      <w:r>
        <w:rPr>
          <w:rFonts w:eastAsia="Times New Roman"/>
          <w:color w:val="000000"/>
          <w:sz w:val="16"/>
          <w:szCs w:val="16"/>
        </w:rPr>
        <w:t>ertain conditions, which the Company believes will be met.</w:t>
      </w:r>
    </w:p>
    <w:p w:rsidR="00000000" w:rsidRDefault="00BC0821">
      <w:pPr>
        <w:ind w:hanging="450"/>
        <w:divId w:val="2020618262"/>
        <w:rPr>
          <w:rFonts w:eastAsia="Times New Roman"/>
        </w:rPr>
      </w:pPr>
      <w:r>
        <w:rPr>
          <w:rFonts w:eastAsia="Times New Roman"/>
          <w:color w:val="000000"/>
          <w:sz w:val="16"/>
          <w:szCs w:val="16"/>
        </w:rPr>
        <w:t>(5)A 49.9% interest in the loan has been assumed by a third party in connection with the Company's joint venture in Chandler Freehold (See Note 12—Financing Arrangement).</w:t>
      </w:r>
    </w:p>
    <w:p w:rsidR="00000000" w:rsidRDefault="00BC0821">
      <w:pPr>
        <w:ind w:hanging="450"/>
        <w:divId w:val="1351294940"/>
        <w:rPr>
          <w:rFonts w:eastAsia="Times New Roman"/>
        </w:rPr>
      </w:pPr>
      <w:r>
        <w:rPr>
          <w:rFonts w:eastAsia="Times New Roman"/>
          <w:color w:val="000000"/>
          <w:sz w:val="16"/>
          <w:szCs w:val="16"/>
        </w:rPr>
        <w:t xml:space="preserve">(6)On September 15, 2020, </w:t>
      </w:r>
      <w:r>
        <w:rPr>
          <w:rFonts w:eastAsia="Times New Roman"/>
          <w:color w:val="000000"/>
          <w:sz w:val="16"/>
          <w:szCs w:val="16"/>
        </w:rPr>
        <w:t>the Company closed on a loan extension agreement for Danbury Fair Mall. Under the extension agreement, the original loan maturity date of October 1, 2020 was extended to April 1, 2021 and subsequently to October 1, 2021. The loan amount and interest rate r</w:t>
      </w:r>
      <w:r>
        <w:rPr>
          <w:rFonts w:eastAsia="Times New Roman"/>
          <w:color w:val="000000"/>
          <w:sz w:val="16"/>
          <w:szCs w:val="16"/>
        </w:rPr>
        <w:t>emained unchanged following these extensions. On September 15, 2021, the Company further extended the loan maturity to July 1, 2022. The interest rate remained unchanged, and the Company repaid $10,000 of the outstanding loan balance at closing. On July 1,</w:t>
      </w:r>
      <w:r>
        <w:rPr>
          <w:rFonts w:eastAsia="Times New Roman"/>
          <w:color w:val="000000"/>
          <w:sz w:val="16"/>
          <w:szCs w:val="16"/>
        </w:rPr>
        <w:t xml:space="preserve"> 2022, the Company further extended the loan maturity to July 1, 2023. The interest rate remained unchanged at 5.5%, and the Company repaid $10,000 of the outstanding loan balance at closing.</w:t>
      </w:r>
    </w:p>
    <w:p w:rsidR="00000000" w:rsidRDefault="00BC0821">
      <w:pPr>
        <w:ind w:hanging="450"/>
        <w:divId w:val="1259170638"/>
        <w:rPr>
          <w:rFonts w:eastAsia="Times New Roman"/>
        </w:rPr>
      </w:pPr>
      <w:r>
        <w:rPr>
          <w:rFonts w:eastAsia="Times New Roman"/>
          <w:color w:val="000000"/>
          <w:sz w:val="16"/>
          <w:szCs w:val="16"/>
        </w:rPr>
        <w:t>(7)On August 26, 2022, the Company repaid $83,058 of the outstan</w:t>
      </w:r>
      <w:r>
        <w:rPr>
          <w:rFonts w:eastAsia="Times New Roman"/>
          <w:color w:val="000000"/>
          <w:sz w:val="16"/>
          <w:szCs w:val="16"/>
        </w:rPr>
        <w:t>ding loan balance to satisfy certain loan conditions.</w:t>
      </w:r>
    </w:p>
    <w:p w:rsidR="00000000" w:rsidRDefault="00BC0821">
      <w:pPr>
        <w:ind w:hanging="450"/>
        <w:divId w:val="950622293"/>
        <w:rPr>
          <w:rFonts w:eastAsia="Times New Roman"/>
        </w:rPr>
      </w:pPr>
      <w:r>
        <w:rPr>
          <w:rFonts w:eastAsia="Times New Roman"/>
          <w:color w:val="000000"/>
          <w:sz w:val="16"/>
          <w:szCs w:val="16"/>
        </w:rPr>
        <w:t>(8)On March 25, 2021, the Company closed on a two-year extension of the loan to March 29, 2023. The interest rate is LIBOR plus 2.75% and the Company repaid $4,680 of the outstanding loan balance at clo</w:t>
      </w:r>
      <w:r>
        <w:rPr>
          <w:rFonts w:eastAsia="Times New Roman"/>
          <w:color w:val="000000"/>
          <w:sz w:val="16"/>
          <w:szCs w:val="16"/>
        </w:rPr>
        <w:t xml:space="preserve">sing. </w:t>
      </w:r>
    </w:p>
    <w:p w:rsidR="00000000" w:rsidRDefault="00BC0821">
      <w:pPr>
        <w:ind w:hanging="450"/>
        <w:divId w:val="1354838956"/>
        <w:rPr>
          <w:rFonts w:eastAsia="Times New Roman"/>
        </w:rPr>
      </w:pPr>
      <w:r>
        <w:rPr>
          <w:rFonts w:eastAsia="Times New Roman"/>
          <w:color w:val="000000"/>
          <w:sz w:val="16"/>
          <w:szCs w:val="16"/>
        </w:rPr>
        <w:t>(9)On January 22, 2021, the Company closed on a one-year extension of the loan to February 3, 2022, which also included a one-year extension option to February 3, 2023 which has been exercised. The interest rate remained unchanged, and the Company r</w:t>
      </w:r>
      <w:r>
        <w:rPr>
          <w:rFonts w:eastAsia="Times New Roman"/>
          <w:color w:val="000000"/>
          <w:sz w:val="16"/>
          <w:szCs w:val="16"/>
        </w:rPr>
        <w:t>epaid $9,000 of the outstanding loan balance at closing.</w:t>
      </w:r>
    </w:p>
    <w:p w:rsidR="00000000" w:rsidRDefault="00BC0821">
      <w:pPr>
        <w:ind w:hanging="450"/>
        <w:divId w:val="1927685668"/>
        <w:rPr>
          <w:rFonts w:eastAsia="Times New Roman"/>
        </w:rPr>
      </w:pPr>
      <w:r>
        <w:rPr>
          <w:rFonts w:eastAsia="Times New Roman"/>
          <w:color w:val="000000"/>
          <w:sz w:val="16"/>
          <w:szCs w:val="16"/>
        </w:rPr>
        <w:t>(10)On May 6, 2022, the Company closed on a two-year extension of the loan to June 5, 2024 at a new fixed interest rate of 5.25%. The Company repaid $5,000 of the outstanding loan balance at closing.</w:t>
      </w:r>
    </w:p>
    <w:p w:rsidR="00000000" w:rsidRDefault="00BC0821">
      <w:pPr>
        <w:ind w:hanging="450"/>
        <w:divId w:val="1023478783"/>
        <w:rPr>
          <w:rFonts w:eastAsia="Times New Roman"/>
        </w:rPr>
      </w:pPr>
      <w:r>
        <w:rPr>
          <w:rFonts w:eastAsia="Times New Roman"/>
          <w:color w:val="000000"/>
          <w:sz w:val="16"/>
          <w:szCs w:val="16"/>
        </w:rPr>
        <w:t>(11)On April 29, 2022, the Company closed on a new $72,000 loan with a fixed rate of 5.29% that matures on May 6, 2032.</w:t>
      </w:r>
    </w:p>
    <w:p w:rsidR="00000000" w:rsidRDefault="00BC0821">
      <w:pPr>
        <w:ind w:hanging="450"/>
        <w:divId w:val="945380017"/>
        <w:rPr>
          <w:rFonts w:eastAsia="Times New Roman"/>
        </w:rPr>
      </w:pPr>
      <w:r>
        <w:rPr>
          <w:rFonts w:eastAsia="Times New Roman"/>
          <w:color w:val="000000"/>
          <w:sz w:val="16"/>
          <w:szCs w:val="16"/>
        </w:rPr>
        <w:t xml:space="preserve">(12)The loan bears interest at LIBOR plus 1.48%. The loan is covered by an interest rate cap agreement that effectively prevents LIBOR </w:t>
      </w:r>
      <w:r>
        <w:rPr>
          <w:rFonts w:eastAsia="Times New Roman"/>
          <w:color w:val="000000"/>
          <w:sz w:val="16"/>
          <w:szCs w:val="16"/>
        </w:rPr>
        <w:t>from exceeding 4.0% during the period ending December 9, 2022. The Company expects to close in November 2022 a three-year extension at a floating rate of SOFR plus 1.58%, subject to negotiating final loan terms and documentation and customary closing condi</w:t>
      </w:r>
      <w:r>
        <w:rPr>
          <w:rFonts w:eastAsia="Times New Roman"/>
          <w:color w:val="000000"/>
          <w:sz w:val="16"/>
          <w:szCs w:val="16"/>
        </w:rPr>
        <w:t>tions.</w:t>
      </w:r>
    </w:p>
    <w:p w:rsidR="00000000" w:rsidRDefault="00BC0821">
      <w:pPr>
        <w:ind w:hanging="450"/>
        <w:divId w:val="1244530869"/>
        <w:rPr>
          <w:rFonts w:eastAsia="Times New Roman"/>
        </w:rPr>
      </w:pPr>
      <w:r>
        <w:rPr>
          <w:rFonts w:eastAsia="Times New Roman"/>
          <w:color w:val="000000"/>
          <w:sz w:val="16"/>
          <w:szCs w:val="16"/>
        </w:rPr>
        <w:t>(13)The Company did not repay the loan on its maturity date, and has begun the process of transferring control of this asset to the loan servicer.</w:t>
      </w:r>
    </w:p>
    <w:p w:rsidR="00000000" w:rsidRDefault="00BC0821">
      <w:pPr>
        <w:ind w:firstLine="495"/>
        <w:divId w:val="260651405"/>
        <w:rPr>
          <w:rFonts w:eastAsia="Times New Roman"/>
        </w:rPr>
      </w:pPr>
      <w:r>
        <w:rPr>
          <w:rFonts w:eastAsia="Times New Roman"/>
          <w:color w:val="000000"/>
          <w:sz w:val="20"/>
          <w:szCs w:val="20"/>
        </w:rPr>
        <w:t>Most of the mortgage loan agreements contain a prepayment penalty provision for the early extinguishme</w:t>
      </w:r>
      <w:r>
        <w:rPr>
          <w:rFonts w:eastAsia="Times New Roman"/>
          <w:color w:val="000000"/>
          <w:sz w:val="20"/>
          <w:szCs w:val="20"/>
        </w:rPr>
        <w:t>nt of the debt.</w:t>
      </w:r>
    </w:p>
    <w:p w:rsidR="00000000" w:rsidRDefault="00BC0821">
      <w:pPr>
        <w:ind w:firstLine="495"/>
        <w:divId w:val="1958441271"/>
        <w:rPr>
          <w:rFonts w:eastAsia="Times New Roman"/>
        </w:rPr>
      </w:pPr>
      <w:r>
        <w:rPr>
          <w:rFonts w:eastAsia="Times New Roman"/>
          <w:color w:val="000000"/>
          <w:sz w:val="20"/>
          <w:szCs w:val="20"/>
        </w:rPr>
        <w:t xml:space="preserve">The Company's mortgage notes payable are secured by the properties on which they are placed and are non-recourse to the Company. </w:t>
      </w:r>
    </w:p>
    <w:p w:rsidR="00000000" w:rsidRDefault="00BC0821">
      <w:pPr>
        <w:ind w:firstLine="495"/>
        <w:divId w:val="2108841945"/>
        <w:rPr>
          <w:rFonts w:eastAsia="Times New Roman"/>
        </w:rPr>
      </w:pPr>
      <w:r>
        <w:rPr>
          <w:rFonts w:eastAsia="Times New Roman"/>
          <w:color w:val="000000"/>
          <w:sz w:val="20"/>
          <w:szCs w:val="20"/>
        </w:rPr>
        <w:t>The Company expects that all loan maturities during the next twelve months will be refinanced, restructured, e</w:t>
      </w:r>
      <w:r>
        <w:rPr>
          <w:rFonts w:eastAsia="Times New Roman"/>
          <w:color w:val="000000"/>
          <w:sz w:val="20"/>
          <w:szCs w:val="20"/>
        </w:rPr>
        <w:t>xtended and/or paid off from the Company's line of credit or with cash on hand, with the exception of Towne Mall as noted above.</w:t>
      </w:r>
    </w:p>
    <w:p w:rsidR="00000000" w:rsidRDefault="00BC0821">
      <w:pPr>
        <w:ind w:firstLine="495"/>
        <w:divId w:val="850989827"/>
        <w:rPr>
          <w:rFonts w:eastAsia="Times New Roman"/>
        </w:rPr>
      </w:pPr>
      <w:r>
        <w:rPr>
          <w:rFonts w:eastAsia="Times New Roman"/>
          <w:color w:val="000000"/>
          <w:sz w:val="20"/>
          <w:szCs w:val="20"/>
        </w:rPr>
        <w:t xml:space="preserve">Total interest expense capitalized was $2,859 and $3,102 for the three months ended September 30, 2022 and 2021, respectively, </w:t>
      </w:r>
      <w:r>
        <w:rPr>
          <w:rFonts w:eastAsia="Times New Roman"/>
          <w:color w:val="000000"/>
          <w:sz w:val="20"/>
          <w:szCs w:val="20"/>
        </w:rPr>
        <w:t>and $7,151 and $6,812 for the nine months ended September 30, 2022 and 2021, respectively.</w:t>
      </w:r>
    </w:p>
    <w:p w:rsidR="00000000" w:rsidRDefault="00BC0821">
      <w:pPr>
        <w:ind w:firstLine="495"/>
        <w:divId w:val="1816025149"/>
        <w:rPr>
          <w:rFonts w:eastAsia="Times New Roman"/>
        </w:rPr>
      </w:pPr>
      <w:r>
        <w:rPr>
          <w:rFonts w:eastAsia="Times New Roman"/>
          <w:color w:val="000000"/>
          <w:sz w:val="20"/>
          <w:szCs w:val="20"/>
        </w:rPr>
        <w:t>The estimated fair value (Level 2 measurement) of mortgage notes payable at September 30, 2022 and December 31, 2021 was $4,004,815 and $4,261,429, respectively, bas</w:t>
      </w:r>
      <w:r>
        <w:rPr>
          <w:rFonts w:eastAsia="Times New Roman"/>
          <w:color w:val="000000"/>
          <w:sz w:val="20"/>
          <w:szCs w:val="20"/>
        </w:rPr>
        <w:t xml:space="preserve">ed on current interest rates for comparable loans. Fair value was determined using a present value model and an interest rate that included a credit value adjustment based on the estimated value of the property that serves as collateral for the underlying </w:t>
      </w:r>
      <w:r>
        <w:rPr>
          <w:rFonts w:eastAsia="Times New Roman"/>
          <w:color w:val="000000"/>
          <w:sz w:val="20"/>
          <w:szCs w:val="20"/>
        </w:rPr>
        <w:t>debt.</w:t>
      </w:r>
    </w:p>
    <w:p w:rsidR="00000000" w:rsidRDefault="00BC0821">
      <w:pPr>
        <w:divId w:val="746612669"/>
        <w:rPr>
          <w:rFonts w:eastAsia="Times New Roman"/>
        </w:rPr>
      </w:pPr>
      <w:r>
        <w:rPr>
          <w:rFonts w:eastAsia="Times New Roman"/>
          <w:b/>
          <w:bCs/>
          <w:color w:val="000000"/>
          <w:sz w:val="20"/>
          <w:szCs w:val="20"/>
        </w:rPr>
        <w:t>11. Bank and Other Notes Payable:</w:t>
      </w:r>
    </w:p>
    <w:p w:rsidR="00000000" w:rsidRDefault="00BC0821">
      <w:pPr>
        <w:ind w:firstLine="495"/>
        <w:divId w:val="1651670973"/>
        <w:rPr>
          <w:rFonts w:eastAsia="Times New Roman"/>
        </w:rPr>
      </w:pPr>
      <w:r>
        <w:rPr>
          <w:rFonts w:eastAsia="Times New Roman"/>
          <w:color w:val="000000"/>
          <w:sz w:val="20"/>
          <w:szCs w:val="20"/>
        </w:rPr>
        <w:t>Bank and other notes payable consist of the following:</w:t>
      </w:r>
    </w:p>
    <w:p w:rsidR="00000000" w:rsidRDefault="00BC0821">
      <w:pPr>
        <w:ind w:firstLine="450"/>
        <w:divId w:val="464202643"/>
        <w:rPr>
          <w:rFonts w:eastAsia="Times New Roman"/>
        </w:rPr>
      </w:pPr>
      <w:r>
        <w:rPr>
          <w:rFonts w:eastAsia="Times New Roman"/>
          <w:i/>
          <w:iCs/>
          <w:color w:val="000000"/>
          <w:sz w:val="20"/>
          <w:szCs w:val="20"/>
        </w:rPr>
        <w:t>Credit Facility:</w:t>
      </w:r>
    </w:p>
    <w:p w:rsidR="00000000" w:rsidRDefault="00BC0821">
      <w:pPr>
        <w:ind w:firstLine="495"/>
        <w:divId w:val="900866528"/>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$700,000 facility, including a $525,000 revolving loan facility that matures on April 14, 2023, with a one-year </w:t>
      </w:r>
      <w:r>
        <w:rPr>
          <w:rFonts w:eastAsia="Times New Roman"/>
          <w:color w:val="000000"/>
          <w:sz w:val="20"/>
          <w:szCs w:val="20"/>
        </w:rPr>
        <w:t>extension option, and a $175,000 term loan facility that matures on April 14, 2024. The revolving loan facility can be expanded up to $800,000, subject to receipt of lender commitments and other conditions. Concurrently with entering into the new credit ag</w:t>
      </w:r>
      <w:r>
        <w:rPr>
          <w:rFonts w:eastAsia="Times New Roman"/>
          <w:color w:val="000000"/>
          <w:sz w:val="20"/>
          <w:szCs w:val="20"/>
        </w:rPr>
        <w:t xml:space="preserve">reement, the Company drew the $175,000 term loan facility in its entirety and drew $320,000 of the amount </w:t>
      </w:r>
    </w:p>
    <w:p w:rsidR="00000000" w:rsidRDefault="00BC0821">
      <w:pPr>
        <w:jc w:val="center"/>
        <w:divId w:val="599607914"/>
        <w:rPr>
          <w:rFonts w:eastAsia="Times New Roman"/>
        </w:rPr>
      </w:pPr>
      <w:r>
        <w:rPr>
          <w:rFonts w:eastAsia="Times New Roman"/>
          <w:color w:val="000000"/>
          <w:sz w:val="20"/>
          <w:szCs w:val="20"/>
        </w:rPr>
        <w:t>21</w:t>
      </w:r>
    </w:p>
    <w:p w:rsidR="00000000" w:rsidRDefault="00BC0821">
      <w:pPr>
        <w:rPr>
          <w:rFonts w:eastAsia="Times New Roman"/>
        </w:rPr>
      </w:pPr>
      <w:r>
        <w:rPr>
          <w:rFonts w:eastAsia="Times New Roman"/>
        </w:rPr>
        <w:pict>
          <v:rect id="_x0000_i1045" style="width:0;height:1.5pt" o:hralign="center" o:hrstd="t" o:hr="t" fillcolor="#a0a0a0" stroked="f"/>
        </w:pict>
      </w:r>
    </w:p>
    <w:p w:rsidR="00000000" w:rsidRDefault="00BC0821">
      <w:pPr>
        <w:divId w:val="1640259870"/>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437015240"/>
        <w:rPr>
          <w:rFonts w:eastAsia="Times New Roman"/>
        </w:rPr>
      </w:pPr>
      <w:r>
        <w:rPr>
          <w:rFonts w:eastAsia="Times New Roman"/>
          <w:b/>
          <w:bCs/>
          <w:color w:val="000000"/>
          <w:sz w:val="20"/>
          <w:szCs w:val="20"/>
        </w:rPr>
        <w:t>THE MACERICH COMPANY</w:t>
      </w:r>
    </w:p>
    <w:p w:rsidR="00000000" w:rsidRDefault="00BC0821">
      <w:pPr>
        <w:jc w:val="center"/>
        <w:divId w:val="808667952"/>
        <w:rPr>
          <w:rFonts w:eastAsia="Times New Roman"/>
        </w:rPr>
      </w:pPr>
      <w:r>
        <w:rPr>
          <w:rFonts w:eastAsia="Times New Roman"/>
          <w:b/>
          <w:bCs/>
          <w:color w:val="000000"/>
          <w:sz w:val="20"/>
          <w:szCs w:val="20"/>
        </w:rPr>
        <w:t>NOTES TO CONSOLIDATED FINANCIAL STATEMENTS (Continued)</w:t>
      </w:r>
    </w:p>
    <w:p w:rsidR="00000000" w:rsidRDefault="00BC0821">
      <w:pPr>
        <w:jc w:val="center"/>
        <w:divId w:val="480462769"/>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975062873"/>
        <w:rPr>
          <w:rFonts w:eastAsia="Times New Roman"/>
        </w:rPr>
      </w:pPr>
      <w:r>
        <w:rPr>
          <w:rFonts w:eastAsia="Times New Roman"/>
          <w:b/>
          <w:bCs/>
          <w:color w:val="000000"/>
          <w:sz w:val="20"/>
          <w:szCs w:val="20"/>
        </w:rPr>
        <w:t>(Unaudited)</w:t>
      </w:r>
    </w:p>
    <w:p w:rsidR="00000000" w:rsidRDefault="00BC0821">
      <w:pPr>
        <w:divId w:val="266236065"/>
        <w:rPr>
          <w:rFonts w:eastAsia="Times New Roman"/>
        </w:rPr>
      </w:pPr>
      <w:r>
        <w:rPr>
          <w:rFonts w:eastAsia="Times New Roman"/>
          <w:b/>
          <w:bCs/>
          <w:color w:val="000000"/>
          <w:sz w:val="20"/>
          <w:szCs w:val="20"/>
        </w:rPr>
        <w:t>11. Bank and Other Notes Payable: (Continued)</w:t>
      </w:r>
    </w:p>
    <w:p w:rsidR="00000000" w:rsidRDefault="00BC0821">
      <w:pPr>
        <w:divId w:val="2095586530"/>
        <w:rPr>
          <w:rFonts w:eastAsia="Times New Roman"/>
        </w:rPr>
      </w:pPr>
      <w:r>
        <w:rPr>
          <w:rFonts w:eastAsia="Times New Roman"/>
          <w:color w:val="000000"/>
          <w:sz w:val="20"/>
          <w:szCs w:val="20"/>
        </w:rPr>
        <w:t>available under the revolving loan facility. Simultaneous</w:t>
      </w:r>
      <w:r>
        <w:rPr>
          <w:rFonts w:eastAsia="Times New Roman"/>
          <w:color w:val="000000"/>
          <w:sz w:val="20"/>
          <w:szCs w:val="20"/>
        </w:rPr>
        <w:t>ly with entering into the new credit agreement, the Company repaid $985,000 of debt, which included terminating and repaying all amounts outstanding under its prior revolving line of credit facility. All obligations under the facility are guaranteed uncond</w:t>
      </w:r>
      <w:r>
        <w:rPr>
          <w:rFonts w:eastAsia="Times New Roman"/>
          <w:color w:val="000000"/>
          <w:sz w:val="20"/>
          <w:szCs w:val="20"/>
        </w:rPr>
        <w:t>itionally by the Company and are secured in the form of mortgages on certain wholly-owned assets and pledges of equity interests held by certain of the Company’s subsidiaries. The credit facility bears interest at LIBOR plus a spread of 2.25% to 3.25% depe</w:t>
      </w:r>
      <w:r>
        <w:rPr>
          <w:rFonts w:eastAsia="Times New Roman"/>
          <w:color w:val="000000"/>
          <w:sz w:val="20"/>
          <w:szCs w:val="20"/>
        </w:rPr>
        <w:t>nding on the Company’s overall leverage level. As of September 30, 2022, the borrowing rate was LIBOR plus 2.25%. As of September 30, 2022, borrowings under the facility were $101,000, less unamortized deferred finance costs of $9,459, for the revolving lo</w:t>
      </w:r>
      <w:r>
        <w:rPr>
          <w:rFonts w:eastAsia="Times New Roman"/>
          <w:color w:val="000000"/>
          <w:sz w:val="20"/>
          <w:szCs w:val="20"/>
        </w:rPr>
        <w:t>an facility at a total interest rate of 6.71%. As of September 30, 2022, the Company's availability under the revolving loan facility for additional borrowings was $423,787. On September 20, 2021, the Company paid off the remaining balance outstanding on t</w:t>
      </w:r>
      <w:r>
        <w:rPr>
          <w:rFonts w:eastAsia="Times New Roman"/>
          <w:color w:val="000000"/>
          <w:sz w:val="20"/>
          <w:szCs w:val="20"/>
        </w:rPr>
        <w:t>he term loan facility with proceeds from the sale of Tucson La Encantada (See Note 16—Dispositions). The estimated fair value (Level 2 measurement) of borrowings under the credit facility at September 30, 2022 was $99,861 for the revolving loan facility ba</w:t>
      </w:r>
      <w:r>
        <w:rPr>
          <w:rFonts w:eastAsia="Times New Roman"/>
          <w:color w:val="000000"/>
          <w:sz w:val="20"/>
          <w:szCs w:val="20"/>
        </w:rPr>
        <w:t>sed on a present value model using a credit interest rate spread offered to the Company for comparable debt.</w:t>
      </w:r>
    </w:p>
    <w:p w:rsidR="00000000" w:rsidRDefault="00BC0821">
      <w:pPr>
        <w:ind w:firstLine="495"/>
        <w:divId w:val="347561426"/>
        <w:rPr>
          <w:rFonts w:eastAsia="Times New Roman"/>
        </w:rPr>
      </w:pPr>
      <w:r>
        <w:rPr>
          <w:rFonts w:eastAsia="Times New Roman"/>
          <w:color w:val="000000"/>
          <w:sz w:val="20"/>
          <w:szCs w:val="20"/>
        </w:rPr>
        <w:t>As of September 30, 2022 and December 31, 2021, the Company was in compliance with all applicable financial loan covenants.</w:t>
      </w:r>
    </w:p>
    <w:p w:rsidR="00000000" w:rsidRDefault="00BC0821">
      <w:pPr>
        <w:divId w:val="1728259370"/>
        <w:rPr>
          <w:rFonts w:eastAsia="Times New Roman"/>
        </w:rPr>
      </w:pPr>
      <w:r>
        <w:rPr>
          <w:rFonts w:eastAsia="Times New Roman"/>
          <w:b/>
          <w:bCs/>
          <w:color w:val="000000"/>
          <w:sz w:val="20"/>
          <w:szCs w:val="20"/>
        </w:rPr>
        <w:t>12. Financing Arrangeme</w:t>
      </w:r>
      <w:r>
        <w:rPr>
          <w:rFonts w:eastAsia="Times New Roman"/>
          <w:b/>
          <w:bCs/>
          <w:color w:val="000000"/>
          <w:sz w:val="20"/>
          <w:szCs w:val="20"/>
        </w:rPr>
        <w:t>nt:</w:t>
      </w:r>
    </w:p>
    <w:p w:rsidR="00000000" w:rsidRDefault="00BC0821">
      <w:pPr>
        <w:ind w:firstLine="495"/>
        <w:divId w:val="1119186004"/>
        <w:rPr>
          <w:rFonts w:eastAsia="Times New Roman"/>
        </w:rPr>
      </w:pPr>
      <w:r>
        <w:rPr>
          <w:rFonts w:eastAsia="Times New Roman"/>
          <w:color w:val="000000"/>
          <w:sz w:val="20"/>
          <w:szCs w:val="20"/>
        </w:rPr>
        <w:t>On September 30, 2009, the Company formed a joint venture whereby a third party acquired a 49.9% interest in Chandler Fashion Center, a 1,319,000 square foot regional shopping center in Chandler, Arizona, and Freehold Raceway Mall, a 1,553,000 square f</w:t>
      </w:r>
      <w:r>
        <w:rPr>
          <w:rFonts w:eastAsia="Times New Roman"/>
          <w:color w:val="000000"/>
          <w:sz w:val="20"/>
          <w:szCs w:val="20"/>
        </w:rPr>
        <w:t>oot regional shopping center in Freehold, New Jersey (collectively referred to herein as "Chandler Freehold"). As a result of the Company having certain rights under the agreement to repurchase the assets after the seventh year of the formation of Chandler</w:t>
      </w:r>
      <w:r>
        <w:rPr>
          <w:rFonts w:eastAsia="Times New Roman"/>
          <w:color w:val="000000"/>
          <w:sz w:val="20"/>
          <w:szCs w:val="20"/>
        </w:rPr>
        <w:t xml:space="preserve"> Freehold, the transaction did not qualify for sale treatment. The Company, however, is not obligated to repurchase the assets. The Company accounts for its investment in Chandler Freehold as a financing arrangement. The fair value (Level 3 measurement) of</w:t>
      </w:r>
      <w:r>
        <w:rPr>
          <w:rFonts w:eastAsia="Times New Roman"/>
          <w:color w:val="000000"/>
          <w:sz w:val="20"/>
          <w:szCs w:val="20"/>
        </w:rPr>
        <w:t xml:space="preserve"> the financing arrangement obligation at September 30, 2022 and December 31, 2021 was based upon a terminal capitalization rate of approximately 5.75%, a discount rate at September 30, 2022 and December 31, 2021 of 7.75% and 7.25%, respectively, and market</w:t>
      </w:r>
      <w:r>
        <w:rPr>
          <w:rFonts w:eastAsia="Times New Roman"/>
          <w:color w:val="000000"/>
          <w:sz w:val="20"/>
          <w:szCs w:val="20"/>
        </w:rPr>
        <w:t xml:space="preserve"> rents per square foot of $35 to $105. The fair value of the financing arrangement obligation is sensitive to these significant unobservable inputs and a change in these inputs may result in a significantly higher or lower fair value measurement. Distribut</w:t>
      </w:r>
      <w:r>
        <w:rPr>
          <w:rFonts w:eastAsia="Times New Roman"/>
          <w:color w:val="000000"/>
          <w:sz w:val="20"/>
          <w:szCs w:val="20"/>
        </w:rPr>
        <w:t xml:space="preserve">ions to the partner, excluding distributions of excess loan proceeds, and changes in fair value of the financing arrangement obligation are recognized as interest (income) expense in the Company's consolidated statements of operations. </w:t>
      </w:r>
    </w:p>
    <w:p w:rsidR="00000000" w:rsidRDefault="00BC0821">
      <w:pPr>
        <w:ind w:firstLine="495"/>
        <w:divId w:val="1847279617"/>
        <w:rPr>
          <w:rFonts w:eastAsia="Times New Roman"/>
        </w:rPr>
      </w:pPr>
      <w:r>
        <w:rPr>
          <w:rFonts w:eastAsia="Times New Roman"/>
          <w:color w:val="000000"/>
          <w:sz w:val="20"/>
          <w:szCs w:val="20"/>
        </w:rPr>
        <w:t>During the three an</w:t>
      </w:r>
      <w:r>
        <w:rPr>
          <w:rFonts w:eastAsia="Times New Roman"/>
          <w:color w:val="000000"/>
          <w:sz w:val="20"/>
          <w:szCs w:val="20"/>
        </w:rPr>
        <w:t>d nine months ended September 30, 2022 and 2021, the Company recognized interest expense in the Company's consolidated statements of operations in connection with the financing arrangement as follows:</w:t>
      </w:r>
    </w:p>
    <w:tbl>
      <w:tblPr>
        <w:tblW w:w="4700" w:type="pct"/>
        <w:tblCellMar>
          <w:top w:w="15" w:type="dxa"/>
          <w:left w:w="15" w:type="dxa"/>
          <w:bottom w:w="15" w:type="dxa"/>
          <w:right w:w="15" w:type="dxa"/>
        </w:tblCellMar>
        <w:tblLook w:val="04A0" w:firstRow="1" w:lastRow="0" w:firstColumn="1" w:lastColumn="0" w:noHBand="0" w:noVBand="1"/>
      </w:tblPr>
      <w:tblGrid>
        <w:gridCol w:w="37"/>
        <w:gridCol w:w="4413"/>
        <w:gridCol w:w="36"/>
        <w:gridCol w:w="120"/>
        <w:gridCol w:w="606"/>
        <w:gridCol w:w="36"/>
        <w:gridCol w:w="36"/>
        <w:gridCol w:w="36"/>
        <w:gridCol w:w="36"/>
        <w:gridCol w:w="120"/>
        <w:gridCol w:w="584"/>
        <w:gridCol w:w="36"/>
        <w:gridCol w:w="36"/>
        <w:gridCol w:w="36"/>
        <w:gridCol w:w="36"/>
        <w:gridCol w:w="120"/>
        <w:gridCol w:w="600"/>
        <w:gridCol w:w="36"/>
        <w:gridCol w:w="36"/>
        <w:gridCol w:w="36"/>
        <w:gridCol w:w="36"/>
        <w:gridCol w:w="120"/>
        <w:gridCol w:w="584"/>
        <w:gridCol w:w="36"/>
      </w:tblGrid>
      <w:tr w:rsidR="00000000">
        <w:trPr>
          <w:divId w:val="2101021473"/>
        </w:trPr>
        <w:tc>
          <w:tcPr>
            <w:tcW w:w="50" w:type="pct"/>
            <w:vAlign w:val="center"/>
            <w:hideMark/>
          </w:tcPr>
          <w:p w:rsidR="00000000" w:rsidRDefault="00BC0821">
            <w:pPr>
              <w:ind w:firstLine="495"/>
              <w:rPr>
                <w:rFonts w:eastAsia="Times New Roman"/>
              </w:rPr>
            </w:pPr>
          </w:p>
        </w:tc>
        <w:tc>
          <w:tcPr>
            <w:tcW w:w="289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38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1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10102147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210102147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210102147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Distributions equal to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0102147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1,631 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3,583 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8,492 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12,583 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0102147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5,053 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(10,306)</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14,837 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(12,608)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101021473"/>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(7,708)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23,368 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2109232857"/>
        <w:rPr>
          <w:rFonts w:eastAsia="Times New Roman"/>
        </w:rPr>
      </w:pPr>
    </w:p>
    <w:p w:rsidR="00000000" w:rsidRDefault="00BC0821">
      <w:pPr>
        <w:ind w:firstLine="495"/>
        <w:divId w:val="1404139121"/>
        <w:rPr>
          <w:rFonts w:eastAsia="Times New Roman"/>
        </w:rPr>
      </w:pPr>
    </w:p>
    <w:p w:rsidR="00000000" w:rsidRDefault="00BC0821">
      <w:pPr>
        <w:ind w:firstLine="495"/>
        <w:divId w:val="24445840"/>
        <w:rPr>
          <w:rFonts w:eastAsia="Times New Roman"/>
        </w:rPr>
      </w:pPr>
    </w:p>
    <w:p w:rsidR="00000000" w:rsidRDefault="00BC0821">
      <w:pPr>
        <w:ind w:firstLine="495"/>
        <w:divId w:val="1046760347"/>
        <w:rPr>
          <w:rFonts w:eastAsia="Times New Roman"/>
        </w:rPr>
      </w:pPr>
    </w:p>
    <w:p w:rsidR="00000000" w:rsidRDefault="00BC0821">
      <w:pPr>
        <w:ind w:firstLine="495"/>
        <w:divId w:val="476342283"/>
        <w:rPr>
          <w:rFonts w:eastAsia="Times New Roman"/>
        </w:rPr>
      </w:pPr>
    </w:p>
    <w:p w:rsidR="00000000" w:rsidRDefault="00BC0821">
      <w:pPr>
        <w:ind w:firstLine="495"/>
        <w:divId w:val="275262114"/>
        <w:rPr>
          <w:rFonts w:eastAsia="Times New Roman"/>
        </w:rPr>
      </w:pPr>
    </w:p>
    <w:p w:rsidR="00000000" w:rsidRDefault="00BC0821">
      <w:pPr>
        <w:jc w:val="center"/>
        <w:divId w:val="333411597"/>
        <w:rPr>
          <w:rFonts w:eastAsia="Times New Roman"/>
        </w:rPr>
      </w:pPr>
      <w:r>
        <w:rPr>
          <w:rFonts w:eastAsia="Times New Roman"/>
          <w:color w:val="000000"/>
          <w:sz w:val="20"/>
          <w:szCs w:val="20"/>
        </w:rPr>
        <w:t>22</w:t>
      </w:r>
    </w:p>
    <w:p w:rsidR="00000000" w:rsidRDefault="00BC0821">
      <w:pPr>
        <w:rPr>
          <w:rFonts w:eastAsia="Times New Roman"/>
        </w:rPr>
      </w:pPr>
      <w:r>
        <w:rPr>
          <w:rFonts w:eastAsia="Times New Roman"/>
        </w:rPr>
        <w:pict>
          <v:rect id="_x0000_i1046" style="width:0;height:1.5pt" o:hralign="center" o:hrstd="t" o:hr="t" fillcolor="#a0a0a0" stroked="f"/>
        </w:pict>
      </w:r>
    </w:p>
    <w:p w:rsidR="00000000" w:rsidRDefault="00BC0821">
      <w:pPr>
        <w:divId w:val="1103768649"/>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2144107341"/>
        <w:rPr>
          <w:rFonts w:eastAsia="Times New Roman"/>
        </w:rPr>
      </w:pPr>
      <w:r>
        <w:rPr>
          <w:rFonts w:eastAsia="Times New Roman"/>
          <w:b/>
          <w:bCs/>
          <w:color w:val="000000"/>
          <w:sz w:val="20"/>
          <w:szCs w:val="20"/>
        </w:rPr>
        <w:t>THE MACERICH COMPANY</w:t>
      </w:r>
    </w:p>
    <w:p w:rsidR="00000000" w:rsidRDefault="00BC0821">
      <w:pPr>
        <w:jc w:val="center"/>
        <w:divId w:val="1910001306"/>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62278094"/>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621422737"/>
        <w:rPr>
          <w:rFonts w:eastAsia="Times New Roman"/>
        </w:rPr>
      </w:pPr>
      <w:r>
        <w:rPr>
          <w:rFonts w:eastAsia="Times New Roman"/>
          <w:b/>
          <w:bCs/>
          <w:color w:val="000000"/>
          <w:sz w:val="20"/>
          <w:szCs w:val="20"/>
        </w:rPr>
        <w:t>(Unaudited)</w:t>
      </w:r>
    </w:p>
    <w:p w:rsidR="00000000" w:rsidRDefault="00BC0821">
      <w:pPr>
        <w:divId w:val="1192764673"/>
        <w:rPr>
          <w:rFonts w:eastAsia="Times New Roman"/>
        </w:rPr>
      </w:pPr>
      <w:r>
        <w:rPr>
          <w:rFonts w:eastAsia="Times New Roman"/>
          <w:b/>
          <w:bCs/>
          <w:color w:val="000000"/>
          <w:sz w:val="20"/>
          <w:szCs w:val="20"/>
        </w:rPr>
        <w:t>13. Noncontrolling Interests:</w:t>
      </w:r>
    </w:p>
    <w:p w:rsidR="00000000" w:rsidRDefault="00BC0821">
      <w:pPr>
        <w:ind w:firstLine="495"/>
        <w:divId w:val="1126660448"/>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w:t>
      </w:r>
      <w:r>
        <w:rPr>
          <w:rFonts w:eastAsia="Times New Roman"/>
          <w:color w:val="000000"/>
          <w:sz w:val="20"/>
          <w:szCs w:val="20"/>
        </w:rPr>
        <w:t xml:space="preserve">he Operating Partnership that is not attributable to the Company is reflected in the consolidated statements of operations as noncontrolling interests. The Company adjusts the noncontrolling interests in the Operating Partnership at the end of each period </w:t>
      </w:r>
      <w:r>
        <w:rPr>
          <w:rFonts w:eastAsia="Times New Roman"/>
          <w:color w:val="000000"/>
          <w:sz w:val="20"/>
          <w:szCs w:val="20"/>
        </w:rPr>
        <w:t xml:space="preserve">to reflect its ownership interest in the Company. The Company had a 96% ownership interest in the Operating Partnership as of September 30, 2022 and December 31, 2021. The remaining 4% limited partnership interest as of September 30, 2022 and December 31, </w:t>
      </w:r>
      <w:r>
        <w:rPr>
          <w:rFonts w:eastAsia="Times New Roman"/>
          <w:color w:val="000000"/>
          <w:sz w:val="20"/>
          <w:szCs w:val="20"/>
        </w:rPr>
        <w:t>2021 was owned by certain of the Company's executive officers and directors, certain of their affiliates and other third party investors in the form of OP Units. The OP Units may be redeemed for shares of stock or cash, at the Company's option. The redempt</w:t>
      </w:r>
      <w:r>
        <w:rPr>
          <w:rFonts w:eastAsia="Times New Roman"/>
          <w:color w:val="000000"/>
          <w:sz w:val="20"/>
          <w:szCs w:val="20"/>
        </w:rPr>
        <w:t>ion value for each OP Unit as of any balance sheet date is the amount equal to the average of the closing price per share of the Company's common stock, par value $0.01 per share, as reported on the New York Stock Exchange for the 10 trading days ending on</w:t>
      </w:r>
      <w:r>
        <w:rPr>
          <w:rFonts w:eastAsia="Times New Roman"/>
          <w:color w:val="000000"/>
          <w:sz w:val="20"/>
          <w:szCs w:val="20"/>
        </w:rPr>
        <w:t xml:space="preserve"> the respective balance sheet date. Accordingly, as of September 30, 2022 and December 31, 2021, the aggregate redemption value of the then-outstanding OP Units not owned by the Company was $70,864 and $147,259, respectively.</w:t>
      </w:r>
    </w:p>
    <w:p w:rsidR="00000000" w:rsidRDefault="00BC0821">
      <w:pPr>
        <w:ind w:firstLine="495"/>
        <w:divId w:val="307976870"/>
        <w:rPr>
          <w:rFonts w:eastAsia="Times New Roman"/>
        </w:rPr>
      </w:pPr>
      <w:r>
        <w:rPr>
          <w:rFonts w:eastAsia="Times New Roman"/>
          <w:color w:val="000000"/>
          <w:sz w:val="20"/>
          <w:szCs w:val="20"/>
        </w:rPr>
        <w:t xml:space="preserve">The Company issued common and </w:t>
      </w:r>
      <w:r>
        <w:rPr>
          <w:rFonts w:eastAsia="Times New Roman"/>
          <w:color w:val="000000"/>
          <w:sz w:val="20"/>
          <w:szCs w:val="20"/>
        </w:rPr>
        <w:t>preferred units of MACWH, LP in April 2005 in connection with the acquisition of the Wilmorite portfolio. The common and preferred units of MACWH, LP are redeemable at the election of the holder. The Company may redeem them for cash or shares of the Compan</w:t>
      </w:r>
      <w:r>
        <w:rPr>
          <w:rFonts w:eastAsia="Times New Roman"/>
          <w:color w:val="000000"/>
          <w:sz w:val="20"/>
          <w:szCs w:val="20"/>
        </w:rPr>
        <w:t>y's stock at the Company's option and they are classified as permanent equity.</w:t>
      </w:r>
    </w:p>
    <w:p w:rsidR="00000000" w:rsidRDefault="00BC0821">
      <w:pPr>
        <w:ind w:firstLine="495"/>
        <w:divId w:val="1112285885"/>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w:t>
      </w:r>
      <w:r>
        <w:rPr>
          <w:rFonts w:eastAsia="Times New Roman"/>
          <w:color w:val="000000"/>
          <w:sz w:val="20"/>
          <w:szCs w:val="20"/>
        </w:rPr>
        <w:t xml:space="preserve"> ownership interests in either cash or stock.</w:t>
      </w:r>
    </w:p>
    <w:p w:rsidR="00000000" w:rsidRDefault="00BC0821">
      <w:pPr>
        <w:divId w:val="742221919"/>
        <w:rPr>
          <w:rFonts w:eastAsia="Times New Roman"/>
        </w:rPr>
      </w:pPr>
      <w:r>
        <w:rPr>
          <w:rFonts w:eastAsia="Times New Roman"/>
          <w:b/>
          <w:bCs/>
          <w:color w:val="000000"/>
          <w:sz w:val="20"/>
          <w:szCs w:val="20"/>
        </w:rPr>
        <w:t>14. Stockholders' Equity:</w:t>
      </w:r>
    </w:p>
    <w:p w:rsidR="00000000" w:rsidRDefault="00BC0821">
      <w:pPr>
        <w:ind w:firstLine="495"/>
        <w:divId w:val="452989880"/>
        <w:rPr>
          <w:rFonts w:eastAsia="Times New Roman"/>
        </w:rPr>
      </w:pPr>
      <w:r>
        <w:rPr>
          <w:rFonts w:eastAsia="Times New Roman"/>
          <w:i/>
          <w:iCs/>
          <w:color w:val="000000"/>
          <w:sz w:val="20"/>
          <w:szCs w:val="20"/>
        </w:rPr>
        <w:t>Stock Offerings</w:t>
      </w:r>
    </w:p>
    <w:p w:rsidR="00000000" w:rsidRDefault="00BC0821">
      <w:pPr>
        <w:ind w:firstLine="495"/>
        <w:divId w:val="238372756"/>
        <w:rPr>
          <w:rFonts w:eastAsia="Times New Roman"/>
        </w:rPr>
      </w:pPr>
      <w:r>
        <w:rPr>
          <w:rFonts w:eastAsia="Times New Roman"/>
          <w:color w:val="000000"/>
          <w:sz w:val="20"/>
          <w:szCs w:val="20"/>
        </w:rPr>
        <w:t>In connection with the commencement of separate “at the market” offering programs, on each of February 1, 2021 and March 26, 2021, which are referred to as the “Februar</w:t>
      </w:r>
      <w:r>
        <w:rPr>
          <w:rFonts w:eastAsia="Times New Roman"/>
          <w:color w:val="000000"/>
          <w:sz w:val="20"/>
          <w:szCs w:val="20"/>
        </w:rPr>
        <w:t>y 2021 ATM Program” and the “March 2021 ATM Program,” respectively, and collectively as the “ATM Programs,” the Company entered into separate equity distribution agreements with certain sales agents pursuant to which the Company may issue and sell shares o</w:t>
      </w:r>
      <w:r>
        <w:rPr>
          <w:rFonts w:eastAsia="Times New Roman"/>
          <w:color w:val="000000"/>
          <w:sz w:val="20"/>
          <w:szCs w:val="20"/>
        </w:rPr>
        <w:t>f its common stock having an aggregate offering price of up to $500,000 under each of the February 2021 ATM Program and the March 2021 ATM Program, or a total of $1,000,000 under the ATM Programs. The February 2021 ATM Program was fully utilized as of June</w:t>
      </w:r>
      <w:r>
        <w:rPr>
          <w:rFonts w:eastAsia="Times New Roman"/>
          <w:color w:val="000000"/>
          <w:sz w:val="20"/>
          <w:szCs w:val="20"/>
        </w:rPr>
        <w:t xml:space="preserve"> 30, 2021 and is no longer active.</w:t>
      </w:r>
    </w:p>
    <w:p w:rsidR="00000000" w:rsidRDefault="00BC0821">
      <w:pPr>
        <w:ind w:firstLine="495"/>
        <w:divId w:val="148984836"/>
        <w:rPr>
          <w:rFonts w:eastAsia="Times New Roman"/>
        </w:rPr>
      </w:pPr>
      <w:r>
        <w:rPr>
          <w:rFonts w:eastAsia="Times New Roman"/>
          <w:color w:val="000000"/>
          <w:sz w:val="20"/>
          <w:szCs w:val="20"/>
        </w:rPr>
        <w:t>During the nine months ended September 30, 2022, the Company did not issue any shares of common stock under the March 2021 ATM Program. As of September 30, 2022, $151,699 remained available to be sold under the March 2021</w:t>
      </w:r>
      <w:r>
        <w:rPr>
          <w:rFonts w:eastAsia="Times New Roman"/>
          <w:color w:val="000000"/>
          <w:sz w:val="20"/>
          <w:szCs w:val="20"/>
        </w:rPr>
        <w:t xml:space="preserve"> ATM Program. Actual future sales will depend upon a variety of factors including, but not limited to, market conditions, the trading price of the Company’s common stock and the Company’s capital needs. The Company has no obligation to sell the remaining s</w:t>
      </w:r>
      <w:r>
        <w:rPr>
          <w:rFonts w:eastAsia="Times New Roman"/>
          <w:color w:val="000000"/>
          <w:sz w:val="20"/>
          <w:szCs w:val="20"/>
        </w:rPr>
        <w:t xml:space="preserve">hares available for sale under the March 2021 ATM Program. </w:t>
      </w:r>
    </w:p>
    <w:p w:rsidR="00000000" w:rsidRDefault="00BC0821">
      <w:pPr>
        <w:ind w:firstLine="495"/>
        <w:divId w:val="877012412"/>
        <w:rPr>
          <w:rFonts w:eastAsia="Times New Roman"/>
        </w:rPr>
      </w:pPr>
      <w:r>
        <w:rPr>
          <w:rFonts w:eastAsia="Times New Roman"/>
          <w:color w:val="000000"/>
          <w:sz w:val="20"/>
          <w:szCs w:val="20"/>
        </w:rPr>
        <w:t>During the nine months ended September 30, 2021, the Company issued 62,029,777 shares of common stock under the ATM Programs for aggregate gross proceeds of $847,875 and net proceeds of $829,874 a</w:t>
      </w:r>
      <w:r>
        <w:rPr>
          <w:rFonts w:eastAsia="Times New Roman"/>
          <w:color w:val="000000"/>
          <w:sz w:val="20"/>
          <w:szCs w:val="20"/>
        </w:rPr>
        <w:t>fter commissions and other transaction costs.</w:t>
      </w:r>
    </w:p>
    <w:p w:rsidR="00000000" w:rsidRDefault="00BC0821">
      <w:pPr>
        <w:ind w:firstLine="495"/>
        <w:divId w:val="549420652"/>
        <w:rPr>
          <w:rFonts w:eastAsia="Times New Roman"/>
        </w:rPr>
      </w:pPr>
      <w:r>
        <w:rPr>
          <w:rFonts w:eastAsia="Times New Roman"/>
          <w:i/>
          <w:iCs/>
          <w:color w:val="000000"/>
          <w:sz w:val="20"/>
          <w:szCs w:val="20"/>
        </w:rPr>
        <w:t>Stock Buyback Program</w:t>
      </w:r>
    </w:p>
    <w:p w:rsidR="00000000" w:rsidRDefault="00BC0821">
      <w:pPr>
        <w:ind w:firstLine="495"/>
        <w:divId w:val="648097655"/>
        <w:rPr>
          <w:rFonts w:eastAsia="Times New Roman"/>
        </w:rPr>
      </w:pPr>
      <w:r>
        <w:rPr>
          <w:rFonts w:eastAsia="Times New Roman"/>
          <w:color w:val="000000"/>
          <w:sz w:val="20"/>
          <w:szCs w:val="20"/>
        </w:rPr>
        <w:t>On February 12, 2017, the Company's Board of Directors authorized the repurchase of up to $500,000 of its outstanding common shares as market conditions and the Company’s liquidity warrant</w:t>
      </w:r>
      <w:r>
        <w:rPr>
          <w:rFonts w:eastAsia="Times New Roman"/>
          <w:color w:val="000000"/>
          <w:sz w:val="20"/>
          <w:szCs w:val="20"/>
        </w:rPr>
        <w:t>. Repurchases may be made through open market purchases, privately negotiated transactions, structured or derivative transactions, including ASR transactions, or other methods of acquiring shares, from time to time as permitted by securities laws and other</w:t>
      </w:r>
      <w:r>
        <w:rPr>
          <w:rFonts w:eastAsia="Times New Roman"/>
          <w:color w:val="000000"/>
          <w:sz w:val="20"/>
          <w:szCs w:val="20"/>
        </w:rPr>
        <w:t xml:space="preserve"> legal requirements. The program is referred to herein as the "Stock Buyback Program".</w:t>
      </w:r>
    </w:p>
    <w:p w:rsidR="00000000" w:rsidRDefault="00BC0821">
      <w:pPr>
        <w:ind w:firstLine="495"/>
        <w:divId w:val="111871689"/>
        <w:rPr>
          <w:rFonts w:eastAsia="Times New Roman"/>
        </w:rPr>
      </w:pPr>
      <w:r>
        <w:rPr>
          <w:rFonts w:eastAsia="Times New Roman"/>
          <w:color w:val="000000"/>
          <w:sz w:val="20"/>
          <w:szCs w:val="20"/>
        </w:rPr>
        <w:t>There were no repurchases under the Stock Buyback Program during the nine months ended September 30, 2022 or 2021.</w:t>
      </w:r>
    </w:p>
    <w:p w:rsidR="00000000" w:rsidRDefault="00BC0821">
      <w:pPr>
        <w:ind w:firstLine="495"/>
        <w:divId w:val="1403336183"/>
        <w:rPr>
          <w:rFonts w:eastAsia="Times New Roman"/>
        </w:rPr>
      </w:pPr>
      <w:r>
        <w:rPr>
          <w:rFonts w:eastAsia="Times New Roman"/>
          <w:color w:val="000000"/>
          <w:sz w:val="20"/>
          <w:szCs w:val="20"/>
        </w:rPr>
        <w:t xml:space="preserve">     </w:t>
      </w:r>
    </w:p>
    <w:p w:rsidR="00000000" w:rsidRDefault="00BC0821">
      <w:pPr>
        <w:jc w:val="center"/>
        <w:divId w:val="1355381655"/>
        <w:rPr>
          <w:rFonts w:eastAsia="Times New Roman"/>
        </w:rPr>
      </w:pPr>
      <w:r>
        <w:rPr>
          <w:rFonts w:eastAsia="Times New Roman"/>
          <w:color w:val="000000"/>
          <w:sz w:val="20"/>
          <w:szCs w:val="20"/>
        </w:rPr>
        <w:t>23</w:t>
      </w:r>
    </w:p>
    <w:p w:rsidR="00000000" w:rsidRDefault="00BC0821">
      <w:pPr>
        <w:rPr>
          <w:rFonts w:eastAsia="Times New Roman"/>
        </w:rPr>
      </w:pPr>
      <w:r>
        <w:rPr>
          <w:rFonts w:eastAsia="Times New Roman"/>
        </w:rPr>
        <w:pict>
          <v:rect id="_x0000_i1047" style="width:0;height:1.5pt" o:hralign="center" o:hrstd="t" o:hr="t" fillcolor="#a0a0a0" stroked="f"/>
        </w:pict>
      </w:r>
    </w:p>
    <w:p w:rsidR="00000000" w:rsidRDefault="00BC0821">
      <w:pPr>
        <w:divId w:val="129606192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745227558"/>
        <w:rPr>
          <w:rFonts w:eastAsia="Times New Roman"/>
        </w:rPr>
      </w:pPr>
      <w:r>
        <w:rPr>
          <w:rFonts w:eastAsia="Times New Roman"/>
          <w:b/>
          <w:bCs/>
          <w:color w:val="000000"/>
          <w:sz w:val="20"/>
          <w:szCs w:val="20"/>
        </w:rPr>
        <w:t>THE MACERICH COMPANY</w:t>
      </w:r>
    </w:p>
    <w:p w:rsidR="00000000" w:rsidRDefault="00BC0821">
      <w:pPr>
        <w:jc w:val="center"/>
        <w:divId w:val="1826315145"/>
        <w:rPr>
          <w:rFonts w:eastAsia="Times New Roman"/>
        </w:rPr>
      </w:pPr>
      <w:r>
        <w:rPr>
          <w:rFonts w:eastAsia="Times New Roman"/>
          <w:b/>
          <w:bCs/>
          <w:color w:val="000000"/>
          <w:sz w:val="20"/>
          <w:szCs w:val="20"/>
        </w:rPr>
        <w:t>NOTES TO CONSOLIDATED FINANCIAL STATEMENTS (Continued)</w:t>
      </w:r>
    </w:p>
    <w:p w:rsidR="00000000" w:rsidRDefault="00BC0821">
      <w:pPr>
        <w:jc w:val="center"/>
        <w:divId w:val="674696181"/>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298073559"/>
        <w:rPr>
          <w:rFonts w:eastAsia="Times New Roman"/>
        </w:rPr>
      </w:pPr>
      <w:r>
        <w:rPr>
          <w:rFonts w:eastAsia="Times New Roman"/>
          <w:b/>
          <w:bCs/>
          <w:color w:val="000000"/>
          <w:sz w:val="20"/>
          <w:szCs w:val="20"/>
        </w:rPr>
        <w:t>(Unaudited)</w:t>
      </w:r>
    </w:p>
    <w:p w:rsidR="00000000" w:rsidRDefault="00BC0821">
      <w:pPr>
        <w:divId w:val="1251086416"/>
        <w:rPr>
          <w:rFonts w:eastAsia="Times New Roman"/>
        </w:rPr>
      </w:pPr>
    </w:p>
    <w:p w:rsidR="00000000" w:rsidRDefault="00BC0821">
      <w:pPr>
        <w:divId w:val="741681595"/>
        <w:rPr>
          <w:rFonts w:eastAsia="Times New Roman"/>
        </w:rPr>
      </w:pPr>
      <w:r>
        <w:rPr>
          <w:rFonts w:eastAsia="Times New Roman"/>
          <w:b/>
          <w:bCs/>
          <w:color w:val="000000"/>
          <w:sz w:val="20"/>
          <w:szCs w:val="20"/>
        </w:rPr>
        <w:t>15.   Acquisitions:</w:t>
      </w:r>
    </w:p>
    <w:p w:rsidR="00000000" w:rsidRDefault="00BC0821">
      <w:pPr>
        <w:ind w:firstLine="495"/>
        <w:divId w:val="7828945"/>
        <w:rPr>
          <w:rFonts w:eastAsia="Times New Roman"/>
        </w:rPr>
      </w:pPr>
      <w:r>
        <w:rPr>
          <w:rFonts w:eastAsia="Times New Roman"/>
          <w:color w:val="000000"/>
          <w:sz w:val="20"/>
          <w:szCs w:val="20"/>
        </w:rPr>
        <w:t>On August 2, 2022, the Company acquired the remaining 50% ownership interest in two former Sears parcels (Deptford Mall and Vintage Faire Mall) in the MS Por</w:t>
      </w:r>
      <w:r>
        <w:rPr>
          <w:rFonts w:eastAsia="Times New Roman"/>
          <w:color w:val="000000"/>
          <w:sz w:val="20"/>
          <w:szCs w:val="20"/>
        </w:rPr>
        <w:t>tfolio LLC joint venture that it did not previously own for a total purchase price of $24,544. Effective as of August 2, 2022, the Company now owns and has consolidated its 100% interest in these two former Sears parcels in its consolidated financial state</w:t>
      </w:r>
      <w:r>
        <w:rPr>
          <w:rFonts w:eastAsia="Times New Roman"/>
          <w:color w:val="000000"/>
          <w:sz w:val="20"/>
          <w:szCs w:val="20"/>
        </w:rPr>
        <w:t>ments.</w:t>
      </w:r>
    </w:p>
    <w:p w:rsidR="00000000" w:rsidRDefault="00BC0821">
      <w:pPr>
        <w:ind w:firstLine="495"/>
        <w:divId w:val="1809782973"/>
        <w:rPr>
          <w:rFonts w:eastAsia="Times New Roman"/>
        </w:rPr>
      </w:pPr>
      <w:r>
        <w:rPr>
          <w:rFonts w:eastAsia="Times New Roman"/>
          <w:color w:val="000000"/>
          <w:sz w:val="20"/>
          <w:szCs w:val="20"/>
        </w:rPr>
        <w:t>The following is a summary of the allocation of the fair value of the former Sears parcels at Deptford Mall and Vintage Faire Mall:</w:t>
      </w:r>
    </w:p>
    <w:tbl>
      <w:tblPr>
        <w:tblW w:w="4108" w:type="pct"/>
        <w:tblCellMar>
          <w:top w:w="15" w:type="dxa"/>
          <w:left w:w="15" w:type="dxa"/>
          <w:bottom w:w="15" w:type="dxa"/>
          <w:right w:w="15" w:type="dxa"/>
        </w:tblCellMar>
        <w:tblLook w:val="04A0" w:firstRow="1" w:lastRow="0" w:firstColumn="1" w:lastColumn="0" w:noHBand="0" w:noVBand="1"/>
      </w:tblPr>
      <w:tblGrid>
        <w:gridCol w:w="38"/>
        <w:gridCol w:w="5649"/>
        <w:gridCol w:w="36"/>
        <w:gridCol w:w="120"/>
        <w:gridCol w:w="945"/>
        <w:gridCol w:w="36"/>
      </w:tblGrid>
      <w:tr w:rsidR="00000000">
        <w:trPr>
          <w:divId w:val="1075198864"/>
        </w:trPr>
        <w:tc>
          <w:tcPr>
            <w:tcW w:w="50" w:type="pct"/>
            <w:vAlign w:val="center"/>
            <w:hideMark/>
          </w:tcPr>
          <w:p w:rsidR="00000000" w:rsidRDefault="00BC0821">
            <w:pPr>
              <w:ind w:firstLine="495"/>
              <w:rPr>
                <w:rFonts w:eastAsia="Times New Roman"/>
              </w:rPr>
            </w:pPr>
          </w:p>
        </w:tc>
        <w:tc>
          <w:tcPr>
            <w:tcW w:w="41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1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07519886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6,966 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07519886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Building and improvements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32,934 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07519886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charges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8,075 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07519886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assets (above-market leases)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075198864"/>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Other accrued liabilities (below-market lease)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(2,541)</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075198864"/>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divId w:val="725837755"/>
              <w:rPr>
                <w:rFonts w:eastAsia="Times New Roman"/>
              </w:rPr>
            </w:pPr>
            <w:r>
              <w:rPr>
                <w:rFonts w:eastAsia="Times New Roman"/>
                <w:color w:val="000000"/>
                <w:sz w:val="20"/>
                <w:szCs w:val="20"/>
              </w:rPr>
              <w:t>Fair value of acquired net assets (at 100% ownership)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48,098 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divId w:val="462500247"/>
        <w:rPr>
          <w:rFonts w:eastAsia="Times New Roman"/>
        </w:rPr>
      </w:pPr>
    </w:p>
    <w:p w:rsidR="00000000" w:rsidRDefault="00BC0821">
      <w:pPr>
        <w:ind w:hanging="360"/>
        <w:divId w:val="2117823955"/>
        <w:rPr>
          <w:rFonts w:eastAsia="Times New Roman"/>
        </w:rPr>
      </w:pPr>
      <w:r>
        <w:rPr>
          <w:rFonts w:eastAsia="Times New Roman"/>
          <w:b/>
          <w:bCs/>
          <w:color w:val="000000"/>
          <w:sz w:val="20"/>
          <w:szCs w:val="20"/>
        </w:rPr>
        <w:t>16.   Dispositions:</w:t>
      </w:r>
    </w:p>
    <w:p w:rsidR="00000000" w:rsidRDefault="00BC0821">
      <w:pPr>
        <w:ind w:firstLine="495"/>
        <w:divId w:val="1376733190"/>
        <w:rPr>
          <w:rFonts w:eastAsia="Times New Roman"/>
        </w:rPr>
      </w:pPr>
      <w:r>
        <w:rPr>
          <w:rFonts w:eastAsia="Times New Roman"/>
          <w:color w:val="000000"/>
          <w:sz w:val="20"/>
          <w:szCs w:val="20"/>
        </w:rPr>
        <w:t>On March 29, 2021, the Company sold Paradise Valley Mall in Phoenix, Arizona to a newly formed joint venture for $100,000 resulting in a gain on sale of assets and land of $5,563. Concurrent with the sale, the Company elected to reinvest into the new joint</w:t>
      </w:r>
      <w:r>
        <w:rPr>
          <w:rFonts w:eastAsia="Times New Roman"/>
          <w:color w:val="000000"/>
          <w:sz w:val="20"/>
          <w:szCs w:val="20"/>
        </w:rPr>
        <w:t xml:space="preserve"> venture at a 5% ownership interest (see Note 4 – Investments in Unconsolidated Joint Ventures). The Company used the proceeds from the sale to pay down its line of credit and for other general corporate purposes.</w:t>
      </w:r>
    </w:p>
    <w:p w:rsidR="00000000" w:rsidRDefault="00BC0821">
      <w:pPr>
        <w:ind w:firstLine="495"/>
        <w:divId w:val="726537052"/>
        <w:rPr>
          <w:rFonts w:eastAsia="Times New Roman"/>
        </w:rPr>
      </w:pPr>
      <w:r>
        <w:rPr>
          <w:rFonts w:eastAsia="Times New Roman"/>
          <w:color w:val="000000"/>
          <w:sz w:val="20"/>
          <w:szCs w:val="20"/>
        </w:rPr>
        <w:t>On September 17, 2021, the Company sold Tu</w:t>
      </w:r>
      <w:r>
        <w:rPr>
          <w:rFonts w:eastAsia="Times New Roman"/>
          <w:color w:val="000000"/>
          <w:sz w:val="20"/>
          <w:szCs w:val="20"/>
        </w:rPr>
        <w:t>cson La Encantada in Tucson, Arizona for $165,250, resulting in a gain on sale of assets of approximately $117,242. The Company used the net cash proceeds of $100,142 to pay down debt.</w:t>
      </w:r>
    </w:p>
    <w:p w:rsidR="00000000" w:rsidRDefault="00BC0821">
      <w:pPr>
        <w:ind w:firstLine="495"/>
        <w:divId w:val="1035154566"/>
        <w:rPr>
          <w:rFonts w:eastAsia="Times New Roman"/>
        </w:rPr>
      </w:pPr>
      <w:r>
        <w:rPr>
          <w:rFonts w:eastAsia="Times New Roman"/>
          <w:color w:val="000000"/>
          <w:sz w:val="20"/>
          <w:szCs w:val="20"/>
        </w:rPr>
        <w:t>For the three and nine months ended September 30, 2022, the Company sol</w:t>
      </w:r>
      <w:r>
        <w:rPr>
          <w:rFonts w:eastAsia="Times New Roman"/>
          <w:color w:val="000000"/>
          <w:sz w:val="20"/>
          <w:szCs w:val="20"/>
        </w:rPr>
        <w:t>d various land parcels in separate transactions, resulting in gains on sale of land of $6,240 and $21,387, respectively. For the three and nine months ended September 30, 2021, the Company sold various land parcels in separate transactions, resulting in ga</w:t>
      </w:r>
      <w:r>
        <w:rPr>
          <w:rFonts w:eastAsia="Times New Roman"/>
          <w:color w:val="000000"/>
          <w:sz w:val="20"/>
          <w:szCs w:val="20"/>
        </w:rPr>
        <w:t xml:space="preserve">ins on sale of land of $95 and $19,913, respectively. The Company used its share of the proceeds from these sales to pay down debt and for other general corporate purposes. </w:t>
      </w:r>
    </w:p>
    <w:p w:rsidR="00000000" w:rsidRDefault="00BC0821">
      <w:pPr>
        <w:divId w:val="506408023"/>
        <w:rPr>
          <w:rFonts w:eastAsia="Times New Roman"/>
        </w:rPr>
      </w:pPr>
      <w:r>
        <w:rPr>
          <w:rFonts w:eastAsia="Times New Roman"/>
          <w:b/>
          <w:bCs/>
          <w:color w:val="000000"/>
          <w:sz w:val="20"/>
          <w:szCs w:val="20"/>
        </w:rPr>
        <w:t>17. Commitments and Contingencies:</w:t>
      </w:r>
    </w:p>
    <w:p w:rsidR="00000000" w:rsidRDefault="00BC0821">
      <w:pPr>
        <w:ind w:firstLine="495"/>
        <w:divId w:val="724837821"/>
        <w:rPr>
          <w:rFonts w:eastAsia="Times New Roman"/>
        </w:rPr>
      </w:pPr>
      <w:r>
        <w:rPr>
          <w:rFonts w:eastAsia="Times New Roman"/>
          <w:color w:val="000000"/>
          <w:sz w:val="20"/>
          <w:szCs w:val="20"/>
        </w:rPr>
        <w:t>As of September 30, 2022, the Company was conti</w:t>
      </w:r>
      <w:r>
        <w:rPr>
          <w:rFonts w:eastAsia="Times New Roman"/>
          <w:color w:val="000000"/>
          <w:sz w:val="20"/>
          <w:szCs w:val="20"/>
        </w:rPr>
        <w:t>ngently liable for $40,929 in letters of credit guaranteeing performance by the Company of certain obligations relating to the Centers. As of September 30, 2022, $40,680 of these letters of credit were secured by restricted cash. The Company does not belie</w:t>
      </w:r>
      <w:r>
        <w:rPr>
          <w:rFonts w:eastAsia="Times New Roman"/>
          <w:color w:val="000000"/>
          <w:sz w:val="20"/>
          <w:szCs w:val="20"/>
        </w:rPr>
        <w:t>ve that these letters of credit will result in a liability to the Company.</w:t>
      </w:r>
    </w:p>
    <w:p w:rsidR="00000000" w:rsidRDefault="00BC0821">
      <w:pPr>
        <w:ind w:firstLine="495"/>
        <w:divId w:val="1315446623"/>
        <w:rPr>
          <w:rFonts w:eastAsia="Times New Roman"/>
        </w:rPr>
      </w:pPr>
      <w:r>
        <w:rPr>
          <w:rFonts w:eastAsia="Times New Roman"/>
          <w:color w:val="000000"/>
          <w:sz w:val="20"/>
          <w:szCs w:val="20"/>
        </w:rPr>
        <w:t xml:space="preserve">The Company has entered into a number of construction agreements related to its redevelopment and development activities. Obligations under these agreements are contingent upon the </w:t>
      </w:r>
      <w:r>
        <w:rPr>
          <w:rFonts w:eastAsia="Times New Roman"/>
          <w:color w:val="000000"/>
          <w:sz w:val="20"/>
          <w:szCs w:val="20"/>
        </w:rPr>
        <w:t>completion of the services within the guidelines specified in the relevant agreement. At September 30, 2022, the Company had $7,131 in outstanding obligations, which it believes will be settled in the next twelve months.</w:t>
      </w:r>
    </w:p>
    <w:p w:rsidR="00000000" w:rsidRDefault="00BC0821">
      <w:pPr>
        <w:divId w:val="566770264"/>
        <w:rPr>
          <w:rFonts w:eastAsia="Times New Roman"/>
        </w:rPr>
      </w:pPr>
    </w:p>
    <w:p w:rsidR="00000000" w:rsidRDefault="00BC0821">
      <w:pPr>
        <w:divId w:val="1705517799"/>
        <w:rPr>
          <w:rFonts w:eastAsia="Times New Roman"/>
        </w:rPr>
      </w:pPr>
    </w:p>
    <w:p w:rsidR="00000000" w:rsidRDefault="00BC0821">
      <w:pPr>
        <w:divId w:val="2099322838"/>
        <w:rPr>
          <w:rFonts w:eastAsia="Times New Roman"/>
        </w:rPr>
      </w:pPr>
    </w:p>
    <w:p w:rsidR="00000000" w:rsidRDefault="00BC0821">
      <w:pPr>
        <w:divId w:val="1487627074"/>
        <w:rPr>
          <w:rFonts w:eastAsia="Times New Roman"/>
        </w:rPr>
      </w:pPr>
    </w:p>
    <w:p w:rsidR="00000000" w:rsidRDefault="00BC0821">
      <w:pPr>
        <w:divId w:val="213467667"/>
        <w:rPr>
          <w:rFonts w:eastAsia="Times New Roman"/>
        </w:rPr>
      </w:pPr>
    </w:p>
    <w:p w:rsidR="00000000" w:rsidRDefault="00BC0821">
      <w:pPr>
        <w:jc w:val="center"/>
        <w:divId w:val="1702126129"/>
        <w:rPr>
          <w:rFonts w:eastAsia="Times New Roman"/>
        </w:rPr>
      </w:pPr>
      <w:r>
        <w:rPr>
          <w:rFonts w:eastAsia="Times New Roman"/>
          <w:color w:val="000000"/>
          <w:sz w:val="20"/>
          <w:szCs w:val="20"/>
        </w:rPr>
        <w:t>24</w:t>
      </w:r>
    </w:p>
    <w:p w:rsidR="00000000" w:rsidRDefault="00BC0821">
      <w:pPr>
        <w:rPr>
          <w:rFonts w:eastAsia="Times New Roman"/>
        </w:rPr>
      </w:pPr>
      <w:r>
        <w:rPr>
          <w:rFonts w:eastAsia="Times New Roman"/>
        </w:rPr>
        <w:pict>
          <v:rect id="_x0000_i1048" style="width:0;height:1.5pt" o:hralign="center" o:hrstd="t" o:hr="t" fillcolor="#a0a0a0" stroked="f"/>
        </w:pict>
      </w:r>
    </w:p>
    <w:p w:rsidR="00000000" w:rsidRDefault="00BC0821">
      <w:pPr>
        <w:divId w:val="68321333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284845867"/>
        <w:rPr>
          <w:rFonts w:eastAsia="Times New Roman"/>
        </w:rPr>
      </w:pPr>
      <w:r>
        <w:rPr>
          <w:rFonts w:eastAsia="Times New Roman"/>
          <w:b/>
          <w:bCs/>
          <w:color w:val="000000"/>
          <w:sz w:val="20"/>
          <w:szCs w:val="20"/>
        </w:rPr>
        <w:t>THE MACERICH COMPANY</w:t>
      </w:r>
    </w:p>
    <w:p w:rsidR="00000000" w:rsidRDefault="00BC0821">
      <w:pPr>
        <w:jc w:val="center"/>
        <w:divId w:val="1478645071"/>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481311604"/>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770589625"/>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BC0821">
      <w:pPr>
        <w:divId w:val="1768771689"/>
        <w:rPr>
          <w:rFonts w:eastAsia="Times New Roman"/>
        </w:rPr>
      </w:pPr>
      <w:r>
        <w:rPr>
          <w:rFonts w:eastAsia="Times New Roman"/>
          <w:b/>
          <w:bCs/>
          <w:color w:val="000000"/>
          <w:sz w:val="20"/>
          <w:szCs w:val="20"/>
        </w:rPr>
        <w:t>18. Related Party Transactions:</w:t>
      </w:r>
    </w:p>
    <w:p w:rsidR="00000000" w:rsidRDefault="00BC0821">
      <w:pPr>
        <w:ind w:firstLine="495"/>
        <w:divId w:val="2107925155"/>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w:t>
      </w:r>
      <w:r>
        <w:rPr>
          <w:rFonts w:eastAsia="Times New Roman"/>
          <w:color w:val="000000"/>
          <w:sz w:val="20"/>
          <w:szCs w:val="20"/>
        </w:rPr>
        <w:t xml:space="preserve"> employees, leasing agents and project managers at the Centers, as well as insurance costs and other administrative expenses. </w:t>
      </w:r>
    </w:p>
    <w:p w:rsidR="00000000" w:rsidRDefault="00BC0821">
      <w:pPr>
        <w:ind w:firstLine="495"/>
        <w:divId w:val="442383457"/>
        <w:rPr>
          <w:rFonts w:eastAsia="Times New Roman"/>
        </w:rPr>
      </w:pPr>
      <w:r>
        <w:rPr>
          <w:rFonts w:eastAsia="Times New Roman"/>
          <w:color w:val="000000"/>
          <w:sz w:val="20"/>
          <w:szCs w:val="20"/>
        </w:rPr>
        <w:t>The following are fees charged to unconsolidated joint ventures:</w:t>
      </w:r>
    </w:p>
    <w:tbl>
      <w:tblPr>
        <w:tblW w:w="3559" w:type="pct"/>
        <w:tblCellMar>
          <w:top w:w="15" w:type="dxa"/>
          <w:left w:w="15" w:type="dxa"/>
          <w:bottom w:w="15" w:type="dxa"/>
          <w:right w:w="15" w:type="dxa"/>
        </w:tblCellMar>
        <w:tblLook w:val="04A0" w:firstRow="1" w:lastRow="0" w:firstColumn="1" w:lastColumn="0" w:noHBand="0" w:noVBand="1"/>
      </w:tblPr>
      <w:tblGrid>
        <w:gridCol w:w="37"/>
        <w:gridCol w:w="2624"/>
        <w:gridCol w:w="36"/>
        <w:gridCol w:w="120"/>
        <w:gridCol w:w="552"/>
        <w:gridCol w:w="36"/>
        <w:gridCol w:w="36"/>
        <w:gridCol w:w="36"/>
        <w:gridCol w:w="36"/>
        <w:gridCol w:w="120"/>
        <w:gridCol w:w="515"/>
        <w:gridCol w:w="36"/>
        <w:gridCol w:w="36"/>
        <w:gridCol w:w="36"/>
        <w:gridCol w:w="36"/>
        <w:gridCol w:w="120"/>
        <w:gridCol w:w="600"/>
        <w:gridCol w:w="36"/>
        <w:gridCol w:w="36"/>
        <w:gridCol w:w="36"/>
        <w:gridCol w:w="36"/>
        <w:gridCol w:w="120"/>
        <w:gridCol w:w="600"/>
        <w:gridCol w:w="36"/>
      </w:tblGrid>
      <w:tr w:rsidR="00000000">
        <w:trPr>
          <w:divId w:val="1989090643"/>
        </w:trPr>
        <w:tc>
          <w:tcPr>
            <w:tcW w:w="50" w:type="pct"/>
            <w:vAlign w:val="center"/>
            <w:hideMark/>
          </w:tcPr>
          <w:p w:rsidR="00000000" w:rsidRDefault="00BC0821">
            <w:pPr>
              <w:ind w:firstLine="495"/>
              <w:rPr>
                <w:rFonts w:eastAsia="Times New Roman"/>
              </w:rPr>
            </w:pPr>
          </w:p>
        </w:tc>
        <w:tc>
          <w:tcPr>
            <w:tcW w:w="233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98909064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98909064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98909064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89090643"/>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Development and leasing fees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2,711 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1,747 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6,202 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4,732 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89090643"/>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19,577 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248270647"/>
        <w:rPr>
          <w:rFonts w:eastAsia="Times New Roman"/>
        </w:rPr>
      </w:pPr>
    </w:p>
    <w:p w:rsidR="00000000" w:rsidRDefault="00BC0821">
      <w:pPr>
        <w:ind w:firstLine="495"/>
        <w:divId w:val="104077045"/>
        <w:rPr>
          <w:rFonts w:eastAsia="Times New Roman"/>
        </w:rPr>
      </w:pPr>
      <w:r>
        <w:rPr>
          <w:rFonts w:eastAsia="Times New Roman"/>
          <w:color w:val="000000"/>
          <w:sz w:val="20"/>
          <w:szCs w:val="20"/>
        </w:rPr>
        <w:t>Interest expense (income) from related party transactions includes $6,473 and $(7,708) for the three months ended September 30, 2022 and 2021, respectively, and</w:t>
      </w:r>
      <w:r>
        <w:rPr>
          <w:rFonts w:eastAsia="Times New Roman"/>
          <w:color w:val="000000"/>
          <w:sz w:val="20"/>
          <w:szCs w:val="20"/>
        </w:rPr>
        <w:t xml:space="preserve"> $23,368 and $(3,435) for the nine months ended September 30, 2022 and 2021, respectively, in connection with the financing arrangement (See Note 12—Financing Arrangement). </w:t>
      </w:r>
    </w:p>
    <w:p w:rsidR="00000000" w:rsidRDefault="00BC0821">
      <w:pPr>
        <w:ind w:firstLine="495"/>
        <w:divId w:val="964845505"/>
        <w:rPr>
          <w:rFonts w:eastAsia="Times New Roman"/>
        </w:rPr>
      </w:pPr>
      <w:r>
        <w:rPr>
          <w:rFonts w:eastAsia="Times New Roman"/>
          <w:color w:val="000000"/>
          <w:sz w:val="20"/>
          <w:szCs w:val="20"/>
        </w:rPr>
        <w:t>Due from (to) affiliates includes $9,168 and $(327) of unreimbursed (prepaid) cost</w:t>
      </w:r>
      <w:r>
        <w:rPr>
          <w:rFonts w:eastAsia="Times New Roman"/>
          <w:color w:val="000000"/>
          <w:sz w:val="20"/>
          <w:szCs w:val="20"/>
        </w:rPr>
        <w:t>s and fees from unconsolidated joint ventures due to (from) the Management Companies at September 30, 2022 and December 31, 2021, respectively.</w:t>
      </w:r>
    </w:p>
    <w:p w:rsidR="00000000" w:rsidRDefault="00BC0821">
      <w:pPr>
        <w:ind w:hanging="360"/>
        <w:divId w:val="580143130"/>
        <w:rPr>
          <w:rFonts w:eastAsia="Times New Roman"/>
        </w:rPr>
      </w:pPr>
      <w:r>
        <w:rPr>
          <w:rFonts w:eastAsia="Times New Roman"/>
          <w:b/>
          <w:bCs/>
          <w:color w:val="000000"/>
          <w:sz w:val="20"/>
          <w:szCs w:val="20"/>
        </w:rPr>
        <w:t>19. Share and Unit-Based Plans:</w:t>
      </w:r>
    </w:p>
    <w:p w:rsidR="00000000" w:rsidRDefault="00BC0821">
      <w:pPr>
        <w:ind w:firstLine="495"/>
        <w:divId w:val="495801060"/>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or form of restricted stock units (together with the LTIP Units, the "LTI Units"). Upon the occurr</w:t>
      </w:r>
      <w:r>
        <w:rPr>
          <w:rFonts w:eastAsia="Times New Roman"/>
          <w:color w:val="000000"/>
          <w:sz w:val="20"/>
          <w:szCs w:val="20"/>
        </w:rPr>
        <w:t>ence of specified events and subject to the satisfaction of applicable vesting conditions, LTIP Units (after conversion into OP Units) are ultimately redeemable for common stock of the Company, or cash at the Company's option, on a one-unit for one-share b</w:t>
      </w:r>
      <w:r>
        <w:rPr>
          <w:rFonts w:eastAsia="Times New Roman"/>
          <w:color w:val="000000"/>
          <w:sz w:val="20"/>
          <w:szCs w:val="20"/>
        </w:rPr>
        <w:t xml:space="preserve">asis. LTI Units receive cash dividends based on the dividend amount paid on the common stock of the Company. The LTIP may include market-indexed awards, performance-based awards and service-based awards. </w:t>
      </w:r>
    </w:p>
    <w:p w:rsidR="00000000" w:rsidRDefault="00BC0821">
      <w:pPr>
        <w:ind w:firstLine="495"/>
        <w:divId w:val="420225789"/>
        <w:rPr>
          <w:rFonts w:eastAsia="Times New Roman"/>
        </w:rPr>
      </w:pPr>
      <w:r>
        <w:rPr>
          <w:rFonts w:eastAsia="Times New Roman"/>
          <w:color w:val="000000"/>
          <w:sz w:val="20"/>
          <w:szCs w:val="20"/>
        </w:rPr>
        <w:t xml:space="preserve">The market-indexed LTI Units vest over the service </w:t>
      </w:r>
      <w:r>
        <w:rPr>
          <w:rFonts w:eastAsia="Times New Roman"/>
          <w:color w:val="000000"/>
          <w:sz w:val="20"/>
          <w:szCs w:val="20"/>
        </w:rPr>
        <w:t>period of the award based on the percentile ranking of the Company in terms of total return to stockholders (the "Total Return") per share of common stock relative to the Total Return of a group of peer REITs, as measured at the end of the measurement peri</w:t>
      </w:r>
      <w:r>
        <w:rPr>
          <w:rFonts w:eastAsia="Times New Roman"/>
          <w:color w:val="000000"/>
          <w:sz w:val="20"/>
          <w:szCs w:val="20"/>
        </w:rPr>
        <w:t>od. The performance-based LTI Units vest over a specified period based on the Company's operational performance over that period.</w:t>
      </w:r>
    </w:p>
    <w:p w:rsidR="00000000" w:rsidRDefault="00BC0821">
      <w:pPr>
        <w:ind w:firstLine="495"/>
        <w:divId w:val="238758075"/>
        <w:rPr>
          <w:rFonts w:eastAsia="Times New Roman"/>
        </w:rPr>
      </w:pPr>
      <w:r>
        <w:rPr>
          <w:rFonts w:eastAsia="Times New Roman"/>
          <w:color w:val="000000"/>
          <w:sz w:val="20"/>
          <w:szCs w:val="20"/>
        </w:rPr>
        <w:t>During the nine months ended September 30, 2022, the Company granted the following LTI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45"/>
        <w:gridCol w:w="1251"/>
        <w:gridCol w:w="37"/>
        <w:gridCol w:w="36"/>
        <w:gridCol w:w="36"/>
        <w:gridCol w:w="36"/>
        <w:gridCol w:w="120"/>
        <w:gridCol w:w="874"/>
        <w:gridCol w:w="36"/>
        <w:gridCol w:w="36"/>
        <w:gridCol w:w="36"/>
        <w:gridCol w:w="36"/>
        <w:gridCol w:w="56"/>
        <w:gridCol w:w="891"/>
        <w:gridCol w:w="36"/>
      </w:tblGrid>
      <w:tr w:rsidR="00000000">
        <w:trPr>
          <w:divId w:val="238758075"/>
        </w:trPr>
        <w:tc>
          <w:tcPr>
            <w:tcW w:w="50" w:type="pct"/>
            <w:vAlign w:val="center"/>
            <w:hideMark/>
          </w:tcPr>
          <w:p w:rsidR="00000000" w:rsidRDefault="00BC0821">
            <w:pPr>
              <w:ind w:firstLine="495"/>
              <w:rPr>
                <w:rFonts w:eastAsia="Times New Roman"/>
              </w:rPr>
            </w:pPr>
          </w:p>
        </w:tc>
        <w:tc>
          <w:tcPr>
            <w:tcW w:w="80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7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7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7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20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7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82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80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38758075"/>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Fair Value per LTI Unit</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Vest Date</w:t>
            </w:r>
          </w:p>
        </w:tc>
      </w:tr>
      <w:tr w:rsidR="00000000">
        <w:trPr>
          <w:divId w:val="23875807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1/1/2022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376,153 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12/31/2024</w:t>
            </w:r>
          </w:p>
        </w:tc>
      </w:tr>
      <w:tr w:rsidR="00000000">
        <w:trPr>
          <w:divId w:val="238758075"/>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1/1/2022</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716,545 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20"/>
                <w:szCs w:val="20"/>
              </w:rPr>
              <w:t>12/31/2024</w:t>
            </w:r>
          </w:p>
        </w:tc>
      </w:tr>
      <w:tr w:rsidR="00000000">
        <w:trPr>
          <w:divId w:val="238758075"/>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1,092,698 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ind w:firstLine="495"/>
        <w:divId w:val="693925069"/>
        <w:rPr>
          <w:rFonts w:eastAsia="Times New Roman"/>
        </w:rPr>
      </w:pPr>
      <w:r>
        <w:rPr>
          <w:rFonts w:eastAsia="Times New Roman"/>
          <w:color w:val="000000"/>
          <w:sz w:val="20"/>
          <w:szCs w:val="20"/>
        </w:rPr>
        <w:t>The fair value of the service-based LTI Units was determined by the market price of the Company's common stock on the date of grant. The fair value (Level 3 measurement) of the performance-based LTI Units granted on January 1, 2022 was estimated on the dat</w:t>
      </w:r>
      <w:r>
        <w:rPr>
          <w:rFonts w:eastAsia="Times New Roman"/>
          <w:color w:val="000000"/>
          <w:sz w:val="20"/>
          <w:szCs w:val="20"/>
        </w:rPr>
        <w:t>e of grant using a Monte Carlo Simulation model that assumed a risk-free interest rate of 0.97% and an expected volatility of 70.83%.</w:t>
      </w:r>
    </w:p>
    <w:p w:rsidR="00000000" w:rsidRDefault="00BC0821">
      <w:pPr>
        <w:jc w:val="center"/>
        <w:divId w:val="319776820"/>
        <w:rPr>
          <w:rFonts w:eastAsia="Times New Roman"/>
        </w:rPr>
      </w:pPr>
      <w:r>
        <w:rPr>
          <w:rFonts w:eastAsia="Times New Roman"/>
          <w:color w:val="000000"/>
          <w:sz w:val="20"/>
          <w:szCs w:val="20"/>
        </w:rPr>
        <w:t>25</w:t>
      </w:r>
    </w:p>
    <w:p w:rsidR="00000000" w:rsidRDefault="00BC0821">
      <w:pPr>
        <w:rPr>
          <w:rFonts w:eastAsia="Times New Roman"/>
        </w:rPr>
      </w:pPr>
      <w:r>
        <w:rPr>
          <w:rFonts w:eastAsia="Times New Roman"/>
        </w:rPr>
        <w:pict>
          <v:rect id="_x0000_i1049" style="width:0;height:1.5pt" o:hralign="center" o:hrstd="t" o:hr="t" fillcolor="#a0a0a0" stroked="f"/>
        </w:pict>
      </w:r>
    </w:p>
    <w:p w:rsidR="00000000" w:rsidRDefault="00BC0821">
      <w:pPr>
        <w:divId w:val="464616769"/>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1365254732"/>
        <w:rPr>
          <w:rFonts w:eastAsia="Times New Roman"/>
        </w:rPr>
      </w:pPr>
      <w:r>
        <w:rPr>
          <w:rFonts w:eastAsia="Times New Roman"/>
          <w:b/>
          <w:bCs/>
          <w:color w:val="000000"/>
          <w:sz w:val="20"/>
          <w:szCs w:val="20"/>
        </w:rPr>
        <w:t>THE MACERICH COMPANY</w:t>
      </w:r>
    </w:p>
    <w:p w:rsidR="00000000" w:rsidRDefault="00BC0821">
      <w:pPr>
        <w:jc w:val="center"/>
        <w:divId w:val="1033189552"/>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633512843"/>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110667357"/>
        <w:rPr>
          <w:rFonts w:eastAsia="Times New Roman"/>
        </w:rPr>
      </w:pPr>
      <w:r>
        <w:rPr>
          <w:rFonts w:eastAsia="Times New Roman"/>
          <w:b/>
          <w:bCs/>
          <w:color w:val="000000"/>
          <w:sz w:val="20"/>
          <w:szCs w:val="20"/>
        </w:rPr>
        <w:t>(Unaudited)</w:t>
      </w:r>
    </w:p>
    <w:p w:rsidR="00000000" w:rsidRDefault="00BC0821">
      <w:pPr>
        <w:ind w:hanging="360"/>
        <w:divId w:val="547884612"/>
        <w:rPr>
          <w:rFonts w:eastAsia="Times New Roman"/>
        </w:rPr>
      </w:pPr>
      <w:r>
        <w:rPr>
          <w:rFonts w:eastAsia="Times New Roman"/>
          <w:b/>
          <w:bCs/>
          <w:color w:val="000000"/>
          <w:sz w:val="20"/>
          <w:szCs w:val="20"/>
        </w:rPr>
        <w:t>19. Share and Unit-Based Plans: (Continued)</w:t>
      </w:r>
    </w:p>
    <w:p w:rsidR="00000000" w:rsidRDefault="00BC0821">
      <w:pPr>
        <w:ind w:firstLine="495"/>
        <w:divId w:val="2078938883"/>
        <w:rPr>
          <w:rFonts w:eastAsia="Times New Roman"/>
        </w:rPr>
      </w:pPr>
      <w:r>
        <w:rPr>
          <w:rFonts w:eastAsia="Times New Roman"/>
          <w:color w:val="000000"/>
          <w:sz w:val="20"/>
          <w:szCs w:val="20"/>
        </w:rPr>
        <w:t>The following table summarizes the activity of the non-vested LTI Units, phantom stock units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877"/>
        <w:gridCol w:w="38"/>
        <w:gridCol w:w="79"/>
        <w:gridCol w:w="791"/>
        <w:gridCol w:w="36"/>
        <w:gridCol w:w="36"/>
        <w:gridCol w:w="36"/>
        <w:gridCol w:w="36"/>
        <w:gridCol w:w="121"/>
        <w:gridCol w:w="627"/>
        <w:gridCol w:w="36"/>
        <w:gridCol w:w="36"/>
        <w:gridCol w:w="36"/>
        <w:gridCol w:w="36"/>
        <w:gridCol w:w="36"/>
        <w:gridCol w:w="36"/>
        <w:gridCol w:w="330"/>
        <w:gridCol w:w="330"/>
        <w:gridCol w:w="64"/>
        <w:gridCol w:w="640"/>
        <w:gridCol w:w="36"/>
        <w:gridCol w:w="36"/>
        <w:gridCol w:w="36"/>
        <w:gridCol w:w="36"/>
        <w:gridCol w:w="121"/>
        <w:gridCol w:w="624"/>
        <w:gridCol w:w="37"/>
        <w:gridCol w:w="36"/>
        <w:gridCol w:w="36"/>
        <w:gridCol w:w="36"/>
        <w:gridCol w:w="73"/>
        <w:gridCol w:w="731"/>
        <w:gridCol w:w="36"/>
        <w:gridCol w:w="36"/>
        <w:gridCol w:w="36"/>
        <w:gridCol w:w="36"/>
        <w:gridCol w:w="121"/>
        <w:gridCol w:w="627"/>
        <w:gridCol w:w="36"/>
      </w:tblGrid>
      <w:tr w:rsidR="00000000">
        <w:trPr>
          <w:divId w:val="2078938883"/>
        </w:trPr>
        <w:tc>
          <w:tcPr>
            <w:tcW w:w="50" w:type="pct"/>
            <w:vAlign w:val="center"/>
            <w:hideMark/>
          </w:tcPr>
          <w:p w:rsidR="00000000" w:rsidRDefault="00BC0821">
            <w:pPr>
              <w:ind w:firstLine="495"/>
              <w:rPr>
                <w:rFonts w:eastAsia="Times New Roman"/>
              </w:rPr>
            </w:pPr>
          </w:p>
        </w:tc>
        <w:tc>
          <w:tcPr>
            <w:tcW w:w="147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6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6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0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6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207893888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LTI Units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Stock Units</w:t>
            </w: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r>
      <w:tr w:rsidR="00000000">
        <w:trPr>
          <w:divId w:val="2078938883"/>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Value(1)</w:t>
            </w:r>
          </w:p>
        </w:tc>
      </w:tr>
      <w:tr w:rsidR="00000000">
        <w:trPr>
          <w:divId w:val="207893888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07893888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1,092,698 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56,334 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204,958 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078938883"/>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(17,932)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(19,362)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14.68 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(176,409)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20.02 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078938883"/>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(6,454)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19.42 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078938883"/>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Balance at September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2,906,003 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14.84 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36,972 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14.62 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295,054 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14.58 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2078938883"/>
          <w:trHeight w:val="240"/>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207893888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2078938883"/>
        </w:trPr>
        <w:tc>
          <w:tcPr>
            <w:tcW w:w="0" w:type="auto"/>
            <w:gridSpan w:val="28"/>
            <w:tcMar>
              <w:top w:w="30" w:type="dxa"/>
              <w:left w:w="20" w:type="dxa"/>
              <w:bottom w:w="30" w:type="dxa"/>
              <w:right w:w="20" w:type="dxa"/>
            </w:tcMar>
            <w:vAlign w:val="bottom"/>
            <w:hideMark/>
          </w:tcPr>
          <w:p w:rsidR="00000000" w:rsidRDefault="00BC0821">
            <w:pPr>
              <w:spacing w:after="100"/>
              <w:ind w:hanging="450"/>
              <w:divId w:val="1220819778"/>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grant date fair value.</w:t>
            </w: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r>
    </w:tbl>
    <w:p w:rsidR="00000000" w:rsidRDefault="00BC0821">
      <w:pPr>
        <w:ind w:firstLine="270"/>
        <w:divId w:val="1748920853"/>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8"/>
        <w:gridCol w:w="1593"/>
        <w:gridCol w:w="37"/>
        <w:gridCol w:w="36"/>
        <w:gridCol w:w="46"/>
        <w:gridCol w:w="520"/>
        <w:gridCol w:w="36"/>
        <w:gridCol w:w="36"/>
        <w:gridCol w:w="36"/>
        <w:gridCol w:w="39"/>
        <w:gridCol w:w="667"/>
        <w:gridCol w:w="36"/>
        <w:gridCol w:w="36"/>
        <w:gridCol w:w="36"/>
        <w:gridCol w:w="36"/>
        <w:gridCol w:w="121"/>
        <w:gridCol w:w="658"/>
        <w:gridCol w:w="36"/>
      </w:tblGrid>
      <w:tr w:rsidR="00000000">
        <w:trPr>
          <w:divId w:val="1852835205"/>
        </w:trPr>
        <w:tc>
          <w:tcPr>
            <w:tcW w:w="50" w:type="pct"/>
            <w:vAlign w:val="center"/>
            <w:hideMark/>
          </w:tcPr>
          <w:p w:rsidR="00000000" w:rsidRDefault="00BC0821">
            <w:pPr>
              <w:ind w:firstLine="270"/>
              <w:rPr>
                <w:rFonts w:eastAsia="Times New Roman"/>
              </w:rPr>
            </w:pPr>
          </w:p>
        </w:tc>
        <w:tc>
          <w:tcPr>
            <w:tcW w:w="293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90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8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852835205"/>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BC0821">
            <w:pPr>
              <w:spacing w:after="100"/>
              <w:rPr>
                <w:rFonts w:eastAsia="Times New Roman"/>
              </w:rPr>
            </w:pPr>
          </w:p>
        </w:tc>
        <w:tc>
          <w:tcPr>
            <w:tcW w:w="0" w:type="auto"/>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r>
      <w:tr w:rsidR="00000000">
        <w:trPr>
          <w:divId w:val="1852835205"/>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BC0821">
            <w:pPr>
              <w:spacing w:after="100"/>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Value(1)</w:t>
            </w:r>
          </w:p>
        </w:tc>
      </w:tr>
      <w:tr w:rsidR="00000000">
        <w:trPr>
          <w:divId w:val="185283520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Balance at January 1, 2022</w:t>
            </w:r>
          </w:p>
        </w:tc>
        <w:tc>
          <w:tcPr>
            <w:tcW w:w="0" w:type="auto"/>
            <w:vAlign w:val="center"/>
            <w:hideMark/>
          </w:tcPr>
          <w:p w:rsidR="00000000" w:rsidRDefault="00BC0821">
            <w:pPr>
              <w:spacing w:after="100"/>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852835205"/>
        </w:trPr>
        <w:tc>
          <w:tcPr>
            <w:tcW w:w="0" w:type="auto"/>
            <w:gridSpan w:val="3"/>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852835205"/>
        </w:trPr>
        <w:tc>
          <w:tcPr>
            <w:tcW w:w="0" w:type="auto"/>
            <w:gridSpan w:val="3"/>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852835205"/>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Forfeited</w:t>
            </w:r>
          </w:p>
        </w:tc>
        <w:tc>
          <w:tcPr>
            <w:tcW w:w="0" w:type="auto"/>
            <w:vAlign w:val="center"/>
            <w:hideMark/>
          </w:tcPr>
          <w:p w:rsidR="00000000" w:rsidRDefault="00BC0821">
            <w:pPr>
              <w:spacing w:after="100"/>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(11,144)</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53.82 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852835205"/>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Balance at September 30, 2022</w:t>
            </w:r>
          </w:p>
        </w:tc>
        <w:tc>
          <w:tcPr>
            <w:tcW w:w="0" w:type="auto"/>
            <w:vAlign w:val="center"/>
            <w:hideMark/>
          </w:tcPr>
          <w:p w:rsidR="00000000" w:rsidRDefault="00BC0821">
            <w:pPr>
              <w:spacing w:after="100"/>
              <w:rPr>
                <w:rFonts w:eastAsia="Times New Roman"/>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26,371 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54.56 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852835205"/>
          <w:trHeight w:val="300"/>
        </w:trPr>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85283520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852835205"/>
        </w:trPr>
        <w:tc>
          <w:tcPr>
            <w:tcW w:w="0" w:type="auto"/>
            <w:gridSpan w:val="9"/>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c>
          <w:tcPr>
            <w:tcW w:w="0" w:type="auto"/>
            <w:vAlign w:val="center"/>
            <w:hideMark/>
          </w:tcPr>
          <w:p w:rsidR="00000000" w:rsidRDefault="00BC0821">
            <w:pPr>
              <w:spacing w:after="100"/>
              <w:rPr>
                <w:rFonts w:eastAsia="Times New Roman"/>
                <w:sz w:val="20"/>
                <w:szCs w:val="20"/>
              </w:rPr>
            </w:pPr>
          </w:p>
        </w:tc>
      </w:tr>
    </w:tbl>
    <w:p w:rsidR="00000000" w:rsidRDefault="00BC0821">
      <w:pPr>
        <w:ind w:firstLine="270"/>
        <w:divId w:val="1343507382"/>
        <w:rPr>
          <w:rFonts w:eastAsia="Times New Roman"/>
        </w:rPr>
      </w:pPr>
      <w:r>
        <w:rPr>
          <w:rFonts w:eastAsia="Times New Roman"/>
          <w:color w:val="000000"/>
          <w:sz w:val="20"/>
          <w:szCs w:val="20"/>
        </w:rPr>
        <w:t>The following summarizes the compensation cost under the share and unit-based plans:</w:t>
      </w:r>
    </w:p>
    <w:tbl>
      <w:tblPr>
        <w:tblW w:w="4203" w:type="pct"/>
        <w:tblCellMar>
          <w:top w:w="15" w:type="dxa"/>
          <w:left w:w="15" w:type="dxa"/>
          <w:bottom w:w="15" w:type="dxa"/>
          <w:right w:w="15" w:type="dxa"/>
        </w:tblCellMar>
        <w:tblLook w:val="04A0" w:firstRow="1" w:lastRow="0" w:firstColumn="1" w:lastColumn="0" w:noHBand="0" w:noVBand="1"/>
      </w:tblPr>
      <w:tblGrid>
        <w:gridCol w:w="38"/>
        <w:gridCol w:w="3687"/>
        <w:gridCol w:w="37"/>
        <w:gridCol w:w="120"/>
        <w:gridCol w:w="542"/>
        <w:gridCol w:w="36"/>
        <w:gridCol w:w="36"/>
        <w:gridCol w:w="36"/>
        <w:gridCol w:w="36"/>
        <w:gridCol w:w="120"/>
        <w:gridCol w:w="530"/>
        <w:gridCol w:w="36"/>
        <w:gridCol w:w="36"/>
        <w:gridCol w:w="36"/>
        <w:gridCol w:w="36"/>
        <w:gridCol w:w="120"/>
        <w:gridCol w:w="600"/>
        <w:gridCol w:w="36"/>
        <w:gridCol w:w="36"/>
        <w:gridCol w:w="36"/>
        <w:gridCol w:w="36"/>
        <w:gridCol w:w="120"/>
        <w:gridCol w:w="600"/>
        <w:gridCol w:w="36"/>
      </w:tblGrid>
      <w:tr w:rsidR="00000000">
        <w:trPr>
          <w:divId w:val="868420761"/>
        </w:trPr>
        <w:tc>
          <w:tcPr>
            <w:tcW w:w="50" w:type="pct"/>
            <w:vAlign w:val="center"/>
            <w:hideMark/>
          </w:tcPr>
          <w:p w:rsidR="00000000" w:rsidRDefault="00BC0821">
            <w:pPr>
              <w:ind w:firstLine="270"/>
              <w:rPr>
                <w:rFonts w:eastAsia="Times New Roman"/>
              </w:rPr>
            </w:pPr>
          </w:p>
        </w:tc>
        <w:tc>
          <w:tcPr>
            <w:tcW w:w="27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6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5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868420761"/>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868420761"/>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86842076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LTI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4,632 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14,035 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868420761"/>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868420761"/>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Stock units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2,496 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2,577 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868420761"/>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868420761"/>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868420761"/>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Phantom stock units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868420761"/>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16,815 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1555505784"/>
        <w:rPr>
          <w:rFonts w:eastAsia="Times New Roman"/>
        </w:rPr>
      </w:pPr>
      <w:r>
        <w:rPr>
          <w:rFonts w:eastAsia="Times New Roman"/>
          <w:color w:val="000000"/>
          <w:sz w:val="20"/>
          <w:szCs w:val="20"/>
        </w:rPr>
        <w:t>The Company capitalized share and unit-based compensation costs of $1,101 and $910 for the three months ended September 30, 2022 and 2021, respectively, and $3,395 and $2,813 for the nine months ended September 30, 2022 and 2021, respectively. Unrec</w:t>
      </w:r>
      <w:r>
        <w:rPr>
          <w:rFonts w:eastAsia="Times New Roman"/>
          <w:color w:val="000000"/>
          <w:sz w:val="20"/>
          <w:szCs w:val="20"/>
        </w:rPr>
        <w:t xml:space="preserve">ognized compensation costs of share and unit-based plans at September 30, 2022 consisted of $8,375 from LTI Units, $1,794 from stock units and $0 from phantom stock units. </w:t>
      </w:r>
    </w:p>
    <w:p w:rsidR="00000000" w:rsidRDefault="00BC0821">
      <w:pPr>
        <w:divId w:val="1588075304"/>
        <w:rPr>
          <w:rFonts w:eastAsia="Times New Roman"/>
        </w:rPr>
      </w:pPr>
    </w:p>
    <w:p w:rsidR="00000000" w:rsidRDefault="00BC0821">
      <w:pPr>
        <w:divId w:val="1701979229"/>
        <w:rPr>
          <w:rFonts w:eastAsia="Times New Roman"/>
        </w:rPr>
      </w:pPr>
    </w:p>
    <w:p w:rsidR="00000000" w:rsidRDefault="00BC0821">
      <w:pPr>
        <w:divId w:val="164899659"/>
        <w:rPr>
          <w:rFonts w:eastAsia="Times New Roman"/>
        </w:rPr>
      </w:pPr>
    </w:p>
    <w:p w:rsidR="00000000" w:rsidRDefault="00BC0821">
      <w:pPr>
        <w:divId w:val="1589923695"/>
        <w:rPr>
          <w:rFonts w:eastAsia="Times New Roman"/>
        </w:rPr>
      </w:pPr>
    </w:p>
    <w:p w:rsidR="00000000" w:rsidRDefault="00BC0821">
      <w:pPr>
        <w:divId w:val="1959796245"/>
        <w:rPr>
          <w:rFonts w:eastAsia="Times New Roman"/>
        </w:rPr>
      </w:pPr>
    </w:p>
    <w:p w:rsidR="00000000" w:rsidRDefault="00BC0821">
      <w:pPr>
        <w:divId w:val="450440195"/>
        <w:rPr>
          <w:rFonts w:eastAsia="Times New Roman"/>
        </w:rPr>
      </w:pPr>
    </w:p>
    <w:p w:rsidR="00000000" w:rsidRDefault="00BC0821">
      <w:pPr>
        <w:divId w:val="316301337"/>
        <w:rPr>
          <w:rFonts w:eastAsia="Times New Roman"/>
        </w:rPr>
      </w:pPr>
    </w:p>
    <w:p w:rsidR="00000000" w:rsidRDefault="00BC0821">
      <w:pPr>
        <w:divId w:val="1252081745"/>
        <w:rPr>
          <w:rFonts w:eastAsia="Times New Roman"/>
        </w:rPr>
      </w:pPr>
    </w:p>
    <w:p w:rsidR="00000000" w:rsidRDefault="00BC0821">
      <w:pPr>
        <w:jc w:val="center"/>
        <w:divId w:val="244724798"/>
        <w:rPr>
          <w:rFonts w:eastAsia="Times New Roman"/>
        </w:rPr>
      </w:pPr>
      <w:r>
        <w:rPr>
          <w:rFonts w:eastAsia="Times New Roman"/>
          <w:color w:val="000000"/>
          <w:sz w:val="20"/>
          <w:szCs w:val="20"/>
        </w:rPr>
        <w:t>26</w:t>
      </w:r>
    </w:p>
    <w:p w:rsidR="00000000" w:rsidRDefault="00BC0821">
      <w:pPr>
        <w:rPr>
          <w:rFonts w:eastAsia="Times New Roman"/>
        </w:rPr>
      </w:pPr>
      <w:r>
        <w:rPr>
          <w:rFonts w:eastAsia="Times New Roman"/>
        </w:rPr>
        <w:pict>
          <v:rect id="_x0000_i1050" style="width:0;height:1.5pt" o:hralign="center" o:hrstd="t" o:hr="t" fillcolor="#a0a0a0" stroked="f"/>
        </w:pict>
      </w:r>
    </w:p>
    <w:p w:rsidR="00000000" w:rsidRDefault="00BC0821">
      <w:pPr>
        <w:divId w:val="751436074"/>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jc w:val="center"/>
        <w:divId w:val="840703162"/>
        <w:rPr>
          <w:rFonts w:eastAsia="Times New Roman"/>
        </w:rPr>
      </w:pPr>
      <w:r>
        <w:rPr>
          <w:rFonts w:eastAsia="Times New Roman"/>
          <w:b/>
          <w:bCs/>
          <w:color w:val="000000"/>
          <w:sz w:val="20"/>
          <w:szCs w:val="20"/>
        </w:rPr>
        <w:t>THE MACERICH COMPANY</w:t>
      </w:r>
    </w:p>
    <w:p w:rsidR="00000000" w:rsidRDefault="00BC0821">
      <w:pPr>
        <w:jc w:val="center"/>
        <w:divId w:val="476071236"/>
        <w:rPr>
          <w:rFonts w:eastAsia="Times New Roman"/>
        </w:rPr>
      </w:pPr>
      <w:r>
        <w:rPr>
          <w:rFonts w:eastAsia="Times New Roman"/>
          <w:b/>
          <w:bCs/>
          <w:color w:val="000000"/>
          <w:sz w:val="20"/>
          <w:szCs w:val="20"/>
        </w:rPr>
        <w:t>NOTES TO CONSOLIDATED FINANCIAL STATEMENTS (Continued)</w:t>
      </w:r>
    </w:p>
    <w:p w:rsidR="00000000" w:rsidRDefault="00BC0821">
      <w:pPr>
        <w:jc w:val="center"/>
        <w:divId w:val="1543903006"/>
        <w:rPr>
          <w:rFonts w:eastAsia="Times New Roman"/>
        </w:rPr>
      </w:pPr>
      <w:r>
        <w:rPr>
          <w:rFonts w:eastAsia="Times New Roman"/>
          <w:b/>
          <w:bCs/>
          <w:color w:val="000000"/>
          <w:sz w:val="20"/>
          <w:szCs w:val="20"/>
        </w:rPr>
        <w:t>(Dollars in thousands, except per share and square foot amounts)</w:t>
      </w:r>
    </w:p>
    <w:p w:rsidR="00000000" w:rsidRDefault="00BC0821">
      <w:pPr>
        <w:jc w:val="center"/>
        <w:divId w:val="1995597120"/>
        <w:rPr>
          <w:rFonts w:eastAsia="Times New Roman"/>
        </w:rPr>
      </w:pPr>
      <w:r>
        <w:rPr>
          <w:rFonts w:eastAsia="Times New Roman"/>
          <w:b/>
          <w:bCs/>
          <w:color w:val="000000"/>
          <w:sz w:val="20"/>
          <w:szCs w:val="20"/>
        </w:rPr>
        <w:t>(Unaudited)</w:t>
      </w:r>
    </w:p>
    <w:p w:rsidR="00000000" w:rsidRDefault="00BC0821">
      <w:pPr>
        <w:divId w:val="59911205"/>
        <w:rPr>
          <w:rFonts w:eastAsia="Times New Roman"/>
        </w:rPr>
      </w:pPr>
      <w:r>
        <w:rPr>
          <w:rFonts w:eastAsia="Times New Roman"/>
          <w:b/>
          <w:bCs/>
          <w:color w:val="000000"/>
          <w:sz w:val="20"/>
          <w:szCs w:val="20"/>
        </w:rPr>
        <w:t>20. Income Taxes:</w:t>
      </w:r>
    </w:p>
    <w:p w:rsidR="00000000" w:rsidRDefault="00BC0821">
      <w:pPr>
        <w:ind w:firstLine="495"/>
        <w:divId w:val="524246108"/>
        <w:rPr>
          <w:rFonts w:eastAsia="Times New Roman"/>
        </w:rPr>
      </w:pPr>
      <w:r>
        <w:rPr>
          <w:rFonts w:eastAsia="Times New Roman"/>
          <w:color w:val="000000"/>
          <w:sz w:val="20"/>
          <w:szCs w:val="20"/>
        </w:rPr>
        <w:t xml:space="preserve">The Company has made taxable REIT subsidiary elections for all of its corporate subsidiaries other than its qualified REIT subsidiaries. The elections, effective for the year beginning January 1, 2001 and future years, were made pursuant to Section 856(l) </w:t>
      </w:r>
      <w:r>
        <w:rPr>
          <w:rFonts w:eastAsia="Times New Roman"/>
          <w:color w:val="000000"/>
          <w:sz w:val="20"/>
          <w:szCs w:val="20"/>
        </w:rPr>
        <w:t>of the Code. The Company's taxable REIT subsidiaries ("TRSs") are subject to corporate level income taxes which are provided for in the Company's consolidated financial statements. The Company's primary TRSs include Macerich Management Company and Macerich</w:t>
      </w:r>
      <w:r>
        <w:rPr>
          <w:rFonts w:eastAsia="Times New Roman"/>
          <w:color w:val="000000"/>
          <w:sz w:val="20"/>
          <w:szCs w:val="20"/>
        </w:rPr>
        <w:t xml:space="preserve"> Arizona Partners LLC.</w:t>
      </w:r>
    </w:p>
    <w:p w:rsidR="00000000" w:rsidRDefault="00BC0821">
      <w:pPr>
        <w:ind w:firstLine="495"/>
        <w:divId w:val="876620876"/>
        <w:rPr>
          <w:rFonts w:eastAsia="Times New Roman"/>
        </w:rPr>
      </w:pPr>
      <w:r>
        <w:rPr>
          <w:rFonts w:eastAsia="Times New Roman"/>
          <w:color w:val="000000"/>
          <w:sz w:val="20"/>
          <w:szCs w:val="20"/>
        </w:rPr>
        <w:t>The income tax provision of the TRSs are as follows:</w:t>
      </w:r>
    </w:p>
    <w:tbl>
      <w:tblPr>
        <w:tblW w:w="4188" w:type="pct"/>
        <w:tblCellMar>
          <w:top w:w="15" w:type="dxa"/>
          <w:left w:w="15" w:type="dxa"/>
          <w:bottom w:w="15" w:type="dxa"/>
          <w:right w:w="15" w:type="dxa"/>
        </w:tblCellMar>
        <w:tblLook w:val="04A0" w:firstRow="1" w:lastRow="0" w:firstColumn="1" w:lastColumn="0" w:noHBand="0" w:noVBand="1"/>
      </w:tblPr>
      <w:tblGrid>
        <w:gridCol w:w="39"/>
        <w:gridCol w:w="3131"/>
        <w:gridCol w:w="36"/>
        <w:gridCol w:w="120"/>
        <w:gridCol w:w="739"/>
        <w:gridCol w:w="36"/>
        <w:gridCol w:w="36"/>
        <w:gridCol w:w="36"/>
        <w:gridCol w:w="36"/>
        <w:gridCol w:w="120"/>
        <w:gridCol w:w="679"/>
        <w:gridCol w:w="36"/>
        <w:gridCol w:w="36"/>
        <w:gridCol w:w="36"/>
        <w:gridCol w:w="36"/>
        <w:gridCol w:w="120"/>
        <w:gridCol w:w="692"/>
        <w:gridCol w:w="36"/>
        <w:gridCol w:w="36"/>
        <w:gridCol w:w="36"/>
        <w:gridCol w:w="36"/>
        <w:gridCol w:w="120"/>
        <w:gridCol w:w="693"/>
        <w:gridCol w:w="36"/>
      </w:tblGrid>
      <w:tr w:rsidR="00000000">
        <w:trPr>
          <w:divId w:val="876620876"/>
        </w:trPr>
        <w:tc>
          <w:tcPr>
            <w:tcW w:w="50" w:type="pct"/>
            <w:vAlign w:val="center"/>
            <w:hideMark/>
          </w:tcPr>
          <w:p w:rsidR="00000000" w:rsidRDefault="00BC0821">
            <w:pPr>
              <w:ind w:firstLine="495"/>
              <w:rPr>
                <w:rFonts w:eastAsia="Times New Roman"/>
              </w:rPr>
            </w:pPr>
          </w:p>
        </w:tc>
        <w:tc>
          <w:tcPr>
            <w:tcW w:w="2309"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6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876620876"/>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876620876"/>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876620876"/>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876620876"/>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(963)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(9,452)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876620876"/>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Total benefit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(9,452)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1674649562"/>
        <w:rPr>
          <w:rFonts w:eastAsia="Times New Roman"/>
        </w:rPr>
      </w:pPr>
      <w:r>
        <w:rPr>
          <w:rFonts w:eastAsia="Times New Roman"/>
          <w:color w:val="000000"/>
          <w:sz w:val="20"/>
          <w:szCs w:val="20"/>
        </w:rPr>
        <w:t xml:space="preserve">The net operating loss ("NOL") carryforwards generated through the 2017 tax year are scheduled to expire through 2037, beginning in 2025. Pursuant to the Tax </w:t>
      </w:r>
      <w:r>
        <w:rPr>
          <w:rFonts w:eastAsia="Times New Roman"/>
          <w:color w:val="000000"/>
          <w:sz w:val="20"/>
          <w:szCs w:val="20"/>
        </w:rPr>
        <w:t xml:space="preserve">Cuts and Jobs Act of 2017, NOLs generated in 2018 and subsequent tax years are carried forward indefinitely. The Coronavirus Aid, Relief and Economic Security Act removed the 80% of taxable income limitation, imposed by the Tax Cuts and Jobs Act, for NOLs </w:t>
      </w:r>
      <w:r>
        <w:rPr>
          <w:rFonts w:eastAsia="Times New Roman"/>
          <w:color w:val="000000"/>
          <w:sz w:val="20"/>
          <w:szCs w:val="20"/>
        </w:rPr>
        <w:t>generated in 2018, 2019 and 2020. Net deferred tax assets of $22,856 and $23,406 were included in deferred charges and other assets, net at September 30, 2022 and December 31, 2021, respectively.</w:t>
      </w:r>
    </w:p>
    <w:p w:rsidR="00000000" w:rsidRDefault="00BC0821">
      <w:pPr>
        <w:ind w:firstLine="495"/>
        <w:divId w:val="261038906"/>
        <w:rPr>
          <w:rFonts w:eastAsia="Times New Roman"/>
        </w:rPr>
      </w:pPr>
      <w:r>
        <w:rPr>
          <w:rFonts w:eastAsia="Times New Roman"/>
          <w:color w:val="000000"/>
          <w:sz w:val="20"/>
          <w:szCs w:val="20"/>
        </w:rPr>
        <w:t>The Company is required to establish a valuation allowance f</w:t>
      </w:r>
      <w:r>
        <w:rPr>
          <w:rFonts w:eastAsia="Times New Roman"/>
          <w:color w:val="000000"/>
          <w:sz w:val="20"/>
          <w:szCs w:val="20"/>
        </w:rPr>
        <w:t>or any portion of the deferred tax asset that the Company concludes is more likely than not to be unrealizable. The Company’s assessment considers all evidence, both positive and negative, including the nature, frequency and severity of any current and cum</w:t>
      </w:r>
      <w:r>
        <w:rPr>
          <w:rFonts w:eastAsia="Times New Roman"/>
          <w:color w:val="000000"/>
          <w:sz w:val="20"/>
          <w:szCs w:val="20"/>
        </w:rPr>
        <w:t xml:space="preserve">ulative losses, taxable income in carry back years, the scheduled reversal of deferred tax liabilities, tax planning strategies and projected future taxable income in making this assessment. As of September 30, 2022, the Company had no valuation allowance </w:t>
      </w:r>
      <w:r>
        <w:rPr>
          <w:rFonts w:eastAsia="Times New Roman"/>
          <w:color w:val="000000"/>
          <w:sz w:val="20"/>
          <w:szCs w:val="20"/>
        </w:rPr>
        <w:t>recorded.</w:t>
      </w:r>
    </w:p>
    <w:p w:rsidR="00000000" w:rsidRDefault="00BC0821">
      <w:pPr>
        <w:ind w:firstLine="495"/>
        <w:divId w:val="61758955"/>
        <w:rPr>
          <w:rFonts w:eastAsia="Times New Roman"/>
        </w:rPr>
      </w:pPr>
      <w:r>
        <w:rPr>
          <w:rFonts w:eastAsia="Times New Roman"/>
          <w:color w:val="000000"/>
          <w:sz w:val="20"/>
          <w:szCs w:val="20"/>
        </w:rPr>
        <w:t>The tax years 2018 through 2020 remain open to examination by the taxing jurisdictions to which the Company is subject. The Company does not expect that the total amount of unrecognized tax benefit will materially change within the next twelve mo</w:t>
      </w:r>
      <w:r>
        <w:rPr>
          <w:rFonts w:eastAsia="Times New Roman"/>
          <w:color w:val="000000"/>
          <w:sz w:val="20"/>
          <w:szCs w:val="20"/>
        </w:rPr>
        <w:t>nths.</w:t>
      </w:r>
    </w:p>
    <w:p w:rsidR="00000000" w:rsidRDefault="00BC0821">
      <w:pPr>
        <w:divId w:val="338583258"/>
        <w:rPr>
          <w:rFonts w:eastAsia="Times New Roman"/>
        </w:rPr>
      </w:pPr>
      <w:r>
        <w:rPr>
          <w:rFonts w:eastAsia="Times New Roman"/>
          <w:b/>
          <w:bCs/>
          <w:color w:val="000000"/>
          <w:sz w:val="20"/>
          <w:szCs w:val="20"/>
        </w:rPr>
        <w:t>21. Subsequent Events:</w:t>
      </w:r>
    </w:p>
    <w:p w:rsidR="00000000" w:rsidRDefault="00BC0821">
      <w:pPr>
        <w:ind w:firstLine="495"/>
        <w:divId w:val="1986157967"/>
        <w:rPr>
          <w:rFonts w:eastAsia="Times New Roman"/>
        </w:rPr>
      </w:pPr>
      <w:r>
        <w:rPr>
          <w:rFonts w:eastAsia="Times New Roman"/>
          <w:color w:val="000000"/>
          <w:sz w:val="20"/>
          <w:szCs w:val="20"/>
        </w:rPr>
        <w:t>On October 28, 2022, the Company announced a dividend/distribution of $0.17 per share for common stockholders and OP Unitholders of record on November 9, 2022. All dividends/distributions will be paid 100% in cash on December 2</w:t>
      </w:r>
      <w:r>
        <w:rPr>
          <w:rFonts w:eastAsia="Times New Roman"/>
          <w:color w:val="000000"/>
          <w:sz w:val="20"/>
          <w:szCs w:val="20"/>
        </w:rPr>
        <w:t>, 2022.</w:t>
      </w:r>
    </w:p>
    <w:p w:rsidR="00000000" w:rsidRDefault="00BC0821">
      <w:pPr>
        <w:jc w:val="center"/>
        <w:divId w:val="1311203935"/>
        <w:rPr>
          <w:rFonts w:eastAsia="Times New Roman"/>
        </w:rPr>
      </w:pPr>
      <w:r>
        <w:rPr>
          <w:rFonts w:eastAsia="Times New Roman"/>
          <w:color w:val="000000"/>
          <w:sz w:val="20"/>
          <w:szCs w:val="20"/>
        </w:rPr>
        <w:t>27</w:t>
      </w:r>
    </w:p>
    <w:p w:rsidR="00000000" w:rsidRDefault="00BC0821">
      <w:pPr>
        <w:rPr>
          <w:rFonts w:eastAsia="Times New Roman"/>
        </w:rPr>
      </w:pPr>
      <w:r>
        <w:rPr>
          <w:rFonts w:eastAsia="Times New Roman"/>
        </w:rPr>
        <w:pict>
          <v:rect id="_x0000_i1051" style="width:0;height:1.5pt" o:hralign="center" o:hrstd="t" o:hr="t" fillcolor="#a0a0a0" stroked="f"/>
        </w:pict>
      </w:r>
    </w:p>
    <w:p w:rsidR="00000000" w:rsidRDefault="00BC0821">
      <w:pPr>
        <w:divId w:val="814681780"/>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hanging="360"/>
        <w:divId w:val="1072192581"/>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w:t>
      </w:r>
    </w:p>
    <w:p w:rsidR="00000000" w:rsidRDefault="00BC0821">
      <w:pPr>
        <w:divId w:val="1459028289"/>
        <w:rPr>
          <w:rFonts w:eastAsia="Times New Roman"/>
        </w:rPr>
      </w:pPr>
      <w:r>
        <w:rPr>
          <w:rFonts w:eastAsia="Times New Roman"/>
          <w:b/>
          <w:bCs/>
          <w:color w:val="000000"/>
          <w:sz w:val="20"/>
          <w:szCs w:val="20"/>
        </w:rPr>
        <w:t>IMPORTANT INFORMATION RELATED TO FORWARD-LOOKING STATEMENTS</w:t>
      </w:r>
    </w:p>
    <w:p w:rsidR="00000000" w:rsidRDefault="00BC0821">
      <w:pPr>
        <w:ind w:firstLine="495"/>
        <w:divId w:val="269246501"/>
        <w:rPr>
          <w:rFonts w:eastAsia="Times New Roman"/>
        </w:rPr>
      </w:pPr>
      <w:r>
        <w:rPr>
          <w:rFonts w:eastAsia="Times New Roman"/>
          <w:color w:val="000000"/>
          <w:sz w:val="20"/>
          <w:szCs w:val="20"/>
        </w:rPr>
        <w:t>This Quarterly Report on Form 10-Q of The Macerich Company (the "Company") contains or incorporates statements</w:t>
      </w:r>
      <w:r>
        <w:rPr>
          <w:rFonts w:eastAsia="Times New Roman"/>
          <w:color w:val="000000"/>
          <w:sz w:val="20"/>
          <w:szCs w:val="20"/>
        </w:rPr>
        <w:t xml:space="preserve"> that constitute forward-looking statements within the meaning of the federal securities laws. Any statements that do not relate to historical or current facts or matters are forward-looking statements. You can identify some of the forward-looking statemen</w:t>
      </w:r>
      <w:r>
        <w:rPr>
          <w:rFonts w:eastAsia="Times New Roman"/>
          <w:color w:val="000000"/>
          <w:sz w:val="20"/>
          <w:szCs w:val="20"/>
        </w:rPr>
        <w:t>ts by the use of forward-looking words, such as "may," "will," "could," "should," "expects," "anticipates," "intends," "projects," "predicts," "plans," "believes," "seeks," "estimates," "scheduled" and variations of these words and similar expressions. Sta</w:t>
      </w:r>
      <w:r>
        <w:rPr>
          <w:rFonts w:eastAsia="Times New Roman"/>
          <w:color w:val="000000"/>
          <w:sz w:val="20"/>
          <w:szCs w:val="20"/>
        </w:rPr>
        <w:t>tements concerning current conditions may also be forward-looking if they imply a continuation of current conditions. Forward-looking statements appear in a number of places in this Form 10-Q and include statements regarding, among other matters:</w:t>
      </w:r>
    </w:p>
    <w:p w:rsidR="00000000" w:rsidRDefault="00BC0821">
      <w:pPr>
        <w:ind w:hanging="720"/>
        <w:divId w:val="504712873"/>
        <w:rPr>
          <w:rFonts w:eastAsia="Times New Roman"/>
        </w:rPr>
      </w:pPr>
      <w:r>
        <w:rPr>
          <w:rFonts w:eastAsia="Times New Roman"/>
          <w:color w:val="000000"/>
          <w:sz w:val="20"/>
          <w:szCs w:val="20"/>
        </w:rPr>
        <w:t>•expectat</w:t>
      </w:r>
      <w:r>
        <w:rPr>
          <w:rFonts w:eastAsia="Times New Roman"/>
          <w:color w:val="000000"/>
          <w:sz w:val="20"/>
          <w:szCs w:val="20"/>
        </w:rPr>
        <w:t>ions regarding the Company's growth;</w:t>
      </w:r>
    </w:p>
    <w:p w:rsidR="00000000" w:rsidRDefault="00BC0821">
      <w:pPr>
        <w:ind w:hanging="720"/>
        <w:divId w:val="1206871947"/>
        <w:rPr>
          <w:rFonts w:eastAsia="Times New Roman"/>
        </w:rPr>
      </w:pPr>
      <w:r>
        <w:rPr>
          <w:rFonts w:eastAsia="Times New Roman"/>
          <w:color w:val="000000"/>
          <w:sz w:val="20"/>
          <w:szCs w:val="20"/>
        </w:rPr>
        <w:t>•the Company's beliefs regarding its acquisition, redevelopment, development, leasing and operational activities and opportunities, including the performance and financial stability of its retailers;</w:t>
      </w:r>
    </w:p>
    <w:p w:rsidR="00000000" w:rsidRDefault="00BC0821">
      <w:pPr>
        <w:ind w:hanging="720"/>
        <w:divId w:val="1911232863"/>
        <w:rPr>
          <w:rFonts w:eastAsia="Times New Roman"/>
        </w:rPr>
      </w:pPr>
      <w:r>
        <w:rPr>
          <w:rFonts w:eastAsia="Times New Roman"/>
          <w:color w:val="000000"/>
          <w:sz w:val="20"/>
          <w:szCs w:val="20"/>
        </w:rPr>
        <w:t>•the Company's acqu</w:t>
      </w:r>
      <w:r>
        <w:rPr>
          <w:rFonts w:eastAsia="Times New Roman"/>
          <w:color w:val="000000"/>
          <w:sz w:val="20"/>
          <w:szCs w:val="20"/>
        </w:rPr>
        <w:t>isition, disposition and other strategies;</w:t>
      </w:r>
    </w:p>
    <w:p w:rsidR="00000000" w:rsidRDefault="00BC0821">
      <w:pPr>
        <w:ind w:hanging="720"/>
        <w:divId w:val="1580478988"/>
        <w:rPr>
          <w:rFonts w:eastAsia="Times New Roman"/>
        </w:rPr>
      </w:pPr>
      <w:r>
        <w:rPr>
          <w:rFonts w:eastAsia="Times New Roman"/>
          <w:color w:val="000000"/>
          <w:sz w:val="20"/>
          <w:szCs w:val="20"/>
        </w:rPr>
        <w:t>•regulatory matters pertaining to compliance with governmental regulations;</w:t>
      </w:r>
    </w:p>
    <w:p w:rsidR="00000000" w:rsidRDefault="00BC0821">
      <w:pPr>
        <w:ind w:hanging="720"/>
        <w:divId w:val="71513593"/>
        <w:rPr>
          <w:rFonts w:eastAsia="Times New Roman"/>
        </w:rPr>
      </w:pPr>
      <w:r>
        <w:rPr>
          <w:rFonts w:eastAsia="Times New Roman"/>
          <w:color w:val="000000"/>
          <w:sz w:val="20"/>
          <w:szCs w:val="20"/>
        </w:rPr>
        <w:t>•the Company's capital expenditure plans and expectations for obtaining capital for expenditures;</w:t>
      </w:r>
    </w:p>
    <w:p w:rsidR="00000000" w:rsidRDefault="00BC0821">
      <w:pPr>
        <w:ind w:hanging="720"/>
        <w:divId w:val="603273618"/>
        <w:rPr>
          <w:rFonts w:eastAsia="Times New Roman"/>
        </w:rPr>
      </w:pPr>
      <w:r>
        <w:rPr>
          <w:rFonts w:eastAsia="Times New Roman"/>
          <w:color w:val="000000"/>
          <w:sz w:val="20"/>
          <w:szCs w:val="20"/>
        </w:rPr>
        <w:t>•the Company's expectations regarding i</w:t>
      </w:r>
      <w:r>
        <w:rPr>
          <w:rFonts w:eastAsia="Times New Roman"/>
          <w:color w:val="000000"/>
          <w:sz w:val="20"/>
          <w:szCs w:val="20"/>
        </w:rPr>
        <w:t>ncome tax benefits;</w:t>
      </w:r>
    </w:p>
    <w:p w:rsidR="00000000" w:rsidRDefault="00BC0821">
      <w:pPr>
        <w:ind w:hanging="720"/>
        <w:divId w:val="909728897"/>
        <w:rPr>
          <w:rFonts w:eastAsia="Times New Roman"/>
        </w:rPr>
      </w:pPr>
      <w:r>
        <w:rPr>
          <w:rFonts w:eastAsia="Times New Roman"/>
          <w:color w:val="000000"/>
          <w:sz w:val="20"/>
          <w:szCs w:val="20"/>
        </w:rPr>
        <w:t>•the Company's expectations regarding its financial condition or results of operations; and</w:t>
      </w:r>
    </w:p>
    <w:p w:rsidR="00000000" w:rsidRDefault="00BC0821">
      <w:pPr>
        <w:ind w:hanging="720"/>
        <w:divId w:val="1407990112"/>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w:t>
      </w:r>
      <w:r>
        <w:rPr>
          <w:rFonts w:eastAsia="Times New Roman"/>
          <w:color w:val="000000"/>
          <w:sz w:val="20"/>
          <w:szCs w:val="20"/>
        </w:rPr>
        <w:t>gements.</w:t>
      </w:r>
    </w:p>
    <w:p w:rsidR="00000000" w:rsidRDefault="00BC0821">
      <w:pPr>
        <w:ind w:firstLine="495"/>
        <w:divId w:val="756555812"/>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may cause actual results, performance or achievements of the Company or the indust</w:t>
      </w:r>
      <w:r>
        <w:rPr>
          <w:rFonts w:eastAsia="Times New Roman"/>
          <w:color w:val="000000"/>
          <w:sz w:val="20"/>
          <w:szCs w:val="20"/>
        </w:rPr>
        <w:t>ry to differ materially from the Company's future results, performance or achievements, or those of the industry, expressed or implied in such forward-looking statements. Such factors include, among others, general industry, as well as global, national, re</w:t>
      </w:r>
      <w:r>
        <w:rPr>
          <w:rFonts w:eastAsia="Times New Roman"/>
          <w:color w:val="000000"/>
          <w:sz w:val="20"/>
          <w:szCs w:val="20"/>
        </w:rPr>
        <w:t>gional and local economic and business conditions, which will, among other things, affect demand for retail space or retail goods, availability and creditworthiness of current and prospective tenants, anchor or tenant bankruptcies, closures, mergers or con</w:t>
      </w:r>
      <w:r>
        <w:rPr>
          <w:rFonts w:eastAsia="Times New Roman"/>
          <w:color w:val="000000"/>
          <w:sz w:val="20"/>
          <w:szCs w:val="20"/>
        </w:rPr>
        <w:t>solidations, lease rates, terms and payments, rising interest rates and inflation and its impact on the financial condition and results of operation of the Company and its tenants, availability, terms and cost of financing and operating expenses; adverse c</w:t>
      </w:r>
      <w:r>
        <w:rPr>
          <w:rFonts w:eastAsia="Times New Roman"/>
          <w:color w:val="000000"/>
          <w:sz w:val="20"/>
          <w:szCs w:val="20"/>
        </w:rPr>
        <w:t>hanges in the real estate markets including, among other things, competition from other companies, retail formats and technology, risks of real estate development and redevelopment (including rising inflation, supply chain disruptions and construction dela</w:t>
      </w:r>
      <w:r>
        <w:rPr>
          <w:rFonts w:eastAsia="Times New Roman"/>
          <w:color w:val="000000"/>
          <w:sz w:val="20"/>
          <w:szCs w:val="20"/>
        </w:rPr>
        <w:t>ys), acquisitions and dispositions; the continuing adverse impact of the novel coronavirus ("COVID-19") on the U.S., regional and global economies and the financial condition and results of operations of the Company and its tenants; the liquidity of real e</w:t>
      </w:r>
      <w:r>
        <w:rPr>
          <w:rFonts w:eastAsia="Times New Roman"/>
          <w:color w:val="000000"/>
          <w:sz w:val="20"/>
          <w:szCs w:val="20"/>
        </w:rPr>
        <w:t>state investments, governmental actions and initiatives (including legislative and regulatory changes); environmental and safety requirements; and terrorist activities or other acts of violence which could adversely affect all of the above factors. You are</w:t>
      </w:r>
      <w:r>
        <w:rPr>
          <w:rFonts w:eastAsia="Times New Roman"/>
          <w:color w:val="000000"/>
          <w:sz w:val="20"/>
          <w:szCs w:val="20"/>
        </w:rPr>
        <w:t xml:space="preserve"> urged to carefully review the disclosures we make concerning these risks and other factors that may affect our business and operating results, including those made in "Item 1A. Risk Factors" in our Annual Report on Form 10-K for the year ended December 31</w:t>
      </w:r>
      <w:r>
        <w:rPr>
          <w:rFonts w:eastAsia="Times New Roman"/>
          <w:color w:val="000000"/>
          <w:sz w:val="20"/>
          <w:szCs w:val="20"/>
        </w:rPr>
        <w:t xml:space="preserve">, 2021, as well as our other reports filed with the Securities and Exchange Commission (the "SEC"), which disclosures are incorporated herein by reference. You are cautioned not to place undue reliance on these forward-looking statements, which speak only </w:t>
      </w:r>
      <w:r>
        <w:rPr>
          <w:rFonts w:eastAsia="Times New Roman"/>
          <w:color w:val="000000"/>
          <w:sz w:val="20"/>
          <w:szCs w:val="20"/>
        </w:rPr>
        <w:t>as of the date of this document. The Company does not intend, and undertakes no obligation, to update any forward-looking information to reflect events or circumstances after the date of this document or to reflect the occurrence of unanticipated events, u</w:t>
      </w:r>
      <w:r>
        <w:rPr>
          <w:rFonts w:eastAsia="Times New Roman"/>
          <w:color w:val="000000"/>
          <w:sz w:val="20"/>
          <w:szCs w:val="20"/>
        </w:rPr>
        <w:t>nless required by law to do so.</w:t>
      </w:r>
    </w:p>
    <w:p w:rsidR="00000000" w:rsidRDefault="00BC0821">
      <w:pPr>
        <w:divId w:val="154421749"/>
        <w:rPr>
          <w:rFonts w:eastAsia="Times New Roman"/>
        </w:rPr>
      </w:pPr>
      <w:r>
        <w:rPr>
          <w:rFonts w:eastAsia="Times New Roman"/>
          <w:b/>
          <w:bCs/>
          <w:color w:val="000000"/>
          <w:sz w:val="20"/>
          <w:szCs w:val="20"/>
        </w:rPr>
        <w:t>Management's Overview and Summary</w:t>
      </w:r>
    </w:p>
    <w:p w:rsidR="00000000" w:rsidRDefault="00BC0821">
      <w:pPr>
        <w:ind w:firstLine="495"/>
        <w:divId w:val="1192765227"/>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w:t>
      </w:r>
      <w:r>
        <w:rPr>
          <w:rFonts w:eastAsia="Times New Roman"/>
          <w:color w:val="000000"/>
          <w:sz w:val="20"/>
          <w:szCs w:val="20"/>
        </w:rPr>
        <w:t>s. The Company is the sole general partner of, and owns a majority of the ownership interests in, The Macerich Partnership, L.P. (the "Operating Partnership"). As of September 30, 2022, the Operating Partnership owned or had an ownership interest in 44 reg</w:t>
      </w:r>
      <w:r>
        <w:rPr>
          <w:rFonts w:eastAsia="Times New Roman"/>
          <w:color w:val="000000"/>
          <w:sz w:val="20"/>
          <w:szCs w:val="20"/>
        </w:rPr>
        <w:t>ional town centers (including office, hotel and residential space adjacent to these shopping centers), five community/power shopping centers, one office property and one redevelopment property. These 51 regional town centers, community/power shopping cente</w:t>
      </w:r>
      <w:r>
        <w:rPr>
          <w:rFonts w:eastAsia="Times New Roman"/>
          <w:color w:val="000000"/>
          <w:sz w:val="20"/>
          <w:szCs w:val="20"/>
        </w:rPr>
        <w:t>rs, office and redevelopment properties consist of approximately 48 million square feet of gross leasable area ("GLA") and are referred to herein as the "Centers". The Centers consist of consolidated Centers ("Consolidated Centers") and unconsolidated join</w:t>
      </w:r>
      <w:r>
        <w:rPr>
          <w:rFonts w:eastAsia="Times New Roman"/>
          <w:color w:val="000000"/>
          <w:sz w:val="20"/>
          <w:szCs w:val="20"/>
        </w:rPr>
        <w:t xml:space="preserve">t venture Centers ("Unconsolidated Joint Venture Centers"), unless the context otherwise requires. The property management, leasing and redevelopment of the Company's portfolio is provided by the Company's seven management companies (collectively </w:t>
      </w:r>
    </w:p>
    <w:p w:rsidR="00000000" w:rsidRDefault="00BC0821">
      <w:pPr>
        <w:jc w:val="center"/>
        <w:divId w:val="587890345"/>
        <w:rPr>
          <w:rFonts w:eastAsia="Times New Roman"/>
        </w:rPr>
      </w:pPr>
    </w:p>
    <w:p w:rsidR="00000000" w:rsidRDefault="00BC0821">
      <w:pPr>
        <w:jc w:val="center"/>
        <w:divId w:val="587890345"/>
        <w:rPr>
          <w:rFonts w:eastAsia="Times New Roman"/>
        </w:rPr>
      </w:pPr>
      <w:r>
        <w:rPr>
          <w:rFonts w:eastAsia="Times New Roman"/>
          <w:color w:val="000000"/>
          <w:sz w:val="20"/>
          <w:szCs w:val="20"/>
        </w:rPr>
        <w:t>28</w:t>
      </w:r>
    </w:p>
    <w:p w:rsidR="00000000" w:rsidRDefault="00BC0821">
      <w:pPr>
        <w:rPr>
          <w:rFonts w:eastAsia="Times New Roman"/>
        </w:rPr>
      </w:pPr>
      <w:r>
        <w:rPr>
          <w:rFonts w:eastAsia="Times New Roman"/>
        </w:rPr>
        <w:pict>
          <v:rect id="_x0000_i1052" style="width:0;height:1.5pt" o:hralign="center" o:hrstd="t" o:hr="t" fillcolor="#a0a0a0" stroked="f"/>
        </w:pict>
      </w:r>
    </w:p>
    <w:p w:rsidR="00000000" w:rsidRDefault="00BC0821">
      <w:pPr>
        <w:divId w:val="98650359"/>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724671574"/>
        <w:rPr>
          <w:rFonts w:eastAsia="Times New Roman"/>
        </w:rPr>
      </w:pPr>
      <w:r>
        <w:rPr>
          <w:rFonts w:eastAsia="Times New Roman"/>
          <w:color w:val="000000"/>
          <w:sz w:val="20"/>
          <w:szCs w:val="20"/>
        </w:rPr>
        <w:t>referred to herein as the "Management Companies"). The Company is a self-administered and self-managed real estate investment trust ("REIT") and c</w:t>
      </w:r>
      <w:r>
        <w:rPr>
          <w:rFonts w:eastAsia="Times New Roman"/>
          <w:color w:val="000000"/>
          <w:sz w:val="20"/>
          <w:szCs w:val="20"/>
        </w:rPr>
        <w:t>onducts all of its operations through the Operating Partnership and the Management Companies.</w:t>
      </w:r>
    </w:p>
    <w:p w:rsidR="00000000" w:rsidRDefault="00BC0821">
      <w:pPr>
        <w:ind w:firstLine="495"/>
        <w:divId w:val="604653158"/>
        <w:rPr>
          <w:rFonts w:eastAsia="Times New Roman"/>
        </w:rPr>
      </w:pPr>
      <w:r>
        <w:rPr>
          <w:rFonts w:eastAsia="Times New Roman"/>
          <w:color w:val="000000"/>
          <w:sz w:val="20"/>
          <w:szCs w:val="20"/>
        </w:rPr>
        <w:t>The following discussion is based primarily on the consolidated financial statements of the Company for the three and nine months ended September 30, 2022 and 202</w:t>
      </w:r>
      <w:r>
        <w:rPr>
          <w:rFonts w:eastAsia="Times New Roman"/>
          <w:color w:val="000000"/>
          <w:sz w:val="20"/>
          <w:szCs w:val="20"/>
        </w:rPr>
        <w:t>1. It compares the results of operations for the three months ended September 30, 2022 to the results of operations for the three months ended September 30, 2021. It also compares the results of operations and cash flows for the nine months ended September</w:t>
      </w:r>
      <w:r>
        <w:rPr>
          <w:rFonts w:eastAsia="Times New Roman"/>
          <w:color w:val="000000"/>
          <w:sz w:val="20"/>
          <w:szCs w:val="20"/>
        </w:rPr>
        <w:t xml:space="preserve"> 30, 2022 to the results of operations and cash flows for the nine months ended September 30, 2021. </w:t>
      </w:r>
    </w:p>
    <w:p w:rsidR="00000000" w:rsidRDefault="00BC0821">
      <w:pPr>
        <w:ind w:firstLine="495"/>
        <w:divId w:val="1599747965"/>
        <w:rPr>
          <w:rFonts w:eastAsia="Times New Roman"/>
        </w:rPr>
      </w:pPr>
      <w:r>
        <w:rPr>
          <w:rFonts w:eastAsia="Times New Roman"/>
          <w:color w:val="000000"/>
          <w:sz w:val="20"/>
          <w:szCs w:val="20"/>
        </w:rPr>
        <w:t>This information should be read in conjunction with the accompanying consolidated financial statements and notes thereto.</w:t>
      </w:r>
    </w:p>
    <w:p w:rsidR="00000000" w:rsidRDefault="00BC0821">
      <w:pPr>
        <w:ind w:firstLine="495"/>
        <w:divId w:val="1588419023"/>
        <w:rPr>
          <w:rFonts w:eastAsia="Times New Roman"/>
        </w:rPr>
      </w:pPr>
      <w:r>
        <w:rPr>
          <w:rFonts w:eastAsia="Times New Roman"/>
          <w:i/>
          <w:iCs/>
          <w:color w:val="000000"/>
          <w:sz w:val="20"/>
          <w:szCs w:val="20"/>
        </w:rPr>
        <w:t>Acquisitions</w:t>
      </w:r>
      <w:r>
        <w:rPr>
          <w:rFonts w:eastAsia="Times New Roman"/>
          <w:color w:val="000000"/>
          <w:sz w:val="20"/>
          <w:szCs w:val="20"/>
        </w:rPr>
        <w:t>:</w:t>
      </w:r>
    </w:p>
    <w:p w:rsidR="00000000" w:rsidRDefault="00BC0821">
      <w:pPr>
        <w:ind w:firstLine="495"/>
        <w:divId w:val="2108765026"/>
        <w:rPr>
          <w:rFonts w:eastAsia="Times New Roman"/>
        </w:rPr>
      </w:pPr>
      <w:r>
        <w:rPr>
          <w:rFonts w:eastAsia="Times New Roman"/>
          <w:color w:val="000000"/>
          <w:sz w:val="20"/>
          <w:szCs w:val="20"/>
        </w:rPr>
        <w:t xml:space="preserve">On August 2, 2022, </w:t>
      </w:r>
      <w:r>
        <w:rPr>
          <w:rFonts w:eastAsia="Times New Roman"/>
          <w:color w:val="000000"/>
          <w:sz w:val="20"/>
          <w:szCs w:val="20"/>
        </w:rPr>
        <w:t>the Company acquired the remaining 50% ownership interest in two former Sears parcels (Deptford Mall and Vintage Faire Mall) in the MS Portfolio LLC joint venture that it did not previously own for a total purchase price of $24.5 million. Effective as of A</w:t>
      </w:r>
      <w:r>
        <w:rPr>
          <w:rFonts w:eastAsia="Times New Roman"/>
          <w:color w:val="000000"/>
          <w:sz w:val="20"/>
          <w:szCs w:val="20"/>
        </w:rPr>
        <w:t>ugust 2, 2022, the Company now owns and has consolidated its 100% interest in these two former Sears parcels in its consolidated financial statements (See Note 15—Acquisitions in the Notes to the Consolidated Financial Statements).</w:t>
      </w:r>
    </w:p>
    <w:p w:rsidR="00000000" w:rsidRDefault="00BC0821">
      <w:pPr>
        <w:ind w:firstLine="450"/>
        <w:divId w:val="1541043177"/>
        <w:rPr>
          <w:rFonts w:eastAsia="Times New Roman"/>
        </w:rPr>
      </w:pPr>
      <w:r>
        <w:rPr>
          <w:rFonts w:eastAsia="Times New Roman"/>
          <w:i/>
          <w:iCs/>
          <w:color w:val="000000"/>
          <w:sz w:val="20"/>
          <w:szCs w:val="20"/>
        </w:rPr>
        <w:t>Dispositions:</w:t>
      </w:r>
    </w:p>
    <w:p w:rsidR="00000000" w:rsidRDefault="00BC0821">
      <w:pPr>
        <w:ind w:firstLine="495"/>
        <w:divId w:val="1711103418"/>
        <w:rPr>
          <w:rFonts w:eastAsia="Times New Roman"/>
        </w:rPr>
      </w:pPr>
      <w:r>
        <w:rPr>
          <w:rFonts w:eastAsia="Times New Roman"/>
          <w:color w:val="000000"/>
          <w:sz w:val="20"/>
          <w:szCs w:val="20"/>
        </w:rPr>
        <w:t>On March 29, 2021, the Company sold Paradise Valley Mall in Phoenix, Arizona to a newly formed joint venture for $100.0 million, resulting in a gain on sale of assets of approximately $5.6 million. Concurrent with the sale, the Company electe</w:t>
      </w:r>
      <w:r>
        <w:rPr>
          <w:rFonts w:eastAsia="Times New Roman"/>
          <w:color w:val="000000"/>
          <w:sz w:val="20"/>
          <w:szCs w:val="20"/>
        </w:rPr>
        <w:t>d to reinvest into the new joint venture at a 5% ownership interest. The Company used the $95.3 million of net proceeds from the sale to pay down its line of credit (See "—Liquidity and Capital Resources").</w:t>
      </w:r>
    </w:p>
    <w:p w:rsidR="00000000" w:rsidRDefault="00BC0821">
      <w:pPr>
        <w:ind w:firstLine="495"/>
        <w:divId w:val="976448174"/>
        <w:rPr>
          <w:rFonts w:eastAsia="Times New Roman"/>
        </w:rPr>
      </w:pPr>
      <w:r>
        <w:rPr>
          <w:rFonts w:eastAsia="Times New Roman"/>
          <w:color w:val="000000"/>
          <w:sz w:val="20"/>
          <w:szCs w:val="20"/>
        </w:rPr>
        <w:t>On September 17, 2021, the Company sold Tucson La</w:t>
      </w:r>
      <w:r>
        <w:rPr>
          <w:rFonts w:eastAsia="Times New Roman"/>
          <w:color w:val="000000"/>
          <w:sz w:val="20"/>
          <w:szCs w:val="20"/>
        </w:rPr>
        <w:t xml:space="preserve"> Encantada in Tucson, Arizona for $165.3 million, resulting in a gain on sale of assets of approximately $117.2 million. The Company used the net cash proceeds of approximately $100.1 million to pay down debt (See "—Liquidity and Capital Resources").</w:t>
      </w:r>
    </w:p>
    <w:p w:rsidR="00000000" w:rsidRDefault="00BC0821">
      <w:pPr>
        <w:ind w:firstLine="495"/>
        <w:divId w:val="1105223542"/>
        <w:rPr>
          <w:rFonts w:eastAsia="Times New Roman"/>
        </w:rPr>
      </w:pPr>
      <w:r>
        <w:rPr>
          <w:rFonts w:eastAsia="Times New Roman"/>
          <w:color w:val="000000"/>
          <w:sz w:val="20"/>
          <w:szCs w:val="20"/>
        </w:rPr>
        <w:t>On De</w:t>
      </w:r>
      <w:r>
        <w:rPr>
          <w:rFonts w:eastAsia="Times New Roman"/>
          <w:color w:val="000000"/>
          <w:sz w:val="20"/>
          <w:szCs w:val="20"/>
        </w:rPr>
        <w:t>cember 31, 2021, the Company assigned its joint venture interest in The Shops at North Bridge in Chicago, Illinois to its partner in the joint venture. The assignment included the assumption by the joint venture partner of the Company’s share of the debt o</w:t>
      </w:r>
      <w:r>
        <w:rPr>
          <w:rFonts w:eastAsia="Times New Roman"/>
          <w:color w:val="000000"/>
          <w:sz w:val="20"/>
          <w:szCs w:val="20"/>
        </w:rPr>
        <w:t>wed by the joint venture and no cash consideration was received by the Company. The Company recognized a loss of approximately $28.3 million in connection with the assignment.</w:t>
      </w:r>
    </w:p>
    <w:p w:rsidR="00000000" w:rsidRDefault="00BC0821">
      <w:pPr>
        <w:ind w:firstLine="495"/>
        <w:divId w:val="1762489904"/>
        <w:rPr>
          <w:rFonts w:eastAsia="Times New Roman"/>
        </w:rPr>
      </w:pPr>
      <w:r>
        <w:rPr>
          <w:rFonts w:eastAsia="Times New Roman"/>
          <w:color w:val="000000"/>
          <w:sz w:val="20"/>
          <w:szCs w:val="20"/>
        </w:rPr>
        <w:t>On December 31, 2021, the Company sold its joint venture interest in the undevel</w:t>
      </w:r>
      <w:r>
        <w:rPr>
          <w:rFonts w:eastAsia="Times New Roman"/>
          <w:color w:val="000000"/>
          <w:sz w:val="20"/>
          <w:szCs w:val="20"/>
        </w:rPr>
        <w:t>oped property at 443 North Wabash Avenue in Chicago, Illinois to its partner in the joint venture for $21.0 million. The Company recognized an immaterial gain in connection with the sale.</w:t>
      </w:r>
    </w:p>
    <w:p w:rsidR="00000000" w:rsidRDefault="00BC0821">
      <w:pPr>
        <w:ind w:firstLine="495"/>
        <w:divId w:val="929393356"/>
        <w:rPr>
          <w:rFonts w:eastAsia="Times New Roman"/>
        </w:rPr>
      </w:pPr>
      <w:r>
        <w:rPr>
          <w:rFonts w:eastAsia="Times New Roman"/>
          <w:color w:val="000000"/>
          <w:sz w:val="20"/>
          <w:szCs w:val="20"/>
        </w:rPr>
        <w:t>For the twelve months ended December 31, 2021, the Company and certa</w:t>
      </w:r>
      <w:r>
        <w:rPr>
          <w:rFonts w:eastAsia="Times New Roman"/>
          <w:color w:val="000000"/>
          <w:sz w:val="20"/>
          <w:szCs w:val="20"/>
        </w:rPr>
        <w:t>in joint venture partners sold various land parcels in separate transactions, resulting in the Company’s share of the gain on sale of land of $19.6 million. The Company used its share of the proceeds from these sales of $46.5 million to pay down debt and f</w:t>
      </w:r>
      <w:r>
        <w:rPr>
          <w:rFonts w:eastAsia="Times New Roman"/>
          <w:color w:val="000000"/>
          <w:sz w:val="20"/>
          <w:szCs w:val="20"/>
        </w:rPr>
        <w:t>or other general corporate purposes.</w:t>
      </w:r>
    </w:p>
    <w:p w:rsidR="00000000" w:rsidRDefault="00BC0821">
      <w:pPr>
        <w:ind w:firstLine="495"/>
        <w:divId w:val="1304657916"/>
        <w:rPr>
          <w:rFonts w:eastAsia="Times New Roman"/>
        </w:rPr>
      </w:pPr>
      <w:r>
        <w:rPr>
          <w:rFonts w:eastAsia="Times New Roman"/>
          <w:color w:val="000000"/>
          <w:sz w:val="20"/>
          <w:szCs w:val="20"/>
        </w:rPr>
        <w:t xml:space="preserve">For the three and nine months ended September 30, 2022, the Company and certain joint venture partners sold various land parcels in separate transactions, resulting in the Company’s share of the gain on sale of land of </w:t>
      </w:r>
      <w:r>
        <w:rPr>
          <w:rFonts w:eastAsia="Times New Roman"/>
          <w:color w:val="000000"/>
          <w:sz w:val="20"/>
          <w:szCs w:val="20"/>
        </w:rPr>
        <w:t xml:space="preserve">$10.4 million and $22.7 million, respectively. The Company’s proceeds from these sales in the three and nine months ended September 30, 2022 were $26.4 million and $53.7 million, respectively. The Company used its share of the proceeds from these sales to </w:t>
      </w:r>
      <w:r>
        <w:rPr>
          <w:rFonts w:eastAsia="Times New Roman"/>
          <w:color w:val="000000"/>
          <w:sz w:val="20"/>
          <w:szCs w:val="20"/>
        </w:rPr>
        <w:t xml:space="preserve">pay down debt and for other general corporate purposes. </w:t>
      </w:r>
    </w:p>
    <w:p w:rsidR="00000000" w:rsidRDefault="00BC0821">
      <w:pPr>
        <w:ind w:firstLine="450"/>
        <w:divId w:val="343702905"/>
        <w:rPr>
          <w:rFonts w:eastAsia="Times New Roman"/>
        </w:rPr>
      </w:pPr>
      <w:r>
        <w:rPr>
          <w:rFonts w:eastAsia="Times New Roman"/>
          <w:i/>
          <w:iCs/>
          <w:color w:val="000000"/>
          <w:sz w:val="20"/>
          <w:szCs w:val="20"/>
        </w:rPr>
        <w:t>Financing Activities:</w:t>
      </w:r>
    </w:p>
    <w:p w:rsidR="00000000" w:rsidRDefault="00BC0821">
      <w:pPr>
        <w:ind w:firstLine="495"/>
        <w:divId w:val="720832303"/>
        <w:rPr>
          <w:rFonts w:eastAsia="Times New Roman"/>
        </w:rPr>
      </w:pPr>
      <w:r>
        <w:rPr>
          <w:rFonts w:eastAsia="Times New Roman"/>
          <w:color w:val="000000"/>
          <w:sz w:val="20"/>
          <w:szCs w:val="20"/>
        </w:rPr>
        <w:t>On January 22, 2021, the Company closed on a one-year extension for the Green Acres Mall $258.2 million loan to February 3, 2022, which also included a one-year extension option to February 3, 2023 that has been exercised. The interest rate remained unchan</w:t>
      </w:r>
      <w:r>
        <w:rPr>
          <w:rFonts w:eastAsia="Times New Roman"/>
          <w:color w:val="000000"/>
          <w:sz w:val="20"/>
          <w:szCs w:val="20"/>
        </w:rPr>
        <w:t>ged, and the Company repaid $9 million of the outstanding loan balance at closing.</w:t>
      </w:r>
    </w:p>
    <w:p w:rsidR="00000000" w:rsidRDefault="00BC0821">
      <w:pPr>
        <w:ind w:firstLine="495"/>
        <w:divId w:val="323969077"/>
        <w:rPr>
          <w:rFonts w:eastAsia="Times New Roman"/>
        </w:rPr>
      </w:pPr>
      <w:r>
        <w:rPr>
          <w:rFonts w:eastAsia="Times New Roman"/>
          <w:color w:val="000000"/>
          <w:sz w:val="20"/>
          <w:szCs w:val="20"/>
        </w:rPr>
        <w:t>On March 25, 2021, the Company closed on a two-year extension for the Green Acres Commons $124.6 million loan to March 29, 2023. The interest rate is LIBOR plus 2.75% and th</w:t>
      </w:r>
      <w:r>
        <w:rPr>
          <w:rFonts w:eastAsia="Times New Roman"/>
          <w:color w:val="000000"/>
          <w:sz w:val="20"/>
          <w:szCs w:val="20"/>
        </w:rPr>
        <w:t>e Company repaid $4.7 million of the outstanding loan balance at closing.</w:t>
      </w:r>
    </w:p>
    <w:p w:rsidR="00000000" w:rsidRDefault="00BC0821">
      <w:pPr>
        <w:ind w:firstLine="495"/>
        <w:divId w:val="1768498474"/>
        <w:rPr>
          <w:rFonts w:eastAsia="Times New Roman"/>
        </w:rPr>
      </w:pPr>
      <w:r>
        <w:rPr>
          <w:rFonts w:eastAsia="Times New Roman"/>
          <w:color w:val="000000"/>
          <w:sz w:val="20"/>
          <w:szCs w:val="20"/>
        </w:rPr>
        <w:t>On April 14, 2021, the Company terminated its existing credit facility and entered into a new credit agreement, which provides for an aggregate $700 million facility, including a $52</w:t>
      </w:r>
      <w:r>
        <w:rPr>
          <w:rFonts w:eastAsia="Times New Roman"/>
          <w:color w:val="000000"/>
          <w:sz w:val="20"/>
          <w:szCs w:val="20"/>
        </w:rPr>
        <w:t>5 million revolving loan facility that matures on April 14, 2023, with a one-year extension option, and a $175 million term loan facility that matures on April 14, 2024. The Company drew the $175 million term loan facility in its entirety simultaneously wi</w:t>
      </w:r>
      <w:r>
        <w:rPr>
          <w:rFonts w:eastAsia="Times New Roman"/>
          <w:color w:val="000000"/>
          <w:sz w:val="20"/>
          <w:szCs w:val="20"/>
        </w:rPr>
        <w:t xml:space="preserve">th entering into the new credit agreement in April 2021 and </w:t>
      </w:r>
    </w:p>
    <w:p w:rsidR="00000000" w:rsidRDefault="00BC0821">
      <w:pPr>
        <w:jc w:val="center"/>
        <w:divId w:val="1211961233"/>
        <w:rPr>
          <w:rFonts w:eastAsia="Times New Roman"/>
        </w:rPr>
      </w:pPr>
    </w:p>
    <w:p w:rsidR="00000000" w:rsidRDefault="00BC0821">
      <w:pPr>
        <w:jc w:val="center"/>
        <w:divId w:val="1211961233"/>
        <w:rPr>
          <w:rFonts w:eastAsia="Times New Roman"/>
        </w:rPr>
      </w:pPr>
      <w:r>
        <w:rPr>
          <w:rFonts w:eastAsia="Times New Roman"/>
          <w:color w:val="000000"/>
          <w:sz w:val="20"/>
          <w:szCs w:val="20"/>
        </w:rPr>
        <w:t>29</w:t>
      </w:r>
    </w:p>
    <w:p w:rsidR="00000000" w:rsidRDefault="00BC0821">
      <w:pPr>
        <w:rPr>
          <w:rFonts w:eastAsia="Times New Roman"/>
        </w:rPr>
      </w:pPr>
      <w:r>
        <w:rPr>
          <w:rFonts w:eastAsia="Times New Roman"/>
        </w:rPr>
        <w:pict>
          <v:rect id="_x0000_i1053" style="width:0;height:1.5pt" o:hralign="center" o:hrstd="t" o:hr="t" fillcolor="#a0a0a0" stroked="f"/>
        </w:pict>
      </w:r>
    </w:p>
    <w:p w:rsidR="00000000" w:rsidRDefault="00BC0821">
      <w:pPr>
        <w:divId w:val="122397917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2136026319"/>
        <w:rPr>
          <w:rFonts w:eastAsia="Times New Roman"/>
        </w:rPr>
      </w:pPr>
      <w:r>
        <w:rPr>
          <w:rFonts w:eastAsia="Times New Roman"/>
          <w:color w:val="000000"/>
          <w:sz w:val="20"/>
          <w:szCs w:val="20"/>
        </w:rPr>
        <w:t>subsequently paid off the remaining balance outstanding on the term loan facil</w:t>
      </w:r>
      <w:r>
        <w:rPr>
          <w:rFonts w:eastAsia="Times New Roman"/>
          <w:color w:val="000000"/>
          <w:sz w:val="20"/>
          <w:szCs w:val="20"/>
        </w:rPr>
        <w:t>ity with proceeds from the sale of Tucson La Encantada in September 2021.</w:t>
      </w:r>
    </w:p>
    <w:p w:rsidR="00000000" w:rsidRDefault="00BC0821">
      <w:pPr>
        <w:ind w:firstLine="495"/>
        <w:divId w:val="614605476"/>
        <w:rPr>
          <w:rFonts w:eastAsia="Times New Roman"/>
        </w:rPr>
      </w:pPr>
      <w:r>
        <w:rPr>
          <w:rFonts w:eastAsia="Times New Roman"/>
          <w:color w:val="000000"/>
          <w:sz w:val="20"/>
          <w:szCs w:val="20"/>
        </w:rPr>
        <w:t>On September 15, 2021, the Company further extended the loan maturity on Danbury Fair Mall to July 1, 2022. The interest rate remained unchanged at 5.5%, and the Company repaid $10.0</w:t>
      </w:r>
      <w:r>
        <w:rPr>
          <w:rFonts w:eastAsia="Times New Roman"/>
          <w:color w:val="000000"/>
          <w:sz w:val="20"/>
          <w:szCs w:val="20"/>
        </w:rPr>
        <w:t xml:space="preserve"> million of the outstanding loan balance at closing. The loan maturity was further extended in July 2022.</w:t>
      </w:r>
    </w:p>
    <w:p w:rsidR="00000000" w:rsidRDefault="00BC0821">
      <w:pPr>
        <w:ind w:firstLine="495"/>
        <w:divId w:val="57292546"/>
        <w:rPr>
          <w:rFonts w:eastAsia="Times New Roman"/>
        </w:rPr>
      </w:pPr>
      <w:r>
        <w:rPr>
          <w:rFonts w:eastAsia="Times New Roman"/>
          <w:color w:val="000000"/>
          <w:sz w:val="20"/>
          <w:szCs w:val="20"/>
        </w:rPr>
        <w:t>On October 26, 2021, the Company's joint venture in The Shops at Atlas Park replaced the existing loan on the property with a new $65 million loan tha</w:t>
      </w:r>
      <w:r>
        <w:rPr>
          <w:rFonts w:eastAsia="Times New Roman"/>
          <w:color w:val="000000"/>
          <w:sz w:val="20"/>
          <w:szCs w:val="20"/>
        </w:rPr>
        <w:t>t bears interest at a floating rate of LIBOR plus 4.15% and matures on November 9, 2026, including extension options. The loan is covered by an interest rate cap agreement that effectively prevents LIBOR from exceeding 3.0% through November 7, 2023.</w:t>
      </w:r>
    </w:p>
    <w:p w:rsidR="00000000" w:rsidRDefault="00BC0821">
      <w:pPr>
        <w:ind w:firstLine="495"/>
        <w:divId w:val="1828784488"/>
        <w:rPr>
          <w:rFonts w:eastAsia="Times New Roman"/>
        </w:rPr>
      </w:pPr>
      <w:r>
        <w:rPr>
          <w:rFonts w:eastAsia="Times New Roman"/>
          <w:color w:val="000000"/>
          <w:sz w:val="20"/>
          <w:szCs w:val="20"/>
        </w:rPr>
        <w:t>During</w:t>
      </w:r>
      <w:r>
        <w:rPr>
          <w:rFonts w:eastAsia="Times New Roman"/>
          <w:color w:val="000000"/>
          <w:sz w:val="20"/>
          <w:szCs w:val="20"/>
        </w:rPr>
        <w:t xml:space="preserve"> the year ended December 31, 2021, the Company repaid $1.7 billion of debt then outstanding, including the $985 million repaid in connection with entering into the new credit agreement in April 2021. These repaid amounts represented an approximately 20% re</w:t>
      </w:r>
      <w:r>
        <w:rPr>
          <w:rFonts w:eastAsia="Times New Roman"/>
          <w:color w:val="000000"/>
          <w:sz w:val="20"/>
          <w:szCs w:val="20"/>
        </w:rPr>
        <w:t xml:space="preserve">duction in the debt outstanding, at the Company’s share, since December 31, 2020. </w:t>
      </w:r>
    </w:p>
    <w:p w:rsidR="00000000" w:rsidRDefault="00BC0821">
      <w:pPr>
        <w:ind w:firstLine="495"/>
        <w:divId w:val="1714883614"/>
        <w:rPr>
          <w:rFonts w:eastAsia="Times New Roman"/>
        </w:rPr>
      </w:pPr>
      <w:r>
        <w:rPr>
          <w:rFonts w:eastAsia="Times New Roman"/>
          <w:color w:val="000000"/>
          <w:sz w:val="20"/>
          <w:szCs w:val="20"/>
        </w:rPr>
        <w:t>On February 2, 2022, the Company’s joint venture in FlatIron Crossing replaced the existing $197 million loan on the property with a new $175 million loan that bears interes</w:t>
      </w:r>
      <w:r>
        <w:rPr>
          <w:rFonts w:eastAsia="Times New Roman"/>
          <w:color w:val="000000"/>
          <w:sz w:val="20"/>
          <w:szCs w:val="20"/>
        </w:rPr>
        <w:t>t at SOFR plus 3.70% and matures on February 9, 2025, including extension options. The loan is covered by an interest rate cap agreement that effectively prevents SOFR from exceeding 4.0% through February 15, 2024.</w:t>
      </w:r>
    </w:p>
    <w:p w:rsidR="00000000" w:rsidRDefault="00BC0821">
      <w:pPr>
        <w:ind w:firstLine="495"/>
        <w:divId w:val="1961835851"/>
        <w:rPr>
          <w:rFonts w:eastAsia="Times New Roman"/>
        </w:rPr>
      </w:pPr>
      <w:r>
        <w:rPr>
          <w:rFonts w:eastAsia="Times New Roman"/>
          <w:color w:val="000000"/>
          <w:sz w:val="20"/>
          <w:szCs w:val="20"/>
        </w:rPr>
        <w:t>On April 29, 2022, the Company replaced t</w:t>
      </w:r>
      <w:r>
        <w:rPr>
          <w:rFonts w:eastAsia="Times New Roman"/>
          <w:color w:val="000000"/>
          <w:sz w:val="20"/>
          <w:szCs w:val="20"/>
        </w:rPr>
        <w:t>he existing $110.6 million loan on Pacific View with a new $72.0 million loan that bears interest at a fixed rate of 5.29% and matures on May 6, 2032.</w:t>
      </w:r>
    </w:p>
    <w:p w:rsidR="00000000" w:rsidRDefault="00BC0821">
      <w:pPr>
        <w:ind w:firstLine="495"/>
        <w:divId w:val="1897811949"/>
        <w:rPr>
          <w:rFonts w:eastAsia="Times New Roman"/>
        </w:rPr>
      </w:pPr>
      <w:r>
        <w:rPr>
          <w:rFonts w:eastAsia="Times New Roman"/>
          <w:color w:val="000000"/>
          <w:sz w:val="20"/>
          <w:szCs w:val="20"/>
        </w:rPr>
        <w:t>On May 6, 2022, the Company closed on a two-year extension for The Oaks loan to June 5, 2024, at a new fi</w:t>
      </w:r>
      <w:r>
        <w:rPr>
          <w:rFonts w:eastAsia="Times New Roman"/>
          <w:color w:val="000000"/>
          <w:sz w:val="20"/>
          <w:szCs w:val="20"/>
        </w:rPr>
        <w:t>xed interest rate of 5.25%. The Company repaid $5.0 million of the outstanding loan balance at closing.</w:t>
      </w:r>
    </w:p>
    <w:p w:rsidR="00000000" w:rsidRDefault="00BC0821">
      <w:pPr>
        <w:ind w:firstLine="495"/>
        <w:divId w:val="1276476455"/>
        <w:rPr>
          <w:rFonts w:eastAsia="Times New Roman"/>
        </w:rPr>
      </w:pPr>
      <w:r>
        <w:rPr>
          <w:rFonts w:eastAsia="Times New Roman"/>
          <w:color w:val="000000"/>
          <w:sz w:val="20"/>
          <w:szCs w:val="20"/>
        </w:rPr>
        <w:t xml:space="preserve">On July 1, 2022, the Company further extended the loan maturity on Danbury Fair Mall to July 1, 2023. The interest rate remained unchanged at 5.5%, and </w:t>
      </w:r>
      <w:r>
        <w:rPr>
          <w:rFonts w:eastAsia="Times New Roman"/>
          <w:color w:val="000000"/>
          <w:sz w:val="20"/>
          <w:szCs w:val="20"/>
        </w:rPr>
        <w:t xml:space="preserve">the Company repaid $10.0 million of the outstanding loan balance at closing. </w:t>
      </w:r>
    </w:p>
    <w:p w:rsidR="00000000" w:rsidRDefault="00BC0821">
      <w:pPr>
        <w:ind w:firstLine="495"/>
        <w:divId w:val="94785628"/>
        <w:rPr>
          <w:rFonts w:eastAsia="Times New Roman"/>
        </w:rPr>
      </w:pPr>
      <w:r>
        <w:rPr>
          <w:rFonts w:eastAsia="Times New Roman"/>
          <w:color w:val="000000"/>
          <w:sz w:val="20"/>
          <w:szCs w:val="20"/>
        </w:rPr>
        <w:t>The Company’s joint venture in Washington Square expects to close in November 2022 a four-year extension, including options, on the $519.8 million loan on the property, at a floa</w:t>
      </w:r>
      <w:r>
        <w:rPr>
          <w:rFonts w:eastAsia="Times New Roman"/>
          <w:color w:val="000000"/>
          <w:sz w:val="20"/>
          <w:szCs w:val="20"/>
        </w:rPr>
        <w:t>ting interest rate of SOFR plus 4.0%, subject to negotiating final loan terms and documentation and customary closing conditions.</w:t>
      </w:r>
    </w:p>
    <w:p w:rsidR="00000000" w:rsidRDefault="00BC0821">
      <w:pPr>
        <w:ind w:firstLine="495"/>
        <w:divId w:val="1757558899"/>
        <w:rPr>
          <w:rFonts w:eastAsia="Times New Roman"/>
        </w:rPr>
      </w:pPr>
      <w:r>
        <w:rPr>
          <w:rFonts w:eastAsia="Times New Roman"/>
          <w:color w:val="000000"/>
          <w:sz w:val="20"/>
          <w:szCs w:val="20"/>
        </w:rPr>
        <w:t xml:space="preserve">The Company expects to close in November 2022 a three-year extension of the loan on Santa Monica Place at a floating interest </w:t>
      </w:r>
      <w:r>
        <w:rPr>
          <w:rFonts w:eastAsia="Times New Roman"/>
          <w:color w:val="000000"/>
          <w:sz w:val="20"/>
          <w:szCs w:val="20"/>
        </w:rPr>
        <w:t>rate of SOFR plus 1.58%, subject to negotiating final loan terms and documentation and customary closing conditions.</w:t>
      </w:r>
    </w:p>
    <w:p w:rsidR="00000000" w:rsidRDefault="00BC0821">
      <w:pPr>
        <w:ind w:firstLine="495"/>
        <w:divId w:val="938101654"/>
        <w:rPr>
          <w:rFonts w:eastAsia="Times New Roman"/>
        </w:rPr>
      </w:pPr>
      <w:r>
        <w:rPr>
          <w:rFonts w:eastAsia="Times New Roman"/>
          <w:color w:val="000000"/>
          <w:sz w:val="20"/>
          <w:szCs w:val="20"/>
        </w:rPr>
        <w:t>The Company did not repay the loan on Towne Mall on its maturity date of November 1, 2022, and has begun the process of transitioning the p</w:t>
      </w:r>
      <w:r>
        <w:rPr>
          <w:rFonts w:eastAsia="Times New Roman"/>
          <w:color w:val="000000"/>
          <w:sz w:val="20"/>
          <w:szCs w:val="20"/>
        </w:rPr>
        <w:t>roperty to the loan servicer.</w:t>
      </w:r>
    </w:p>
    <w:p w:rsidR="00000000" w:rsidRDefault="00BC0821">
      <w:pPr>
        <w:ind w:firstLine="495"/>
        <w:divId w:val="1694649388"/>
        <w:rPr>
          <w:rFonts w:eastAsia="Times New Roman"/>
        </w:rPr>
      </w:pPr>
      <w:r>
        <w:rPr>
          <w:rFonts w:eastAsia="Times New Roman"/>
          <w:i/>
          <w:iCs/>
          <w:color w:val="000000"/>
          <w:sz w:val="20"/>
          <w:szCs w:val="20"/>
        </w:rPr>
        <w:t>Redevelopment and Development Activities:</w:t>
      </w:r>
    </w:p>
    <w:p w:rsidR="00000000" w:rsidRDefault="00BC0821">
      <w:pPr>
        <w:ind w:firstLine="495"/>
        <w:divId w:val="1393700492"/>
        <w:rPr>
          <w:rFonts w:eastAsia="Times New Roman"/>
        </w:rPr>
      </w:pPr>
      <w:r>
        <w:rPr>
          <w:rFonts w:eastAsia="Times New Roman"/>
          <w:color w:val="000000"/>
          <w:sz w:val="20"/>
          <w:szCs w:val="20"/>
        </w:rPr>
        <w:t>The Company has a 50/50 joint venture with Simon Property Group, which was initially formed to develop Los Angeles Premium Outlets, a premium outlet center in Carson, California. The Company has funded $38.6 million of the total $77.2 million incurred by t</w:t>
      </w:r>
      <w:r>
        <w:rPr>
          <w:rFonts w:eastAsia="Times New Roman"/>
          <w:color w:val="000000"/>
          <w:sz w:val="20"/>
          <w:szCs w:val="20"/>
        </w:rPr>
        <w:t xml:space="preserve">he joint venture as of September 30, 2022. </w:t>
      </w:r>
    </w:p>
    <w:p w:rsidR="00000000" w:rsidRDefault="00BC0821">
      <w:pPr>
        <w:ind w:firstLine="495"/>
        <w:divId w:val="1065764264"/>
        <w:rPr>
          <w:rFonts w:eastAsia="Times New Roman"/>
        </w:rPr>
      </w:pPr>
      <w:r>
        <w:rPr>
          <w:rFonts w:eastAsia="Times New Roman"/>
          <w:color w:val="000000"/>
          <w:sz w:val="20"/>
          <w:szCs w:val="20"/>
        </w:rPr>
        <w:t xml:space="preserve">The Company is redeveloping an approximately 150,000 square foot, three-level space (formerly occupied by Bloomingdale’s and Arclight Theatre) at Santa Monica Place, a 479,000 square foot regional town center in </w:t>
      </w:r>
      <w:r>
        <w:rPr>
          <w:rFonts w:eastAsia="Times New Roman"/>
          <w:color w:val="000000"/>
          <w:sz w:val="20"/>
          <w:szCs w:val="20"/>
        </w:rPr>
        <w:t>Santa Monica, California, with an entertainment destination use, high-end fitness, and co-working space. The total cost of the project is estimated to be between $35.0 million and $40.0 million. The Company has incurred approximately $1.0 million as of Sep</w:t>
      </w:r>
      <w:r>
        <w:rPr>
          <w:rFonts w:eastAsia="Times New Roman"/>
          <w:color w:val="000000"/>
          <w:sz w:val="20"/>
          <w:szCs w:val="20"/>
        </w:rPr>
        <w:t>tember 30, 2022. The anticipated opening is in 2024.</w:t>
      </w:r>
    </w:p>
    <w:p w:rsidR="00000000" w:rsidRDefault="00BC0821">
      <w:pPr>
        <w:ind w:firstLine="495"/>
        <w:divId w:val="1383679164"/>
        <w:rPr>
          <w:rFonts w:eastAsia="Times New Roman"/>
        </w:rPr>
      </w:pPr>
      <w:r>
        <w:rPr>
          <w:rFonts w:eastAsia="Times New Roman"/>
          <w:color w:val="000000"/>
          <w:sz w:val="20"/>
          <w:szCs w:val="20"/>
        </w:rPr>
        <w:t>The Company’s joint venture in Scottsdale Fashion Square, a 1,885,000 square foot regional town center in Scottsdale, Arizona, is redeveloping a two-level Nordstrom wing with luxury-focused retail and re</w:t>
      </w:r>
      <w:r>
        <w:rPr>
          <w:rFonts w:eastAsia="Times New Roman"/>
          <w:color w:val="000000"/>
          <w:sz w:val="20"/>
          <w:szCs w:val="20"/>
        </w:rPr>
        <w:t>staurant uses. The total cost of the project is estimated to be between $80.0 million and $90.0 million, with $40.0 million and $45.0 million estimated to be the Company’s pro rata share. The Company has incurred $1.6 million of the total $3.2 million incu</w:t>
      </w:r>
      <w:r>
        <w:rPr>
          <w:rFonts w:eastAsia="Times New Roman"/>
          <w:color w:val="000000"/>
          <w:sz w:val="20"/>
          <w:szCs w:val="20"/>
        </w:rPr>
        <w:t xml:space="preserve">rred by the joint venture as of September 30, 2022. The anticipated opening is in 2024. </w:t>
      </w:r>
    </w:p>
    <w:p w:rsidR="00000000" w:rsidRDefault="00BC0821">
      <w:pPr>
        <w:ind w:firstLine="495"/>
        <w:divId w:val="143855079"/>
        <w:rPr>
          <w:rFonts w:eastAsia="Times New Roman"/>
        </w:rPr>
      </w:pPr>
      <w:r>
        <w:rPr>
          <w:rFonts w:eastAsia="Times New Roman"/>
          <w:i/>
          <w:iCs/>
          <w:color w:val="000000"/>
          <w:sz w:val="20"/>
          <w:szCs w:val="20"/>
        </w:rPr>
        <w:t>Other Transactions and Events:</w:t>
      </w:r>
    </w:p>
    <w:p w:rsidR="00000000" w:rsidRDefault="00BC0821">
      <w:pPr>
        <w:ind w:firstLine="495"/>
        <w:divId w:val="1340963835"/>
        <w:rPr>
          <w:rFonts w:eastAsia="Times New Roman"/>
        </w:rPr>
      </w:pPr>
      <w:r>
        <w:rPr>
          <w:rFonts w:eastAsia="Times New Roman"/>
          <w:color w:val="000000"/>
          <w:sz w:val="20"/>
          <w:szCs w:val="20"/>
        </w:rPr>
        <w:t xml:space="preserve">In March 2020, the COVID-19 outbreak was declared a pandemic by the World Health Organization. As a result, all of the markets that the </w:t>
      </w:r>
      <w:r>
        <w:rPr>
          <w:rFonts w:eastAsia="Times New Roman"/>
          <w:color w:val="000000"/>
          <w:sz w:val="20"/>
          <w:szCs w:val="20"/>
        </w:rPr>
        <w:t>Company operates in were subject to stay-at-home orders, and the majority of its properties were temporarily closed in part or completely. Following staggered re-openings during 2020, all Centers have been open and operating since October 7, 2020. As of th</w:t>
      </w:r>
      <w:r>
        <w:rPr>
          <w:rFonts w:eastAsia="Times New Roman"/>
          <w:color w:val="000000"/>
          <w:sz w:val="20"/>
          <w:szCs w:val="20"/>
        </w:rPr>
        <w:t xml:space="preserve">e date of this Quarterly Report on Form 10-Q, government-imposed capacity </w:t>
      </w:r>
    </w:p>
    <w:p w:rsidR="00000000" w:rsidRDefault="00BC0821">
      <w:pPr>
        <w:jc w:val="center"/>
        <w:divId w:val="1992588762"/>
        <w:rPr>
          <w:rFonts w:eastAsia="Times New Roman"/>
        </w:rPr>
      </w:pPr>
    </w:p>
    <w:p w:rsidR="00000000" w:rsidRDefault="00BC0821">
      <w:pPr>
        <w:jc w:val="center"/>
        <w:divId w:val="1992588762"/>
        <w:rPr>
          <w:rFonts w:eastAsia="Times New Roman"/>
        </w:rPr>
      </w:pPr>
      <w:r>
        <w:rPr>
          <w:rFonts w:eastAsia="Times New Roman"/>
          <w:color w:val="000000"/>
          <w:sz w:val="20"/>
          <w:szCs w:val="20"/>
        </w:rPr>
        <w:t>30</w:t>
      </w:r>
    </w:p>
    <w:p w:rsidR="00000000" w:rsidRDefault="00BC0821">
      <w:pPr>
        <w:rPr>
          <w:rFonts w:eastAsia="Times New Roman"/>
        </w:rPr>
      </w:pPr>
      <w:r>
        <w:rPr>
          <w:rFonts w:eastAsia="Times New Roman"/>
        </w:rPr>
        <w:pict>
          <v:rect id="_x0000_i1054" style="width:0;height:1.5pt" o:hralign="center" o:hrstd="t" o:hr="t" fillcolor="#a0a0a0" stroked="f"/>
        </w:pict>
      </w:r>
    </w:p>
    <w:p w:rsidR="00000000" w:rsidRDefault="00BC0821">
      <w:pPr>
        <w:divId w:val="2102480282"/>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2067995682"/>
        <w:rPr>
          <w:rFonts w:eastAsia="Times New Roman"/>
        </w:rPr>
      </w:pPr>
      <w:r>
        <w:rPr>
          <w:rFonts w:eastAsia="Times New Roman"/>
          <w:color w:val="000000"/>
          <w:sz w:val="20"/>
          <w:szCs w:val="20"/>
        </w:rPr>
        <w:t>restrictions resulting from COVID-19 have been eliminated across</w:t>
      </w:r>
      <w:r>
        <w:rPr>
          <w:rFonts w:eastAsia="Times New Roman"/>
          <w:color w:val="000000"/>
          <w:sz w:val="20"/>
          <w:szCs w:val="20"/>
        </w:rPr>
        <w:t xml:space="preserve"> the Company's markets. Although overall fundamentals at the Centers continued to improve during 2021 and throughout the first nine months of 2022, the Company expects that its results will continue to be negatively impacted for the remainder of 2022 due, </w:t>
      </w:r>
      <w:r>
        <w:rPr>
          <w:rFonts w:eastAsia="Times New Roman"/>
          <w:color w:val="000000"/>
          <w:sz w:val="20"/>
          <w:szCs w:val="20"/>
        </w:rPr>
        <w:t>in part, to the continued impact of the COVID-19 pandemic, which resulted in reduced occupancy relative to pre-COVID levels and additional Anchor closures, among other factors.</w:t>
      </w:r>
    </w:p>
    <w:p w:rsidR="00000000" w:rsidRDefault="00BC0821">
      <w:pPr>
        <w:ind w:firstLine="495"/>
        <w:divId w:val="1346008490"/>
        <w:rPr>
          <w:rFonts w:eastAsia="Times New Roman"/>
        </w:rPr>
      </w:pPr>
      <w:r>
        <w:rPr>
          <w:rFonts w:eastAsia="Times New Roman"/>
          <w:color w:val="000000"/>
          <w:sz w:val="20"/>
          <w:szCs w:val="20"/>
        </w:rPr>
        <w:t>The Company declared a cash dividend of $0.15 per share of its common stock for</w:t>
      </w:r>
      <w:r>
        <w:rPr>
          <w:rFonts w:eastAsia="Times New Roman"/>
          <w:color w:val="000000"/>
          <w:sz w:val="20"/>
          <w:szCs w:val="20"/>
        </w:rPr>
        <w:t xml:space="preserve"> each quarter in the year ended December 31, 2021 and for the first three quarters of 2022. On October 28, 2022, the Company announced a fourth quarter cash dividend of $0.17 per share of its common stock, which will be paid on December 2, 2022 to stockhol</w:t>
      </w:r>
      <w:r>
        <w:rPr>
          <w:rFonts w:eastAsia="Times New Roman"/>
          <w:color w:val="000000"/>
          <w:sz w:val="20"/>
          <w:szCs w:val="20"/>
        </w:rPr>
        <w:t>ders of record on November 9, 2022. The dividend amount will be reviewed by the Board on a quarterly basis.</w:t>
      </w:r>
    </w:p>
    <w:p w:rsidR="00000000" w:rsidRDefault="00BC0821">
      <w:pPr>
        <w:ind w:firstLine="495"/>
        <w:divId w:val="658965374"/>
        <w:rPr>
          <w:rFonts w:eastAsia="Times New Roman"/>
        </w:rPr>
      </w:pPr>
      <w:r>
        <w:rPr>
          <w:rFonts w:eastAsia="Times New Roman"/>
          <w:color w:val="000000"/>
          <w:sz w:val="20"/>
          <w:szCs w:val="20"/>
        </w:rPr>
        <w:t>In connection with the commencement of separate "at the market" offering programs, on each of February 1, 2021 and March 26, 2021, which are referre</w:t>
      </w:r>
      <w:r>
        <w:rPr>
          <w:rFonts w:eastAsia="Times New Roman"/>
          <w:color w:val="000000"/>
          <w:sz w:val="20"/>
          <w:szCs w:val="20"/>
        </w:rPr>
        <w:t>d to as the "February 2021 ATM Program" and the "March 2021 ATM Program," respectively, and collectively as the "ATM Programs," the Company entered into separate equity distribution agreements with certain sales agents pursuant to which the Company may iss</w:t>
      </w:r>
      <w:r>
        <w:rPr>
          <w:rFonts w:eastAsia="Times New Roman"/>
          <w:color w:val="000000"/>
          <w:sz w:val="20"/>
          <w:szCs w:val="20"/>
        </w:rPr>
        <w:t>ue and sell shares of its common stock having an aggregate offering price of up to $500 million under each of the February 2021 ATM Program and the March 2021 ATM Program, or a total of $1 billion under the ATM Programs. As of September 30, 2022, the Compa</w:t>
      </w:r>
      <w:r>
        <w:rPr>
          <w:rFonts w:eastAsia="Times New Roman"/>
          <w:color w:val="000000"/>
          <w:sz w:val="20"/>
          <w:szCs w:val="20"/>
        </w:rPr>
        <w:t xml:space="preserve">ny had approximately $151.7 million of gross sales of its common stock available under the March 2021 ATM Program. The February 2021 ATM Program was fully utilized as of June 30, 2021 and is no longer active. </w:t>
      </w:r>
    </w:p>
    <w:p w:rsidR="00000000" w:rsidRDefault="00BC0821">
      <w:pPr>
        <w:ind w:firstLine="495"/>
        <w:divId w:val="1873954055"/>
        <w:rPr>
          <w:rFonts w:eastAsia="Times New Roman"/>
        </w:rPr>
      </w:pPr>
      <w:r>
        <w:rPr>
          <w:rFonts w:eastAsia="Times New Roman"/>
          <w:color w:val="000000"/>
          <w:sz w:val="20"/>
          <w:szCs w:val="20"/>
        </w:rPr>
        <w:t>See “—Liquidity and Capital Resources” for a f</w:t>
      </w:r>
      <w:r>
        <w:rPr>
          <w:rFonts w:eastAsia="Times New Roman"/>
          <w:color w:val="000000"/>
          <w:sz w:val="20"/>
          <w:szCs w:val="20"/>
        </w:rPr>
        <w:t>urther discussion of the Company’s anticipated liquidity needs, and the measures taken by the Company to meet those needs.</w:t>
      </w:r>
    </w:p>
    <w:p w:rsidR="00000000" w:rsidRDefault="00BC0821">
      <w:pPr>
        <w:ind w:firstLine="495"/>
        <w:divId w:val="830364451"/>
        <w:rPr>
          <w:rFonts w:eastAsia="Times New Roman"/>
        </w:rPr>
      </w:pPr>
      <w:r>
        <w:rPr>
          <w:rFonts w:eastAsia="Times New Roman"/>
          <w:i/>
          <w:iCs/>
          <w:color w:val="000000"/>
          <w:sz w:val="20"/>
          <w:szCs w:val="20"/>
        </w:rPr>
        <w:t>Inflation:</w:t>
      </w:r>
    </w:p>
    <w:p w:rsidR="00000000" w:rsidRDefault="00BC0821">
      <w:pPr>
        <w:ind w:firstLine="495"/>
        <w:divId w:val="56439380"/>
        <w:rPr>
          <w:rFonts w:eastAsia="Times New Roman"/>
        </w:rPr>
      </w:pPr>
      <w:r>
        <w:rPr>
          <w:rFonts w:eastAsia="Times New Roman"/>
          <w:color w:val="000000"/>
          <w:sz w:val="20"/>
          <w:szCs w:val="20"/>
        </w:rPr>
        <w:t>Most of the leases at the Centers have rent adjustments periodically throughout the lease term. These rent increases are either in fixed increments or based on using an annual multiple of increases in the Consumer Price Index. In addition, the routine expi</w:t>
      </w:r>
      <w:r>
        <w:rPr>
          <w:rFonts w:eastAsia="Times New Roman"/>
          <w:color w:val="000000"/>
          <w:sz w:val="20"/>
          <w:szCs w:val="20"/>
        </w:rPr>
        <w:t>ration of leases for spaces 10,000 square feet and under each year enables the Company to replace existing leases with new leases at higher base rents if the rents of the existing leases are below the then existing market rate. The Company has generally en</w:t>
      </w:r>
      <w:r>
        <w:rPr>
          <w:rFonts w:eastAsia="Times New Roman"/>
          <w:color w:val="000000"/>
          <w:sz w:val="20"/>
          <w:szCs w:val="20"/>
        </w:rPr>
        <w:t>tered into leases that require tenants to pay a stated amount for operating expenses, generally excluding property taxes, regardless of the expenses actually incurred at any Center, which places the burden of cost control on the Company. Additionally, most</w:t>
      </w:r>
      <w:r>
        <w:rPr>
          <w:rFonts w:eastAsia="Times New Roman"/>
          <w:color w:val="000000"/>
          <w:sz w:val="20"/>
          <w:szCs w:val="20"/>
        </w:rPr>
        <w:t xml:space="preserve"> leases require the tenants to pay their pro rata share of property taxes and utilities. Inflation is expected to have a negative impact on the Company's costs in 2022 and 2023.</w:t>
      </w:r>
    </w:p>
    <w:p w:rsidR="00000000" w:rsidRDefault="00BC0821">
      <w:pPr>
        <w:divId w:val="1741323456"/>
        <w:rPr>
          <w:rFonts w:eastAsia="Times New Roman"/>
        </w:rPr>
      </w:pPr>
      <w:r>
        <w:rPr>
          <w:rFonts w:eastAsia="Times New Roman"/>
          <w:b/>
          <w:bCs/>
          <w:color w:val="000000"/>
          <w:sz w:val="20"/>
          <w:szCs w:val="20"/>
        </w:rPr>
        <w:t>Critical Accounting Policies and Estimates</w:t>
      </w:r>
    </w:p>
    <w:p w:rsidR="00000000" w:rsidRDefault="00BC0821">
      <w:pPr>
        <w:ind w:firstLine="495"/>
        <w:divId w:val="1989243236"/>
        <w:rPr>
          <w:rFonts w:eastAsia="Times New Roman"/>
        </w:rPr>
      </w:pPr>
      <w:r>
        <w:rPr>
          <w:rFonts w:eastAsia="Times New Roman"/>
          <w:color w:val="000000"/>
          <w:sz w:val="20"/>
          <w:szCs w:val="20"/>
        </w:rPr>
        <w:t>The preparation of financial statem</w:t>
      </w:r>
      <w:r>
        <w:rPr>
          <w:rFonts w:eastAsia="Times New Roman"/>
          <w:color w:val="000000"/>
          <w:sz w:val="20"/>
          <w:szCs w:val="20"/>
        </w:rPr>
        <w:t>ents in conformity with generally accepted accounting principles ("GAAP") in the United States of America requires management to make estimates and assumptions that affect the reported amounts of assets and liabilities and disclosure of contingent assets a</w:t>
      </w:r>
      <w:r>
        <w:rPr>
          <w:rFonts w:eastAsia="Times New Roman"/>
          <w:color w:val="000000"/>
          <w:sz w:val="20"/>
          <w:szCs w:val="20"/>
        </w:rPr>
        <w:t>nd liabilities at the date of the financial statements and the reported amounts of revenues and expenses during the reporting period. Actual results could differ from those estimates.</w:t>
      </w:r>
    </w:p>
    <w:p w:rsidR="00000000" w:rsidRDefault="00BC0821">
      <w:pPr>
        <w:ind w:firstLine="495"/>
        <w:divId w:val="675035372"/>
        <w:rPr>
          <w:rFonts w:eastAsia="Times New Roman"/>
        </w:rPr>
      </w:pPr>
      <w:r>
        <w:rPr>
          <w:rFonts w:eastAsia="Times New Roman"/>
          <w:color w:val="000000"/>
          <w:sz w:val="20"/>
          <w:szCs w:val="20"/>
        </w:rPr>
        <w:t>Some of these estimates and assumptions include judgments on revenue rec</w:t>
      </w:r>
      <w:r>
        <w:rPr>
          <w:rFonts w:eastAsia="Times New Roman"/>
          <w:color w:val="000000"/>
          <w:sz w:val="20"/>
          <w:szCs w:val="20"/>
        </w:rPr>
        <w:t xml:space="preserve">ognition, estimates for common area maintenance and real estate tax accruals, provisions for uncollectible accounts, impairment of long-lived assets, the allocation of purchase price between tangible and intangible assets, capitalization of costs and fair </w:t>
      </w:r>
      <w:r>
        <w:rPr>
          <w:rFonts w:eastAsia="Times New Roman"/>
          <w:color w:val="000000"/>
          <w:sz w:val="20"/>
          <w:szCs w:val="20"/>
        </w:rPr>
        <w:t>value measurements. The Company's significant accounting policies and estimates are described in more detail in Note 2—Summary of Significant Accounting Policies in the Company's Notes to the Consolidated Financial Statements. However, the following polici</w:t>
      </w:r>
      <w:r>
        <w:rPr>
          <w:rFonts w:eastAsia="Times New Roman"/>
          <w:color w:val="000000"/>
          <w:sz w:val="20"/>
          <w:szCs w:val="20"/>
        </w:rPr>
        <w:t>es are deemed to be critical.</w:t>
      </w:r>
    </w:p>
    <w:p w:rsidR="00000000" w:rsidRDefault="00BC0821">
      <w:pPr>
        <w:ind w:firstLine="495"/>
        <w:divId w:val="1498577378"/>
        <w:rPr>
          <w:rFonts w:eastAsia="Times New Roman"/>
        </w:rPr>
      </w:pPr>
      <w:r>
        <w:rPr>
          <w:rFonts w:eastAsia="Times New Roman"/>
          <w:i/>
          <w:iCs/>
          <w:color w:val="000000"/>
          <w:sz w:val="20"/>
          <w:szCs w:val="20"/>
        </w:rPr>
        <w:t>Acquisitions:</w:t>
      </w:r>
    </w:p>
    <w:p w:rsidR="00000000" w:rsidRDefault="00BC0821">
      <w:pPr>
        <w:ind w:firstLine="495"/>
        <w:divId w:val="219681840"/>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acquisitions, the Company all</w:t>
      </w:r>
      <w:r>
        <w:rPr>
          <w:rFonts w:eastAsia="Times New Roman"/>
          <w:color w:val="000000"/>
          <w:sz w:val="20"/>
          <w:szCs w:val="20"/>
        </w:rPr>
        <w:t xml:space="preserve">ocates the purchase price of properties to acquired tangible assets and intangible assets and liabilities. For asset acquisitions, the Company capitalizes transaction costs and allocates the purchase price using a relative fair value method allocating all </w:t>
      </w:r>
      <w:r>
        <w:rPr>
          <w:rFonts w:eastAsia="Times New Roman"/>
          <w:color w:val="000000"/>
          <w:sz w:val="20"/>
          <w:szCs w:val="20"/>
        </w:rPr>
        <w:t>accumulated costs. For business combinations, the Company expenses transaction costs incurred and allocates purchase price based on the estimated fair value of each separately identified asset and liability. The Company allocates the estimated fair value o</w:t>
      </w:r>
      <w:r>
        <w:rPr>
          <w:rFonts w:eastAsia="Times New Roman"/>
          <w:color w:val="000000"/>
          <w:sz w:val="20"/>
          <w:szCs w:val="20"/>
        </w:rPr>
        <w:t>f acquisitions to land, building, tenant improvements and identified intangible assets and liabilities, based on their estimated fair values. In addition, any assumed mortgage notes payable are recorded at their estimated fair values. The estimated fair va</w:t>
      </w:r>
      <w:r>
        <w:rPr>
          <w:rFonts w:eastAsia="Times New Roman"/>
          <w:color w:val="000000"/>
          <w:sz w:val="20"/>
          <w:szCs w:val="20"/>
        </w:rPr>
        <w:t>lue of the land and buildings is determined utilizing an “as if vacant” methodology. Tenant improvements represent the tangible assets associated with the existing leases valued on a fair value basis at the acquisition date prorated over the remaining leas</w:t>
      </w:r>
      <w:r>
        <w:rPr>
          <w:rFonts w:eastAsia="Times New Roman"/>
          <w:color w:val="000000"/>
          <w:sz w:val="20"/>
          <w:szCs w:val="20"/>
        </w:rPr>
        <w:t>e terms. The tenant improvements are classified as an asset under property and are depreciated over the remaining lease terms. Identifiable intangible assets and liabilities relate to the value of in-place operating leases which come in three forms: (i) le</w:t>
      </w:r>
      <w:r>
        <w:rPr>
          <w:rFonts w:eastAsia="Times New Roman"/>
          <w:color w:val="000000"/>
          <w:sz w:val="20"/>
          <w:szCs w:val="20"/>
        </w:rPr>
        <w:t xml:space="preserve">asing </w:t>
      </w:r>
    </w:p>
    <w:p w:rsidR="00000000" w:rsidRDefault="00BC0821">
      <w:pPr>
        <w:jc w:val="center"/>
        <w:divId w:val="2009675390"/>
        <w:rPr>
          <w:rFonts w:eastAsia="Times New Roman"/>
        </w:rPr>
      </w:pPr>
    </w:p>
    <w:p w:rsidR="00000000" w:rsidRDefault="00BC0821">
      <w:pPr>
        <w:jc w:val="center"/>
        <w:divId w:val="2009675390"/>
        <w:rPr>
          <w:rFonts w:eastAsia="Times New Roman"/>
        </w:rPr>
      </w:pPr>
      <w:r>
        <w:rPr>
          <w:rFonts w:eastAsia="Times New Roman"/>
          <w:color w:val="000000"/>
          <w:sz w:val="20"/>
          <w:szCs w:val="20"/>
        </w:rPr>
        <w:t>31</w:t>
      </w:r>
    </w:p>
    <w:p w:rsidR="00000000" w:rsidRDefault="00BC0821">
      <w:pPr>
        <w:rPr>
          <w:rFonts w:eastAsia="Times New Roman"/>
        </w:rPr>
      </w:pPr>
      <w:r>
        <w:rPr>
          <w:rFonts w:eastAsia="Times New Roman"/>
        </w:rPr>
        <w:pict>
          <v:rect id="_x0000_i1055" style="width:0;height:1.5pt" o:hralign="center" o:hrstd="t" o:hr="t" fillcolor="#a0a0a0" stroked="f"/>
        </w:pict>
      </w:r>
    </w:p>
    <w:p w:rsidR="00000000" w:rsidRDefault="00BC0821">
      <w:pPr>
        <w:divId w:val="254829517"/>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950352538"/>
        <w:rPr>
          <w:rFonts w:eastAsia="Times New Roman"/>
        </w:rPr>
      </w:pPr>
      <w:r>
        <w:rPr>
          <w:rFonts w:eastAsia="Times New Roman"/>
          <w:color w:val="000000"/>
          <w:sz w:val="20"/>
          <w:szCs w:val="20"/>
        </w:rPr>
        <w:t xml:space="preserve">commissions and legal costs, which represent the value associated with “cost avoidance” of acquiring in-place leases, such as lease </w:t>
      </w:r>
      <w:r>
        <w:rPr>
          <w:rFonts w:eastAsia="Times New Roman"/>
          <w:color w:val="000000"/>
          <w:sz w:val="20"/>
          <w:szCs w:val="20"/>
        </w:rPr>
        <w:t>commissions paid under terms generally experienced in the Company's markets; (ii) value of in-place leases, which represents the estimated loss of revenue and of costs incurred for the period required to lease the “assumed vacant” property to the occupancy</w:t>
      </w:r>
      <w:r>
        <w:rPr>
          <w:rFonts w:eastAsia="Times New Roman"/>
          <w:color w:val="000000"/>
          <w:sz w:val="20"/>
          <w:szCs w:val="20"/>
        </w:rPr>
        <w:t xml:space="preserve"> level when purchased; and (iii) above or below-market value of in-place leases, which represents the difference between the contractual rents and market rents at the time of the acquisition, discounted for tenant credit risks. Leasing commissions and lega</w:t>
      </w:r>
      <w:r>
        <w:rPr>
          <w:rFonts w:eastAsia="Times New Roman"/>
          <w:color w:val="000000"/>
          <w:sz w:val="20"/>
          <w:szCs w:val="20"/>
        </w:rPr>
        <w:t>l costs are recorded in deferred charges and other assets and are amortized over the remaining lease terms. The value of in-place leases are recorded in deferred charges and other assets and amortized over the remaining lease terms plus any below-market fi</w:t>
      </w:r>
      <w:r>
        <w:rPr>
          <w:rFonts w:eastAsia="Times New Roman"/>
          <w:color w:val="000000"/>
          <w:sz w:val="20"/>
          <w:szCs w:val="20"/>
        </w:rPr>
        <w:t>xed rate renewal options. Above or below-market leases are classified in deferred charges and other assets or in other accrued liabilities, depending on whether the contractual terms are above or below-market, and the asset or liability is amortized to min</w:t>
      </w:r>
      <w:r>
        <w:rPr>
          <w:rFonts w:eastAsia="Times New Roman"/>
          <w:color w:val="000000"/>
          <w:sz w:val="20"/>
          <w:szCs w:val="20"/>
        </w:rPr>
        <w:t>imum rents over the remaining terms of the leases. The remaining lease terms of below-market leases may include certain below-market fixed-rate renewal periods. In considering whether or not a lessee will execute a below-market fixed-rate lease renewal opt</w:t>
      </w:r>
      <w:r>
        <w:rPr>
          <w:rFonts w:eastAsia="Times New Roman"/>
          <w:color w:val="000000"/>
          <w:sz w:val="20"/>
          <w:szCs w:val="20"/>
        </w:rPr>
        <w:t>ion, the Company evaluates economic factors and certain qualitative factors at the time of acquisition such as tenant mix in the Center, the Company's relationship with the tenant and the availability of competing tenant space.</w:t>
      </w:r>
    </w:p>
    <w:p w:rsidR="00000000" w:rsidRDefault="00BC0821">
      <w:pPr>
        <w:ind w:firstLine="495"/>
        <w:divId w:val="318458703"/>
        <w:rPr>
          <w:rFonts w:eastAsia="Times New Roman"/>
        </w:rPr>
      </w:pPr>
      <w:r>
        <w:rPr>
          <w:rFonts w:eastAsia="Times New Roman"/>
          <w:color w:val="000000"/>
          <w:sz w:val="20"/>
          <w:szCs w:val="20"/>
        </w:rPr>
        <w:t>Remeasurement gains and loss</w:t>
      </w:r>
      <w:r>
        <w:rPr>
          <w:rFonts w:eastAsia="Times New Roman"/>
          <w:color w:val="000000"/>
          <w:sz w:val="20"/>
          <w:szCs w:val="20"/>
        </w:rPr>
        <w:t xml:space="preserve">es are recognized when the Company becomes the primary beneficiary of an existing equity method investment that is a variable interest entity to the extent that the fair value of the existing equity investment exceeds the carrying value of the investment, </w:t>
      </w:r>
      <w:r>
        <w:rPr>
          <w:rFonts w:eastAsia="Times New Roman"/>
          <w:color w:val="000000"/>
          <w:sz w:val="20"/>
          <w:szCs w:val="20"/>
        </w:rPr>
        <w:t>and remeasurement losses to the extent the carrying value of the investment exceeds the fair value. The fair value is determined based on a discounted cash flow model, with the significant unobservable inputs including discount rate, terminal capitalizatio</w:t>
      </w:r>
      <w:r>
        <w:rPr>
          <w:rFonts w:eastAsia="Times New Roman"/>
          <w:color w:val="000000"/>
          <w:sz w:val="20"/>
          <w:szCs w:val="20"/>
        </w:rPr>
        <w:t xml:space="preserve">n rate and market rents. </w:t>
      </w:r>
    </w:p>
    <w:p w:rsidR="00000000" w:rsidRDefault="00BC0821">
      <w:pPr>
        <w:ind w:firstLine="495"/>
        <w:divId w:val="679745027"/>
        <w:rPr>
          <w:rFonts w:eastAsia="Times New Roman"/>
        </w:rPr>
      </w:pPr>
      <w:r>
        <w:rPr>
          <w:rFonts w:eastAsia="Times New Roman"/>
          <w:i/>
          <w:iCs/>
          <w:color w:val="000000"/>
          <w:sz w:val="20"/>
          <w:szCs w:val="20"/>
        </w:rPr>
        <w:t>Asset Impairment:</w:t>
      </w:r>
    </w:p>
    <w:p w:rsidR="00000000" w:rsidRDefault="00BC0821">
      <w:pPr>
        <w:ind w:firstLine="495"/>
        <w:divId w:val="91777715"/>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w:t>
      </w:r>
      <w:r>
        <w:rPr>
          <w:rFonts w:eastAsia="Times New Roman"/>
          <w:color w:val="000000"/>
          <w:sz w:val="20"/>
          <w:szCs w:val="20"/>
        </w:rPr>
        <w:t>nd other economic factors. Such factors include projected rental revenue, operating costs and capital expenditures as well as estimated holding periods and capitalization rates. If an impairment indicator exists, the determination of recoverability is made</w:t>
      </w:r>
      <w:r>
        <w:rPr>
          <w:rFonts w:eastAsia="Times New Roman"/>
          <w:color w:val="000000"/>
          <w:sz w:val="20"/>
          <w:szCs w:val="20"/>
        </w:rPr>
        <w:t xml:space="preserve"> based upon the estimated undiscounted future net cash flows, excluding interest expense. The amount of impairment loss, if any, is determined by comparing the fair value, as determined by a discounted cash flows analysis or a contracted sales price, with </w:t>
      </w:r>
      <w:r>
        <w:rPr>
          <w:rFonts w:eastAsia="Times New Roman"/>
          <w:color w:val="000000"/>
          <w:sz w:val="20"/>
          <w:szCs w:val="20"/>
        </w:rPr>
        <w:t>the carrying value of the related assets. The Company generally holds and operates its properties long-term, which decreases the likelihood of their carrying values not being recoverable. A shortened holding period increases the risk that the carrying valu</w:t>
      </w:r>
      <w:r>
        <w:rPr>
          <w:rFonts w:eastAsia="Times New Roman"/>
          <w:color w:val="000000"/>
          <w:sz w:val="20"/>
          <w:szCs w:val="20"/>
        </w:rPr>
        <w:t>e of a long-lived asset is not recoverable. Properties classified as held for sale are measured at the lower of the carrying amount or fair value less cost to sell.</w:t>
      </w:r>
    </w:p>
    <w:p w:rsidR="00000000" w:rsidRDefault="00BC0821">
      <w:pPr>
        <w:ind w:firstLine="495"/>
        <w:divId w:val="1864511170"/>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value of its investments has occurred which is other-than-temporary. The investment in each unc</w:t>
      </w:r>
      <w:r>
        <w:rPr>
          <w:rFonts w:eastAsia="Times New Roman"/>
          <w:color w:val="000000"/>
          <w:sz w:val="20"/>
          <w:szCs w:val="20"/>
        </w:rPr>
        <w:t>onsolidated joint venture is evaluated periodically, and as deemed necessary, for recoverability and valuation declines that are other-than-temporary.</w:t>
      </w:r>
    </w:p>
    <w:p w:rsidR="00000000" w:rsidRDefault="00BC0821">
      <w:pPr>
        <w:ind w:firstLine="495"/>
        <w:divId w:val="1501198567"/>
        <w:rPr>
          <w:rFonts w:eastAsia="Times New Roman"/>
        </w:rPr>
      </w:pPr>
      <w:r>
        <w:rPr>
          <w:rFonts w:eastAsia="Times New Roman"/>
          <w:i/>
          <w:iCs/>
          <w:color w:val="000000"/>
          <w:sz w:val="20"/>
          <w:szCs w:val="20"/>
        </w:rPr>
        <w:t>Fair Value of Financial Instruments:</w:t>
      </w:r>
    </w:p>
    <w:p w:rsidR="00000000" w:rsidRDefault="00BC0821">
      <w:pPr>
        <w:ind w:firstLine="495"/>
        <w:divId w:val="1805929169"/>
        <w:rPr>
          <w:rFonts w:eastAsia="Times New Roman"/>
        </w:rPr>
      </w:pPr>
      <w:r>
        <w:rPr>
          <w:rFonts w:eastAsia="Times New Roman"/>
          <w:color w:val="000000"/>
          <w:sz w:val="20"/>
          <w:szCs w:val="20"/>
        </w:rPr>
        <w:t>The fair value hierarchy distinguishes between market participant as</w:t>
      </w:r>
      <w:r>
        <w:rPr>
          <w:rFonts w:eastAsia="Times New Roman"/>
          <w:color w:val="000000"/>
          <w:sz w:val="20"/>
          <w:szCs w:val="20"/>
        </w:rPr>
        <w:t>sumptions based on market data obtained from sources independent of the reporting entity and the reporting entity's own assumptions about market participant assumptions. Level 1 inputs utilize quoted prices in active markets for identical assets or liabili</w:t>
      </w:r>
      <w:r>
        <w:rPr>
          <w:rFonts w:eastAsia="Times New Roman"/>
          <w:color w:val="000000"/>
          <w:sz w:val="20"/>
          <w:szCs w:val="20"/>
        </w:rPr>
        <w:t>ties that the Company has the ability to access. Level 2 inputs are inputs other than quoted prices included in Level 1 that are observable for the asset or liability, either directly or indirectly. Level 2 inputs may include quoted prices for similar asse</w:t>
      </w:r>
      <w:r>
        <w:rPr>
          <w:rFonts w:eastAsia="Times New Roman"/>
          <w:color w:val="000000"/>
          <w:sz w:val="20"/>
          <w:szCs w:val="20"/>
        </w:rPr>
        <w:t>ts and liabilities in active markets, as well as inputs that are observable for the asset or liability (other than quoted prices), such as interest rates, foreign exchange rates and yield curves that are observable at commonly quoted intervals. Level 3 inp</w:t>
      </w:r>
      <w:r>
        <w:rPr>
          <w:rFonts w:eastAsia="Times New Roman"/>
          <w:color w:val="000000"/>
          <w:sz w:val="20"/>
          <w:szCs w:val="20"/>
        </w:rPr>
        <w:t>uts are unobservable inputs for the asset or liability, which is typically based on an entity's own assumptions, as there is little, if any, related market activity. In instances where the determination of the fair value measurement is based on inputs from</w:t>
      </w:r>
      <w:r>
        <w:rPr>
          <w:rFonts w:eastAsia="Times New Roman"/>
          <w:color w:val="000000"/>
          <w:sz w:val="20"/>
          <w:szCs w:val="20"/>
        </w:rPr>
        <w:t xml:space="preserve"> different levels of the fair value hierarchy, the level in the fair value hierarchy within which the entire fair value measurement falls is based on the lowest level input that is significant to the fair value measurement in its entirety. The Company's as</w:t>
      </w:r>
      <w:r>
        <w:rPr>
          <w:rFonts w:eastAsia="Times New Roman"/>
          <w:color w:val="000000"/>
          <w:sz w:val="20"/>
          <w:szCs w:val="20"/>
        </w:rPr>
        <w:t>sessment of the significance of a particular input to the fair value measurement in its entirety requires judgment, and considers factors specific to the asset or liability.</w:t>
      </w:r>
    </w:p>
    <w:p w:rsidR="00000000" w:rsidRDefault="00BC0821">
      <w:pPr>
        <w:ind w:firstLine="495"/>
        <w:divId w:val="1655909854"/>
        <w:rPr>
          <w:rFonts w:eastAsia="Times New Roman"/>
        </w:rPr>
      </w:pPr>
      <w:r>
        <w:rPr>
          <w:rFonts w:eastAsia="Times New Roman"/>
          <w:color w:val="000000"/>
          <w:sz w:val="20"/>
          <w:szCs w:val="20"/>
        </w:rPr>
        <w:t>The Company calculates the fair value of financial instruments and includes this a</w:t>
      </w:r>
      <w:r>
        <w:rPr>
          <w:rFonts w:eastAsia="Times New Roman"/>
          <w:color w:val="000000"/>
          <w:sz w:val="20"/>
          <w:szCs w:val="20"/>
        </w:rPr>
        <w:t>dditional information in the Notes to the Consolidated Financial Statements when the fair value is different than the carrying value of those financial instruments. When the fair value reasonably approximates the carrying value, no additional disclosure is</w:t>
      </w:r>
      <w:r>
        <w:rPr>
          <w:rFonts w:eastAsia="Times New Roman"/>
          <w:color w:val="000000"/>
          <w:sz w:val="20"/>
          <w:szCs w:val="20"/>
        </w:rPr>
        <w:t xml:space="preserve"> made.</w:t>
      </w:r>
    </w:p>
    <w:p w:rsidR="00000000" w:rsidRDefault="00BC0821">
      <w:pPr>
        <w:ind w:firstLine="495"/>
        <w:divId w:val="1023550604"/>
        <w:rPr>
          <w:rFonts w:eastAsia="Times New Roman"/>
        </w:rPr>
      </w:pPr>
      <w:r>
        <w:rPr>
          <w:rFonts w:eastAsia="Times New Roman"/>
          <w:color w:val="000000"/>
          <w:sz w:val="20"/>
          <w:szCs w:val="20"/>
        </w:rPr>
        <w:t>The Company records its financing arrangement (See Note 12—Financing Arrangement in the Company's Notes to the Consolidated Financial Statements) obligation at fair value on a recurring basis with changes in fair value being recorded as interest exp</w:t>
      </w:r>
      <w:r>
        <w:rPr>
          <w:rFonts w:eastAsia="Times New Roman"/>
          <w:color w:val="000000"/>
          <w:sz w:val="20"/>
          <w:szCs w:val="20"/>
        </w:rPr>
        <w:t xml:space="preserve">ense in the Company’s consolidated statements of operations. The fair value is determined based on a discounted </w:t>
      </w:r>
    </w:p>
    <w:p w:rsidR="00000000" w:rsidRDefault="00BC0821">
      <w:pPr>
        <w:jc w:val="center"/>
        <w:divId w:val="349569292"/>
        <w:rPr>
          <w:rFonts w:eastAsia="Times New Roman"/>
        </w:rPr>
      </w:pPr>
    </w:p>
    <w:p w:rsidR="00000000" w:rsidRDefault="00BC0821">
      <w:pPr>
        <w:jc w:val="center"/>
        <w:divId w:val="349569292"/>
        <w:rPr>
          <w:rFonts w:eastAsia="Times New Roman"/>
        </w:rPr>
      </w:pPr>
      <w:r>
        <w:rPr>
          <w:rFonts w:eastAsia="Times New Roman"/>
          <w:color w:val="000000"/>
          <w:sz w:val="20"/>
          <w:szCs w:val="20"/>
        </w:rPr>
        <w:t>32</w:t>
      </w:r>
    </w:p>
    <w:p w:rsidR="00000000" w:rsidRDefault="00BC0821">
      <w:pPr>
        <w:rPr>
          <w:rFonts w:eastAsia="Times New Roman"/>
        </w:rPr>
      </w:pPr>
      <w:r>
        <w:rPr>
          <w:rFonts w:eastAsia="Times New Roman"/>
        </w:rPr>
        <w:pict>
          <v:rect id="_x0000_i1056" style="width:0;height:1.5pt" o:hralign="center" o:hrstd="t" o:hr="t" fillcolor="#a0a0a0" stroked="f"/>
        </w:pict>
      </w:r>
    </w:p>
    <w:p w:rsidR="00000000" w:rsidRDefault="00BC0821">
      <w:pPr>
        <w:divId w:val="179956525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2132359337"/>
        <w:rPr>
          <w:rFonts w:eastAsia="Times New Roman"/>
        </w:rPr>
      </w:pPr>
      <w:r>
        <w:rPr>
          <w:rFonts w:eastAsia="Times New Roman"/>
          <w:color w:val="000000"/>
          <w:sz w:val="20"/>
          <w:szCs w:val="20"/>
        </w:rPr>
        <w:t xml:space="preserve">cash flow model, with the </w:t>
      </w:r>
      <w:r>
        <w:rPr>
          <w:rFonts w:eastAsia="Times New Roman"/>
          <w:color w:val="000000"/>
          <w:sz w:val="20"/>
          <w:szCs w:val="20"/>
        </w:rPr>
        <w:t>significant unobservable inputs including discount rate, terminal capitalization rate, and market rents. The fair value of the financing arrangement obligation is sensitive to these significant unobservable inputs and a change in these inputs may result in</w:t>
      </w:r>
      <w:r>
        <w:rPr>
          <w:rFonts w:eastAsia="Times New Roman"/>
          <w:color w:val="000000"/>
          <w:sz w:val="20"/>
          <w:szCs w:val="20"/>
        </w:rPr>
        <w:t xml:space="preserve"> a significantly higher or lower fair value measurement. </w:t>
      </w:r>
    </w:p>
    <w:p w:rsidR="00000000" w:rsidRDefault="00BC0821">
      <w:pPr>
        <w:divId w:val="1007176308"/>
        <w:rPr>
          <w:rFonts w:eastAsia="Times New Roman"/>
        </w:rPr>
      </w:pPr>
      <w:r>
        <w:rPr>
          <w:rFonts w:eastAsia="Times New Roman"/>
          <w:b/>
          <w:bCs/>
          <w:color w:val="000000"/>
          <w:sz w:val="20"/>
          <w:szCs w:val="20"/>
        </w:rPr>
        <w:t>Results of Operations</w:t>
      </w:r>
    </w:p>
    <w:p w:rsidR="00000000" w:rsidRDefault="00BC0821">
      <w:pPr>
        <w:ind w:firstLine="495"/>
        <w:divId w:val="1876581534"/>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in Management’s Overview</w:t>
      </w:r>
      <w:r>
        <w:rPr>
          <w:rFonts w:eastAsia="Times New Roman"/>
          <w:color w:val="000000"/>
          <w:sz w:val="20"/>
          <w:szCs w:val="20"/>
        </w:rPr>
        <w:t xml:space="preserve"> and Summary above, including the Redevelopment Properties and the Disposition Properties (as defined below).</w:t>
      </w:r>
    </w:p>
    <w:p w:rsidR="00000000" w:rsidRDefault="00BC0821">
      <w:pPr>
        <w:ind w:firstLine="495"/>
        <w:divId w:val="1177042739"/>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w:t>
      </w:r>
      <w:r>
        <w:rPr>
          <w:rFonts w:eastAsia="Times New Roman"/>
          <w:color w:val="000000"/>
          <w:sz w:val="20"/>
          <w:szCs w:val="20"/>
        </w:rPr>
        <w:t xml:space="preserve"> entirety of both periods of the comparison. Non-Same Centers for comparison purposes include those Centers or properties that are going through a substantial redevelopment often resulting in the closing of a portion of the Center (“Redevelopment Propertie</w:t>
      </w:r>
      <w:r>
        <w:rPr>
          <w:rFonts w:eastAsia="Times New Roman"/>
          <w:color w:val="000000"/>
          <w:sz w:val="20"/>
          <w:szCs w:val="20"/>
        </w:rPr>
        <w:t>s”), those properties that have recently transitioned to or from equity method joint ventures to or from consolidated assets ("JV Transition Centers") and properties that have been disposed of (“Disposition Properties”). The Company moves a Center in and o</w:t>
      </w:r>
      <w:r>
        <w:rPr>
          <w:rFonts w:eastAsia="Times New Roman"/>
          <w:color w:val="000000"/>
          <w:sz w:val="20"/>
          <w:szCs w:val="20"/>
        </w:rPr>
        <w:t xml:space="preserve">ut of Same Centers based on whether the Center is substantially complete and in operation for the entirety of both periods of the comparison. Accordingly, the Same Centers consist of all consolidated Centers, excluding the Redevelopment Properties and the </w:t>
      </w:r>
      <w:r>
        <w:rPr>
          <w:rFonts w:eastAsia="Times New Roman"/>
          <w:color w:val="000000"/>
          <w:sz w:val="20"/>
          <w:szCs w:val="20"/>
        </w:rPr>
        <w:t>Disposition Properties, for the periods of comparison.</w:t>
      </w:r>
    </w:p>
    <w:p w:rsidR="00000000" w:rsidRDefault="00BC0821">
      <w:pPr>
        <w:ind w:firstLine="495"/>
        <w:divId w:val="691960126"/>
        <w:rPr>
          <w:rFonts w:eastAsia="Times New Roman"/>
        </w:rPr>
      </w:pPr>
      <w:r>
        <w:rPr>
          <w:rFonts w:eastAsia="Times New Roman"/>
          <w:color w:val="000000"/>
          <w:sz w:val="20"/>
          <w:szCs w:val="20"/>
        </w:rPr>
        <w:t>For the comparison of the three and nine months ended September 30, 2022 to the three and nine months ended September 30, 2021, the JV Transition Centers are the two former Sears parcels at Deptford Ma</w:t>
      </w:r>
      <w:r>
        <w:rPr>
          <w:rFonts w:eastAsia="Times New Roman"/>
          <w:color w:val="000000"/>
          <w:sz w:val="20"/>
          <w:szCs w:val="20"/>
        </w:rPr>
        <w:t>ll and Vintage Faire Mall (See “Acquisitions” in Management’s Overview and Summary). For the comparison of the three and nine months ended September 30, 2022 to the three and nine months ended September 30, 2021, the Disposition Properties are Paradise Val</w:t>
      </w:r>
      <w:r>
        <w:rPr>
          <w:rFonts w:eastAsia="Times New Roman"/>
          <w:color w:val="000000"/>
          <w:sz w:val="20"/>
          <w:szCs w:val="20"/>
        </w:rPr>
        <w:t>ley Mall and Tucson La Encantada.</w:t>
      </w:r>
    </w:p>
    <w:p w:rsidR="00000000" w:rsidRDefault="00BC0821">
      <w:pPr>
        <w:ind w:firstLine="495"/>
        <w:divId w:val="1979797711"/>
        <w:rPr>
          <w:rFonts w:eastAsia="Times New Roman"/>
        </w:rPr>
      </w:pPr>
      <w:r>
        <w:rPr>
          <w:rFonts w:eastAsia="Times New Roman"/>
          <w:color w:val="000000"/>
          <w:sz w:val="20"/>
          <w:szCs w:val="20"/>
        </w:rPr>
        <w:t>Unconsolidated joint ventures are reflected using the equity method of accounting. The Company’</w:t>
      </w:r>
      <w:r>
        <w:rPr>
          <w:rFonts w:eastAsia="Times New Roman"/>
          <w:color w:val="000000"/>
          <w:sz w:val="20"/>
          <w:szCs w:val="20"/>
        </w:rPr>
        <w:t>s pro rata share of the results from these Centers is reflected in the Consolidated Statements of Operations as equity in income (loss) of unconsolidated joint ventures.</w:t>
      </w:r>
    </w:p>
    <w:p w:rsidR="00000000" w:rsidRDefault="00BC0821">
      <w:pPr>
        <w:ind w:firstLine="495"/>
        <w:divId w:val="778448061"/>
        <w:rPr>
          <w:rFonts w:eastAsia="Times New Roman"/>
        </w:rPr>
      </w:pPr>
      <w:r>
        <w:rPr>
          <w:rFonts w:eastAsia="Times New Roman"/>
          <w:color w:val="000000"/>
          <w:sz w:val="20"/>
          <w:szCs w:val="20"/>
        </w:rPr>
        <w:t>The Company considers tenant annual sales, occupancy rates (excluding large retail sto</w:t>
      </w:r>
      <w:r>
        <w:rPr>
          <w:rFonts w:eastAsia="Times New Roman"/>
          <w:color w:val="000000"/>
          <w:sz w:val="20"/>
          <w:szCs w:val="20"/>
        </w:rPr>
        <w:t>res or “Anchors”) and releasing spreads (i.e., a comparison of initial average base rent per square foot on leases executed during the trailing twelve months to average base rent per square foot at expiration for the leases expiring during the trailing twe</w:t>
      </w:r>
      <w:r>
        <w:rPr>
          <w:rFonts w:eastAsia="Times New Roman"/>
          <w:color w:val="000000"/>
          <w:sz w:val="20"/>
          <w:szCs w:val="20"/>
        </w:rPr>
        <w:t>lve months based on the spaces 10,000 square feet and under) to be key performance indicators of the Company’s internal growth.</w:t>
      </w:r>
    </w:p>
    <w:p w:rsidR="00000000" w:rsidRDefault="00BC0821">
      <w:pPr>
        <w:ind w:firstLine="495"/>
        <w:divId w:val="1385056930"/>
        <w:rPr>
          <w:rFonts w:eastAsia="Times New Roman"/>
        </w:rPr>
      </w:pPr>
      <w:r>
        <w:rPr>
          <w:rFonts w:eastAsia="Times New Roman"/>
          <w:color w:val="000000"/>
          <w:sz w:val="20"/>
          <w:szCs w:val="20"/>
        </w:rPr>
        <w:t>During the third quarter of 2022, comparable tenant sales for spaces less than 10,000 square feet across the portfolio decreased</w:t>
      </w:r>
      <w:r>
        <w:rPr>
          <w:rFonts w:eastAsia="Times New Roman"/>
          <w:color w:val="000000"/>
          <w:sz w:val="20"/>
          <w:szCs w:val="20"/>
        </w:rPr>
        <w:t xml:space="preserve"> by 0.6% relative to the third quarter of 2021 and increased 4.8% during the nine months ended September 30, 2022 compared to the timeframe in 2021. The leased occupancy rate of 92.1% at September 30, 2022 represented a 1.8% increase from 90.3% at Septembe</w:t>
      </w:r>
      <w:r>
        <w:rPr>
          <w:rFonts w:eastAsia="Times New Roman"/>
          <w:color w:val="000000"/>
          <w:sz w:val="20"/>
          <w:szCs w:val="20"/>
        </w:rPr>
        <w:t>r 30, 2021 and a 0.3% sequential increase compared to the 91.8% occupancy rate at June 30, 2022. Releasing spreads increased as the Company executed leases at an average rent of $61.40 for new and renewal leases executed compared to $57.60 on leases expiri</w:t>
      </w:r>
      <w:r>
        <w:rPr>
          <w:rFonts w:eastAsia="Times New Roman"/>
          <w:color w:val="000000"/>
          <w:sz w:val="20"/>
          <w:szCs w:val="20"/>
        </w:rPr>
        <w:t>ng, resulting in a releasing spread increase of $3.80 per square foot, or 6.6%, for the trailing twelve months ended September 30, 2022, which is the Company’s strongest reported leasing spread since the quarter ended September 30, 2019.</w:t>
      </w:r>
    </w:p>
    <w:p w:rsidR="00000000" w:rsidRDefault="00BC0821">
      <w:pPr>
        <w:ind w:firstLine="495"/>
        <w:divId w:val="1276598142"/>
        <w:rPr>
          <w:rFonts w:eastAsia="Times New Roman"/>
        </w:rPr>
      </w:pPr>
      <w:r>
        <w:rPr>
          <w:rFonts w:eastAsia="Times New Roman"/>
          <w:color w:val="000000"/>
          <w:sz w:val="20"/>
          <w:szCs w:val="20"/>
        </w:rPr>
        <w:t>The Company contin</w:t>
      </w:r>
      <w:r>
        <w:rPr>
          <w:rFonts w:eastAsia="Times New Roman"/>
          <w:color w:val="000000"/>
          <w:sz w:val="20"/>
          <w:szCs w:val="20"/>
        </w:rPr>
        <w:t xml:space="preserve">ues to renew or replace leases that are scheduled to expire in 2022, however, for a variety of factors, the Company cannot be certain of its ability to sign, renew or replace leases expiring in 2022 or beyond. The remaining 2022 lease expirations continue </w:t>
      </w:r>
      <w:r>
        <w:rPr>
          <w:rFonts w:eastAsia="Times New Roman"/>
          <w:color w:val="000000"/>
          <w:sz w:val="20"/>
          <w:szCs w:val="20"/>
        </w:rPr>
        <w:t>to be an important focal point for the Company. As of September 30, 2022, the Company has executed leases or commitments from retailers that are in lease documentation for 88% of the leased space expiring in 2022, and another 7% of such expiring space is i</w:t>
      </w:r>
      <w:r>
        <w:rPr>
          <w:rFonts w:eastAsia="Times New Roman"/>
          <w:color w:val="000000"/>
          <w:sz w:val="20"/>
          <w:szCs w:val="20"/>
        </w:rPr>
        <w:t xml:space="preserve">n the letter of intent stage. Excluding those leases, the remaining leases expiring in 2022, which represent approximately 99,000 square feet of the Centers, are in the prospecting stage. </w:t>
      </w:r>
    </w:p>
    <w:p w:rsidR="00000000" w:rsidRDefault="00BC0821">
      <w:pPr>
        <w:ind w:firstLine="495"/>
        <w:divId w:val="305277651"/>
        <w:rPr>
          <w:rFonts w:eastAsia="Times New Roman"/>
        </w:rPr>
      </w:pPr>
      <w:r>
        <w:rPr>
          <w:rFonts w:eastAsia="Times New Roman"/>
          <w:color w:val="000000"/>
          <w:sz w:val="20"/>
          <w:szCs w:val="20"/>
        </w:rPr>
        <w:t xml:space="preserve">During the quarter ended September 30, 2022, the Company signed 83 </w:t>
      </w:r>
      <w:r>
        <w:rPr>
          <w:rFonts w:eastAsia="Times New Roman"/>
          <w:color w:val="000000"/>
          <w:sz w:val="20"/>
          <w:szCs w:val="20"/>
        </w:rPr>
        <w:t>new leases and 136 renewal leases comprising approximately 1.1 million square feet of GLA. The average tenant allowance was $27.05 per square foot.</w:t>
      </w:r>
    </w:p>
    <w:p w:rsidR="00000000" w:rsidRDefault="00BC0821">
      <w:pPr>
        <w:divId w:val="43602807"/>
        <w:rPr>
          <w:rFonts w:eastAsia="Times New Roman"/>
        </w:rPr>
      </w:pPr>
      <w:r>
        <w:rPr>
          <w:rFonts w:eastAsia="Times New Roman"/>
          <w:b/>
          <w:bCs/>
          <w:color w:val="000000"/>
          <w:sz w:val="20"/>
          <w:szCs w:val="20"/>
        </w:rPr>
        <w:t>Outlook</w:t>
      </w:r>
    </w:p>
    <w:p w:rsidR="00000000" w:rsidRDefault="00BC0821">
      <w:pPr>
        <w:ind w:firstLine="495"/>
        <w:divId w:val="373771992"/>
        <w:rPr>
          <w:rFonts w:eastAsia="Times New Roman"/>
        </w:rPr>
      </w:pPr>
      <w:r>
        <w:rPr>
          <w:rFonts w:eastAsia="Times New Roman"/>
          <w:color w:val="000000"/>
          <w:sz w:val="20"/>
          <w:szCs w:val="20"/>
        </w:rPr>
        <w:t xml:space="preserve">The Company has a long-term four-pronged business strategy that focuses on the acquisition, leasing </w:t>
      </w:r>
      <w:r>
        <w:rPr>
          <w:rFonts w:eastAsia="Times New Roman"/>
          <w:color w:val="000000"/>
          <w:sz w:val="20"/>
          <w:szCs w:val="20"/>
        </w:rPr>
        <w:t xml:space="preserve">and management, redevelopment and development of regional town centers. Although fundamentals at the Centers continued to improve during 2021 and throughout the first nine months of 2022, the Company expects that its results will continue to be negatively </w:t>
      </w:r>
      <w:r>
        <w:rPr>
          <w:rFonts w:eastAsia="Times New Roman"/>
          <w:color w:val="000000"/>
          <w:sz w:val="20"/>
          <w:szCs w:val="20"/>
        </w:rPr>
        <w:t>impacted for the remainder of 2022 due, in part, to the continued impact of the COVID-19 pandemic, which resulted in reduced occupancy relative to pre-COVID levels and additional Anchor closures, among other factors.</w:t>
      </w:r>
    </w:p>
    <w:p w:rsidR="00000000" w:rsidRDefault="00BC0821">
      <w:pPr>
        <w:ind w:firstLine="495"/>
        <w:divId w:val="1156265109"/>
        <w:rPr>
          <w:rFonts w:eastAsia="Times New Roman"/>
        </w:rPr>
      </w:pPr>
      <w:r>
        <w:rPr>
          <w:rFonts w:eastAsia="Times New Roman"/>
          <w:color w:val="000000"/>
          <w:sz w:val="20"/>
          <w:szCs w:val="20"/>
        </w:rPr>
        <w:t>All Centers have been open and operatin</w:t>
      </w:r>
      <w:r>
        <w:rPr>
          <w:rFonts w:eastAsia="Times New Roman"/>
          <w:color w:val="000000"/>
          <w:sz w:val="20"/>
          <w:szCs w:val="20"/>
        </w:rPr>
        <w:t xml:space="preserve">g since October 7, 2020. As of the date of this Quarterly Report on Form 10-Q, government-imposed capacity restrictions resulting from COVID-19 have been eliminated across the Company’s markets. The </w:t>
      </w:r>
    </w:p>
    <w:p w:rsidR="00000000" w:rsidRDefault="00BC0821">
      <w:pPr>
        <w:jc w:val="center"/>
        <w:divId w:val="1403479469"/>
        <w:rPr>
          <w:rFonts w:eastAsia="Times New Roman"/>
        </w:rPr>
      </w:pPr>
    </w:p>
    <w:p w:rsidR="00000000" w:rsidRDefault="00BC0821">
      <w:pPr>
        <w:jc w:val="center"/>
        <w:divId w:val="1403479469"/>
        <w:rPr>
          <w:rFonts w:eastAsia="Times New Roman"/>
        </w:rPr>
      </w:pPr>
      <w:r>
        <w:rPr>
          <w:rFonts w:eastAsia="Times New Roman"/>
          <w:color w:val="000000"/>
          <w:sz w:val="20"/>
          <w:szCs w:val="20"/>
        </w:rPr>
        <w:t>33</w:t>
      </w:r>
    </w:p>
    <w:p w:rsidR="00000000" w:rsidRDefault="00BC0821">
      <w:pPr>
        <w:rPr>
          <w:rFonts w:eastAsia="Times New Roman"/>
        </w:rPr>
      </w:pPr>
      <w:r>
        <w:rPr>
          <w:rFonts w:eastAsia="Times New Roman"/>
        </w:rPr>
        <w:pict>
          <v:rect id="_x0000_i1057" style="width:0;height:1.5pt" o:hralign="center" o:hrstd="t" o:hr="t" fillcolor="#a0a0a0" stroked="f"/>
        </w:pict>
      </w:r>
    </w:p>
    <w:p w:rsidR="00000000" w:rsidRDefault="00BC0821">
      <w:pPr>
        <w:divId w:val="52228074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762606590"/>
        <w:rPr>
          <w:rFonts w:eastAsia="Times New Roman"/>
        </w:rPr>
      </w:pPr>
      <w:r>
        <w:rPr>
          <w:rFonts w:eastAsia="Times New Roman"/>
          <w:color w:val="000000"/>
          <w:sz w:val="20"/>
          <w:szCs w:val="20"/>
        </w:rPr>
        <w:t>Company experienced a positive impact to its leasing revenue during the three months ended September 30, 2022 as leasing revenue increased by approximately 2.48% compared to the three months end</w:t>
      </w:r>
      <w:r>
        <w:rPr>
          <w:rFonts w:eastAsia="Times New Roman"/>
          <w:color w:val="000000"/>
          <w:sz w:val="20"/>
          <w:szCs w:val="20"/>
        </w:rPr>
        <w:t xml:space="preserve">ed September 30, 2021. This increase includes the joint ventures at the Company’s share and excludes the Disposition Properties and The Shops at Northbridge, at the Company’s share (See “Dispositions” above). The increase was primarily due to increases in </w:t>
      </w:r>
      <w:r>
        <w:rPr>
          <w:rFonts w:eastAsia="Times New Roman"/>
          <w:color w:val="000000"/>
          <w:sz w:val="20"/>
          <w:szCs w:val="20"/>
        </w:rPr>
        <w:t xml:space="preserve">occupancy and releasing spreads, increases in straight-line rent revenue, higher recovery from bad debt reserves and decreases in retroactive rent abatements incurred in the third quarter of 2022 compared to the third quarter of 2021. </w:t>
      </w:r>
    </w:p>
    <w:p w:rsidR="00000000" w:rsidRDefault="00BC0821">
      <w:pPr>
        <w:ind w:firstLine="495"/>
        <w:divId w:val="327903674"/>
        <w:rPr>
          <w:rFonts w:eastAsia="Times New Roman"/>
        </w:rPr>
      </w:pPr>
      <w:r>
        <w:rPr>
          <w:rFonts w:eastAsia="Times New Roman"/>
          <w:color w:val="000000"/>
          <w:sz w:val="20"/>
          <w:szCs w:val="20"/>
        </w:rPr>
        <w:t>Traffic levels durin</w:t>
      </w:r>
      <w:r>
        <w:rPr>
          <w:rFonts w:eastAsia="Times New Roman"/>
          <w:color w:val="000000"/>
          <w:sz w:val="20"/>
          <w:szCs w:val="20"/>
        </w:rPr>
        <w:t>g the third quarter of 2022 continued to range in the mid 90%’s relative to the pre-pandemic third quarter of 2019. Comparable tenant sales from spaces less than 10,000 square feet across the portfolio decreased 0.6% and increased 4.8% during the three and</w:t>
      </w:r>
      <w:r>
        <w:rPr>
          <w:rFonts w:eastAsia="Times New Roman"/>
          <w:color w:val="000000"/>
          <w:sz w:val="20"/>
          <w:szCs w:val="20"/>
        </w:rPr>
        <w:t xml:space="preserve"> nine months ended September 30, 2022, respectively, compared to the timeframes in 2021. Portfolio tenant sales per square foot for spaces less than 10,000 square feet for the trailing twelve months ended September 30, 2022 were $877, which represents a re</w:t>
      </w:r>
      <w:r>
        <w:rPr>
          <w:rFonts w:eastAsia="Times New Roman"/>
          <w:color w:val="000000"/>
          <w:sz w:val="20"/>
          <w:szCs w:val="20"/>
        </w:rPr>
        <w:t>cord high for the Company.</w:t>
      </w:r>
    </w:p>
    <w:p w:rsidR="00000000" w:rsidRDefault="00BC0821">
      <w:pPr>
        <w:ind w:firstLine="495"/>
        <w:divId w:val="859584157"/>
        <w:rPr>
          <w:rFonts w:eastAsia="Times New Roman"/>
        </w:rPr>
      </w:pPr>
      <w:r>
        <w:rPr>
          <w:rFonts w:eastAsia="Times New Roman"/>
          <w:color w:val="000000"/>
          <w:sz w:val="20"/>
          <w:szCs w:val="20"/>
        </w:rPr>
        <w:t>During the third quarter of 2022, the Company signed 219 new and renewal leases for approximately 1.1 million square feet, compared to 215 leases and 1.1 million square feet signed during the third quarter of 2021.</w:t>
      </w:r>
    </w:p>
    <w:p w:rsidR="00000000" w:rsidRDefault="00BC0821">
      <w:pPr>
        <w:ind w:firstLine="495"/>
        <w:divId w:val="747727434"/>
        <w:rPr>
          <w:rFonts w:eastAsia="Times New Roman"/>
        </w:rPr>
      </w:pPr>
      <w:r>
        <w:rPr>
          <w:rFonts w:eastAsia="Times New Roman"/>
          <w:color w:val="000000"/>
          <w:sz w:val="20"/>
          <w:szCs w:val="20"/>
        </w:rPr>
        <w:t>The Company believes that diversity of us</w:t>
      </w:r>
      <w:r>
        <w:rPr>
          <w:rFonts w:eastAsia="Times New Roman"/>
          <w:color w:val="000000"/>
          <w:sz w:val="20"/>
          <w:szCs w:val="20"/>
        </w:rPr>
        <w:t>e within its tenant base will be a prominent internal growth catalyst at its Centers going forward, as new uses enhance the productivity and diversity of the tenant mix and have the potential to significantly increase customer traffic at the applicable Cen</w:t>
      </w:r>
      <w:r>
        <w:rPr>
          <w:rFonts w:eastAsia="Times New Roman"/>
          <w:color w:val="000000"/>
          <w:sz w:val="20"/>
          <w:szCs w:val="20"/>
        </w:rPr>
        <w:t xml:space="preserve">ters. During the quarter ended September 30, 2022, the Company signed deals for new stores with new-to-Macerich portfolio uses for over 154,000 square feet, with another 195,000 square feet of such new-to-Macerich portfolio leases currently in negotiation </w:t>
      </w:r>
      <w:r>
        <w:rPr>
          <w:rFonts w:eastAsia="Times New Roman"/>
          <w:color w:val="000000"/>
          <w:sz w:val="20"/>
          <w:szCs w:val="20"/>
        </w:rPr>
        <w:t>as of the date of this Quarterly Report on Form 10-Q.</w:t>
      </w:r>
    </w:p>
    <w:p w:rsidR="00000000" w:rsidRDefault="00BC0821">
      <w:pPr>
        <w:ind w:firstLine="495"/>
        <w:divId w:val="987980067"/>
        <w:rPr>
          <w:rFonts w:eastAsia="Times New Roman"/>
        </w:rPr>
      </w:pPr>
      <w:r>
        <w:rPr>
          <w:rFonts w:eastAsia="Times New Roman"/>
          <w:color w:val="000000"/>
          <w:sz w:val="20"/>
          <w:szCs w:val="20"/>
        </w:rPr>
        <w:t>As of September 30, 2022, the leased occupancy rate was 92.1%, a 1.8% increase compared to the leased occupancy rate at September 30, 2021 of 90.3%.</w:t>
      </w:r>
    </w:p>
    <w:p w:rsidR="00000000" w:rsidRDefault="00BC0821">
      <w:pPr>
        <w:ind w:firstLine="495"/>
        <w:divId w:val="268440486"/>
        <w:rPr>
          <w:rFonts w:eastAsia="Times New Roman"/>
        </w:rPr>
      </w:pPr>
      <w:r>
        <w:rPr>
          <w:rFonts w:eastAsia="Times New Roman"/>
          <w:color w:val="000000"/>
          <w:sz w:val="20"/>
          <w:szCs w:val="20"/>
        </w:rPr>
        <w:t>The Company’s rent collections through the third quar</w:t>
      </w:r>
      <w:r>
        <w:rPr>
          <w:rFonts w:eastAsia="Times New Roman"/>
          <w:color w:val="000000"/>
          <w:sz w:val="20"/>
          <w:szCs w:val="20"/>
        </w:rPr>
        <w:t>ter of 2022 have been comparable to pre-COVID-19 levels for the same period. The Company previously completed its negotiations with national and local tenants to secure rental payments. Those negotiations resulted in the Company entering into lease amendme</w:t>
      </w:r>
      <w:r>
        <w:rPr>
          <w:rFonts w:eastAsia="Times New Roman"/>
          <w:color w:val="000000"/>
          <w:sz w:val="20"/>
          <w:szCs w:val="20"/>
        </w:rPr>
        <w:t>nts which granted significant rental assistance in the form of rent deferral and/or rent reduction. Many of the Company’s leases contain co-tenancy clauses. Certain Anchor or small tenant closures have become permanent, whether caused by the pandemic, or o</w:t>
      </w:r>
      <w:r>
        <w:rPr>
          <w:rFonts w:eastAsia="Times New Roman"/>
          <w:color w:val="000000"/>
          <w:sz w:val="20"/>
          <w:szCs w:val="20"/>
        </w:rPr>
        <w:t>therwise, and co-tenancy clauses within certain leases may be triggered as a result. The Company does not anticipate that the negative impact of such clauses on lease revenue will be significant.</w:t>
      </w:r>
    </w:p>
    <w:p w:rsidR="00000000" w:rsidRDefault="00BC0821">
      <w:pPr>
        <w:ind w:firstLine="495"/>
        <w:divId w:val="1383141356"/>
        <w:rPr>
          <w:rFonts w:eastAsia="Times New Roman"/>
        </w:rPr>
      </w:pPr>
      <w:r>
        <w:rPr>
          <w:rFonts w:eastAsia="Times New Roman"/>
          <w:color w:val="000000"/>
          <w:sz w:val="20"/>
          <w:szCs w:val="20"/>
        </w:rPr>
        <w:t>During the year ended December 31, 2021, the Company incurre</w:t>
      </w:r>
      <w:r>
        <w:rPr>
          <w:rFonts w:eastAsia="Times New Roman"/>
          <w:color w:val="000000"/>
          <w:sz w:val="20"/>
          <w:szCs w:val="20"/>
        </w:rPr>
        <w:t>d $47.6 million of rent abatements at the Company’s share relating primarily to 2020 rents as a result of COVID-19 and negotiated $4.6 million of rent deferrals during the year ended December 31, 2021 at the Company’s share. During the nine months ended Se</w:t>
      </w:r>
      <w:r>
        <w:rPr>
          <w:rFonts w:eastAsia="Times New Roman"/>
          <w:color w:val="000000"/>
          <w:sz w:val="20"/>
          <w:szCs w:val="20"/>
        </w:rPr>
        <w:t>ptember 30, 2022, the Company incurred $1.2 million of rent abatements at the Company’s share compared to $46.3 million for the nine months ended September 30, 2021, which related primarily to 2020 rents as a result of COVID-19. The Company did not negotia</w:t>
      </w:r>
      <w:r>
        <w:rPr>
          <w:rFonts w:eastAsia="Times New Roman"/>
          <w:color w:val="000000"/>
          <w:sz w:val="20"/>
          <w:szCs w:val="20"/>
        </w:rPr>
        <w:t>te any rent deferrals during the three months ended September 30, 2021 compared to less than $0.2 million of rent deferrals during the three months ended September 30, 2022 at the Company's share. As of September 30, 2022, $3.7 million of the rent deferral</w:t>
      </w:r>
      <w:r>
        <w:rPr>
          <w:rFonts w:eastAsia="Times New Roman"/>
          <w:color w:val="000000"/>
          <w:sz w:val="20"/>
          <w:szCs w:val="20"/>
        </w:rPr>
        <w:t>s remain outstanding, with $1.4 million scheduled to be repaid during the remainder of 2022 and the balance scheduled for repayment in 2023 and thereafter.</w:t>
      </w:r>
    </w:p>
    <w:p w:rsidR="00000000" w:rsidRDefault="00BC0821">
      <w:pPr>
        <w:ind w:firstLine="495"/>
        <w:divId w:val="1648319393"/>
        <w:rPr>
          <w:rFonts w:eastAsia="Times New Roman"/>
        </w:rPr>
      </w:pPr>
      <w:r>
        <w:rPr>
          <w:rFonts w:eastAsia="Times New Roman"/>
          <w:color w:val="000000"/>
          <w:sz w:val="20"/>
          <w:szCs w:val="20"/>
        </w:rPr>
        <w:t xml:space="preserve">During 2021, the pace of bankruptcy filings involving the Company’s tenants decreased substantially </w:t>
      </w:r>
      <w:r>
        <w:rPr>
          <w:rFonts w:eastAsia="Times New Roman"/>
          <w:color w:val="000000"/>
          <w:sz w:val="20"/>
          <w:szCs w:val="20"/>
        </w:rPr>
        <w:t>as compared to 2020, with ten bankruptcy filings, totaling 62 leases and involving approximately 369,000 square feet and $11.9 million of annual leasing revenue at the Company’s share. This included two leases totaling 139,000 square feet with a single dep</w:t>
      </w:r>
      <w:r>
        <w:rPr>
          <w:rFonts w:eastAsia="Times New Roman"/>
          <w:color w:val="000000"/>
          <w:sz w:val="20"/>
          <w:szCs w:val="20"/>
        </w:rPr>
        <w:t xml:space="preserve">artment store retailer that quickly emerged from bankruptcy and assumed both of its leases with the Company. Excluding this department store retailer, bankruptcy filings during 2021 only involved approximately 230,000 square feet. The Company continues to </w:t>
      </w:r>
      <w:r>
        <w:rPr>
          <w:rFonts w:eastAsia="Times New Roman"/>
          <w:color w:val="000000"/>
          <w:sz w:val="20"/>
          <w:szCs w:val="20"/>
        </w:rPr>
        <w:t xml:space="preserve">expect that the pace of bankruptcy filings in 2022 will be low. Year-to-date in 2022, there have only been two bankruptcy filings involving three tenants of the Company involving approximately 110,000 square feet of leased space and $2.2 million of annual </w:t>
      </w:r>
      <w:r>
        <w:rPr>
          <w:rFonts w:eastAsia="Times New Roman"/>
          <w:color w:val="000000"/>
          <w:sz w:val="20"/>
          <w:szCs w:val="20"/>
        </w:rPr>
        <w:t>leasing revenue.</w:t>
      </w:r>
    </w:p>
    <w:p w:rsidR="00000000" w:rsidRDefault="00BC0821">
      <w:pPr>
        <w:ind w:firstLine="495"/>
        <w:divId w:val="1220166839"/>
        <w:rPr>
          <w:rFonts w:eastAsia="Times New Roman"/>
        </w:rPr>
      </w:pPr>
      <w:r>
        <w:rPr>
          <w:rFonts w:eastAsia="Times New Roman"/>
          <w:color w:val="000000"/>
          <w:sz w:val="20"/>
          <w:szCs w:val="20"/>
        </w:rPr>
        <w:t>During 2022, the Company expects to generate positive cash flow from operations after recurring operating capital expenditures, leasing capital expenditures and payment of dividends. This assumption does not include any potential capital g</w:t>
      </w:r>
      <w:r>
        <w:rPr>
          <w:rFonts w:eastAsia="Times New Roman"/>
          <w:color w:val="000000"/>
          <w:sz w:val="20"/>
          <w:szCs w:val="20"/>
        </w:rPr>
        <w:t>enerated from dispositions, refinancings or issuances of common equity. This expected surplus will be used to de-lever the Company’s balance sheet as well as to fund the Company’s development and redevelopment pipeline.</w:t>
      </w:r>
    </w:p>
    <w:p w:rsidR="00000000" w:rsidRDefault="00BC0821">
      <w:pPr>
        <w:ind w:firstLine="495"/>
        <w:divId w:val="719324776"/>
        <w:rPr>
          <w:rFonts w:eastAsia="Times New Roman"/>
        </w:rPr>
      </w:pPr>
      <w:r>
        <w:rPr>
          <w:rFonts w:eastAsia="Times New Roman"/>
          <w:color w:val="000000"/>
          <w:sz w:val="20"/>
          <w:szCs w:val="20"/>
        </w:rPr>
        <w:t>On February 2, 2022, the Company’s j</w:t>
      </w:r>
      <w:r>
        <w:rPr>
          <w:rFonts w:eastAsia="Times New Roman"/>
          <w:color w:val="000000"/>
          <w:sz w:val="20"/>
          <w:szCs w:val="20"/>
        </w:rPr>
        <w:t>oint venture in FlatIron Crossing replaced the existing $197 million loan on the property with a new $175 million loan that bears interest at SOFR plus 3.70% and matures on February 9, 2025, including extension options. On April 29, 2022, the Company close</w:t>
      </w:r>
      <w:r>
        <w:rPr>
          <w:rFonts w:eastAsia="Times New Roman"/>
          <w:color w:val="000000"/>
          <w:sz w:val="20"/>
          <w:szCs w:val="20"/>
        </w:rPr>
        <w:t>d on a new $72 million loan at Pacific View with a fixed rate of 5.29% that matures on May 6, 2032. On May 6, 2022, the Company closed on a two-year extension of the loan on The Oaks to June 5, 2024. The loan will now bear a fixed interest rate of 5.25%, a</w:t>
      </w:r>
      <w:r>
        <w:rPr>
          <w:rFonts w:eastAsia="Times New Roman"/>
          <w:color w:val="000000"/>
          <w:sz w:val="20"/>
          <w:szCs w:val="20"/>
        </w:rPr>
        <w:t xml:space="preserve">nd the Company repaid $5.0 million of the outstanding </w:t>
      </w:r>
    </w:p>
    <w:p w:rsidR="00000000" w:rsidRDefault="00BC0821">
      <w:pPr>
        <w:jc w:val="center"/>
        <w:divId w:val="1303344115"/>
        <w:rPr>
          <w:rFonts w:eastAsia="Times New Roman"/>
        </w:rPr>
      </w:pPr>
    </w:p>
    <w:p w:rsidR="00000000" w:rsidRDefault="00BC0821">
      <w:pPr>
        <w:jc w:val="center"/>
        <w:divId w:val="1303344115"/>
        <w:rPr>
          <w:rFonts w:eastAsia="Times New Roman"/>
        </w:rPr>
      </w:pPr>
      <w:r>
        <w:rPr>
          <w:rFonts w:eastAsia="Times New Roman"/>
          <w:color w:val="000000"/>
          <w:sz w:val="20"/>
          <w:szCs w:val="20"/>
        </w:rPr>
        <w:t>34</w:t>
      </w:r>
    </w:p>
    <w:p w:rsidR="00000000" w:rsidRDefault="00BC0821">
      <w:pPr>
        <w:rPr>
          <w:rFonts w:eastAsia="Times New Roman"/>
        </w:rPr>
      </w:pPr>
      <w:r>
        <w:rPr>
          <w:rFonts w:eastAsia="Times New Roman"/>
        </w:rPr>
        <w:pict>
          <v:rect id="_x0000_i1058" style="width:0;height:1.5pt" o:hralign="center" o:hrstd="t" o:hr="t" fillcolor="#a0a0a0" stroked="f"/>
        </w:pict>
      </w:r>
    </w:p>
    <w:p w:rsidR="00000000" w:rsidRDefault="00BC0821">
      <w:pPr>
        <w:divId w:val="8442353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677198905"/>
        <w:rPr>
          <w:rFonts w:eastAsia="Times New Roman"/>
        </w:rPr>
      </w:pPr>
      <w:r>
        <w:rPr>
          <w:rFonts w:eastAsia="Times New Roman"/>
          <w:color w:val="000000"/>
          <w:sz w:val="20"/>
          <w:szCs w:val="20"/>
        </w:rPr>
        <w:t>loan balance at closing. Additionally, on July 1, 2022, the Company extended the loa</w:t>
      </w:r>
      <w:r>
        <w:rPr>
          <w:rFonts w:eastAsia="Times New Roman"/>
          <w:color w:val="000000"/>
          <w:sz w:val="20"/>
          <w:szCs w:val="20"/>
        </w:rPr>
        <w:t>n maturity on Danbury Fair Mall to July 1, 2023. The interest rate remained unchanged at 5.5%, and the Company repaid $10.0 million of the outstanding loan balance at closing. The Company’s joint venture in Washington Square expects to close in November 20</w:t>
      </w:r>
      <w:r>
        <w:rPr>
          <w:rFonts w:eastAsia="Times New Roman"/>
          <w:color w:val="000000"/>
          <w:sz w:val="20"/>
          <w:szCs w:val="20"/>
        </w:rPr>
        <w:t>22 a four-year extension, including options, on the existing $519.8 million loan on the property, at a floating interest rate of SOFR plus 4.0%. In addition, the Company expects to close in November 2022 a three-year extension of the $299.9 million loan on</w:t>
      </w:r>
      <w:r>
        <w:rPr>
          <w:rFonts w:eastAsia="Times New Roman"/>
          <w:color w:val="000000"/>
          <w:sz w:val="20"/>
          <w:szCs w:val="20"/>
        </w:rPr>
        <w:t xml:space="preserve"> Santa Monica Place at a floating interest rate of SOFR plus 1.58%. The Company did not repay the loan on Towne Mall on its maturity date of November 1, 2022, and has begun the process of transitioning the property to the loan servicer (See “—Financing Act</w:t>
      </w:r>
      <w:r>
        <w:rPr>
          <w:rFonts w:eastAsia="Times New Roman"/>
          <w:color w:val="000000"/>
          <w:sz w:val="20"/>
          <w:szCs w:val="20"/>
        </w:rPr>
        <w:t>ivities” in Management’s Overview and Summary).</w:t>
      </w:r>
    </w:p>
    <w:p w:rsidR="00000000" w:rsidRDefault="00BC0821">
      <w:pPr>
        <w:ind w:firstLine="495"/>
        <w:divId w:val="1569413434"/>
        <w:rPr>
          <w:rFonts w:eastAsia="Times New Roman"/>
        </w:rPr>
      </w:pPr>
      <w:r>
        <w:rPr>
          <w:rFonts w:eastAsia="Times New Roman"/>
          <w:color w:val="000000"/>
          <w:sz w:val="20"/>
          <w:szCs w:val="20"/>
        </w:rPr>
        <w:t>Rising interest rates are increasing the cost of the Company’s borrowings due to its outstanding floating-rate debt and have led to higher interest rates on new fixed-rate debt. The Company expects to incur i</w:t>
      </w:r>
      <w:r>
        <w:rPr>
          <w:rFonts w:eastAsia="Times New Roman"/>
          <w:color w:val="000000"/>
          <w:sz w:val="20"/>
          <w:szCs w:val="20"/>
        </w:rPr>
        <w:t xml:space="preserve">ncreased interest expense from the refinancing or extension of loans that may currently carry below-market interest rates. In certain cases, the Company may limit its exposure to interest rate fluctuations related to a portion of its floating-rate debt by </w:t>
      </w:r>
      <w:r>
        <w:rPr>
          <w:rFonts w:eastAsia="Times New Roman"/>
          <w:color w:val="000000"/>
          <w:sz w:val="20"/>
          <w:szCs w:val="20"/>
        </w:rPr>
        <w:t>using interest rate cap and swap agreements. Such agreements, subject to current market conditions, allow the Company to replace floating-rate debt with fixed-rate debt in order to achieve its desired ratio of floating-rate to fixed-rate debt. However, any</w:t>
      </w:r>
      <w:r>
        <w:rPr>
          <w:rFonts w:eastAsia="Times New Roman"/>
          <w:color w:val="000000"/>
          <w:sz w:val="20"/>
          <w:szCs w:val="20"/>
        </w:rPr>
        <w:t xml:space="preserve"> interest rate cap or swap agreements that the Company enters into may not be effective in reducing its exposure to interest rate changes. For example, the Company’s prior swap agreements, which expired on September 30, 2021, resulted in increases in inter</w:t>
      </w:r>
      <w:r>
        <w:rPr>
          <w:rFonts w:eastAsia="Times New Roman"/>
          <w:color w:val="000000"/>
          <w:sz w:val="20"/>
          <w:szCs w:val="20"/>
        </w:rPr>
        <w:t>est expense in 2021.</w:t>
      </w:r>
    </w:p>
    <w:p w:rsidR="00000000" w:rsidRDefault="00BC0821">
      <w:pPr>
        <w:divId w:val="583536320"/>
        <w:rPr>
          <w:rFonts w:eastAsia="Times New Roman"/>
        </w:rPr>
      </w:pPr>
      <w:r>
        <w:rPr>
          <w:rFonts w:eastAsia="Times New Roman"/>
          <w:b/>
          <w:bCs/>
          <w:color w:val="000000"/>
          <w:sz w:val="20"/>
          <w:szCs w:val="20"/>
        </w:rPr>
        <w:t xml:space="preserve">Comparison of Three Months Ended September 30, 2022 and 2021 </w:t>
      </w:r>
    </w:p>
    <w:p w:rsidR="00000000" w:rsidRDefault="00BC0821">
      <w:pPr>
        <w:ind w:firstLine="450"/>
        <w:divId w:val="1480346639"/>
        <w:rPr>
          <w:rFonts w:eastAsia="Times New Roman"/>
        </w:rPr>
      </w:pPr>
      <w:r>
        <w:rPr>
          <w:rFonts w:eastAsia="Times New Roman"/>
          <w:i/>
          <w:iCs/>
          <w:color w:val="000000"/>
          <w:sz w:val="20"/>
          <w:szCs w:val="20"/>
        </w:rPr>
        <w:t>Revenues:</w:t>
      </w:r>
    </w:p>
    <w:p w:rsidR="00000000" w:rsidRDefault="00BC0821">
      <w:pPr>
        <w:ind w:firstLine="495"/>
        <w:divId w:val="2140755083"/>
        <w:rPr>
          <w:rFonts w:eastAsia="Times New Roman"/>
        </w:rPr>
      </w:pPr>
      <w:r>
        <w:rPr>
          <w:rFonts w:eastAsia="Times New Roman"/>
          <w:color w:val="000000"/>
          <w:sz w:val="20"/>
          <w:szCs w:val="20"/>
        </w:rPr>
        <w:t>Leasing revenue decreased by $1.5 million, or 0.8%, from 2021 to 2022. The decrease in leasing revenue is attributed to a decrease of $2.6 million from the Disposition Properties offset in part by increases of $0.4 million from the Same Centers and $0.7 mi</w:t>
      </w:r>
      <w:r>
        <w:rPr>
          <w:rFonts w:eastAsia="Times New Roman"/>
          <w:color w:val="000000"/>
          <w:sz w:val="20"/>
          <w:szCs w:val="20"/>
        </w:rPr>
        <w:t>llion from the JV Transition Centers. Leasing revenue includes the amortization of above and below-market leases, the amortization of straight-line rents, lease termination income, percentage rent and the recovery of bad debts. The amortization of above an</w:t>
      </w:r>
      <w:r>
        <w:rPr>
          <w:rFonts w:eastAsia="Times New Roman"/>
          <w:color w:val="000000"/>
          <w:sz w:val="20"/>
          <w:szCs w:val="20"/>
        </w:rPr>
        <w:t>d below-market leases was $0.6 million for both 2021 and 2022. The amortization of straight-line rents increased from $(2.6) million in 2021 to $0.4 million in 2022. Lease termination income decreased from $8.9 million in 2021 to $0.5 million in 2022. Perc</w:t>
      </w:r>
      <w:r>
        <w:rPr>
          <w:rFonts w:eastAsia="Times New Roman"/>
          <w:color w:val="000000"/>
          <w:sz w:val="20"/>
          <w:szCs w:val="20"/>
        </w:rPr>
        <w:t>entage rent decreased from $13.7 million in 2021 to $10.5 million in 2022. Recovery of (provision for) bad debts increased from $(1.6) million in 2021 to $0.7 million in 2022.</w:t>
      </w:r>
    </w:p>
    <w:p w:rsidR="00000000" w:rsidRDefault="00BC0821">
      <w:pPr>
        <w:ind w:firstLine="450"/>
        <w:divId w:val="1973364305"/>
        <w:rPr>
          <w:rFonts w:eastAsia="Times New Roman"/>
        </w:rPr>
      </w:pPr>
      <w:r>
        <w:rPr>
          <w:rFonts w:eastAsia="Times New Roman"/>
          <w:color w:val="000000"/>
          <w:sz w:val="20"/>
          <w:szCs w:val="20"/>
        </w:rPr>
        <w:t>Other revenue decreased from $8.2 million in 2021 to $7.5 million in 2022. The d</w:t>
      </w:r>
      <w:r>
        <w:rPr>
          <w:rFonts w:eastAsia="Times New Roman"/>
          <w:color w:val="000000"/>
          <w:sz w:val="20"/>
          <w:szCs w:val="20"/>
        </w:rPr>
        <w:t xml:space="preserve">ecrease is primarily due to the Disposition Properties. </w:t>
      </w:r>
    </w:p>
    <w:p w:rsidR="00000000" w:rsidRDefault="00BC0821">
      <w:pPr>
        <w:ind w:firstLine="495"/>
        <w:divId w:val="1975285328"/>
        <w:rPr>
          <w:rFonts w:eastAsia="Times New Roman"/>
        </w:rPr>
      </w:pPr>
      <w:r>
        <w:rPr>
          <w:rFonts w:eastAsia="Times New Roman"/>
          <w:color w:val="000000"/>
          <w:sz w:val="20"/>
          <w:szCs w:val="20"/>
        </w:rPr>
        <w:t>Management Companies' revenue increased from $6.8 million in 2021 to $7.6 million in 2022 primarily due to an increase in leasing fees.</w:t>
      </w:r>
    </w:p>
    <w:p w:rsidR="00000000" w:rsidRDefault="00BC0821">
      <w:pPr>
        <w:ind w:firstLine="495"/>
        <w:divId w:val="342245043"/>
        <w:rPr>
          <w:rFonts w:eastAsia="Times New Roman"/>
        </w:rPr>
      </w:pPr>
      <w:r>
        <w:rPr>
          <w:rFonts w:eastAsia="Times New Roman"/>
          <w:i/>
          <w:iCs/>
          <w:color w:val="000000"/>
          <w:sz w:val="20"/>
          <w:szCs w:val="20"/>
        </w:rPr>
        <w:t>Shopping Center and Operating Expenses:</w:t>
      </w:r>
    </w:p>
    <w:p w:rsidR="00000000" w:rsidRDefault="00BC0821">
      <w:pPr>
        <w:ind w:firstLine="495"/>
        <w:divId w:val="1918436106"/>
        <w:rPr>
          <w:rFonts w:eastAsia="Times New Roman"/>
        </w:rPr>
      </w:pPr>
      <w:r>
        <w:rPr>
          <w:rFonts w:eastAsia="Times New Roman"/>
          <w:color w:val="000000"/>
          <w:sz w:val="20"/>
          <w:szCs w:val="20"/>
        </w:rPr>
        <w:t>Shopping center and ope</w:t>
      </w:r>
      <w:r>
        <w:rPr>
          <w:rFonts w:eastAsia="Times New Roman"/>
          <w:color w:val="000000"/>
          <w:sz w:val="20"/>
          <w:szCs w:val="20"/>
        </w:rPr>
        <w:t xml:space="preserve">rating expenses increased $4.0 million, or 5.7%, from 2021 to 2022. The increase in shopping center and operating expenses is attributed to increases of $4.1 million from the Same Centers and $0.4 million from the JV Transition Centers offset in part by a </w:t>
      </w:r>
      <w:r>
        <w:rPr>
          <w:rFonts w:eastAsia="Times New Roman"/>
          <w:color w:val="000000"/>
          <w:sz w:val="20"/>
          <w:szCs w:val="20"/>
        </w:rPr>
        <w:t>decrease of $0.4 million from the Disposition Properties.</w:t>
      </w:r>
    </w:p>
    <w:p w:rsidR="00000000" w:rsidRDefault="00BC0821">
      <w:pPr>
        <w:ind w:firstLine="495"/>
        <w:divId w:val="556622326"/>
        <w:rPr>
          <w:rFonts w:eastAsia="Times New Roman"/>
        </w:rPr>
      </w:pPr>
      <w:r>
        <w:rPr>
          <w:rFonts w:eastAsia="Times New Roman"/>
          <w:i/>
          <w:iCs/>
          <w:color w:val="000000"/>
          <w:sz w:val="20"/>
          <w:szCs w:val="20"/>
        </w:rPr>
        <w:t>Leasing Expenses:</w:t>
      </w:r>
    </w:p>
    <w:p w:rsidR="00000000" w:rsidRDefault="00BC0821">
      <w:pPr>
        <w:ind w:firstLine="495"/>
        <w:divId w:val="831070701"/>
        <w:rPr>
          <w:rFonts w:eastAsia="Times New Roman"/>
        </w:rPr>
      </w:pPr>
      <w:r>
        <w:rPr>
          <w:rFonts w:eastAsia="Times New Roman"/>
          <w:color w:val="000000"/>
          <w:sz w:val="20"/>
          <w:szCs w:val="20"/>
        </w:rPr>
        <w:t>Leasing expenses increased from $6.2 million in 2021 to $8.7 million in 2022 due to an increase in compensation expense.</w:t>
      </w:r>
    </w:p>
    <w:p w:rsidR="00000000" w:rsidRDefault="00BC0821">
      <w:pPr>
        <w:ind w:firstLine="450"/>
        <w:divId w:val="551380270"/>
        <w:rPr>
          <w:rFonts w:eastAsia="Times New Roman"/>
        </w:rPr>
      </w:pPr>
      <w:r>
        <w:rPr>
          <w:rFonts w:eastAsia="Times New Roman"/>
          <w:i/>
          <w:iCs/>
          <w:color w:val="000000"/>
          <w:sz w:val="20"/>
          <w:szCs w:val="20"/>
        </w:rPr>
        <w:t>Management Companies' Operating Expenses:</w:t>
      </w:r>
    </w:p>
    <w:p w:rsidR="00000000" w:rsidRDefault="00BC0821">
      <w:pPr>
        <w:ind w:firstLine="495"/>
        <w:divId w:val="1254781282"/>
        <w:rPr>
          <w:rFonts w:eastAsia="Times New Roman"/>
        </w:rPr>
      </w:pPr>
      <w:r>
        <w:rPr>
          <w:rFonts w:eastAsia="Times New Roman"/>
          <w:color w:val="000000"/>
          <w:sz w:val="20"/>
          <w:szCs w:val="20"/>
        </w:rPr>
        <w:t>Management Compan</w:t>
      </w:r>
      <w:r>
        <w:rPr>
          <w:rFonts w:eastAsia="Times New Roman"/>
          <w:color w:val="000000"/>
          <w:sz w:val="20"/>
          <w:szCs w:val="20"/>
        </w:rPr>
        <w:t xml:space="preserve">ies' operating expenses increased $2.0 million from 2021 to 2022 due to an increase in compensation expense. </w:t>
      </w:r>
    </w:p>
    <w:p w:rsidR="00000000" w:rsidRDefault="00BC0821">
      <w:pPr>
        <w:ind w:firstLine="450"/>
        <w:divId w:val="1997413796"/>
        <w:rPr>
          <w:rFonts w:eastAsia="Times New Roman"/>
        </w:rPr>
      </w:pPr>
      <w:r>
        <w:rPr>
          <w:rFonts w:eastAsia="Times New Roman"/>
          <w:i/>
          <w:iCs/>
          <w:color w:val="000000"/>
          <w:sz w:val="20"/>
          <w:szCs w:val="20"/>
        </w:rPr>
        <w:t>REIT General and Administrative Expenses:</w:t>
      </w:r>
    </w:p>
    <w:p w:rsidR="00000000" w:rsidRDefault="00BC0821">
      <w:pPr>
        <w:ind w:firstLine="495"/>
        <w:divId w:val="688260292"/>
        <w:rPr>
          <w:rFonts w:eastAsia="Times New Roman"/>
        </w:rPr>
      </w:pPr>
      <w:r>
        <w:rPr>
          <w:rFonts w:eastAsia="Times New Roman"/>
          <w:color w:val="000000"/>
          <w:sz w:val="20"/>
          <w:szCs w:val="20"/>
        </w:rPr>
        <w:t>REIT general and administrative expenses decreased $0.8 million from 2021 to 2022 primarily due to a dec</w:t>
      </w:r>
      <w:r>
        <w:rPr>
          <w:rFonts w:eastAsia="Times New Roman"/>
          <w:color w:val="000000"/>
          <w:sz w:val="20"/>
          <w:szCs w:val="20"/>
        </w:rPr>
        <w:t>rease in consulting expense.</w:t>
      </w:r>
    </w:p>
    <w:p w:rsidR="00000000" w:rsidRDefault="00BC0821">
      <w:pPr>
        <w:ind w:firstLine="450"/>
        <w:divId w:val="1679505360"/>
        <w:rPr>
          <w:rFonts w:eastAsia="Times New Roman"/>
        </w:rPr>
      </w:pPr>
      <w:r>
        <w:rPr>
          <w:rFonts w:eastAsia="Times New Roman"/>
          <w:i/>
          <w:iCs/>
          <w:color w:val="000000"/>
          <w:sz w:val="20"/>
          <w:szCs w:val="20"/>
        </w:rPr>
        <w:t>Depreciation and Amortization:</w:t>
      </w:r>
    </w:p>
    <w:p w:rsidR="00000000" w:rsidRDefault="00BC0821">
      <w:pPr>
        <w:ind w:firstLine="495"/>
        <w:divId w:val="943999296"/>
        <w:rPr>
          <w:rFonts w:eastAsia="Times New Roman"/>
        </w:rPr>
      </w:pPr>
      <w:r>
        <w:rPr>
          <w:rFonts w:eastAsia="Times New Roman"/>
          <w:color w:val="000000"/>
          <w:sz w:val="20"/>
          <w:szCs w:val="20"/>
        </w:rPr>
        <w:t>Depreciation and amortization decreased $2.7 million from 2021 to 2022. The decrease in depreciation and amortization is attributed to a decrease of $2.1 million from the Same Centers and $1.0 million from the Disposition Properties offset in part by an in</w:t>
      </w:r>
      <w:r>
        <w:rPr>
          <w:rFonts w:eastAsia="Times New Roman"/>
          <w:color w:val="000000"/>
          <w:sz w:val="20"/>
          <w:szCs w:val="20"/>
        </w:rPr>
        <w:t>crease of $0.4 million from the JV Transition Centers.</w:t>
      </w:r>
    </w:p>
    <w:p w:rsidR="00000000" w:rsidRDefault="00BC0821">
      <w:pPr>
        <w:jc w:val="center"/>
        <w:divId w:val="755781276"/>
        <w:rPr>
          <w:rFonts w:eastAsia="Times New Roman"/>
        </w:rPr>
      </w:pPr>
    </w:p>
    <w:p w:rsidR="00000000" w:rsidRDefault="00BC0821">
      <w:pPr>
        <w:jc w:val="center"/>
        <w:divId w:val="755781276"/>
        <w:rPr>
          <w:rFonts w:eastAsia="Times New Roman"/>
        </w:rPr>
      </w:pPr>
      <w:r>
        <w:rPr>
          <w:rFonts w:eastAsia="Times New Roman"/>
          <w:color w:val="000000"/>
          <w:sz w:val="20"/>
          <w:szCs w:val="20"/>
        </w:rPr>
        <w:t>35</w:t>
      </w:r>
    </w:p>
    <w:p w:rsidR="00000000" w:rsidRDefault="00BC0821">
      <w:pPr>
        <w:rPr>
          <w:rFonts w:eastAsia="Times New Roman"/>
        </w:rPr>
      </w:pPr>
      <w:r>
        <w:rPr>
          <w:rFonts w:eastAsia="Times New Roman"/>
        </w:rPr>
        <w:pict>
          <v:rect id="_x0000_i1059" style="width:0;height:1.5pt" o:hralign="center" o:hrstd="t" o:hr="t" fillcolor="#a0a0a0" stroked="f"/>
        </w:pict>
      </w:r>
    </w:p>
    <w:p w:rsidR="00000000" w:rsidRDefault="00BC0821">
      <w:pPr>
        <w:divId w:val="156876342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firstLine="450"/>
        <w:divId w:val="658116956"/>
        <w:rPr>
          <w:rFonts w:eastAsia="Times New Roman"/>
        </w:rPr>
      </w:pPr>
      <w:r>
        <w:rPr>
          <w:rFonts w:eastAsia="Times New Roman"/>
          <w:i/>
          <w:iCs/>
          <w:color w:val="000000"/>
          <w:sz w:val="20"/>
          <w:szCs w:val="20"/>
        </w:rPr>
        <w:t>Interest Expense:</w:t>
      </w:r>
    </w:p>
    <w:p w:rsidR="00000000" w:rsidRDefault="00BC0821">
      <w:pPr>
        <w:ind w:firstLine="495"/>
        <w:divId w:val="198972927"/>
        <w:rPr>
          <w:rFonts w:eastAsia="Times New Roman"/>
        </w:rPr>
      </w:pPr>
      <w:r>
        <w:rPr>
          <w:rFonts w:eastAsia="Times New Roman"/>
          <w:color w:val="000000"/>
          <w:sz w:val="20"/>
          <w:szCs w:val="20"/>
        </w:rPr>
        <w:t>Interest expense increased $12.3 million from 2021 to 2022. The in</w:t>
      </w:r>
      <w:r>
        <w:rPr>
          <w:rFonts w:eastAsia="Times New Roman"/>
          <w:color w:val="000000"/>
          <w:sz w:val="20"/>
          <w:szCs w:val="20"/>
        </w:rPr>
        <w:t xml:space="preserve">crease in interest expense is attributed to increases of $14.2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 and</w:t>
      </w:r>
      <w:r>
        <w:rPr>
          <w:rFonts w:eastAsia="Times New Roman"/>
          <w:color w:val="000000"/>
          <w:sz w:val="20"/>
          <w:szCs w:val="20"/>
        </w:rPr>
        <w:t xml:space="preserve"> $1.8 million from the Same Centers offset in part </w:t>
      </w:r>
      <w:r>
        <w:rPr>
          <w:rFonts w:eastAsia="Times New Roman"/>
          <w:color w:val="000000"/>
          <w:sz w:val="20"/>
          <w:szCs w:val="20"/>
        </w:rPr>
        <w:t xml:space="preserve">by decreases of $3.2 million from lower outstanding balances on the Company's revolving line of credit and $0.5 million from the Disposition Properties. The increase in interest expense from the financing arrangement is primarily due to the change in fair </w:t>
      </w:r>
      <w:r>
        <w:rPr>
          <w:rFonts w:eastAsia="Times New Roman"/>
          <w:color w:val="000000"/>
          <w:sz w:val="20"/>
          <w:szCs w:val="20"/>
        </w:rPr>
        <w:t>value of the underlying properties and the mortgage notes payable on the underlying properties.</w:t>
      </w:r>
    </w:p>
    <w:p w:rsidR="00000000" w:rsidRDefault="00BC0821">
      <w:pPr>
        <w:ind w:firstLine="450"/>
        <w:divId w:val="1964070766"/>
        <w:rPr>
          <w:rFonts w:eastAsia="Times New Roman"/>
        </w:rPr>
      </w:pPr>
      <w:r>
        <w:rPr>
          <w:rFonts w:eastAsia="Times New Roman"/>
          <w:i/>
          <w:iCs/>
          <w:color w:val="000000"/>
          <w:sz w:val="20"/>
          <w:szCs w:val="20"/>
        </w:rPr>
        <w:t>Equity in Income (Loss) of Unconsolidated Joint Ventures:</w:t>
      </w:r>
    </w:p>
    <w:p w:rsidR="00000000" w:rsidRDefault="00BC0821">
      <w:pPr>
        <w:ind w:firstLine="495"/>
        <w:divId w:val="1149829403"/>
        <w:rPr>
          <w:rFonts w:eastAsia="Times New Roman"/>
        </w:rPr>
      </w:pPr>
      <w:r>
        <w:rPr>
          <w:rFonts w:eastAsia="Times New Roman"/>
          <w:color w:val="000000"/>
          <w:sz w:val="20"/>
          <w:szCs w:val="20"/>
          <w:shd w:val="clear" w:color="auto" w:fill="FFFFFF"/>
        </w:rPr>
        <w:t>Equity in income (loss) of unconsolidated joint ventures increased $8.1 million from 2021 to 2022</w:t>
      </w:r>
      <w:r>
        <w:rPr>
          <w:rFonts w:eastAsia="Times New Roman"/>
          <w:color w:val="000000"/>
          <w:sz w:val="20"/>
          <w:szCs w:val="20"/>
        </w:rPr>
        <w:t>. The</w:t>
      </w:r>
      <w:r>
        <w:rPr>
          <w:rFonts w:eastAsia="Times New Roman"/>
          <w:color w:val="000000"/>
          <w:sz w:val="20"/>
          <w:szCs w:val="20"/>
        </w:rPr>
        <w:t xml:space="preserve"> increase in equity in income (loss) of unconsolidated joint ventures is primarily due to the JV Transition Centers.</w:t>
      </w:r>
    </w:p>
    <w:p w:rsidR="00000000" w:rsidRDefault="00BC0821">
      <w:pPr>
        <w:ind w:firstLine="450"/>
        <w:divId w:val="2077433939"/>
        <w:rPr>
          <w:rFonts w:eastAsia="Times New Roman"/>
        </w:rPr>
      </w:pPr>
      <w:r>
        <w:rPr>
          <w:rFonts w:eastAsia="Times New Roman"/>
          <w:i/>
          <w:iCs/>
          <w:color w:val="000000"/>
          <w:sz w:val="20"/>
          <w:szCs w:val="20"/>
        </w:rPr>
        <w:t>Gain on Sale or Write Down of Assets, net:</w:t>
      </w:r>
    </w:p>
    <w:p w:rsidR="00000000" w:rsidRDefault="00BC0821">
      <w:pPr>
        <w:ind w:firstLine="495"/>
        <w:divId w:val="713768848"/>
        <w:rPr>
          <w:rFonts w:eastAsia="Times New Roman"/>
        </w:rPr>
      </w:pPr>
      <w:r>
        <w:rPr>
          <w:rFonts w:eastAsia="Times New Roman"/>
          <w:color w:val="000000"/>
          <w:sz w:val="20"/>
          <w:szCs w:val="20"/>
        </w:rPr>
        <w:t>The gain on sale or write down of assets, net decreased $117.1 million from 2021 to 2022 primari</w:t>
      </w:r>
      <w:r>
        <w:rPr>
          <w:rFonts w:eastAsia="Times New Roman"/>
          <w:color w:val="000000"/>
          <w:sz w:val="20"/>
          <w:szCs w:val="20"/>
        </w:rPr>
        <w:t xml:space="preserve">ly due to the sale of Tucson La Encantada in 2021 (See "Dispositions" in Management's Overview and Summary). </w:t>
      </w:r>
    </w:p>
    <w:p w:rsidR="00000000" w:rsidRDefault="00BC0821">
      <w:pPr>
        <w:ind w:firstLine="450"/>
        <w:divId w:val="99229852"/>
        <w:rPr>
          <w:rFonts w:eastAsia="Times New Roman"/>
        </w:rPr>
      </w:pPr>
      <w:r>
        <w:rPr>
          <w:rFonts w:eastAsia="Times New Roman"/>
          <w:i/>
          <w:iCs/>
          <w:color w:val="000000"/>
          <w:sz w:val="20"/>
          <w:szCs w:val="20"/>
        </w:rPr>
        <w:t>Net (Loss) Income:</w:t>
      </w:r>
    </w:p>
    <w:p w:rsidR="00000000" w:rsidRDefault="00BC0821">
      <w:pPr>
        <w:ind w:firstLine="495"/>
        <w:divId w:val="150101001"/>
        <w:rPr>
          <w:rFonts w:eastAsia="Times New Roman"/>
        </w:rPr>
      </w:pPr>
      <w:r>
        <w:rPr>
          <w:rFonts w:eastAsia="Times New Roman"/>
          <w:color w:val="000000"/>
          <w:sz w:val="20"/>
          <w:szCs w:val="20"/>
        </w:rPr>
        <w:t>Net (loss) income decreased $126.5 million from 2021 to 2022. The decrease in net income is primarily due to the variances note</w:t>
      </w:r>
      <w:r>
        <w:rPr>
          <w:rFonts w:eastAsia="Times New Roman"/>
          <w:color w:val="000000"/>
          <w:sz w:val="20"/>
          <w:szCs w:val="20"/>
        </w:rPr>
        <w:t>d above.</w:t>
      </w:r>
    </w:p>
    <w:p w:rsidR="00000000" w:rsidRDefault="00BC0821">
      <w:pPr>
        <w:ind w:firstLine="450"/>
        <w:divId w:val="1631596451"/>
        <w:rPr>
          <w:rFonts w:eastAsia="Times New Roman"/>
        </w:rPr>
      </w:pPr>
      <w:r>
        <w:rPr>
          <w:rFonts w:eastAsia="Times New Roman"/>
          <w:i/>
          <w:iCs/>
          <w:color w:val="000000"/>
          <w:sz w:val="20"/>
          <w:szCs w:val="20"/>
        </w:rPr>
        <w:t>Funds From Operations ("FFO"):</w:t>
      </w:r>
    </w:p>
    <w:p w:rsidR="00000000" w:rsidRDefault="00BC0821">
      <w:pPr>
        <w:ind w:firstLine="495"/>
        <w:divId w:val="574170968"/>
        <w:rPr>
          <w:rFonts w:eastAsia="Times New Roman"/>
        </w:rPr>
      </w:pPr>
      <w:r>
        <w:rPr>
          <w:rFonts w:eastAsia="Times New Roman"/>
          <w:color w:val="000000"/>
          <w:sz w:val="20"/>
          <w:szCs w:val="20"/>
        </w:rPr>
        <w:t xml:space="preserve">Primarily as a result of the factors mentioned above, </w:t>
      </w:r>
      <w:r>
        <w:rPr>
          <w:rFonts w:eastAsia="Times New Roman"/>
          <w:color w:val="000000"/>
          <w:sz w:val="20"/>
          <w:szCs w:val="20"/>
          <w:shd w:val="clear" w:color="auto" w:fill="FFFFFF"/>
        </w:rPr>
        <w:t>FFO attributable to common stockholders and unit holders—diluted, excluding financing expense in connection with Chandler Freehold and loss on extinguishment of d</w:t>
      </w:r>
      <w:r>
        <w:rPr>
          <w:rFonts w:eastAsia="Times New Roman"/>
          <w:color w:val="000000"/>
          <w:sz w:val="20"/>
          <w:szCs w:val="20"/>
          <w:shd w:val="clear" w:color="auto" w:fill="FFFFFF"/>
        </w:rPr>
        <w:t xml:space="preserve">ebt </w:t>
      </w:r>
      <w:r>
        <w:rPr>
          <w:rFonts w:eastAsia="Times New Roman"/>
          <w:color w:val="000000"/>
          <w:sz w:val="20"/>
          <w:szCs w:val="20"/>
        </w:rPr>
        <w:t xml:space="preserve">increased 1.4% from </w:t>
      </w:r>
      <w:r>
        <w:rPr>
          <w:rFonts w:eastAsia="Times New Roman"/>
          <w:color w:val="000000"/>
          <w:sz w:val="20"/>
          <w:szCs w:val="20"/>
          <w:shd w:val="clear" w:color="auto" w:fill="FFFFFF"/>
        </w:rPr>
        <w:t>$101.4 million</w:t>
      </w:r>
      <w:r>
        <w:rPr>
          <w:rFonts w:eastAsia="Times New Roman"/>
          <w:color w:val="000000"/>
          <w:sz w:val="20"/>
          <w:szCs w:val="20"/>
        </w:rPr>
        <w:t xml:space="preserve"> in 2021 to </w:t>
      </w:r>
      <w:r>
        <w:rPr>
          <w:rFonts w:eastAsia="Times New Roman"/>
          <w:color w:val="000000"/>
          <w:sz w:val="20"/>
          <w:szCs w:val="20"/>
          <w:shd w:val="clear" w:color="auto" w:fill="FFFFFF"/>
        </w:rPr>
        <w:t>$102.8 million</w:t>
      </w:r>
      <w:r>
        <w:rPr>
          <w:rFonts w:eastAsia="Times New Roman"/>
          <w:color w:val="000000"/>
          <w:sz w:val="20"/>
          <w:szCs w:val="20"/>
        </w:rPr>
        <w:t xml:space="preserve"> </w:t>
      </w:r>
      <w:r>
        <w:rPr>
          <w:rFonts w:eastAsia="Times New Roman"/>
          <w:color w:val="000000"/>
          <w:sz w:val="20"/>
          <w:szCs w:val="20"/>
        </w:rPr>
        <w:t>in 2022. For a reconciliation of net (loss) income attributable to the Company, the most directly comparable GAAP financial measure, to FFO attributable to common stockholders and unit holders</w:t>
      </w:r>
      <w:r>
        <w:rPr>
          <w:rFonts w:eastAsia="Times New Roman"/>
          <w:color w:val="000000"/>
          <w:sz w:val="20"/>
          <w:szCs w:val="20"/>
          <w:shd w:val="clear" w:color="auto" w:fill="FFFFFF"/>
        </w:rPr>
        <w:t>—diluted</w:t>
      </w:r>
      <w:r>
        <w:rPr>
          <w:rFonts w:eastAsia="Times New Roman"/>
          <w:color w:val="000000"/>
          <w:sz w:val="20"/>
          <w:szCs w:val="20"/>
        </w:rPr>
        <w:t xml:space="preserve">, and </w:t>
      </w:r>
      <w:r>
        <w:rPr>
          <w:rFonts w:eastAsia="Times New Roman"/>
          <w:color w:val="000000"/>
          <w:sz w:val="20"/>
          <w:szCs w:val="20"/>
          <w:shd w:val="clear" w:color="auto" w:fill="FFFFFF"/>
        </w:rPr>
        <w:t>FFO attributable to common stockholders and unit h</w:t>
      </w:r>
      <w:r>
        <w:rPr>
          <w:rFonts w:eastAsia="Times New Roman"/>
          <w:color w:val="000000"/>
          <w:sz w:val="20"/>
          <w:szCs w:val="20"/>
          <w:shd w:val="clear" w:color="auto" w:fill="FFFFFF"/>
        </w:rPr>
        <w:t>olders, excluding financing expense in connection with Chandler Freehold and loss on extinguishment of debt—diluted</w:t>
      </w:r>
      <w:r>
        <w:rPr>
          <w:rFonts w:eastAsia="Times New Roman"/>
          <w:color w:val="000000"/>
          <w:sz w:val="20"/>
          <w:szCs w:val="20"/>
        </w:rPr>
        <w:t>, see "Funds From Operations ("FFO")" below.</w:t>
      </w:r>
    </w:p>
    <w:p w:rsidR="00000000" w:rsidRDefault="00BC0821">
      <w:pPr>
        <w:divId w:val="1873300601"/>
        <w:rPr>
          <w:rFonts w:eastAsia="Times New Roman"/>
        </w:rPr>
      </w:pPr>
      <w:r>
        <w:rPr>
          <w:rFonts w:eastAsia="Times New Roman"/>
          <w:b/>
          <w:bCs/>
          <w:color w:val="000000"/>
          <w:sz w:val="20"/>
          <w:szCs w:val="20"/>
        </w:rPr>
        <w:t xml:space="preserve">Comparison of Nine Months Ended September 30, 2022 and 2021 </w:t>
      </w:r>
    </w:p>
    <w:p w:rsidR="00000000" w:rsidRDefault="00BC0821">
      <w:pPr>
        <w:ind w:firstLine="450"/>
        <w:divId w:val="1356268685"/>
        <w:rPr>
          <w:rFonts w:eastAsia="Times New Roman"/>
        </w:rPr>
      </w:pPr>
      <w:r>
        <w:rPr>
          <w:rFonts w:eastAsia="Times New Roman"/>
          <w:i/>
          <w:iCs/>
          <w:color w:val="000000"/>
          <w:sz w:val="20"/>
          <w:szCs w:val="20"/>
        </w:rPr>
        <w:t>Revenues:</w:t>
      </w:r>
    </w:p>
    <w:p w:rsidR="00000000" w:rsidRDefault="00BC0821">
      <w:pPr>
        <w:ind w:firstLine="495"/>
        <w:divId w:val="595330302"/>
        <w:rPr>
          <w:rFonts w:eastAsia="Times New Roman"/>
        </w:rPr>
      </w:pPr>
      <w:r>
        <w:rPr>
          <w:rFonts w:eastAsia="Times New Roman"/>
          <w:color w:val="000000"/>
          <w:sz w:val="20"/>
          <w:szCs w:val="20"/>
        </w:rPr>
        <w:t>Leasing revenue increased</w:t>
      </w:r>
      <w:r>
        <w:rPr>
          <w:rFonts w:eastAsia="Times New Roman"/>
          <w:color w:val="000000"/>
          <w:sz w:val="20"/>
          <w:szCs w:val="20"/>
        </w:rPr>
        <w:t xml:space="preserve"> by $13.9 million, or 2.4%, from 2021 to 2022. The increase in leasing revenue is attributed to increases of $23.2 million from the Same Centers and $0.7 million from the JV Transition Centers offset in part by a decrease of $10.0 million from the Disposit</w:t>
      </w:r>
      <w:r>
        <w:rPr>
          <w:rFonts w:eastAsia="Times New Roman"/>
          <w:color w:val="000000"/>
          <w:sz w:val="20"/>
          <w:szCs w:val="20"/>
        </w:rPr>
        <w:t xml:space="preserve">ion Properties. Leasing revenue includes the amortization of above and below-market leases, the amortization of straight-line rents, lease termination income, percentage rent and the recovery of bad debts. The amortization of above and below-market leases </w:t>
      </w:r>
      <w:r>
        <w:rPr>
          <w:rFonts w:eastAsia="Times New Roman"/>
          <w:color w:val="000000"/>
          <w:sz w:val="20"/>
          <w:szCs w:val="20"/>
        </w:rPr>
        <w:t>increased from $1.6 million in 2021 to $1.7 million in 2022. Straight-line rents decreased from $8.2 million in 2021 to $(2.2) million in 2022. Lease termination income decreased from $16.9 million in 2021 to $12.8 million in 2022. Percentage rent decrease</w:t>
      </w:r>
      <w:r>
        <w:rPr>
          <w:rFonts w:eastAsia="Times New Roman"/>
          <w:color w:val="000000"/>
          <w:sz w:val="20"/>
          <w:szCs w:val="20"/>
        </w:rPr>
        <w:t>d from $31.0 million in 2021 to $26.0 million in 2022. Recovery of bad debts decreased from $4.3 million in 2021 to $1.6 million in 2022.</w:t>
      </w:r>
    </w:p>
    <w:p w:rsidR="00000000" w:rsidRDefault="00BC0821">
      <w:pPr>
        <w:ind w:firstLine="450"/>
        <w:divId w:val="156501828"/>
        <w:rPr>
          <w:rFonts w:eastAsia="Times New Roman"/>
        </w:rPr>
      </w:pPr>
      <w:r>
        <w:rPr>
          <w:rFonts w:eastAsia="Times New Roman"/>
          <w:color w:val="000000"/>
          <w:sz w:val="20"/>
          <w:szCs w:val="20"/>
        </w:rPr>
        <w:t xml:space="preserve">Other revenue decreased from $25.4 million in 2021 to $21.9 million in 2022. This decrease is primarily due to income </w:t>
      </w:r>
      <w:r>
        <w:rPr>
          <w:rFonts w:eastAsia="Times New Roman"/>
          <w:color w:val="000000"/>
          <w:sz w:val="20"/>
          <w:szCs w:val="20"/>
        </w:rPr>
        <w:t>related to the Disposition Properties.</w:t>
      </w:r>
    </w:p>
    <w:p w:rsidR="00000000" w:rsidRDefault="00BC0821">
      <w:pPr>
        <w:ind w:firstLine="495"/>
        <w:divId w:val="1417626215"/>
        <w:rPr>
          <w:rFonts w:eastAsia="Times New Roman"/>
        </w:rPr>
      </w:pPr>
      <w:r>
        <w:rPr>
          <w:rFonts w:eastAsia="Times New Roman"/>
          <w:color w:val="000000"/>
          <w:sz w:val="20"/>
          <w:szCs w:val="20"/>
        </w:rPr>
        <w:t>Management Companies' revenue increased from $19.0 million in 2021 to $21.4 million in 2022 due to an increase in management and leasing fees.</w:t>
      </w:r>
    </w:p>
    <w:p w:rsidR="00000000" w:rsidRDefault="00BC0821">
      <w:pPr>
        <w:ind w:firstLine="495"/>
        <w:divId w:val="2070376101"/>
        <w:rPr>
          <w:rFonts w:eastAsia="Times New Roman"/>
        </w:rPr>
      </w:pPr>
      <w:r>
        <w:rPr>
          <w:rFonts w:eastAsia="Times New Roman"/>
          <w:i/>
          <w:iCs/>
          <w:color w:val="000000"/>
          <w:sz w:val="20"/>
          <w:szCs w:val="20"/>
        </w:rPr>
        <w:t>Shopping Center and Operating Expenses:</w:t>
      </w:r>
    </w:p>
    <w:p w:rsidR="00000000" w:rsidRDefault="00BC0821">
      <w:pPr>
        <w:ind w:firstLine="495"/>
        <w:divId w:val="1744332842"/>
        <w:rPr>
          <w:rFonts w:eastAsia="Times New Roman"/>
        </w:rPr>
      </w:pPr>
      <w:r>
        <w:rPr>
          <w:rFonts w:eastAsia="Times New Roman"/>
          <w:color w:val="000000"/>
          <w:sz w:val="20"/>
          <w:szCs w:val="20"/>
        </w:rPr>
        <w:t>Shopping center and operating expe</w:t>
      </w:r>
      <w:r>
        <w:rPr>
          <w:rFonts w:eastAsia="Times New Roman"/>
          <w:color w:val="000000"/>
          <w:sz w:val="20"/>
          <w:szCs w:val="20"/>
        </w:rPr>
        <w:t>nses increased $2.8 million, or 1.3%, from 2021 to 2022. The increase in shopping center and operating expenses is attributed to increases of $5.6 million from the Same Centers and $0.3 million from the JV Transition Centers offset in part by a decrease of</w:t>
      </w:r>
      <w:r>
        <w:rPr>
          <w:rFonts w:eastAsia="Times New Roman"/>
          <w:color w:val="000000"/>
          <w:sz w:val="20"/>
          <w:szCs w:val="20"/>
        </w:rPr>
        <w:t xml:space="preserve"> $3.1 million from the Disposition Properties.</w:t>
      </w:r>
    </w:p>
    <w:p w:rsidR="00000000" w:rsidRDefault="00BC0821">
      <w:pPr>
        <w:ind w:firstLine="450"/>
        <w:divId w:val="1201287837"/>
        <w:rPr>
          <w:rFonts w:eastAsia="Times New Roman"/>
        </w:rPr>
      </w:pPr>
      <w:r>
        <w:rPr>
          <w:rFonts w:eastAsia="Times New Roman"/>
          <w:i/>
          <w:iCs/>
          <w:color w:val="000000"/>
          <w:sz w:val="20"/>
          <w:szCs w:val="20"/>
        </w:rPr>
        <w:t>Leasing Expenses:</w:t>
      </w:r>
    </w:p>
    <w:p w:rsidR="00000000" w:rsidRDefault="00BC0821">
      <w:pPr>
        <w:ind w:firstLine="495"/>
        <w:divId w:val="1515152107"/>
        <w:rPr>
          <w:rFonts w:eastAsia="Times New Roman"/>
        </w:rPr>
      </w:pPr>
      <w:r>
        <w:rPr>
          <w:rFonts w:eastAsia="Times New Roman"/>
          <w:color w:val="000000"/>
          <w:sz w:val="20"/>
          <w:szCs w:val="20"/>
        </w:rPr>
        <w:t xml:space="preserve">Leasing expenses increased from $18.0 million in 2021 to $24.5 million in 2022 due to an increase in compensation expense. </w:t>
      </w:r>
    </w:p>
    <w:p w:rsidR="00000000" w:rsidRDefault="00BC0821">
      <w:pPr>
        <w:ind w:firstLine="495"/>
        <w:divId w:val="2010055366"/>
        <w:rPr>
          <w:rFonts w:eastAsia="Times New Roman"/>
        </w:rPr>
      </w:pPr>
    </w:p>
    <w:p w:rsidR="00000000" w:rsidRDefault="00BC0821">
      <w:pPr>
        <w:jc w:val="center"/>
        <w:divId w:val="1638337257"/>
        <w:rPr>
          <w:rFonts w:eastAsia="Times New Roman"/>
        </w:rPr>
      </w:pPr>
    </w:p>
    <w:p w:rsidR="00000000" w:rsidRDefault="00BC0821">
      <w:pPr>
        <w:jc w:val="center"/>
        <w:divId w:val="1638337257"/>
        <w:rPr>
          <w:rFonts w:eastAsia="Times New Roman"/>
        </w:rPr>
      </w:pPr>
      <w:r>
        <w:rPr>
          <w:rFonts w:eastAsia="Times New Roman"/>
          <w:color w:val="000000"/>
          <w:sz w:val="20"/>
          <w:szCs w:val="20"/>
        </w:rPr>
        <w:t>36</w:t>
      </w:r>
    </w:p>
    <w:p w:rsidR="00000000" w:rsidRDefault="00BC0821">
      <w:pPr>
        <w:rPr>
          <w:rFonts w:eastAsia="Times New Roman"/>
        </w:rPr>
      </w:pPr>
      <w:r>
        <w:rPr>
          <w:rFonts w:eastAsia="Times New Roman"/>
        </w:rPr>
        <w:pict>
          <v:rect id="_x0000_i1060" style="width:0;height:1.5pt" o:hralign="center" o:hrstd="t" o:hr="t" fillcolor="#a0a0a0" stroked="f"/>
        </w:pict>
      </w:r>
    </w:p>
    <w:p w:rsidR="00000000" w:rsidRDefault="00BC0821">
      <w:pPr>
        <w:divId w:val="1466510069"/>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firstLine="405"/>
        <w:divId w:val="1812089119"/>
        <w:rPr>
          <w:rFonts w:eastAsia="Times New Roman"/>
        </w:rPr>
      </w:pPr>
      <w:r>
        <w:rPr>
          <w:rFonts w:eastAsia="Times New Roman"/>
          <w:i/>
          <w:iCs/>
          <w:color w:val="000000"/>
          <w:sz w:val="20"/>
          <w:szCs w:val="20"/>
        </w:rPr>
        <w:t>Management Companies' Operating Expenses:</w:t>
      </w:r>
    </w:p>
    <w:p w:rsidR="00000000" w:rsidRDefault="00BC0821">
      <w:pPr>
        <w:ind w:firstLine="495"/>
        <w:divId w:val="1004473485"/>
        <w:rPr>
          <w:rFonts w:eastAsia="Times New Roman"/>
        </w:rPr>
      </w:pPr>
      <w:r>
        <w:rPr>
          <w:rFonts w:eastAsia="Times New Roman"/>
          <w:color w:val="000000"/>
          <w:sz w:val="20"/>
          <w:szCs w:val="20"/>
        </w:rPr>
        <w:t>Management Companies' operating expenses increased $6.8 million from 2021 to 2022 due to an increase i</w:t>
      </w:r>
      <w:r>
        <w:rPr>
          <w:rFonts w:eastAsia="Times New Roman"/>
          <w:color w:val="000000"/>
          <w:sz w:val="20"/>
          <w:szCs w:val="20"/>
        </w:rPr>
        <w:t xml:space="preserve">n compensation expense. </w:t>
      </w:r>
    </w:p>
    <w:p w:rsidR="00000000" w:rsidRDefault="00BC0821">
      <w:pPr>
        <w:ind w:firstLine="405"/>
        <w:divId w:val="109133715"/>
        <w:rPr>
          <w:rFonts w:eastAsia="Times New Roman"/>
        </w:rPr>
      </w:pPr>
      <w:r>
        <w:rPr>
          <w:rFonts w:eastAsia="Times New Roman"/>
          <w:i/>
          <w:iCs/>
          <w:color w:val="000000"/>
          <w:sz w:val="20"/>
          <w:szCs w:val="20"/>
        </w:rPr>
        <w:t>REIT General and Administrative Expenses:</w:t>
      </w:r>
    </w:p>
    <w:p w:rsidR="00000000" w:rsidRDefault="00BC0821">
      <w:pPr>
        <w:ind w:firstLine="495"/>
        <w:divId w:val="2014448021"/>
        <w:rPr>
          <w:rFonts w:eastAsia="Times New Roman"/>
        </w:rPr>
      </w:pPr>
      <w:r>
        <w:rPr>
          <w:rFonts w:eastAsia="Times New Roman"/>
          <w:color w:val="000000"/>
          <w:sz w:val="20"/>
          <w:szCs w:val="20"/>
        </w:rPr>
        <w:t>REIT general and administrative expenses decreased $2.3 million from 2021 to 2022 primarily due to a decrease in consulting expense.</w:t>
      </w:r>
    </w:p>
    <w:p w:rsidR="00000000" w:rsidRDefault="00BC0821">
      <w:pPr>
        <w:ind w:firstLine="450"/>
        <w:divId w:val="877663609"/>
        <w:rPr>
          <w:rFonts w:eastAsia="Times New Roman"/>
        </w:rPr>
      </w:pPr>
      <w:r>
        <w:rPr>
          <w:rFonts w:eastAsia="Times New Roman"/>
          <w:i/>
          <w:iCs/>
          <w:color w:val="000000"/>
          <w:sz w:val="20"/>
          <w:szCs w:val="20"/>
        </w:rPr>
        <w:t>Depreciation and Amortization:</w:t>
      </w:r>
    </w:p>
    <w:p w:rsidR="00000000" w:rsidRDefault="00BC0821">
      <w:pPr>
        <w:ind w:firstLine="495"/>
        <w:divId w:val="1119028980"/>
        <w:rPr>
          <w:rFonts w:eastAsia="Times New Roman"/>
        </w:rPr>
      </w:pPr>
      <w:r>
        <w:rPr>
          <w:rFonts w:eastAsia="Times New Roman"/>
          <w:color w:val="000000"/>
          <w:sz w:val="20"/>
          <w:szCs w:val="20"/>
        </w:rPr>
        <w:t>Depreciation and amortiza</w:t>
      </w:r>
      <w:r>
        <w:rPr>
          <w:rFonts w:eastAsia="Times New Roman"/>
          <w:color w:val="000000"/>
          <w:sz w:val="20"/>
          <w:szCs w:val="20"/>
        </w:rPr>
        <w:t>tion decreased $13.4 million from 2021 to 2022. The decrease in depreciation and amortization is attributed to decreases of $8.1 million from the Same Centers and $5.7 million from the Disposition Properties offset in part by an increase of $0.4 million fr</w:t>
      </w:r>
      <w:r>
        <w:rPr>
          <w:rFonts w:eastAsia="Times New Roman"/>
          <w:color w:val="000000"/>
          <w:sz w:val="20"/>
          <w:szCs w:val="20"/>
        </w:rPr>
        <w:t>om the JV Transition Centers.</w:t>
      </w:r>
    </w:p>
    <w:p w:rsidR="00000000" w:rsidRDefault="00BC0821">
      <w:pPr>
        <w:ind w:firstLine="495"/>
        <w:divId w:val="1444885326"/>
        <w:rPr>
          <w:rFonts w:eastAsia="Times New Roman"/>
        </w:rPr>
      </w:pPr>
      <w:r>
        <w:rPr>
          <w:rFonts w:eastAsia="Times New Roman"/>
          <w:i/>
          <w:iCs/>
          <w:color w:val="000000"/>
          <w:sz w:val="20"/>
          <w:szCs w:val="20"/>
        </w:rPr>
        <w:t>Interest Expense:</w:t>
      </w:r>
    </w:p>
    <w:p w:rsidR="00000000" w:rsidRDefault="00BC0821">
      <w:pPr>
        <w:ind w:firstLine="495"/>
        <w:divId w:val="1246064872"/>
        <w:rPr>
          <w:rFonts w:eastAsia="Times New Roman"/>
        </w:rPr>
      </w:pPr>
      <w:r>
        <w:rPr>
          <w:rFonts w:eastAsia="Times New Roman"/>
          <w:color w:val="000000"/>
          <w:sz w:val="20"/>
          <w:szCs w:val="20"/>
        </w:rPr>
        <w:t>Interest expense increased $8.5 million from 2021 to 2022. The increase in interest expense is attributed to increases of $26.8 million from the financing arrangement discussed in Note 12</w:t>
      </w:r>
      <w:r>
        <w:rPr>
          <w:rFonts w:eastAsia="Times New Roman"/>
          <w:color w:val="000000"/>
          <w:sz w:val="20"/>
          <w:szCs w:val="20"/>
          <w:shd w:val="clear" w:color="auto" w:fill="FFFFFF"/>
        </w:rPr>
        <w:t xml:space="preserve"> in the Company's Not</w:t>
      </w:r>
      <w:r>
        <w:rPr>
          <w:rFonts w:eastAsia="Times New Roman"/>
          <w:color w:val="000000"/>
          <w:sz w:val="20"/>
          <w:szCs w:val="20"/>
          <w:shd w:val="clear" w:color="auto" w:fill="FFFFFF"/>
        </w:rPr>
        <w:t xml:space="preserve">es to the Consolidated Financial Statements and </w:t>
      </w:r>
      <w:r>
        <w:rPr>
          <w:rFonts w:eastAsia="Times New Roman"/>
          <w:color w:val="000000"/>
          <w:sz w:val="20"/>
          <w:szCs w:val="20"/>
        </w:rPr>
        <w:t xml:space="preserve">$1.5 million from the Same Centers offset in part by </w:t>
      </w:r>
      <w:r>
        <w:rPr>
          <w:rFonts w:eastAsia="Times New Roman"/>
          <w:color w:val="000000"/>
          <w:sz w:val="20"/>
          <w:szCs w:val="20"/>
          <w:shd w:val="clear" w:color="auto" w:fill="FFFFFF"/>
        </w:rPr>
        <w:t>decreases of</w:t>
      </w:r>
      <w:r>
        <w:rPr>
          <w:rFonts w:eastAsia="Times New Roman"/>
          <w:color w:val="000000"/>
          <w:sz w:val="20"/>
          <w:szCs w:val="20"/>
        </w:rPr>
        <w:t xml:space="preserve"> $17.7 million from lower outstanding balances on the Company's revolving line of credit and $2.1 million from the Disposition Properties. The </w:t>
      </w:r>
      <w:r>
        <w:rPr>
          <w:rFonts w:eastAsia="Times New Roman"/>
          <w:color w:val="000000"/>
          <w:sz w:val="20"/>
          <w:szCs w:val="20"/>
        </w:rPr>
        <w:t>increase in interest expense from the financing arrangement is primarily due to the change in fair value of the underlying properties and the mortgage notes payable on the underlying properties.</w:t>
      </w:r>
    </w:p>
    <w:p w:rsidR="00000000" w:rsidRDefault="00BC0821">
      <w:pPr>
        <w:ind w:firstLine="495"/>
        <w:divId w:val="698555397"/>
        <w:rPr>
          <w:rFonts w:eastAsia="Times New Roman"/>
        </w:rPr>
      </w:pPr>
      <w:r>
        <w:rPr>
          <w:rFonts w:eastAsia="Times New Roman"/>
          <w:i/>
          <w:iCs/>
          <w:color w:val="000000"/>
          <w:sz w:val="20"/>
          <w:szCs w:val="20"/>
        </w:rPr>
        <w:t>Equity in Income (Loss) of Unconsolidated Joint Ventures:</w:t>
      </w:r>
    </w:p>
    <w:p w:rsidR="00000000" w:rsidRDefault="00BC0821">
      <w:pPr>
        <w:ind w:firstLine="495"/>
        <w:divId w:val="216361704"/>
        <w:rPr>
          <w:rFonts w:eastAsia="Times New Roman"/>
        </w:rPr>
      </w:pPr>
      <w:r>
        <w:rPr>
          <w:rFonts w:eastAsia="Times New Roman"/>
          <w:color w:val="000000"/>
          <w:sz w:val="20"/>
          <w:szCs w:val="20"/>
          <w:shd w:val="clear" w:color="auto" w:fill="FFFFFF"/>
        </w:rPr>
        <w:t>Equity in income (loss) of unconsolidated joint ventures decreased $36.6 million from 2021 to 2022</w:t>
      </w:r>
      <w:r>
        <w:rPr>
          <w:rFonts w:eastAsia="Times New Roman"/>
          <w:color w:val="000000"/>
          <w:sz w:val="20"/>
          <w:szCs w:val="20"/>
        </w:rPr>
        <w:t>. The decrease in equity in income (loss) of unconsolidated joint ventures is primarily due to the write-down of assets as a result of the reduction in the es</w:t>
      </w:r>
      <w:r>
        <w:rPr>
          <w:rFonts w:eastAsia="Times New Roman"/>
          <w:color w:val="000000"/>
          <w:sz w:val="20"/>
          <w:szCs w:val="20"/>
        </w:rPr>
        <w:t xml:space="preserve">timated holding periods of certain properties. </w:t>
      </w:r>
    </w:p>
    <w:p w:rsidR="00000000" w:rsidRDefault="00BC0821">
      <w:pPr>
        <w:ind w:firstLine="450"/>
        <w:divId w:val="1933776276"/>
        <w:rPr>
          <w:rFonts w:eastAsia="Times New Roman"/>
        </w:rPr>
      </w:pPr>
      <w:r>
        <w:rPr>
          <w:rFonts w:eastAsia="Times New Roman"/>
          <w:i/>
          <w:iCs/>
          <w:color w:val="000000"/>
          <w:sz w:val="20"/>
          <w:szCs w:val="20"/>
        </w:rPr>
        <w:t>Gain on Sale or Write Down of Assets, net:</w:t>
      </w:r>
    </w:p>
    <w:p w:rsidR="00000000" w:rsidRDefault="00BC0821">
      <w:pPr>
        <w:ind w:firstLine="495"/>
        <w:divId w:val="1657032489"/>
        <w:rPr>
          <w:rFonts w:eastAsia="Times New Roman"/>
        </w:rPr>
      </w:pPr>
      <w:r>
        <w:rPr>
          <w:rFonts w:eastAsia="Times New Roman"/>
          <w:color w:val="000000"/>
          <w:sz w:val="20"/>
          <w:szCs w:val="20"/>
        </w:rPr>
        <w:t>Gain on sale or write down of assets, net decreased $86.6 million from 2021 to 2022. The decrease is primarily due to $11.1 million of impairments in 2022 and the $1</w:t>
      </w:r>
      <w:r>
        <w:rPr>
          <w:rFonts w:eastAsia="Times New Roman"/>
          <w:color w:val="000000"/>
          <w:sz w:val="20"/>
          <w:szCs w:val="20"/>
        </w:rPr>
        <w:t>17.2 million gain on sale of Tucson La Encantada in 2021 offset in part by the sale and impairment loss of $41.6 million on Estrella Falls in 2021.</w:t>
      </w:r>
    </w:p>
    <w:p w:rsidR="00000000" w:rsidRDefault="00BC0821">
      <w:pPr>
        <w:ind w:firstLine="450"/>
        <w:divId w:val="28188917"/>
        <w:rPr>
          <w:rFonts w:eastAsia="Times New Roman"/>
        </w:rPr>
      </w:pPr>
      <w:r>
        <w:rPr>
          <w:rFonts w:eastAsia="Times New Roman"/>
          <w:i/>
          <w:iCs/>
          <w:color w:val="000000"/>
          <w:sz w:val="20"/>
          <w:szCs w:val="20"/>
        </w:rPr>
        <w:t>Net Loss (Income):</w:t>
      </w:r>
    </w:p>
    <w:p w:rsidR="00000000" w:rsidRDefault="00BC0821">
      <w:pPr>
        <w:ind w:firstLine="495"/>
        <w:divId w:val="1870020726"/>
        <w:rPr>
          <w:rFonts w:eastAsia="Times New Roman"/>
        </w:rPr>
      </w:pPr>
      <w:r>
        <w:rPr>
          <w:rFonts w:eastAsia="Times New Roman"/>
          <w:color w:val="000000"/>
          <w:sz w:val="20"/>
          <w:szCs w:val="20"/>
          <w:shd w:val="clear" w:color="auto" w:fill="FFFFFF"/>
        </w:rPr>
        <w:t>Net loss (income) de</w:t>
      </w:r>
      <w:r>
        <w:rPr>
          <w:rFonts w:eastAsia="Times New Roman"/>
          <w:color w:val="000000"/>
          <w:sz w:val="20"/>
          <w:szCs w:val="20"/>
        </w:rPr>
        <w:t>creased $109.7 million from 2021 to 2022. The decrease in net loss is</w:t>
      </w:r>
      <w:r>
        <w:rPr>
          <w:rFonts w:eastAsia="Times New Roman"/>
          <w:color w:val="000000"/>
          <w:sz w:val="20"/>
          <w:szCs w:val="20"/>
        </w:rPr>
        <w:t xml:space="preserve"> primarily due to the variances noted above.</w:t>
      </w:r>
    </w:p>
    <w:p w:rsidR="00000000" w:rsidRDefault="00BC0821">
      <w:pPr>
        <w:ind w:firstLine="495"/>
        <w:divId w:val="2097969925"/>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 financing expense in connection with Chandler Freehold and loss on extinguishment</w:t>
      </w:r>
      <w:r>
        <w:rPr>
          <w:rFonts w:eastAsia="Times New Roman"/>
          <w:color w:val="000000"/>
          <w:sz w:val="20"/>
          <w:szCs w:val="20"/>
          <w:shd w:val="clear" w:color="auto" w:fill="FFFFFF"/>
        </w:rPr>
        <w:t xml:space="preserve"> of debt</w:t>
      </w:r>
      <w:r>
        <w:rPr>
          <w:rFonts w:eastAsia="Times New Roman"/>
          <w:color w:val="000000"/>
          <w:sz w:val="20"/>
          <w:szCs w:val="20"/>
        </w:rPr>
        <w:t xml:space="preserve"> increased 4.4% from </w:t>
      </w:r>
      <w:r>
        <w:rPr>
          <w:rFonts w:eastAsia="Times New Roman"/>
          <w:color w:val="000000"/>
          <w:sz w:val="20"/>
          <w:szCs w:val="20"/>
          <w:shd w:val="clear" w:color="auto" w:fill="FFFFFF"/>
        </w:rPr>
        <w:t xml:space="preserve">$304.5 million </w:t>
      </w:r>
      <w:r>
        <w:rPr>
          <w:rFonts w:eastAsia="Times New Roman"/>
          <w:color w:val="000000"/>
          <w:sz w:val="20"/>
          <w:szCs w:val="20"/>
        </w:rPr>
        <w:t xml:space="preserve">in 2021 to </w:t>
      </w:r>
      <w:r>
        <w:rPr>
          <w:rFonts w:eastAsia="Times New Roman"/>
          <w:color w:val="000000"/>
          <w:sz w:val="20"/>
          <w:szCs w:val="20"/>
          <w:shd w:val="clear" w:color="auto" w:fill="FFFFFF"/>
        </w:rPr>
        <w:t>$318.0 million</w:t>
      </w:r>
      <w:r>
        <w:rPr>
          <w:rFonts w:eastAsia="Times New Roman"/>
          <w:color w:val="000000"/>
          <w:sz w:val="20"/>
          <w:szCs w:val="20"/>
        </w:rPr>
        <w:t xml:space="preserve"> in 2022. For a reconciliation of net (loss) income attributable to the Company, the most directly comparable GAAP financial measure, to FFO attributable to common stockholders and unit h</w:t>
      </w:r>
      <w:r>
        <w:rPr>
          <w:rFonts w:eastAsia="Times New Roman"/>
          <w:color w:val="000000"/>
          <w:sz w:val="20"/>
          <w:szCs w:val="20"/>
        </w:rPr>
        <w:t>olders</w:t>
      </w:r>
      <w:r>
        <w:rPr>
          <w:rFonts w:eastAsia="Times New Roman"/>
          <w:color w:val="000000"/>
          <w:sz w:val="20"/>
          <w:szCs w:val="20"/>
          <w:shd w:val="clear" w:color="auto" w:fill="FFFFFF"/>
        </w:rPr>
        <w:t>—diluted</w:t>
      </w:r>
      <w:r>
        <w:rPr>
          <w:rFonts w:eastAsia="Times New Roman"/>
          <w:color w:val="000000"/>
          <w:sz w:val="20"/>
          <w:szCs w:val="20"/>
        </w:rPr>
        <w:t xml:space="preserve">, and </w:t>
      </w:r>
      <w:r>
        <w:rPr>
          <w:rFonts w:eastAsia="Times New Roman"/>
          <w:color w:val="000000"/>
          <w:sz w:val="20"/>
          <w:szCs w:val="20"/>
          <w:shd w:val="clear" w:color="auto" w:fill="FFFFFF"/>
        </w:rPr>
        <w:t>FFO attributable to common stockholders and unit holders, excluding financing expense in connection with Chandler Freehold and loss on extinguishment of debt—diluted</w:t>
      </w:r>
      <w:r>
        <w:rPr>
          <w:rFonts w:eastAsia="Times New Roman"/>
          <w:color w:val="000000"/>
          <w:sz w:val="20"/>
          <w:szCs w:val="20"/>
        </w:rPr>
        <w:t>, see "Funds From Operations ("FFO")" below.</w:t>
      </w:r>
    </w:p>
    <w:p w:rsidR="00000000" w:rsidRDefault="00BC0821">
      <w:pPr>
        <w:ind w:firstLine="450"/>
        <w:divId w:val="230190321"/>
        <w:rPr>
          <w:rFonts w:eastAsia="Times New Roman"/>
        </w:rPr>
      </w:pPr>
      <w:r>
        <w:rPr>
          <w:rFonts w:eastAsia="Times New Roman"/>
          <w:i/>
          <w:iCs/>
          <w:color w:val="000000"/>
          <w:sz w:val="20"/>
          <w:szCs w:val="20"/>
        </w:rPr>
        <w:t>Operating Activities:</w:t>
      </w:r>
    </w:p>
    <w:p w:rsidR="00000000" w:rsidRDefault="00BC0821">
      <w:pPr>
        <w:ind w:firstLine="495"/>
        <w:divId w:val="136800838"/>
        <w:rPr>
          <w:rFonts w:eastAsia="Times New Roman"/>
        </w:rPr>
      </w:pPr>
      <w:r>
        <w:rPr>
          <w:rFonts w:eastAsia="Times New Roman"/>
          <w:color w:val="000000"/>
          <w:sz w:val="20"/>
          <w:szCs w:val="20"/>
        </w:rPr>
        <w:t>Cash</w:t>
      </w:r>
      <w:r>
        <w:rPr>
          <w:rFonts w:eastAsia="Times New Roman"/>
          <w:color w:val="000000"/>
          <w:sz w:val="20"/>
          <w:szCs w:val="20"/>
        </w:rPr>
        <w:t xml:space="preserve"> provided by operating activities increased $73.4 million from 2021 to 2022. The increase is primarily due to the changes in assets and liabilities and the results, as discussed above.</w:t>
      </w:r>
    </w:p>
    <w:p w:rsidR="00000000" w:rsidRDefault="00BC0821">
      <w:pPr>
        <w:ind w:firstLine="450"/>
        <w:divId w:val="736783200"/>
        <w:rPr>
          <w:rFonts w:eastAsia="Times New Roman"/>
        </w:rPr>
      </w:pPr>
      <w:r>
        <w:rPr>
          <w:rFonts w:eastAsia="Times New Roman"/>
          <w:i/>
          <w:iCs/>
          <w:color w:val="000000"/>
          <w:sz w:val="20"/>
          <w:szCs w:val="20"/>
        </w:rPr>
        <w:t>Investing Activities:</w:t>
      </w:r>
    </w:p>
    <w:p w:rsidR="00000000" w:rsidRDefault="00BC0821">
      <w:pPr>
        <w:ind w:firstLine="495"/>
        <w:divId w:val="1988120561"/>
        <w:rPr>
          <w:rFonts w:eastAsia="Times New Roman"/>
        </w:rPr>
      </w:pPr>
      <w:r>
        <w:rPr>
          <w:rFonts w:eastAsia="Times New Roman"/>
          <w:color w:val="000000"/>
          <w:sz w:val="20"/>
          <w:szCs w:val="20"/>
        </w:rPr>
        <w:t>Cash provided by investing activities decreased $</w:t>
      </w:r>
      <w:r>
        <w:rPr>
          <w:rFonts w:eastAsia="Times New Roman"/>
          <w:color w:val="000000"/>
          <w:sz w:val="20"/>
          <w:szCs w:val="20"/>
        </w:rPr>
        <w:t>209.5 million from 2021 to 2022. The decrease in cash provided by investing activities is primarily attributed to a decrease in proceeds from the sale of assets of $274.3 million offset in part by increases in distributions from unconsolidated joint ventur</w:t>
      </w:r>
      <w:r>
        <w:rPr>
          <w:rFonts w:eastAsia="Times New Roman"/>
          <w:color w:val="000000"/>
          <w:sz w:val="20"/>
          <w:szCs w:val="20"/>
        </w:rPr>
        <w:t>es of $36.3 million, proceeds from collection of receivable in connection with sale of joint venture property of $21.0 million and decreases of contributions to unconsolidated joint ventures of $13.6 million.</w:t>
      </w:r>
    </w:p>
    <w:p w:rsidR="00000000" w:rsidRDefault="00BC0821">
      <w:pPr>
        <w:ind w:firstLine="495"/>
        <w:divId w:val="1856262676"/>
        <w:rPr>
          <w:rFonts w:eastAsia="Times New Roman"/>
        </w:rPr>
      </w:pPr>
    </w:p>
    <w:p w:rsidR="00000000" w:rsidRDefault="00BC0821">
      <w:pPr>
        <w:ind w:firstLine="495"/>
        <w:divId w:val="1518108139"/>
        <w:rPr>
          <w:rFonts w:eastAsia="Times New Roman"/>
        </w:rPr>
      </w:pPr>
    </w:p>
    <w:p w:rsidR="00000000" w:rsidRDefault="00BC0821">
      <w:pPr>
        <w:jc w:val="center"/>
        <w:divId w:val="1120104249"/>
        <w:rPr>
          <w:rFonts w:eastAsia="Times New Roman"/>
        </w:rPr>
      </w:pPr>
    </w:p>
    <w:p w:rsidR="00000000" w:rsidRDefault="00BC0821">
      <w:pPr>
        <w:jc w:val="center"/>
        <w:divId w:val="1120104249"/>
        <w:rPr>
          <w:rFonts w:eastAsia="Times New Roman"/>
        </w:rPr>
      </w:pPr>
      <w:r>
        <w:rPr>
          <w:rFonts w:eastAsia="Times New Roman"/>
          <w:color w:val="000000"/>
          <w:sz w:val="20"/>
          <w:szCs w:val="20"/>
        </w:rPr>
        <w:t>37</w:t>
      </w:r>
    </w:p>
    <w:p w:rsidR="00000000" w:rsidRDefault="00BC0821">
      <w:pPr>
        <w:rPr>
          <w:rFonts w:eastAsia="Times New Roman"/>
        </w:rPr>
      </w:pPr>
      <w:r>
        <w:rPr>
          <w:rFonts w:eastAsia="Times New Roman"/>
        </w:rPr>
        <w:pict>
          <v:rect id="_x0000_i1061" style="width:0;height:1.5pt" o:hralign="center" o:hrstd="t" o:hr="t" fillcolor="#a0a0a0" stroked="f"/>
        </w:pict>
      </w:r>
    </w:p>
    <w:p w:rsidR="00000000" w:rsidRDefault="00BC0821">
      <w:pPr>
        <w:divId w:val="34354988"/>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firstLine="450"/>
        <w:divId w:val="798959202"/>
        <w:rPr>
          <w:rFonts w:eastAsia="Times New Roman"/>
        </w:rPr>
      </w:pPr>
      <w:r>
        <w:rPr>
          <w:rFonts w:eastAsia="Times New Roman"/>
          <w:i/>
          <w:iCs/>
          <w:color w:val="000000"/>
          <w:sz w:val="20"/>
          <w:szCs w:val="20"/>
        </w:rPr>
        <w:t>Financing Activities:</w:t>
      </w:r>
    </w:p>
    <w:p w:rsidR="00000000" w:rsidRDefault="00BC0821">
      <w:pPr>
        <w:ind w:firstLine="495"/>
        <w:divId w:val="365373982"/>
        <w:rPr>
          <w:rFonts w:eastAsia="Times New Roman"/>
        </w:rPr>
      </w:pPr>
      <w:r>
        <w:rPr>
          <w:rFonts w:eastAsia="Times New Roman"/>
          <w:color w:val="000000"/>
          <w:sz w:val="20"/>
          <w:szCs w:val="20"/>
        </w:rPr>
        <w:t>Cash used in financing activities decreased $0.4 billion from 2021 to 2022. The decrease in cash used in financing activit</w:t>
      </w:r>
      <w:r>
        <w:rPr>
          <w:rFonts w:eastAsia="Times New Roman"/>
          <w:color w:val="000000"/>
          <w:sz w:val="20"/>
          <w:szCs w:val="20"/>
        </w:rPr>
        <w:t>ies is primarily due to the decrease in payments on mortgages, bank and other notes payable of $1.7 billion offset by proceeds received from sales of common shares under the ATM Programs of $830.0 million and proceeds from mortgages, bank and other notes p</w:t>
      </w:r>
      <w:r>
        <w:rPr>
          <w:rFonts w:eastAsia="Times New Roman"/>
          <w:color w:val="000000"/>
          <w:sz w:val="20"/>
          <w:szCs w:val="20"/>
        </w:rPr>
        <w:t>ayable of $365.0 million.</w:t>
      </w:r>
    </w:p>
    <w:p w:rsidR="00000000" w:rsidRDefault="00BC0821">
      <w:pPr>
        <w:divId w:val="1588225909"/>
        <w:rPr>
          <w:rFonts w:eastAsia="Times New Roman"/>
        </w:rPr>
      </w:pPr>
      <w:r>
        <w:rPr>
          <w:rFonts w:eastAsia="Times New Roman"/>
          <w:b/>
          <w:bCs/>
          <w:color w:val="000000"/>
          <w:sz w:val="20"/>
          <w:szCs w:val="20"/>
        </w:rPr>
        <w:t>Liquidity and Capital Resources</w:t>
      </w:r>
    </w:p>
    <w:p w:rsidR="00000000" w:rsidRDefault="00BC0821">
      <w:pPr>
        <w:ind w:firstLine="495"/>
        <w:divId w:val="348678453"/>
        <w:rPr>
          <w:rFonts w:eastAsia="Times New Roman"/>
        </w:rPr>
      </w:pPr>
      <w:r>
        <w:rPr>
          <w:rFonts w:eastAsia="Times New Roman"/>
          <w:color w:val="000000"/>
          <w:sz w:val="20"/>
          <w:szCs w:val="20"/>
        </w:rPr>
        <w:t>The Company anticipates meeting its liquidity needs for its operating expenses, debt service and dividend requirements for the next twelve months and beyond through cash generated from operations, d</w:t>
      </w:r>
      <w:r>
        <w:rPr>
          <w:rFonts w:eastAsia="Times New Roman"/>
          <w:color w:val="000000"/>
          <w:sz w:val="20"/>
          <w:szCs w:val="20"/>
        </w:rPr>
        <w:t>istributions from unconsolidated joint ventures, working capital reserves and/or borrowings under its line of credit. Following the uncertain environment brought about by COVID-19, the Company took a number of previously disclosed measures in the years end</w:t>
      </w:r>
      <w:r>
        <w:rPr>
          <w:rFonts w:eastAsia="Times New Roman"/>
          <w:color w:val="000000"/>
          <w:sz w:val="20"/>
          <w:szCs w:val="20"/>
        </w:rPr>
        <w:t>ed December 31, 2020 and 2021 to enhance its liquidity position over the short-term, but currently anticipates meeting its liquidity needs for the next twelve months as it has done historically.</w:t>
      </w:r>
    </w:p>
    <w:p w:rsidR="00000000" w:rsidRDefault="00BC0821">
      <w:pPr>
        <w:ind w:firstLine="450"/>
        <w:divId w:val="1125737739"/>
        <w:rPr>
          <w:rFonts w:eastAsia="Times New Roman"/>
        </w:rPr>
      </w:pPr>
      <w:r>
        <w:rPr>
          <w:rFonts w:eastAsia="Times New Roman"/>
          <w:i/>
          <w:iCs/>
          <w:color w:val="000000"/>
          <w:sz w:val="20"/>
          <w:szCs w:val="20"/>
        </w:rPr>
        <w:t>Uses of Capital</w:t>
      </w:r>
    </w:p>
    <w:p w:rsidR="00000000" w:rsidRDefault="00BC0821">
      <w:pPr>
        <w:ind w:firstLine="495"/>
        <w:divId w:val="1909268159"/>
        <w:rPr>
          <w:rFonts w:eastAsia="Times New Roman"/>
        </w:rPr>
      </w:pPr>
      <w:r>
        <w:rPr>
          <w:rFonts w:eastAsia="Times New Roman"/>
          <w:color w:val="000000"/>
          <w:sz w:val="20"/>
          <w:szCs w:val="20"/>
        </w:rPr>
        <w:t>The following tables summarize capital expend</w:t>
      </w:r>
      <w:r>
        <w:rPr>
          <w:rFonts w:eastAsia="Times New Roman"/>
          <w:color w:val="000000"/>
          <w:sz w:val="20"/>
          <w:szCs w:val="20"/>
        </w:rPr>
        <w:t xml:space="preserve">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trPr>
          <w:divId w:val="965817718"/>
        </w:trPr>
        <w:tc>
          <w:tcPr>
            <w:tcW w:w="50" w:type="pct"/>
            <w:vAlign w:val="center"/>
            <w:hideMark/>
          </w:tcPr>
          <w:p w:rsidR="00000000" w:rsidRDefault="00BC0821">
            <w:pPr>
              <w:ind w:firstLine="495"/>
              <w:rPr>
                <w:rFonts w:eastAsia="Times New Roman"/>
              </w:rPr>
            </w:pPr>
          </w:p>
        </w:tc>
        <w:tc>
          <w:tcPr>
            <w:tcW w:w="355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1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3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1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96581771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96581771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6581771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Acquisitions of property, building improvement and equipment(1)</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37,741 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13,092 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40,679 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34,678 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18,004 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13,445 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98,081 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63,171 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 </w:t>
            </w:r>
          </w:p>
        </w:tc>
      </w:tr>
      <w:tr w:rsidR="00000000">
        <w:trPr>
          <w:divId w:val="96581771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6,720 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7,408 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43,454 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41,783 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12,205 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6,916 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2,748 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2,065 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965817718"/>
        </w:trPr>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58,172 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hanging="450"/>
        <w:divId w:val="168254801"/>
        <w:rPr>
          <w:rFonts w:eastAsia="Times New Roman"/>
        </w:rPr>
      </w:pPr>
      <w:r>
        <w:rPr>
          <w:rFonts w:eastAsia="Times New Roman"/>
          <w:color w:val="000000"/>
          <w:sz w:val="16"/>
          <w:szCs w:val="16"/>
        </w:rPr>
        <w:t>(1)</w:t>
      </w:r>
      <w:r>
        <w:rPr>
          <w:rFonts w:eastAsia="Times New Roman"/>
          <w:color w:val="000000"/>
          <w:sz w:val="16"/>
          <w:szCs w:val="16"/>
        </w:rPr>
        <w:t>Includes $24.5 million for the nine months ended September 30, 2022, relating to the acquisition of two former Sears parcels in MS Portfolio LLC joint venture (See "Acquisitions" in Management's Overview and Summary).</w:t>
      </w:r>
    </w:p>
    <w:p w:rsidR="00000000" w:rsidRDefault="00BC0821">
      <w:pPr>
        <w:ind w:firstLine="495"/>
        <w:divId w:val="207423273"/>
        <w:rPr>
          <w:rFonts w:eastAsia="Times New Roman"/>
        </w:rPr>
      </w:pPr>
      <w:r>
        <w:rPr>
          <w:rFonts w:eastAsia="Times New Roman"/>
          <w:color w:val="000000"/>
          <w:sz w:val="20"/>
          <w:szCs w:val="20"/>
        </w:rPr>
        <w:t>The Company expects amounts to be incurred during the next twelve months for tenant allowances and deferred leasing charges to be comparable to 2021</w:t>
      </w:r>
      <w:r>
        <w:rPr>
          <w:rFonts w:eastAsia="Times New Roman"/>
          <w:color w:val="000000"/>
          <w:sz w:val="20"/>
          <w:szCs w:val="20"/>
          <w:shd w:val="clear" w:color="auto" w:fill="FFFFFF"/>
        </w:rPr>
        <w:t>. The Company expects to incur approximately</w:t>
      </w:r>
      <w:r>
        <w:rPr>
          <w:rFonts w:eastAsia="Times New Roman"/>
          <w:color w:val="000000"/>
          <w:sz w:val="20"/>
          <w:szCs w:val="20"/>
        </w:rPr>
        <w:t xml:space="preserve"> $20.0 million to $30.0 million during the remainder of 2022 for</w:t>
      </w:r>
      <w:r>
        <w:rPr>
          <w:rFonts w:eastAsia="Times New Roman"/>
          <w:color w:val="000000"/>
          <w:sz w:val="20"/>
          <w:szCs w:val="20"/>
        </w:rPr>
        <w:t xml:space="preserve"> development, redevelopment, expansion and renovations. Capital for these expenditures, developments and/or redevelopments has been, and is expected to continue to be, obtained from a combination of cash on hand, debt or equity financings, which are expect</w:t>
      </w:r>
      <w:r>
        <w:rPr>
          <w:rFonts w:eastAsia="Times New Roman"/>
          <w:color w:val="000000"/>
          <w:sz w:val="20"/>
          <w:szCs w:val="20"/>
        </w:rPr>
        <w:t>ed to include borrowings under the Company's line of credit, from property financings and construction loans, each to the extent available.</w:t>
      </w:r>
    </w:p>
    <w:p w:rsidR="00000000" w:rsidRDefault="00BC0821">
      <w:pPr>
        <w:ind w:firstLine="450"/>
        <w:divId w:val="976446707"/>
        <w:rPr>
          <w:rFonts w:eastAsia="Times New Roman"/>
        </w:rPr>
      </w:pPr>
      <w:r>
        <w:rPr>
          <w:rFonts w:eastAsia="Times New Roman"/>
          <w:i/>
          <w:iCs/>
          <w:color w:val="000000"/>
          <w:sz w:val="20"/>
          <w:szCs w:val="20"/>
        </w:rPr>
        <w:t>Sources of Capital</w:t>
      </w:r>
    </w:p>
    <w:p w:rsidR="00000000" w:rsidRDefault="00BC0821">
      <w:pPr>
        <w:ind w:firstLine="495"/>
        <w:divId w:val="1793549721"/>
        <w:rPr>
          <w:rFonts w:eastAsia="Times New Roman"/>
        </w:rPr>
      </w:pPr>
      <w:r>
        <w:rPr>
          <w:rFonts w:eastAsia="Times New Roman"/>
          <w:color w:val="000000"/>
          <w:sz w:val="20"/>
          <w:szCs w:val="20"/>
        </w:rPr>
        <w:t>The Company has also generated liquidity in the past, and may continue to do so in the future, th</w:t>
      </w:r>
      <w:r>
        <w:rPr>
          <w:rFonts w:eastAsia="Times New Roman"/>
          <w:color w:val="000000"/>
          <w:sz w:val="20"/>
          <w:szCs w:val="20"/>
        </w:rPr>
        <w:t>rough equity offerings and issuances, property refinancings, joint venture transactions and the sale of non-core assets. For example, the Company sold Paradise Valley Mall in Phoenix, Arizona and Tucson La Encantada in Tucson, Arizona during the year ended</w:t>
      </w:r>
      <w:r>
        <w:rPr>
          <w:rFonts w:eastAsia="Times New Roman"/>
          <w:color w:val="000000"/>
          <w:sz w:val="20"/>
          <w:szCs w:val="20"/>
        </w:rPr>
        <w:t xml:space="preserve"> December 31, 2021. The Company used the proceeds from these sales to pay down its line of credit and other debt obligations. Furthermore, the Company has filed a shelf registration statement, which registered an unspecified amount of common stock, preferr</w:t>
      </w:r>
      <w:r>
        <w:rPr>
          <w:rFonts w:eastAsia="Times New Roman"/>
          <w:color w:val="000000"/>
          <w:sz w:val="20"/>
          <w:szCs w:val="20"/>
        </w:rPr>
        <w:t>ed stock, depositary shares, debt securities, warrants, rights, stock purchase contracts and units that may be sold from time to time by the Company.</w:t>
      </w:r>
    </w:p>
    <w:p w:rsidR="00000000" w:rsidRDefault="00BC0821">
      <w:pPr>
        <w:ind w:firstLine="495"/>
        <w:divId w:val="1331757415"/>
        <w:rPr>
          <w:rFonts w:eastAsia="Times New Roman"/>
        </w:rPr>
      </w:pPr>
      <w:r>
        <w:rPr>
          <w:rFonts w:eastAsia="Times New Roman"/>
          <w:color w:val="000000"/>
          <w:sz w:val="20"/>
          <w:szCs w:val="20"/>
        </w:rPr>
        <w:t>On each of February 1, 2021 and March 26, 2021, the Company registered a separate "at the market" offering program, pursuant to which the Company may issue and sell shares of its common stock having an aggregate offering price of up to $500 million under e</w:t>
      </w:r>
      <w:r>
        <w:rPr>
          <w:rFonts w:eastAsia="Times New Roman"/>
          <w:color w:val="000000"/>
          <w:sz w:val="20"/>
          <w:szCs w:val="20"/>
        </w:rPr>
        <w:t xml:space="preserve">ach ATM Program, or a total of $1.0 billion under the ATM Programs, in amounts and at times to be determined </w:t>
      </w:r>
    </w:p>
    <w:p w:rsidR="00000000" w:rsidRDefault="00BC0821">
      <w:pPr>
        <w:jc w:val="center"/>
        <w:divId w:val="1640766348"/>
        <w:rPr>
          <w:rFonts w:eastAsia="Times New Roman"/>
        </w:rPr>
      </w:pPr>
    </w:p>
    <w:p w:rsidR="00000000" w:rsidRDefault="00BC0821">
      <w:pPr>
        <w:jc w:val="center"/>
        <w:divId w:val="1640766348"/>
        <w:rPr>
          <w:rFonts w:eastAsia="Times New Roman"/>
        </w:rPr>
      </w:pPr>
      <w:r>
        <w:rPr>
          <w:rFonts w:eastAsia="Times New Roman"/>
          <w:color w:val="000000"/>
          <w:sz w:val="20"/>
          <w:szCs w:val="20"/>
        </w:rPr>
        <w:t>38</w:t>
      </w:r>
    </w:p>
    <w:p w:rsidR="00000000" w:rsidRDefault="00BC0821">
      <w:pPr>
        <w:rPr>
          <w:rFonts w:eastAsia="Times New Roman"/>
        </w:rPr>
      </w:pPr>
      <w:r>
        <w:rPr>
          <w:rFonts w:eastAsia="Times New Roman"/>
        </w:rPr>
        <w:pict>
          <v:rect id="_x0000_i1062" style="width:0;height:1.5pt" o:hralign="center" o:hrstd="t" o:hr="t" fillcolor="#a0a0a0" stroked="f"/>
        </w:pict>
      </w:r>
    </w:p>
    <w:p w:rsidR="00000000" w:rsidRDefault="00BC0821">
      <w:pPr>
        <w:divId w:val="671688895"/>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761923378"/>
        <w:rPr>
          <w:rFonts w:eastAsia="Times New Roman"/>
        </w:rPr>
      </w:pPr>
      <w:r>
        <w:rPr>
          <w:rFonts w:eastAsia="Times New Roman"/>
          <w:color w:val="000000"/>
          <w:sz w:val="20"/>
          <w:szCs w:val="20"/>
        </w:rPr>
        <w:t>by the Company. The February</w:t>
      </w:r>
      <w:r>
        <w:rPr>
          <w:rFonts w:eastAsia="Times New Roman"/>
          <w:color w:val="000000"/>
          <w:sz w:val="20"/>
          <w:szCs w:val="20"/>
        </w:rPr>
        <w:t xml:space="preserve"> 2021 ATM Program was fully utilized as of June 30, 2021 and is no longer active. During the three and nine months ended September 30, 2022, no shares were issued under the March 2021 ATM Program. As of September 30, 2022, the Company had approximately $15</w:t>
      </w:r>
      <w:r>
        <w:rPr>
          <w:rFonts w:eastAsia="Times New Roman"/>
          <w:color w:val="000000"/>
          <w:sz w:val="20"/>
          <w:szCs w:val="20"/>
        </w:rPr>
        <w:t>1.7 million of gross sales of its common stock available under the March 2021 ATM Program.</w:t>
      </w:r>
    </w:p>
    <w:p w:rsidR="00000000" w:rsidRDefault="00BC0821">
      <w:pPr>
        <w:ind w:firstLine="495"/>
        <w:divId w:val="445471625"/>
        <w:rPr>
          <w:rFonts w:eastAsia="Times New Roman"/>
        </w:rPr>
      </w:pPr>
      <w:r>
        <w:rPr>
          <w:rFonts w:eastAsia="Times New Roman"/>
          <w:color w:val="000000"/>
          <w:sz w:val="20"/>
          <w:szCs w:val="20"/>
        </w:rPr>
        <w:t>The capital and credit markets can fluctuate and, at times, limit access to debt and equity financing for companies. The Company has been able to access capital; how</w:t>
      </w:r>
      <w:r>
        <w:rPr>
          <w:rFonts w:eastAsia="Times New Roman"/>
          <w:color w:val="000000"/>
          <w:sz w:val="20"/>
          <w:szCs w:val="20"/>
        </w:rPr>
        <w:t>ever, there is no assurance the Company will be able to do so in future periods or on similar terms and conditions. Many factors impact the Company's ability to access capital, such as its overall debt level, interest rates, interest coverage ratios, preva</w:t>
      </w:r>
      <w:r>
        <w:rPr>
          <w:rFonts w:eastAsia="Times New Roman"/>
          <w:color w:val="000000"/>
          <w:sz w:val="20"/>
          <w:szCs w:val="20"/>
        </w:rPr>
        <w:t xml:space="preserve">iling market conditions and the impact of COVID-19. The Company expects to incur increased interest expense from the refinancing or extension of loans that may currently carry below-market interest rates. In addition, increases in the Company's proportion </w:t>
      </w:r>
      <w:r>
        <w:rPr>
          <w:rFonts w:eastAsia="Times New Roman"/>
          <w:color w:val="000000"/>
          <w:sz w:val="20"/>
          <w:szCs w:val="20"/>
        </w:rPr>
        <w:t>of floating rate debt will cause it to be subject to interest rate fluctuations in the future.</w:t>
      </w:r>
    </w:p>
    <w:p w:rsidR="00000000" w:rsidRDefault="00BC0821">
      <w:pPr>
        <w:ind w:firstLine="495"/>
        <w:divId w:val="716052877"/>
        <w:rPr>
          <w:rFonts w:eastAsia="Times New Roman"/>
        </w:rPr>
      </w:pPr>
      <w:r>
        <w:rPr>
          <w:rFonts w:eastAsia="Times New Roman"/>
          <w:color w:val="000000"/>
          <w:sz w:val="20"/>
          <w:szCs w:val="20"/>
        </w:rPr>
        <w:t>The Company's total outstanding loan indebtedness, which includes mortgages and other notes payable, at September 30, 2022 was $6.77 billion (consisting of $4.35</w:t>
      </w:r>
      <w:r>
        <w:rPr>
          <w:rFonts w:eastAsia="Times New Roman"/>
          <w:color w:val="000000"/>
          <w:sz w:val="20"/>
          <w:szCs w:val="20"/>
        </w:rPr>
        <w:t xml:space="preserve"> billion of consolidated debt, less $0.42 billion of noncontrolling interests, plus $2.83 billion of its pro rata share of unconsolidated joint venture debt). The majority of the Company's debt consists of fixed-rate conventional mortgage notes collaterali</w:t>
      </w:r>
      <w:r>
        <w:rPr>
          <w:rFonts w:eastAsia="Times New Roman"/>
          <w:color w:val="000000"/>
          <w:sz w:val="20"/>
          <w:szCs w:val="20"/>
        </w:rPr>
        <w:t>zed by individual properties. The Company expects that all of the maturities during the next twelve months will be refinanced, restructured, extended and/or paid off from the Company's line of credit or cash on hand, with the exception of Towne Mall (See “</w:t>
      </w:r>
      <w:r>
        <w:rPr>
          <w:rFonts w:eastAsia="Times New Roman"/>
          <w:color w:val="000000"/>
          <w:sz w:val="20"/>
          <w:szCs w:val="20"/>
        </w:rPr>
        <w:t>—Financing Activities” in Management’s Overview and Summary).</w:t>
      </w:r>
    </w:p>
    <w:p w:rsidR="00000000" w:rsidRDefault="00BC0821">
      <w:pPr>
        <w:ind w:firstLine="495"/>
        <w:divId w:val="1202403087"/>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 share of debt from unconsolidated joint v</w:t>
      </w:r>
      <w:r>
        <w:rPr>
          <w:rFonts w:eastAsia="Times New Roman"/>
          <w:color w:val="000000"/>
          <w:sz w:val="20"/>
          <w:szCs w:val="20"/>
        </w:rPr>
        <w:t>entures and, for consolidated debt, excludes the Company’s partners’ share from consolidated joint ventures, in each case presented on the same basis. The Company has several significant joint ventures and presenting its pro rata share of debt in this mann</w:t>
      </w:r>
      <w:r>
        <w:rPr>
          <w:rFonts w:eastAsia="Times New Roman"/>
          <w:color w:val="000000"/>
          <w:sz w:val="20"/>
          <w:szCs w:val="20"/>
        </w:rPr>
        <w:t>er can help investors better understand the Company’s financial condition after taking into account the Company's economic interest in these joint ventures. The Company’s pro rata share of debt should not be considered as a substitute for the Company’s tot</w:t>
      </w:r>
      <w:r>
        <w:rPr>
          <w:rFonts w:eastAsia="Times New Roman"/>
          <w:color w:val="000000"/>
          <w:sz w:val="20"/>
          <w:szCs w:val="20"/>
        </w:rPr>
        <w:t>al consolidated debt determined in accordance with GAAP or any other GAAP financial measures and should only be considered together with and as a supplement to the Company’s financial information prepared in accordance with GAAP.</w:t>
      </w:r>
    </w:p>
    <w:p w:rsidR="00000000" w:rsidRDefault="00BC0821">
      <w:pPr>
        <w:ind w:firstLine="495"/>
        <w:divId w:val="1602296933"/>
        <w:rPr>
          <w:rFonts w:eastAsia="Times New Roman"/>
        </w:rPr>
      </w:pPr>
      <w:r>
        <w:rPr>
          <w:rFonts w:eastAsia="Times New Roman"/>
          <w:color w:val="000000"/>
          <w:sz w:val="20"/>
          <w:szCs w:val="20"/>
        </w:rPr>
        <w:t>The Company accounts for i</w:t>
      </w:r>
      <w:r>
        <w:rPr>
          <w:rFonts w:eastAsia="Times New Roman"/>
          <w:color w:val="000000"/>
          <w:sz w:val="20"/>
          <w:szCs w:val="20"/>
        </w:rPr>
        <w:t>ts investments in joint ventures that it does not have a controlling interest or is not the primary beneficiary using the equity method of accounting and those investments are reflected on the consolidated balance sheets of the Company as investments in un</w:t>
      </w:r>
      <w:r>
        <w:rPr>
          <w:rFonts w:eastAsia="Times New Roman"/>
          <w:color w:val="000000"/>
          <w:sz w:val="20"/>
          <w:szCs w:val="20"/>
        </w:rPr>
        <w:t>consolidated joint ventures.</w:t>
      </w:r>
    </w:p>
    <w:p w:rsidR="00000000" w:rsidRDefault="00BC0821">
      <w:pPr>
        <w:ind w:firstLine="495"/>
        <w:divId w:val="1675954897"/>
        <w:rPr>
          <w:rFonts w:eastAsia="Times New Roman"/>
        </w:rPr>
      </w:pPr>
      <w:r>
        <w:rPr>
          <w:rFonts w:eastAsia="Times New Roman"/>
          <w:color w:val="000000"/>
          <w:sz w:val="20"/>
          <w:szCs w:val="20"/>
        </w:rPr>
        <w:t>Additionally, as of September 30, 2022, the Company was contingently liable for $40.9 million in letters of credit guaranteeing performance by the Company of certain obligations relating to the Centers. As of September 30, 2022</w:t>
      </w:r>
      <w:r>
        <w:rPr>
          <w:rFonts w:eastAsia="Times New Roman"/>
          <w:color w:val="000000"/>
          <w:sz w:val="20"/>
          <w:szCs w:val="20"/>
        </w:rPr>
        <w:t>, $40.7 million of these letters of credit were secured by restricted cash. The Company does not believe that these letters of credit will result in a liability to the Company.</w:t>
      </w:r>
    </w:p>
    <w:p w:rsidR="00000000" w:rsidRDefault="00BC0821">
      <w:pPr>
        <w:ind w:firstLine="495"/>
        <w:divId w:val="104808832"/>
        <w:rPr>
          <w:rFonts w:eastAsia="Times New Roman"/>
        </w:rPr>
      </w:pPr>
      <w:r>
        <w:rPr>
          <w:rFonts w:eastAsia="Times New Roman"/>
          <w:color w:val="000000"/>
          <w:sz w:val="20"/>
          <w:szCs w:val="20"/>
        </w:rPr>
        <w:t xml:space="preserve">On February 2, 2022, the Company’s joint venture in FlatIron Crossing replaced </w:t>
      </w:r>
      <w:r>
        <w:rPr>
          <w:rFonts w:eastAsia="Times New Roman"/>
          <w:color w:val="000000"/>
          <w:sz w:val="20"/>
          <w:szCs w:val="20"/>
        </w:rPr>
        <w:t>the existing $197 million loan on the property with a new $175 million loan that bears interest at SOFR plus 3.70% and matures on February 9, 2025, including extension options. On April 29, 2022, the Company closed on a new $72 million loan at Pacific View</w:t>
      </w:r>
      <w:r>
        <w:rPr>
          <w:rFonts w:eastAsia="Times New Roman"/>
          <w:color w:val="000000"/>
          <w:sz w:val="20"/>
          <w:szCs w:val="20"/>
        </w:rPr>
        <w:t xml:space="preserve"> with a fixed rate of 5.29% that matures on May 6, 2032. On May 6, 2022, the Company closed on a two-year extension of the loan on The Oaks to June 5, 2024. The loan will now bear a fixed interest rate of 5.25%, and the Company repaid $5.0 million of the o</w:t>
      </w:r>
      <w:r>
        <w:rPr>
          <w:rFonts w:eastAsia="Times New Roman"/>
          <w:color w:val="000000"/>
          <w:sz w:val="20"/>
          <w:szCs w:val="20"/>
        </w:rPr>
        <w:t>utstanding loan balance at closing. Additionally, on July 1, 2022, the Company extended the loan maturity on Danbury Fair Mall to July 1, 2023. The interest rate remained unchanged at 5.5%, and the Company repaid $10.0 million of the outstanding loan balan</w:t>
      </w:r>
      <w:r>
        <w:rPr>
          <w:rFonts w:eastAsia="Times New Roman"/>
          <w:color w:val="000000"/>
          <w:sz w:val="20"/>
          <w:szCs w:val="20"/>
        </w:rPr>
        <w:t>ce at closing. The Company’s joint venture in Washington Square expects to close in November 2022 a four-year extension, including options, on the existing $519.8 million loan on the property, at a floating interest rate of SOFR plus 4.0%. In addition, the</w:t>
      </w:r>
      <w:r>
        <w:rPr>
          <w:rFonts w:eastAsia="Times New Roman"/>
          <w:color w:val="000000"/>
          <w:sz w:val="20"/>
          <w:szCs w:val="20"/>
        </w:rPr>
        <w:t xml:space="preserve"> Company expects to close in November 2022 a three-year extension of the $299.9 million loan on Santa Monica Place at a floating interest rate of SOFR plus 1.58%. The Company did not repay the loan on Towne Mall on its maturity date of November 1, 2022, an</w:t>
      </w:r>
      <w:r>
        <w:rPr>
          <w:rFonts w:eastAsia="Times New Roman"/>
          <w:color w:val="000000"/>
          <w:sz w:val="20"/>
          <w:szCs w:val="20"/>
        </w:rPr>
        <w:t>d has begun the process of transitioning the property to the loan servicer (See “—Financing Activities” in Management’s Overview and Summary).</w:t>
      </w:r>
    </w:p>
    <w:p w:rsidR="00000000" w:rsidRDefault="00BC0821">
      <w:pPr>
        <w:ind w:firstLine="495"/>
        <w:divId w:val="1557743176"/>
        <w:rPr>
          <w:rFonts w:eastAsia="Times New Roman"/>
        </w:rPr>
      </w:pPr>
      <w:r>
        <w:rPr>
          <w:rFonts w:eastAsia="Times New Roman"/>
          <w:color w:val="000000"/>
          <w:sz w:val="20"/>
          <w:szCs w:val="20"/>
        </w:rPr>
        <w:t xml:space="preserve">The Company has a $700 million credit facility, including a $525 million revolving loan facility that matures on </w:t>
      </w:r>
      <w:r>
        <w:rPr>
          <w:rFonts w:eastAsia="Times New Roman"/>
          <w:color w:val="000000"/>
          <w:sz w:val="20"/>
          <w:szCs w:val="20"/>
        </w:rPr>
        <w:t>April 14, 2023, with a one-year extension option. The revolving loan facility can be expanded up to $800 million, subject to receipt of lender commitments and other conditions. All obligations under the credit facility are guaranteed unconditionally by the</w:t>
      </w:r>
      <w:r>
        <w:rPr>
          <w:rFonts w:eastAsia="Times New Roman"/>
          <w:color w:val="000000"/>
          <w:sz w:val="20"/>
          <w:szCs w:val="20"/>
        </w:rPr>
        <w:t xml:space="preserve"> Company and are secured in the form of mortgages on certain wholly-owned assets and pledges of equity interests held by certain of the Company’s subsidiaries. The credit facility bears interest at LIBOR plus a spread of 2.25% to 3.25% depending on Company</w:t>
      </w:r>
      <w:r>
        <w:rPr>
          <w:rFonts w:eastAsia="Times New Roman"/>
          <w:color w:val="000000"/>
          <w:sz w:val="20"/>
          <w:szCs w:val="20"/>
        </w:rPr>
        <w:t xml:space="preserve">’s overall leverage level. As of September 30, 2022, the borrowing rate was LIBOR plus 2.25%. As of September 30, 2022, borrowings under the credit facility were $101.0 million less unamortized deferred finance costs of $9.5 million for the revolving loan </w:t>
      </w:r>
      <w:r>
        <w:rPr>
          <w:rFonts w:eastAsia="Times New Roman"/>
          <w:color w:val="000000"/>
          <w:sz w:val="20"/>
          <w:szCs w:val="20"/>
        </w:rPr>
        <w:t xml:space="preserve">facility at a total interest rate of 6.71%. As of September 30, 2022, the Company’s availability under the revolving loan facility for additional borrowings was $423.8 million. </w:t>
      </w:r>
    </w:p>
    <w:p w:rsidR="00000000" w:rsidRDefault="00BC0821">
      <w:pPr>
        <w:jc w:val="center"/>
        <w:divId w:val="1384938793"/>
        <w:rPr>
          <w:rFonts w:eastAsia="Times New Roman"/>
        </w:rPr>
      </w:pPr>
    </w:p>
    <w:p w:rsidR="00000000" w:rsidRDefault="00BC0821">
      <w:pPr>
        <w:jc w:val="center"/>
        <w:divId w:val="1384938793"/>
        <w:rPr>
          <w:rFonts w:eastAsia="Times New Roman"/>
        </w:rPr>
      </w:pPr>
      <w:r>
        <w:rPr>
          <w:rFonts w:eastAsia="Times New Roman"/>
          <w:color w:val="000000"/>
          <w:sz w:val="20"/>
          <w:szCs w:val="20"/>
        </w:rPr>
        <w:t>39</w:t>
      </w:r>
    </w:p>
    <w:p w:rsidR="00000000" w:rsidRDefault="00BC0821">
      <w:pPr>
        <w:rPr>
          <w:rFonts w:eastAsia="Times New Roman"/>
        </w:rPr>
      </w:pPr>
      <w:r>
        <w:rPr>
          <w:rFonts w:eastAsia="Times New Roman"/>
        </w:rPr>
        <w:pict>
          <v:rect id="_x0000_i1063" style="width:0;height:1.5pt" o:hralign="center" o:hrstd="t" o:hr="t" fillcolor="#a0a0a0" stroked="f"/>
        </w:pict>
      </w:r>
    </w:p>
    <w:p w:rsidR="00000000" w:rsidRDefault="00BC0821">
      <w:pPr>
        <w:divId w:val="996033427"/>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firstLine="495"/>
        <w:divId w:val="1477726745"/>
        <w:rPr>
          <w:rFonts w:eastAsia="Times New Roman"/>
        </w:rPr>
      </w:pPr>
      <w:r>
        <w:rPr>
          <w:rFonts w:eastAsia="Times New Roman"/>
          <w:color w:val="000000"/>
          <w:sz w:val="20"/>
          <w:szCs w:val="20"/>
        </w:rPr>
        <w:t>Cash dividends and distributions for the nine months ended September 30, 2022 were $146.8 million, which were funded by operations. On October 28, 2022, the Company announced an increased quarterly cash dividend of $</w:t>
      </w:r>
      <w:r>
        <w:rPr>
          <w:rFonts w:eastAsia="Times New Roman"/>
          <w:color w:val="000000"/>
          <w:sz w:val="20"/>
          <w:szCs w:val="20"/>
        </w:rPr>
        <w:t>0.17 per share of common stock, which represents a 13.3% increase over the prior $0.15 dividend rate. The dividend is payable on December 2, 2022 to stockholders of record on November 9, 2022.</w:t>
      </w:r>
    </w:p>
    <w:p w:rsidR="00000000" w:rsidRDefault="00BC0821">
      <w:pPr>
        <w:ind w:firstLine="495"/>
        <w:divId w:val="744491731"/>
        <w:rPr>
          <w:rFonts w:eastAsia="Times New Roman"/>
        </w:rPr>
      </w:pPr>
      <w:r>
        <w:rPr>
          <w:rFonts w:eastAsia="Times New Roman"/>
          <w:color w:val="000000"/>
          <w:sz w:val="20"/>
          <w:szCs w:val="20"/>
        </w:rPr>
        <w:t>At September 30, 2022, the Company was in compliance with all a</w:t>
      </w:r>
      <w:r>
        <w:rPr>
          <w:rFonts w:eastAsia="Times New Roman"/>
          <w:color w:val="000000"/>
          <w:sz w:val="20"/>
          <w:szCs w:val="20"/>
        </w:rPr>
        <w:t>pplicable loan covenants under its agreements.</w:t>
      </w:r>
    </w:p>
    <w:p w:rsidR="00000000" w:rsidRDefault="00BC0821">
      <w:pPr>
        <w:ind w:firstLine="495"/>
        <w:divId w:val="1459643105"/>
        <w:rPr>
          <w:rFonts w:eastAsia="Times New Roman"/>
        </w:rPr>
      </w:pPr>
      <w:r>
        <w:rPr>
          <w:rFonts w:eastAsia="Times New Roman"/>
          <w:color w:val="000000"/>
          <w:sz w:val="20"/>
          <w:szCs w:val="20"/>
        </w:rPr>
        <w:t>At September 30, 2022, the Company had cash and cash equivalents of $110.0 million.</w:t>
      </w:r>
    </w:p>
    <w:p w:rsidR="00000000" w:rsidRDefault="00BC0821">
      <w:pPr>
        <w:ind w:firstLine="450"/>
        <w:divId w:val="2030639818"/>
        <w:rPr>
          <w:rFonts w:eastAsia="Times New Roman"/>
        </w:rPr>
      </w:pPr>
      <w:r>
        <w:rPr>
          <w:rFonts w:eastAsia="Times New Roman"/>
          <w:i/>
          <w:iCs/>
          <w:color w:val="000000"/>
          <w:sz w:val="20"/>
          <w:szCs w:val="20"/>
        </w:rPr>
        <w:t>Material Cash Commitments:</w:t>
      </w:r>
    </w:p>
    <w:p w:rsidR="00000000" w:rsidRDefault="00BC0821">
      <w:pPr>
        <w:ind w:firstLine="495"/>
        <w:divId w:val="1235361110"/>
        <w:rPr>
          <w:rFonts w:eastAsia="Times New Roman"/>
        </w:rPr>
      </w:pPr>
      <w:r>
        <w:rPr>
          <w:rFonts w:eastAsia="Times New Roman"/>
          <w:color w:val="000000"/>
          <w:sz w:val="20"/>
          <w:szCs w:val="20"/>
        </w:rPr>
        <w:t>The following is a schedule of material cash commitments as of September 30, 2022 for the consolid</w:t>
      </w:r>
      <w:r>
        <w:rPr>
          <w:rFonts w:eastAsia="Times New Roman"/>
          <w:color w:val="000000"/>
          <w:sz w:val="20"/>
          <w:szCs w:val="20"/>
        </w:rPr>
        <w:t>ated Centers over the periods in which they are expected to be paid (in thousands):</w:t>
      </w:r>
    </w:p>
    <w:tbl>
      <w:tblPr>
        <w:tblW w:w="4736" w:type="pct"/>
        <w:tblCellMar>
          <w:top w:w="15" w:type="dxa"/>
          <w:left w:w="15" w:type="dxa"/>
          <w:bottom w:w="15" w:type="dxa"/>
          <w:right w:w="15" w:type="dxa"/>
        </w:tblCellMar>
        <w:tblLook w:val="04A0" w:firstRow="1" w:lastRow="0" w:firstColumn="1" w:lastColumn="0" w:noHBand="0" w:noVBand="1"/>
      </w:tblPr>
      <w:tblGrid>
        <w:gridCol w:w="39"/>
        <w:gridCol w:w="2478"/>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700"/>
        <w:gridCol w:w="36"/>
        <w:gridCol w:w="36"/>
        <w:gridCol w:w="36"/>
        <w:gridCol w:w="36"/>
        <w:gridCol w:w="120"/>
        <w:gridCol w:w="850"/>
        <w:gridCol w:w="36"/>
      </w:tblGrid>
      <w:tr w:rsidR="00000000">
        <w:trPr>
          <w:divId w:val="1235361110"/>
        </w:trPr>
        <w:tc>
          <w:tcPr>
            <w:tcW w:w="50" w:type="pct"/>
            <w:vAlign w:val="center"/>
            <w:hideMark/>
          </w:tcPr>
          <w:p w:rsidR="00000000" w:rsidRDefault="00BC0821">
            <w:pPr>
              <w:ind w:firstLine="495"/>
              <w:rPr>
                <w:rFonts w:eastAsia="Times New Roman"/>
              </w:rPr>
            </w:pPr>
          </w:p>
        </w:tc>
        <w:tc>
          <w:tcPr>
            <w:tcW w:w="16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7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235361110"/>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Payment Due by Period</w:t>
            </w:r>
          </w:p>
        </w:tc>
      </w:tr>
      <w:tr w:rsidR="00000000">
        <w:trPr>
          <w:divId w:val="1235361110"/>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Cash Commitments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1235361110"/>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5,054,982 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1,030,257 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1,651,780 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683,969 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1,688,976 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35361110"/>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Lease obligations(2)</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188,519 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6,570 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35,746 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25,010 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121,193 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35361110"/>
        </w:trPr>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5,243,501 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1,036,827 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1,687,526 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708,979 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1,810,169 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divId w:val="1989048838"/>
        <w:rPr>
          <w:rFonts w:eastAsia="Times New Roman"/>
        </w:rPr>
      </w:pPr>
      <w:r>
        <w:rPr>
          <w:rFonts w:eastAsia="Times New Roman"/>
          <w:color w:val="000000"/>
          <w:sz w:val="16"/>
          <w:szCs w:val="16"/>
        </w:rPr>
        <w:t>__________________________________________________________</w:t>
      </w:r>
    </w:p>
    <w:p w:rsidR="00000000" w:rsidRDefault="00BC0821">
      <w:pPr>
        <w:ind w:hanging="360"/>
        <w:divId w:val="1988969122"/>
        <w:rPr>
          <w:rFonts w:eastAsia="Times New Roman"/>
        </w:rPr>
      </w:pPr>
      <w:r>
        <w:rPr>
          <w:rFonts w:eastAsia="Times New Roman"/>
          <w:color w:val="000000"/>
          <w:sz w:val="18"/>
          <w:szCs w:val="18"/>
        </w:rPr>
        <w:t>(1)Interest payments on floating rate debt were based on rates in effect at September 30, 2022.</w:t>
      </w:r>
    </w:p>
    <w:p w:rsidR="00000000" w:rsidRDefault="00BC0821">
      <w:pPr>
        <w:ind w:hanging="360"/>
        <w:divId w:val="1443838652"/>
        <w:rPr>
          <w:rFonts w:eastAsia="Times New Roman"/>
        </w:rPr>
      </w:pPr>
      <w:r>
        <w:rPr>
          <w:rFonts w:eastAsia="Times New Roman"/>
          <w:color w:val="000000"/>
          <w:sz w:val="18"/>
          <w:szCs w:val="18"/>
        </w:rPr>
        <w:t>(2)See Note 8—Leases in the Company's Notes to the Consolidated Financial Statements.</w:t>
      </w:r>
    </w:p>
    <w:p w:rsidR="00000000" w:rsidRDefault="00BC0821">
      <w:pPr>
        <w:divId w:val="1281255426"/>
        <w:rPr>
          <w:rFonts w:eastAsia="Times New Roman"/>
        </w:rPr>
      </w:pPr>
    </w:p>
    <w:p w:rsidR="00000000" w:rsidRDefault="00BC0821">
      <w:pPr>
        <w:divId w:val="891113739"/>
        <w:rPr>
          <w:rFonts w:eastAsia="Times New Roman"/>
        </w:rPr>
      </w:pPr>
    </w:p>
    <w:p w:rsidR="00000000" w:rsidRDefault="00BC0821">
      <w:pPr>
        <w:divId w:val="1173378204"/>
        <w:rPr>
          <w:rFonts w:eastAsia="Times New Roman"/>
        </w:rPr>
      </w:pPr>
    </w:p>
    <w:p w:rsidR="00000000" w:rsidRDefault="00BC0821">
      <w:pPr>
        <w:divId w:val="2113353287"/>
        <w:rPr>
          <w:rFonts w:eastAsia="Times New Roman"/>
        </w:rPr>
      </w:pPr>
    </w:p>
    <w:p w:rsidR="00000000" w:rsidRDefault="00BC0821">
      <w:pPr>
        <w:divId w:val="1376730984"/>
        <w:rPr>
          <w:rFonts w:eastAsia="Times New Roman"/>
        </w:rPr>
      </w:pPr>
    </w:p>
    <w:p w:rsidR="00000000" w:rsidRDefault="00BC0821">
      <w:pPr>
        <w:divId w:val="252518235"/>
        <w:rPr>
          <w:rFonts w:eastAsia="Times New Roman"/>
        </w:rPr>
      </w:pPr>
    </w:p>
    <w:p w:rsidR="00000000" w:rsidRDefault="00BC0821">
      <w:pPr>
        <w:divId w:val="1911966837"/>
        <w:rPr>
          <w:rFonts w:eastAsia="Times New Roman"/>
        </w:rPr>
      </w:pPr>
    </w:p>
    <w:p w:rsidR="00000000" w:rsidRDefault="00BC0821">
      <w:pPr>
        <w:divId w:val="1276405062"/>
        <w:rPr>
          <w:rFonts w:eastAsia="Times New Roman"/>
        </w:rPr>
      </w:pPr>
    </w:p>
    <w:p w:rsidR="00000000" w:rsidRDefault="00BC0821">
      <w:pPr>
        <w:divId w:val="1206526456"/>
        <w:rPr>
          <w:rFonts w:eastAsia="Times New Roman"/>
        </w:rPr>
      </w:pPr>
    </w:p>
    <w:p w:rsidR="00000000" w:rsidRDefault="00BC0821">
      <w:pPr>
        <w:divId w:val="824276145"/>
        <w:rPr>
          <w:rFonts w:eastAsia="Times New Roman"/>
        </w:rPr>
      </w:pPr>
    </w:p>
    <w:p w:rsidR="00000000" w:rsidRDefault="00BC0821">
      <w:pPr>
        <w:divId w:val="1388332151"/>
        <w:rPr>
          <w:rFonts w:eastAsia="Times New Roman"/>
        </w:rPr>
      </w:pPr>
    </w:p>
    <w:p w:rsidR="00000000" w:rsidRDefault="00BC0821">
      <w:pPr>
        <w:divId w:val="315645544"/>
        <w:rPr>
          <w:rFonts w:eastAsia="Times New Roman"/>
        </w:rPr>
      </w:pPr>
    </w:p>
    <w:p w:rsidR="00000000" w:rsidRDefault="00BC0821">
      <w:pPr>
        <w:divId w:val="1468552325"/>
        <w:rPr>
          <w:rFonts w:eastAsia="Times New Roman"/>
        </w:rPr>
      </w:pPr>
    </w:p>
    <w:p w:rsidR="00000000" w:rsidRDefault="00BC0821">
      <w:pPr>
        <w:divId w:val="248320359"/>
        <w:rPr>
          <w:rFonts w:eastAsia="Times New Roman"/>
        </w:rPr>
      </w:pPr>
    </w:p>
    <w:p w:rsidR="00000000" w:rsidRDefault="00BC0821">
      <w:pPr>
        <w:divId w:val="450166959"/>
        <w:rPr>
          <w:rFonts w:eastAsia="Times New Roman"/>
        </w:rPr>
      </w:pPr>
    </w:p>
    <w:p w:rsidR="00000000" w:rsidRDefault="00BC0821">
      <w:pPr>
        <w:divId w:val="865172546"/>
        <w:rPr>
          <w:rFonts w:eastAsia="Times New Roman"/>
        </w:rPr>
      </w:pPr>
    </w:p>
    <w:p w:rsidR="00000000" w:rsidRDefault="00BC0821">
      <w:pPr>
        <w:divId w:val="614601600"/>
        <w:rPr>
          <w:rFonts w:eastAsia="Times New Roman"/>
        </w:rPr>
      </w:pPr>
    </w:p>
    <w:p w:rsidR="00000000" w:rsidRDefault="00BC0821">
      <w:pPr>
        <w:divId w:val="698433414"/>
        <w:rPr>
          <w:rFonts w:eastAsia="Times New Roman"/>
        </w:rPr>
      </w:pPr>
    </w:p>
    <w:p w:rsidR="00000000" w:rsidRDefault="00BC0821">
      <w:pPr>
        <w:divId w:val="351299149"/>
        <w:rPr>
          <w:rFonts w:eastAsia="Times New Roman"/>
        </w:rPr>
      </w:pPr>
    </w:p>
    <w:p w:rsidR="00000000" w:rsidRDefault="00BC0821">
      <w:pPr>
        <w:divId w:val="745226545"/>
        <w:rPr>
          <w:rFonts w:eastAsia="Times New Roman"/>
        </w:rPr>
      </w:pPr>
    </w:p>
    <w:p w:rsidR="00000000" w:rsidRDefault="00BC0821">
      <w:pPr>
        <w:divId w:val="40137863"/>
        <w:rPr>
          <w:rFonts w:eastAsia="Times New Roman"/>
        </w:rPr>
      </w:pPr>
    </w:p>
    <w:p w:rsidR="00000000" w:rsidRDefault="00BC0821">
      <w:pPr>
        <w:jc w:val="center"/>
        <w:divId w:val="181742699"/>
        <w:rPr>
          <w:rFonts w:eastAsia="Times New Roman"/>
        </w:rPr>
      </w:pPr>
    </w:p>
    <w:p w:rsidR="00000000" w:rsidRDefault="00BC0821">
      <w:pPr>
        <w:jc w:val="center"/>
        <w:divId w:val="181742699"/>
        <w:rPr>
          <w:rFonts w:eastAsia="Times New Roman"/>
        </w:rPr>
      </w:pPr>
      <w:r>
        <w:rPr>
          <w:rFonts w:eastAsia="Times New Roman"/>
          <w:color w:val="000000"/>
          <w:sz w:val="20"/>
          <w:szCs w:val="20"/>
        </w:rPr>
        <w:t>40</w:t>
      </w:r>
    </w:p>
    <w:p w:rsidR="00000000" w:rsidRDefault="00BC0821">
      <w:pPr>
        <w:rPr>
          <w:rFonts w:eastAsia="Times New Roman"/>
        </w:rPr>
      </w:pPr>
      <w:r>
        <w:rPr>
          <w:rFonts w:eastAsia="Times New Roman"/>
        </w:rPr>
        <w:pict>
          <v:rect id="_x0000_i1064" style="width:0;height:1.5pt" o:hralign="center" o:hrstd="t" o:hr="t" fillcolor="#a0a0a0" stroked="f"/>
        </w:pict>
      </w:r>
    </w:p>
    <w:p w:rsidR="00000000" w:rsidRDefault="00BC0821">
      <w:pPr>
        <w:divId w:val="470288247"/>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343479390"/>
        <w:rPr>
          <w:rFonts w:eastAsia="Times New Roman"/>
        </w:rPr>
      </w:pPr>
      <w:r>
        <w:rPr>
          <w:rFonts w:eastAsia="Times New Roman"/>
          <w:b/>
          <w:bCs/>
          <w:color w:val="000000"/>
          <w:sz w:val="20"/>
          <w:szCs w:val="20"/>
        </w:rPr>
        <w:t>Funds From</w:t>
      </w:r>
      <w:r>
        <w:rPr>
          <w:rFonts w:eastAsia="Times New Roman"/>
          <w:b/>
          <w:bCs/>
          <w:color w:val="000000"/>
          <w:sz w:val="20"/>
          <w:szCs w:val="20"/>
        </w:rPr>
        <w:t xml:space="preserve"> Operations ("FFO")</w:t>
      </w:r>
    </w:p>
    <w:p w:rsidR="00000000" w:rsidRDefault="00BC0821">
      <w:pPr>
        <w:ind w:firstLine="495"/>
        <w:divId w:val="1773934178"/>
        <w:rPr>
          <w:rFonts w:eastAsia="Times New Roman"/>
        </w:rPr>
      </w:pPr>
      <w:r>
        <w:rPr>
          <w:rFonts w:eastAsia="Times New Roman"/>
          <w:color w:val="000000"/>
          <w:sz w:val="20"/>
          <w:szCs w:val="20"/>
        </w:rPr>
        <w:t xml:space="preserve">The Company uses FFO in addition to net income to report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 measures for the real estate industry and a supplement to GAAP measures. The National Associ</w:t>
      </w:r>
      <w:r>
        <w:rPr>
          <w:rFonts w:eastAsia="Times New Roman"/>
          <w:color w:val="000000"/>
          <w:sz w:val="20"/>
          <w:szCs w:val="20"/>
        </w:rPr>
        <w:t xml:space="preserve">ation of Real Estate Investment Trusts defines FFO as net income (loss) (computed in accordance with GAAP), excluding gains (or losses) from sales of properties, plus real estate related depreciation and amortization, impairment write-downs of real estate </w:t>
      </w:r>
      <w:r>
        <w:rPr>
          <w:rFonts w:eastAsia="Times New Roman"/>
          <w:color w:val="000000"/>
          <w:sz w:val="20"/>
          <w:szCs w:val="20"/>
        </w:rPr>
        <w:t>and write-downs of investments in an affiliate where the write-downs have been driven by a decrease in the value of real estate held by the affiliate and after adjustments for unconsolidated joint ventures. Adjustments for unconsolidated joint ventures are</w:t>
      </w:r>
      <w:r>
        <w:rPr>
          <w:rFonts w:eastAsia="Times New Roman"/>
          <w:color w:val="000000"/>
          <w:sz w:val="20"/>
          <w:szCs w:val="20"/>
        </w:rPr>
        <w:t xml:space="preserve"> calculated to reflect FFO on the same basis.</w:t>
      </w:r>
    </w:p>
    <w:p w:rsidR="00000000" w:rsidRDefault="00BC0821">
      <w:pPr>
        <w:ind w:firstLine="495"/>
        <w:divId w:val="1310860163"/>
        <w:rPr>
          <w:rFonts w:eastAsia="Times New Roman"/>
        </w:rPr>
      </w:pPr>
      <w:r>
        <w:rPr>
          <w:rFonts w:eastAsia="Times New Roman"/>
          <w:color w:val="000000"/>
          <w:sz w:val="20"/>
          <w:szCs w:val="20"/>
        </w:rPr>
        <w:t>The Company accounts for its joint venture in Chandler Freehold as a financing arrangement. In connection with this treatment, the Company recognizes financing expense on (i) the changes in fair value of the financing arrangement obligation, (ii) any payme</w:t>
      </w:r>
      <w:r>
        <w:rPr>
          <w:rFonts w:eastAsia="Times New Roman"/>
          <w:color w:val="000000"/>
          <w:sz w:val="20"/>
          <w:szCs w:val="20"/>
        </w:rPr>
        <w:t>nts to the joint venture partner equal to their pro rata share of net income and (iii) any payments to the joint venture partner less than or in excess of their pro rata share of net income. The Company excludes from its definition of FFO the noted expense</w:t>
      </w:r>
      <w:r>
        <w:rPr>
          <w:rFonts w:eastAsia="Times New Roman"/>
          <w:color w:val="000000"/>
          <w:sz w:val="20"/>
          <w:szCs w:val="20"/>
        </w:rPr>
        <w:t>s related to the changes in fair value and for the payments to the joint venture partner less than or in excess of their pro rata share of net income. </w:t>
      </w:r>
    </w:p>
    <w:p w:rsidR="00000000" w:rsidRDefault="00BC0821">
      <w:pPr>
        <w:ind w:firstLine="495"/>
        <w:divId w:val="2095660427"/>
        <w:rPr>
          <w:rFonts w:eastAsia="Times New Roman"/>
        </w:rPr>
      </w:pPr>
      <w:r>
        <w:rPr>
          <w:rFonts w:eastAsia="Times New Roman"/>
          <w:color w:val="000000"/>
          <w:sz w:val="20"/>
          <w:szCs w:val="20"/>
        </w:rPr>
        <w:t xml:space="preserve">The Company also presents FFO excluding financing expense in connection with Chandler Freehold and loss </w:t>
      </w:r>
      <w:r>
        <w:rPr>
          <w:rFonts w:eastAsia="Times New Roman"/>
          <w:color w:val="000000"/>
          <w:sz w:val="20"/>
          <w:szCs w:val="20"/>
        </w:rPr>
        <w:t>on extinguishment of debt.</w:t>
      </w:r>
    </w:p>
    <w:p w:rsidR="00000000" w:rsidRDefault="00BC0821">
      <w:pPr>
        <w:ind w:firstLine="495"/>
        <w:divId w:val="397824848"/>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since FFO excludes real estate depreciation and amortization, as the Company believes re</w:t>
      </w:r>
      <w:r>
        <w:rPr>
          <w:rFonts w:eastAsia="Times New Roman"/>
          <w:color w:val="000000"/>
          <w:sz w:val="20"/>
          <w:szCs w:val="20"/>
        </w:rPr>
        <w:t xml:space="preserve">al estate values fluctuate based on market conditions rather than depreciating in value ratably on a straight-line basis over time. The Company believes that such a presentation also provides investors with a meaningful measure of its operating results in </w:t>
      </w:r>
      <w:r>
        <w:rPr>
          <w:rFonts w:eastAsia="Times New Roman"/>
          <w:color w:val="000000"/>
          <w:sz w:val="20"/>
          <w:szCs w:val="20"/>
        </w:rPr>
        <w:t>comparison to the operating results of other REITs. In addition, the Company believes that FFO excluding financing expense in connection with Chandler Freehold and non-routine costs associated with extinguishment of debt provide useful supplemental informa</w:t>
      </w:r>
      <w:r>
        <w:rPr>
          <w:rFonts w:eastAsia="Times New Roman"/>
          <w:color w:val="000000"/>
          <w:sz w:val="20"/>
          <w:szCs w:val="20"/>
        </w:rPr>
        <w:t>tion regarding the Company’s performance as they show a more meaningful and consistent comparison of the Company’s operating performance and allows investors to more easily compare the Company’s results. The Company further believes that FFO on a diluted b</w:t>
      </w:r>
      <w:r>
        <w:rPr>
          <w:rFonts w:eastAsia="Times New Roman"/>
          <w:color w:val="000000"/>
          <w:sz w:val="20"/>
          <w:szCs w:val="20"/>
        </w:rPr>
        <w:t>asis is a measure investors find most useful in measuring the dilutive impact of outstanding convertible securities.</w:t>
      </w:r>
    </w:p>
    <w:p w:rsidR="00000000" w:rsidRDefault="00BC0821">
      <w:pPr>
        <w:ind w:firstLine="495"/>
        <w:divId w:val="855849955"/>
        <w:rPr>
          <w:rFonts w:eastAsia="Times New Roman"/>
        </w:rPr>
      </w:pPr>
      <w:r>
        <w:rPr>
          <w:rFonts w:eastAsia="Times New Roman"/>
          <w:color w:val="000000"/>
          <w:sz w:val="20"/>
          <w:szCs w:val="20"/>
        </w:rPr>
        <w:t>The Company believes that FFO does not represent cash flow from operations as defined by GAAP, should not be considered as an alternative t</w:t>
      </w:r>
      <w:r>
        <w:rPr>
          <w:rFonts w:eastAsia="Times New Roman"/>
          <w:color w:val="000000"/>
          <w:sz w:val="20"/>
          <w:szCs w:val="20"/>
        </w:rPr>
        <w:t>o net income as defined by GAAP, and is not indicative of cash available to fund all cash flow needs. The Company also cautions that FFO, as presented, may not be comparable to similarly titled measures reported by other real estate investment trusts.</w:t>
      </w:r>
    </w:p>
    <w:p w:rsidR="00000000" w:rsidRDefault="00BC0821">
      <w:pPr>
        <w:ind w:firstLine="495"/>
        <w:divId w:val="2071225275"/>
        <w:rPr>
          <w:rFonts w:eastAsia="Times New Roman"/>
        </w:rPr>
      </w:pPr>
      <w:r>
        <w:rPr>
          <w:rFonts w:eastAsia="Times New Roman"/>
          <w:color w:val="000000"/>
          <w:sz w:val="20"/>
          <w:szCs w:val="20"/>
        </w:rPr>
        <w:t>Mana</w:t>
      </w:r>
      <w:r>
        <w:rPr>
          <w:rFonts w:eastAsia="Times New Roman"/>
          <w:color w:val="000000"/>
          <w:sz w:val="20"/>
          <w:szCs w:val="20"/>
        </w:rPr>
        <w:t>gement compensates for the limitations of FFO by providing investors with financial statements prepared according to 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diluted. Management believes that</w:t>
      </w:r>
      <w:r>
        <w:rPr>
          <w:rFonts w:eastAsia="Times New Roman"/>
          <w:color w:val="000000"/>
          <w:sz w:val="20"/>
          <w:szCs w:val="20"/>
        </w:rPr>
        <w:t xml:space="preserve"> to further understand the Company's performance, FFO should be compared with the Company's reported net (loss) income and considered in addition to cash flows in accordance with GAAP, as presented in the Company's consolidated financial statements.</w:t>
      </w:r>
    </w:p>
    <w:p w:rsidR="00000000" w:rsidRDefault="00BC0821">
      <w:pPr>
        <w:ind w:firstLine="495"/>
        <w:divId w:val="544758105"/>
        <w:rPr>
          <w:rFonts w:eastAsia="Times New Roman"/>
        </w:rPr>
      </w:pPr>
    </w:p>
    <w:p w:rsidR="00000000" w:rsidRDefault="00BC0821">
      <w:pPr>
        <w:ind w:firstLine="495"/>
        <w:divId w:val="1302883812"/>
        <w:rPr>
          <w:rFonts w:eastAsia="Times New Roman"/>
        </w:rPr>
      </w:pPr>
    </w:p>
    <w:p w:rsidR="00000000" w:rsidRDefault="00BC0821">
      <w:pPr>
        <w:ind w:firstLine="495"/>
        <w:divId w:val="1941597702"/>
        <w:rPr>
          <w:rFonts w:eastAsia="Times New Roman"/>
        </w:rPr>
      </w:pPr>
    </w:p>
    <w:p w:rsidR="00000000" w:rsidRDefault="00BC0821">
      <w:pPr>
        <w:ind w:firstLine="495"/>
        <w:divId w:val="160777082"/>
        <w:rPr>
          <w:rFonts w:eastAsia="Times New Roman"/>
        </w:rPr>
      </w:pPr>
    </w:p>
    <w:p w:rsidR="00000000" w:rsidRDefault="00BC0821">
      <w:pPr>
        <w:ind w:firstLine="495"/>
        <w:divId w:val="785544415"/>
        <w:rPr>
          <w:rFonts w:eastAsia="Times New Roman"/>
        </w:rPr>
      </w:pPr>
    </w:p>
    <w:p w:rsidR="00000000" w:rsidRDefault="00BC0821">
      <w:pPr>
        <w:ind w:firstLine="495"/>
        <w:divId w:val="736245356"/>
        <w:rPr>
          <w:rFonts w:eastAsia="Times New Roman"/>
        </w:rPr>
      </w:pPr>
    </w:p>
    <w:p w:rsidR="00000000" w:rsidRDefault="00BC0821">
      <w:pPr>
        <w:ind w:firstLine="495"/>
        <w:divId w:val="1950434077"/>
        <w:rPr>
          <w:rFonts w:eastAsia="Times New Roman"/>
        </w:rPr>
      </w:pPr>
    </w:p>
    <w:p w:rsidR="00000000" w:rsidRDefault="00BC0821">
      <w:pPr>
        <w:ind w:firstLine="495"/>
        <w:divId w:val="1327634825"/>
        <w:rPr>
          <w:rFonts w:eastAsia="Times New Roman"/>
        </w:rPr>
      </w:pPr>
    </w:p>
    <w:p w:rsidR="00000000" w:rsidRDefault="00BC0821">
      <w:pPr>
        <w:ind w:firstLine="495"/>
        <w:divId w:val="938947772"/>
        <w:rPr>
          <w:rFonts w:eastAsia="Times New Roman"/>
        </w:rPr>
      </w:pPr>
    </w:p>
    <w:p w:rsidR="00000000" w:rsidRDefault="00BC0821">
      <w:pPr>
        <w:ind w:firstLine="495"/>
        <w:divId w:val="751901440"/>
        <w:rPr>
          <w:rFonts w:eastAsia="Times New Roman"/>
        </w:rPr>
      </w:pPr>
    </w:p>
    <w:p w:rsidR="00000000" w:rsidRDefault="00BC0821">
      <w:pPr>
        <w:ind w:firstLine="495"/>
        <w:divId w:val="1546287437"/>
        <w:rPr>
          <w:rFonts w:eastAsia="Times New Roman"/>
        </w:rPr>
      </w:pPr>
    </w:p>
    <w:p w:rsidR="00000000" w:rsidRDefault="00BC0821">
      <w:pPr>
        <w:jc w:val="center"/>
        <w:divId w:val="933322160"/>
        <w:rPr>
          <w:rFonts w:eastAsia="Times New Roman"/>
        </w:rPr>
      </w:pPr>
    </w:p>
    <w:p w:rsidR="00000000" w:rsidRDefault="00BC0821">
      <w:pPr>
        <w:jc w:val="center"/>
        <w:divId w:val="933322160"/>
        <w:rPr>
          <w:rFonts w:eastAsia="Times New Roman"/>
        </w:rPr>
      </w:pPr>
      <w:r>
        <w:rPr>
          <w:rFonts w:eastAsia="Times New Roman"/>
          <w:color w:val="000000"/>
          <w:sz w:val="20"/>
          <w:szCs w:val="20"/>
        </w:rPr>
        <w:t>41</w:t>
      </w:r>
    </w:p>
    <w:p w:rsidR="00000000" w:rsidRDefault="00BC0821">
      <w:pPr>
        <w:rPr>
          <w:rFonts w:eastAsia="Times New Roman"/>
        </w:rPr>
      </w:pPr>
      <w:r>
        <w:rPr>
          <w:rFonts w:eastAsia="Times New Roman"/>
        </w:rPr>
        <w:pict>
          <v:rect id="_x0000_i1065" style="width:0;height:1.5pt" o:hralign="center" o:hrstd="t" o:hr="t" fillcolor="#a0a0a0" stroked="f"/>
        </w:pict>
      </w:r>
    </w:p>
    <w:p w:rsidR="00000000" w:rsidRDefault="00BC0821">
      <w:pPr>
        <w:divId w:val="11483346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ind w:firstLine="495"/>
        <w:divId w:val="1603142620"/>
        <w:rPr>
          <w:rFonts w:eastAsia="Times New Roman"/>
        </w:rPr>
      </w:pPr>
      <w:r>
        <w:rPr>
          <w:rFonts w:eastAsia="Times New Roman"/>
          <w:color w:val="000000"/>
          <w:sz w:val="20"/>
          <w:szCs w:val="20"/>
        </w:rPr>
        <w:t>The following reconciles net (loss) income attributable to the Company to FFO and FFO</w:t>
      </w:r>
      <w:r>
        <w:rPr>
          <w:rFonts w:eastAsia="Times New Roman"/>
          <w:color w:val="000000"/>
          <w:sz w:val="18"/>
          <w:szCs w:val="18"/>
        </w:rPr>
        <w:t>—</w:t>
      </w:r>
      <w:r>
        <w:rPr>
          <w:rFonts w:eastAsia="Times New Roman"/>
          <w:color w:val="000000"/>
          <w:sz w:val="20"/>
          <w:szCs w:val="20"/>
        </w:rPr>
        <w:t>diluted attributable to common stock</w:t>
      </w:r>
      <w:r>
        <w:rPr>
          <w:rFonts w:eastAsia="Times New Roman"/>
          <w:color w:val="000000"/>
          <w:sz w:val="20"/>
          <w:szCs w:val="20"/>
        </w:rPr>
        <w:t>holders and unit holders-basic and diluted, excluding financing expense in connection with Chandler Freehold and loss on extinguishment of debt for the three and nine months ended September 30, 2022 and 2021 (dollars and shares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533"/>
        <w:gridCol w:w="38"/>
        <w:gridCol w:w="36"/>
        <w:gridCol w:w="36"/>
        <w:gridCol w:w="36"/>
        <w:gridCol w:w="110"/>
        <w:gridCol w:w="667"/>
        <w:gridCol w:w="36"/>
        <w:gridCol w:w="36"/>
        <w:gridCol w:w="39"/>
        <w:gridCol w:w="36"/>
        <w:gridCol w:w="110"/>
        <w:gridCol w:w="682"/>
        <w:gridCol w:w="36"/>
        <w:gridCol w:w="36"/>
        <w:gridCol w:w="39"/>
        <w:gridCol w:w="36"/>
        <w:gridCol w:w="110"/>
        <w:gridCol w:w="670"/>
        <w:gridCol w:w="36"/>
        <w:gridCol w:w="36"/>
        <w:gridCol w:w="36"/>
        <w:gridCol w:w="36"/>
        <w:gridCol w:w="110"/>
        <w:gridCol w:w="630"/>
        <w:gridCol w:w="36"/>
      </w:tblGrid>
      <w:tr w:rsidR="00000000">
        <w:trPr>
          <w:divId w:val="1915434868"/>
        </w:trPr>
        <w:tc>
          <w:tcPr>
            <w:tcW w:w="50" w:type="pct"/>
            <w:vAlign w:val="center"/>
            <w:hideMark/>
          </w:tcPr>
          <w:p w:rsidR="00000000" w:rsidRDefault="00BC0821">
            <w:pPr>
              <w:ind w:firstLine="495"/>
              <w:rPr>
                <w:rFonts w:eastAsia="Times New Roman"/>
              </w:rPr>
            </w:pPr>
          </w:p>
        </w:tc>
        <w:tc>
          <w:tcPr>
            <w:tcW w:w="276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4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3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14"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Nine Months Ended September 30,</w:t>
            </w:r>
          </w:p>
        </w:tc>
      </w:tr>
      <w:tr w:rsidR="00000000">
        <w:trPr>
          <w:divId w:val="191543486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2021</w:t>
            </w: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Net (loss) income attributable to the Company</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(15,193)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106,702 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(67,757)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(607)</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5,922 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(2,729)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1,653 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Gain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(1,405)</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(118,566)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(6,767)</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(93,356)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Add: noncontrolling interests share of gain (loss)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1,373 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5,816 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5,853 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6,240 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21,387 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19,913 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Less: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(1,373)</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(5,795)</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(6,089)</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(2,000)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(2,200)</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(Gain) loss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(8,922)</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20,060 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Add: gain on sale of undepreciated assets—unconsolidated joint ventures(1)</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5,561 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7,116 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72,739 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75,465 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218,053 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231,491 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(3,683)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(4,173)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(17,976)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(13,333)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44,028 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44,905 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133,591 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138,137 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(2,632)</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(3,246)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(8,296)</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(9,933)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96,126 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107,098 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294,703 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303,548 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6,684 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(6,723)</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23,329 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102,810 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100,375 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318,032 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303,523 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Loss on extinguishment of debt—consolidated assets</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vAlign w:val="center"/>
            <w:hideMark/>
          </w:tcPr>
          <w:p w:rsidR="00000000" w:rsidRDefault="00BC0821">
            <w:pPr>
              <w:spacing w:after="100"/>
              <w:jc w:val="right"/>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c>
          <w:tcPr>
            <w:tcW w:w="0" w:type="auto"/>
            <w:gridSpan w:val="3"/>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 and loss on extinguishment of debt—basic and diluted</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102,810 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101,382 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318,032 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304,530 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w:t>
            </w: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223,754 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223,033 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223,636 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202,877 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91543486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   Share and unit based compensation plans</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91543486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223,636 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202,877 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hanging="450"/>
        <w:divId w:val="88353509"/>
        <w:rPr>
          <w:rFonts w:eastAsia="Times New Roman"/>
        </w:rPr>
      </w:pPr>
      <w:r>
        <w:rPr>
          <w:rFonts w:eastAsia="Times New Roman"/>
          <w:color w:val="000000"/>
          <w:sz w:val="18"/>
          <w:szCs w:val="18"/>
        </w:rPr>
        <w:t>(1)     Unconsolidated joint ventures are presented at the Compan</w:t>
      </w:r>
      <w:r>
        <w:rPr>
          <w:rFonts w:eastAsia="Times New Roman"/>
          <w:color w:val="000000"/>
          <w:sz w:val="18"/>
          <w:szCs w:val="18"/>
        </w:rPr>
        <w:t>y's pro rata share.</w:t>
      </w:r>
    </w:p>
    <w:p w:rsidR="00000000" w:rsidRDefault="00BC0821">
      <w:pPr>
        <w:ind w:hanging="450"/>
        <w:divId w:val="660163128"/>
        <w:rPr>
          <w:rFonts w:eastAsia="Times New Roman"/>
        </w:rPr>
      </w:pPr>
      <w:r>
        <w:rPr>
          <w:rFonts w:eastAsia="Times New Roman"/>
          <w:color w:val="000000"/>
          <w:sz w:val="18"/>
          <w:szCs w:val="18"/>
        </w:rPr>
        <w:t>(2)     Calculated based upon basic net income as adjusted to reach basic FFO. Includes 8.6 million and 9.8 million of OP Units outstanding for the three months ended September 30, 2022 and 2021, respectively, and 8.7 million and 10.2 m</w:t>
      </w:r>
      <w:r>
        <w:rPr>
          <w:rFonts w:eastAsia="Times New Roman"/>
          <w:color w:val="000000"/>
          <w:sz w:val="18"/>
          <w:szCs w:val="18"/>
        </w:rPr>
        <w:t>illion of OP Units outstanding for the nine months ended</w:t>
      </w:r>
      <w:r>
        <w:rPr>
          <w:rFonts w:eastAsia="Times New Roman"/>
          <w:color w:val="000000"/>
          <w:sz w:val="20"/>
          <w:szCs w:val="20"/>
        </w:rPr>
        <w:t xml:space="preserve"> </w:t>
      </w:r>
      <w:r>
        <w:rPr>
          <w:rFonts w:eastAsia="Times New Roman"/>
          <w:color w:val="000000"/>
          <w:sz w:val="18"/>
          <w:szCs w:val="18"/>
        </w:rPr>
        <w:t xml:space="preserve">September 30, 2022 and 2021, respectively. </w:t>
      </w:r>
    </w:p>
    <w:p w:rsidR="00000000" w:rsidRDefault="00BC0821">
      <w:pPr>
        <w:divId w:val="1912228729"/>
        <w:rPr>
          <w:rFonts w:eastAsia="Times New Roman"/>
        </w:rPr>
      </w:pPr>
      <w:r>
        <w:rPr>
          <w:rFonts w:eastAsia="Times New Roman"/>
          <w:color w:val="000000"/>
          <w:sz w:val="18"/>
          <w:szCs w:val="18"/>
        </w:rPr>
        <w:t>The computation of FFO—diluted shares outstanding includes the effect of share and unit-based compensation plans using the treasury stock method. It also a</w:t>
      </w:r>
      <w:r>
        <w:rPr>
          <w:rFonts w:eastAsia="Times New Roman"/>
          <w:color w:val="000000"/>
          <w:sz w:val="18"/>
          <w:szCs w:val="18"/>
        </w:rPr>
        <w:t>ssumes the conversion of MACWH, LP common and preferred units to the extent that they are dilutive to the FFO—diluted computation.</w:t>
      </w:r>
    </w:p>
    <w:p w:rsidR="00000000" w:rsidRDefault="00BC0821">
      <w:pPr>
        <w:jc w:val="center"/>
        <w:divId w:val="2084402172"/>
        <w:rPr>
          <w:rFonts w:eastAsia="Times New Roman"/>
        </w:rPr>
      </w:pPr>
    </w:p>
    <w:p w:rsidR="00000000" w:rsidRDefault="00BC0821">
      <w:pPr>
        <w:jc w:val="center"/>
        <w:divId w:val="2084402172"/>
        <w:rPr>
          <w:rFonts w:eastAsia="Times New Roman"/>
        </w:rPr>
      </w:pPr>
      <w:r>
        <w:rPr>
          <w:rFonts w:eastAsia="Times New Roman"/>
          <w:color w:val="000000"/>
          <w:sz w:val="20"/>
          <w:szCs w:val="20"/>
        </w:rPr>
        <w:t>42</w:t>
      </w:r>
    </w:p>
    <w:p w:rsidR="00000000" w:rsidRDefault="00BC0821">
      <w:pPr>
        <w:rPr>
          <w:rFonts w:eastAsia="Times New Roman"/>
        </w:rPr>
      </w:pPr>
      <w:r>
        <w:rPr>
          <w:rFonts w:eastAsia="Times New Roman"/>
        </w:rPr>
        <w:pict>
          <v:rect id="_x0000_i1066" style="width:0;height:1.5pt" o:hralign="center" o:hrstd="t" o:hr="t" fillcolor="#a0a0a0" stroked="f"/>
        </w:pict>
      </w:r>
    </w:p>
    <w:p w:rsidR="00000000" w:rsidRDefault="00BC0821">
      <w:pPr>
        <w:divId w:val="981033891"/>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514684146"/>
        <w:rPr>
          <w:rFonts w:eastAsia="Times New Roman"/>
        </w:rPr>
      </w:pPr>
      <w:r>
        <w:rPr>
          <w:rFonts w:eastAsia="Times New Roman"/>
          <w:b/>
          <w:bCs/>
          <w:color w:val="000000"/>
          <w:sz w:val="20"/>
          <w:szCs w:val="20"/>
        </w:rPr>
        <w:t>Item 3. </w:t>
      </w:r>
      <w:r>
        <w:rPr>
          <w:rFonts w:eastAsia="Times New Roman"/>
          <w:b/>
          <w:bCs/>
          <w:color w:val="000000"/>
          <w:sz w:val="20"/>
          <w:szCs w:val="20"/>
        </w:rPr>
        <w:t>   Quantitative and Qualitative Disclosures About Market Risk</w:t>
      </w:r>
    </w:p>
    <w:p w:rsidR="00000000" w:rsidRDefault="00BC0821">
      <w:pPr>
        <w:ind w:firstLine="495"/>
        <w:divId w:val="1447695680"/>
        <w:rPr>
          <w:rFonts w:eastAsia="Times New Roman"/>
        </w:rPr>
      </w:pPr>
      <w:r>
        <w:rPr>
          <w:rFonts w:eastAsia="Times New Roman"/>
          <w:color w:val="000000"/>
          <w:sz w:val="20"/>
          <w:szCs w:val="20"/>
        </w:rPr>
        <w:t xml:space="preserve">The Company's primary market risk exposure is interest rate risk. The Company has managed and will continue to manage interest rate risk by (1) maintaining a ratio of fixed rate, long-term debt </w:t>
      </w:r>
      <w:r>
        <w:rPr>
          <w:rFonts w:eastAsia="Times New Roman"/>
          <w:color w:val="000000"/>
          <w:sz w:val="20"/>
          <w:szCs w:val="20"/>
        </w:rPr>
        <w:t>to total debt such that floating rate exposure is kept at an acceptable level, (2) reducing interest rate exposure on certain long-term floating rate debt through the use of interest rate caps and/or swaps with matching maturities where appropriate, (3) us</w:t>
      </w:r>
      <w:r>
        <w:rPr>
          <w:rFonts w:eastAsia="Times New Roman"/>
          <w:color w:val="000000"/>
          <w:sz w:val="20"/>
          <w:szCs w:val="20"/>
        </w:rPr>
        <w:t>ing treasury rate locks where appropriate to fix rates on anticipated debt transactions, and (4) taking advantage of favorable market conditions for long-term debt and/or equity.</w:t>
      </w:r>
    </w:p>
    <w:p w:rsidR="00000000" w:rsidRDefault="00BC0821">
      <w:pPr>
        <w:ind w:firstLine="495"/>
        <w:divId w:val="1272859178"/>
        <w:rPr>
          <w:rFonts w:eastAsia="Times New Roman"/>
        </w:rPr>
      </w:pPr>
      <w:r>
        <w:rPr>
          <w:rFonts w:eastAsia="Times New Roman"/>
          <w:color w:val="000000"/>
          <w:sz w:val="20"/>
          <w:szCs w:val="20"/>
        </w:rPr>
        <w:t>The following table sets forth information as of September 30, 2022 concerning the Company's long-term debt obligations, including principal cash flows by scheduled maturity, weighted average interest rates and estimated fair value (dollars in thousands):</w:t>
      </w:r>
    </w:p>
    <w:tbl>
      <w:tblPr>
        <w:tblW w:w="4912" w:type="pct"/>
        <w:tblCellMar>
          <w:top w:w="15" w:type="dxa"/>
          <w:left w:w="15" w:type="dxa"/>
          <w:bottom w:w="15" w:type="dxa"/>
          <w:right w:w="15" w:type="dxa"/>
        </w:tblCellMar>
        <w:tblLook w:val="04A0" w:firstRow="1" w:lastRow="0" w:firstColumn="1" w:lastColumn="0" w:noHBand="0" w:noVBand="1"/>
      </w:tblPr>
      <w:tblGrid>
        <w:gridCol w:w="95"/>
        <w:gridCol w:w="1467"/>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1272859178"/>
        </w:trPr>
        <w:tc>
          <w:tcPr>
            <w:tcW w:w="50" w:type="pct"/>
            <w:vAlign w:val="center"/>
            <w:hideMark/>
          </w:tcPr>
          <w:p w:rsidR="00000000" w:rsidRDefault="00BC0821">
            <w:pPr>
              <w:ind w:firstLine="495"/>
              <w:rPr>
                <w:rFonts w:eastAsia="Times New Roman"/>
              </w:rPr>
            </w:pPr>
          </w:p>
        </w:tc>
        <w:tc>
          <w:tcPr>
            <w:tcW w:w="77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2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272859178"/>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r w:rsidR="00000000">
        <w:trPr>
          <w:divId w:val="127285917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For the twelve months ending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r>
      <w:tr w:rsidR="00000000">
        <w:trPr>
          <w:divId w:val="1272859178"/>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Fair Value</w:t>
            </w:r>
          </w:p>
        </w:tc>
      </w:tr>
      <w:tr w:rsidR="00000000">
        <w:trPr>
          <w:divId w:val="127285917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127285917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BC0821">
        <w:trPr>
          <w:divId w:val="127285917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Fixed rate</w:t>
            </w: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434,693 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620,656 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608,305 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215,645 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326,080 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1,528,627 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3,734,006 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3,376,479 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7285917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4.27 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4.61 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3.50 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3.59 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4.05 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r>
      <w:tr w:rsidR="00000000">
        <w:trPr>
          <w:divId w:val="127285917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432,820 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205,044 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637,864 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628,336 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7285917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4.62 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5.80 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r>
      <w:tr w:rsidR="00BC0821">
        <w:trPr>
          <w:divId w:val="127285917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867,513 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825,700 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608,305 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215,645 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326,080 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1,528,627 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4,371,870 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4,004,815 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7285917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000000">
        <w:trPr>
          <w:divId w:val="1272859178"/>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 </w:t>
            </w:r>
          </w:p>
        </w:tc>
      </w:tr>
      <w:tr w:rsidR="00BC0821">
        <w:trPr>
          <w:divId w:val="127285917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638,649 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367,851 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30,557 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547,007 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109,547 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948,485 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2,642,096 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2,453,104 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7285917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3.47 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4.09 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3.86 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3.83 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3.96 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3.90 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3.81 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r>
      <w:tr w:rsidR="00000000">
        <w:trPr>
          <w:divId w:val="1272859178"/>
        </w:trPr>
        <w:tc>
          <w:tcPr>
            <w:tcW w:w="0" w:type="auto"/>
            <w:gridSpan w:val="3"/>
            <w:shd w:val="clear" w:color="auto" w:fill="CCEE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11,500 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157,522 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32,500 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201,522 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189,146 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r w:rsidR="00000000">
        <w:trPr>
          <w:divId w:val="1272859178"/>
        </w:trPr>
        <w:tc>
          <w:tcPr>
            <w:tcW w:w="0" w:type="auto"/>
            <w:gridSpan w:val="3"/>
            <w:shd w:val="clear" w:color="auto" w:fill="FFFFFF"/>
            <w:tcMar>
              <w:top w:w="30" w:type="dxa"/>
              <w:left w:w="155"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5.16 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6.80 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5.37 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jc w:val="right"/>
              <w:rPr>
                <w:rFonts w:eastAsia="Times New Roman"/>
              </w:rPr>
            </w:pPr>
            <w:r>
              <w:rPr>
                <w:rFonts w:eastAsia="Times New Roman"/>
                <w:color w:val="000000"/>
                <w:sz w:val="16"/>
                <w:szCs w:val="16"/>
              </w:rPr>
              <w:t> </w:t>
            </w:r>
          </w:p>
        </w:tc>
      </w:tr>
      <w:tr w:rsidR="00BC0821">
        <w:trPr>
          <w:divId w:val="1272859178"/>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6"/>
                <w:szCs w:val="16"/>
              </w:rPr>
              <w:t>Total debt—</w:t>
            </w:r>
            <w:r>
              <w:rPr>
                <w:rFonts w:eastAsia="Times New Roman"/>
                <w:color w:val="000000"/>
                <w:sz w:val="16"/>
                <w:szCs w:val="16"/>
              </w:rPr>
              <w: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638,649 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379,351 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188,079 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547,007 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142,047 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948,485 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2,843,618 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6"/>
                <w:szCs w:val="16"/>
              </w:rPr>
              <w:t>2,642,250 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r>
    </w:tbl>
    <w:p w:rsidR="00000000" w:rsidRDefault="00BC0821">
      <w:pPr>
        <w:ind w:firstLine="495"/>
        <w:divId w:val="1478642945"/>
        <w:rPr>
          <w:rFonts w:eastAsia="Times New Roman"/>
        </w:rPr>
      </w:pPr>
    </w:p>
    <w:p w:rsidR="00000000" w:rsidRDefault="00BC0821">
      <w:pPr>
        <w:ind w:firstLine="495"/>
        <w:divId w:val="1201432722"/>
        <w:rPr>
          <w:rFonts w:eastAsia="Times New Roman"/>
        </w:rPr>
      </w:pPr>
      <w:r>
        <w:rPr>
          <w:rFonts w:eastAsia="Times New Roman"/>
          <w:color w:val="000000"/>
          <w:sz w:val="20"/>
          <w:szCs w:val="20"/>
        </w:rPr>
        <w:t>The Consolidated Centers' total fixed rate debt at each of September 30, 2022 and December 31, 2021 was $3.7 billion and $3.8 billion, respectively. The average interest r</w:t>
      </w:r>
      <w:r>
        <w:rPr>
          <w:rFonts w:eastAsia="Times New Roman"/>
          <w:color w:val="000000"/>
          <w:sz w:val="20"/>
          <w:szCs w:val="20"/>
        </w:rPr>
        <w:t>ate on the fixed rate debt at September 30, 2022 and December 31, 2021 was 4.01% and 3.94%, respectively. The Consolidated Centers' total floating rate debt at September 30, 2022 and December 31, 2021 was $637.9 million and $738.9 million, respectively. Th</w:t>
      </w:r>
      <w:r>
        <w:rPr>
          <w:rFonts w:eastAsia="Times New Roman"/>
          <w:color w:val="000000"/>
          <w:sz w:val="20"/>
          <w:szCs w:val="20"/>
        </w:rPr>
        <w:t>e average interest rate on the floating rate debt at September 30, 2022 and December 31, 2021 was 5.00% and 2.61%, respectively.</w:t>
      </w:r>
    </w:p>
    <w:p w:rsidR="00000000" w:rsidRDefault="00BC0821">
      <w:pPr>
        <w:ind w:firstLine="495"/>
        <w:divId w:val="1578516386"/>
        <w:rPr>
          <w:rFonts w:eastAsia="Times New Roman"/>
        </w:rPr>
      </w:pPr>
      <w:r>
        <w:rPr>
          <w:rFonts w:eastAsia="Times New Roman"/>
          <w:color w:val="000000"/>
          <w:sz w:val="20"/>
          <w:szCs w:val="20"/>
        </w:rPr>
        <w:t>The Company's pro rata share of the unconsolidated joint venture Centers' fixed rate debt at September 30, 2022 and December 31</w:t>
      </w:r>
      <w:r>
        <w:rPr>
          <w:rFonts w:eastAsia="Times New Roman"/>
          <w:color w:val="000000"/>
          <w:sz w:val="20"/>
          <w:szCs w:val="20"/>
        </w:rPr>
        <w:t>, 2021 was $2.6 billion and $2.8 billion, respectively. The average interest rate on the fixed rate debt at September 30, 2022 and December 31, 2021 was 3.81% and 3.83%, respectively. The Company's pro rata share of the unconsolidated joint venture Centers</w:t>
      </w:r>
      <w:r>
        <w:rPr>
          <w:rFonts w:eastAsia="Times New Roman"/>
          <w:color w:val="000000"/>
          <w:sz w:val="20"/>
          <w:szCs w:val="20"/>
        </w:rPr>
        <w:t>' floating rate debt at September 30, 2022 and December 31, 2021 was $201.5 million and $104.3 million, respectively. The average interest rate on the floating rate debt at September 30, 2022 and December 31, 2021 was 5.37% and 2.60%, respectively.</w:t>
      </w:r>
    </w:p>
    <w:p w:rsidR="00000000" w:rsidRDefault="00BC0821">
      <w:pPr>
        <w:ind w:firstLine="495"/>
        <w:divId w:val="890775534"/>
        <w:rPr>
          <w:rFonts w:eastAsia="Times New Roman"/>
        </w:rPr>
      </w:pPr>
      <w:r>
        <w:rPr>
          <w:rFonts w:eastAsia="Times New Roman"/>
          <w:color w:val="000000"/>
          <w:sz w:val="20"/>
          <w:szCs w:val="20"/>
        </w:rPr>
        <w:t>The Com</w:t>
      </w:r>
      <w:r>
        <w:rPr>
          <w:rFonts w:eastAsia="Times New Roman"/>
          <w:color w:val="000000"/>
          <w:sz w:val="20"/>
          <w:szCs w:val="20"/>
        </w:rPr>
        <w:t>pany uses derivative financial instruments in the normal course of business to manage or hedge interest rate risk and records all derivatives on the balance sheet at fair value. Interest rate cap agreements offer protection against floating rates on the no</w:t>
      </w:r>
      <w:r>
        <w:rPr>
          <w:rFonts w:eastAsia="Times New Roman"/>
          <w:color w:val="000000"/>
          <w:sz w:val="20"/>
          <w:szCs w:val="20"/>
        </w:rPr>
        <w:t>tional amount from exceeding the rates noted in the above schedule, and interest rate swap agreements effectively replace a floating rate on the notional amount with a fixed rate as noted above. As of September 30, 2022, the Company had three interest rate</w:t>
      </w:r>
      <w:r>
        <w:rPr>
          <w:rFonts w:eastAsia="Times New Roman"/>
          <w:color w:val="000000"/>
          <w:sz w:val="20"/>
          <w:szCs w:val="20"/>
        </w:rPr>
        <w:t xml:space="preserve"> cap agreements in place (See Note 4—Investments in Unconsolidated Joint Ventures and Note 5—Derivative Instruments and Hedging Activities in the Company's Notes to the Consolidated Financial Statements). The respective loans each require an interest rate </w:t>
      </w:r>
      <w:r>
        <w:rPr>
          <w:rFonts w:eastAsia="Times New Roman"/>
          <w:color w:val="000000"/>
          <w:sz w:val="20"/>
          <w:szCs w:val="20"/>
        </w:rPr>
        <w:t>cap agreement to be in place at all times, which limits how high the prevailing floating loan rate index (i.e., LIBOR or SOFR) for the loans can rise. As of the date of this report, LIBOR/SOFR for each of these loans did not exceed the strike interest rate</w:t>
      </w:r>
      <w:r>
        <w:rPr>
          <w:rFonts w:eastAsia="Times New Roman"/>
          <w:color w:val="000000"/>
          <w:sz w:val="20"/>
          <w:szCs w:val="20"/>
        </w:rPr>
        <w:t xml:space="preserve"> (the "Strike Rate") within the required interest rate cap agreement. If LIBOR/SOFR does exceed </w:t>
      </w:r>
    </w:p>
    <w:p w:rsidR="00000000" w:rsidRDefault="00BC0821">
      <w:pPr>
        <w:jc w:val="center"/>
        <w:divId w:val="1832332428"/>
        <w:rPr>
          <w:rFonts w:eastAsia="Times New Roman"/>
        </w:rPr>
      </w:pPr>
    </w:p>
    <w:p w:rsidR="00000000" w:rsidRDefault="00BC0821">
      <w:pPr>
        <w:jc w:val="center"/>
        <w:divId w:val="1832332428"/>
        <w:rPr>
          <w:rFonts w:eastAsia="Times New Roman"/>
        </w:rPr>
      </w:pPr>
      <w:r>
        <w:rPr>
          <w:rFonts w:eastAsia="Times New Roman"/>
          <w:color w:val="000000"/>
          <w:sz w:val="20"/>
          <w:szCs w:val="20"/>
        </w:rPr>
        <w:t>43</w:t>
      </w:r>
    </w:p>
    <w:p w:rsidR="00000000" w:rsidRDefault="00BC0821">
      <w:pPr>
        <w:rPr>
          <w:rFonts w:eastAsia="Times New Roman"/>
        </w:rPr>
      </w:pPr>
      <w:r>
        <w:rPr>
          <w:rFonts w:eastAsia="Times New Roman"/>
        </w:rPr>
        <w:pict>
          <v:rect id="_x0000_i1067" style="width:0;height:1.5pt" o:hralign="center" o:hrstd="t" o:hr="t" fillcolor="#a0a0a0" stroked="f"/>
        </w:pict>
      </w:r>
    </w:p>
    <w:p w:rsidR="00000000" w:rsidRDefault="00BC0821">
      <w:pPr>
        <w:divId w:val="148308588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129472091"/>
        <w:rPr>
          <w:rFonts w:eastAsia="Times New Roman"/>
        </w:rPr>
      </w:pPr>
      <w:r>
        <w:rPr>
          <w:rFonts w:eastAsia="Times New Roman"/>
          <w:color w:val="000000"/>
          <w:sz w:val="20"/>
          <w:szCs w:val="20"/>
        </w:rPr>
        <w:t>the Strike Rate, each of these loans would</w:t>
      </w:r>
      <w:r>
        <w:rPr>
          <w:rFonts w:eastAsia="Times New Roman"/>
          <w:color w:val="000000"/>
          <w:sz w:val="20"/>
          <w:szCs w:val="20"/>
        </w:rPr>
        <w:t xml:space="preserve"> then be considered fixed rate debt. If LIBOR/SOFR for these respective loans thereafter no longer exceeds the Strike Rate, then these loans would once again be considered floating rate debt. </w:t>
      </w:r>
    </w:p>
    <w:p w:rsidR="00000000" w:rsidRDefault="00BC0821">
      <w:pPr>
        <w:ind w:firstLine="495"/>
        <w:divId w:val="603223477"/>
        <w:rPr>
          <w:rFonts w:eastAsia="Times New Roman"/>
        </w:rPr>
      </w:pPr>
      <w:r>
        <w:rPr>
          <w:rFonts w:eastAsia="Times New Roman"/>
          <w:color w:val="000000"/>
          <w:sz w:val="20"/>
          <w:szCs w:val="20"/>
        </w:rPr>
        <w:t>In addition, the Company has assessed the market risk for its f</w:t>
      </w:r>
      <w:r>
        <w:rPr>
          <w:rFonts w:eastAsia="Times New Roman"/>
          <w:color w:val="000000"/>
          <w:sz w:val="20"/>
          <w:szCs w:val="20"/>
        </w:rPr>
        <w:t>loating rate debt and believes that a 1% increase in interest rates would decrease future earnings and cash flows by approximately $8.4 million per year based on $0.8 billion of floating rate debt outstanding at September 30, 2022.</w:t>
      </w:r>
    </w:p>
    <w:p w:rsidR="00000000" w:rsidRDefault="00BC0821">
      <w:pPr>
        <w:ind w:firstLine="495"/>
        <w:divId w:val="1031224201"/>
        <w:rPr>
          <w:rFonts w:eastAsia="Times New Roman"/>
        </w:rPr>
      </w:pPr>
      <w:r>
        <w:rPr>
          <w:rFonts w:eastAsia="Times New Roman"/>
          <w:color w:val="000000"/>
          <w:sz w:val="20"/>
          <w:szCs w:val="20"/>
        </w:rPr>
        <w:t>The fair value of the Co</w:t>
      </w:r>
      <w:r>
        <w:rPr>
          <w:rFonts w:eastAsia="Times New Roman"/>
          <w:color w:val="000000"/>
          <w:sz w:val="20"/>
          <w:szCs w:val="20"/>
        </w:rPr>
        <w:t>mpany's long-term debt is estimated based on a present value model utilizing interest rates that reflect the risks associated with long-term debt of similar risk and duration. In addition, the method of computing fair value for mortgage notes payable inclu</w:t>
      </w:r>
      <w:r>
        <w:rPr>
          <w:rFonts w:eastAsia="Times New Roman"/>
          <w:color w:val="000000"/>
          <w:sz w:val="20"/>
          <w:szCs w:val="20"/>
        </w:rPr>
        <w:t>ded a credit value adjustment based on the estimated value of the property that serves as collateral for the underlying debt (See Note 10—Mortgage Notes Payable and Note 11—Bank and Other Notes Payable in the Company's Notes to the Consolidated Financial S</w:t>
      </w:r>
      <w:r>
        <w:rPr>
          <w:rFonts w:eastAsia="Times New Roman"/>
          <w:color w:val="000000"/>
          <w:sz w:val="20"/>
          <w:szCs w:val="20"/>
        </w:rPr>
        <w:t>tatements).</w:t>
      </w:r>
    </w:p>
    <w:p w:rsidR="00000000" w:rsidRDefault="00BC0821">
      <w:pPr>
        <w:ind w:firstLine="495"/>
        <w:divId w:val="73288249"/>
        <w:rPr>
          <w:rFonts w:eastAsia="Times New Roman"/>
        </w:rPr>
      </w:pPr>
      <w:r>
        <w:rPr>
          <w:rFonts w:eastAsia="Times New Roman"/>
          <w:color w:val="000000"/>
          <w:sz w:val="20"/>
          <w:szCs w:val="20"/>
        </w:rPr>
        <w:t xml:space="preserve">The LIBOR benchmark has been the subject of national, international and other regulatory guidance and proposals for reform and replacement, with most LIBOR settings relevant to the Company not expected to be published after June 30, 2023. As a </w:t>
      </w:r>
      <w:r>
        <w:rPr>
          <w:rFonts w:eastAsia="Times New Roman"/>
          <w:color w:val="000000"/>
          <w:sz w:val="20"/>
          <w:szCs w:val="20"/>
        </w:rPr>
        <w:t>result, any of the Company's LIBOR-based borrowings that extend beyond such date will need to be converted to a replacement rate. If a contract is not transitioned to an alternative variable rate and LIBOR is discontinued, the impact is likely to vary by c</w:t>
      </w:r>
      <w:r>
        <w:rPr>
          <w:rFonts w:eastAsia="Times New Roman"/>
          <w:color w:val="000000"/>
          <w:sz w:val="20"/>
          <w:szCs w:val="20"/>
        </w:rPr>
        <w:t>ontract. As of September 30, 2022, each of the agreements governing the Company's variable rate debt provides for the replacement of LIBOR if it becomes unavailable during the term of such agreement.</w:t>
      </w:r>
    </w:p>
    <w:p w:rsidR="00000000" w:rsidRDefault="00BC0821">
      <w:pPr>
        <w:ind w:firstLine="495"/>
        <w:divId w:val="65807604"/>
        <w:rPr>
          <w:rFonts w:eastAsia="Times New Roman"/>
        </w:rPr>
      </w:pPr>
      <w:r>
        <w:rPr>
          <w:rFonts w:eastAsia="Times New Roman"/>
          <w:color w:val="000000"/>
          <w:sz w:val="20"/>
          <w:szCs w:val="20"/>
        </w:rPr>
        <w:t>The discontinuation of LIBOR will not affect the Company</w:t>
      </w:r>
      <w:r>
        <w:rPr>
          <w:rFonts w:eastAsia="Times New Roman"/>
          <w:color w:val="000000"/>
          <w:sz w:val="20"/>
          <w:szCs w:val="20"/>
        </w:rPr>
        <w:t>'s ability to borrow or maintain already outstanding borrowings or swaps, but if the Company's contracts indexed to LIBOR, including certain contracts governing the Company's variable rate debt, the variable rate debt of the Company's joint ventures and th</w:t>
      </w:r>
      <w:r>
        <w:rPr>
          <w:rFonts w:eastAsia="Times New Roman"/>
          <w:color w:val="000000"/>
          <w:sz w:val="20"/>
          <w:szCs w:val="20"/>
        </w:rPr>
        <w:t>e Company's interest rate swaps, are converted to an alternative rate, the differences could result in interest costs that are higher than if LIBOR remained available. It is not yet possible to predict the magnitude of LIBOR’s end on the Company's borrowin</w:t>
      </w:r>
      <w:r>
        <w:rPr>
          <w:rFonts w:eastAsia="Times New Roman"/>
          <w:color w:val="000000"/>
          <w:sz w:val="20"/>
          <w:szCs w:val="20"/>
        </w:rPr>
        <w:t xml:space="preserve">g costs given the remaining uncertainty about which rates will replace LIBOR. </w:t>
      </w:r>
    </w:p>
    <w:p w:rsidR="00000000" w:rsidRDefault="00BC0821">
      <w:pPr>
        <w:ind w:hanging="360"/>
        <w:divId w:val="1044674671"/>
        <w:rPr>
          <w:rFonts w:eastAsia="Times New Roman"/>
        </w:rPr>
      </w:pPr>
      <w:r>
        <w:rPr>
          <w:rFonts w:eastAsia="Times New Roman"/>
          <w:b/>
          <w:bCs/>
          <w:color w:val="000000"/>
          <w:sz w:val="20"/>
          <w:szCs w:val="20"/>
        </w:rPr>
        <w:t>Item 4.    Controls and Procedures</w:t>
      </w:r>
    </w:p>
    <w:p w:rsidR="00000000" w:rsidRDefault="00BC0821">
      <w:pPr>
        <w:ind w:firstLine="495"/>
        <w:divId w:val="1423258604"/>
        <w:rPr>
          <w:rFonts w:eastAsia="Times New Roman"/>
        </w:rPr>
      </w:pPr>
      <w:r>
        <w:rPr>
          <w:rFonts w:eastAsia="Times New Roman"/>
          <w:color w:val="000000"/>
          <w:sz w:val="20"/>
          <w:szCs w:val="20"/>
        </w:rPr>
        <w:t>As required by Rule </w:t>
      </w:r>
      <w:r>
        <w:rPr>
          <w:rFonts w:eastAsia="Times New Roman"/>
          <w:color w:val="000000"/>
          <w:sz w:val="20"/>
          <w:szCs w:val="20"/>
        </w:rPr>
        <w:t>13a-15(b) under the Securities Exchange Act of 1934, management carried out an evaluation, under the supervision and with the participation of the Company's Chief Executive Officer and Chief Financial Officer, of the effectiveness of the Company's disclosu</w:t>
      </w:r>
      <w:r>
        <w:rPr>
          <w:rFonts w:eastAsia="Times New Roman"/>
          <w:color w:val="000000"/>
          <w:sz w:val="20"/>
          <w:szCs w:val="20"/>
        </w:rPr>
        <w:t>re controls and procedures as of the end of the period covered by this Quarterly Report on Form 10-Q. Based on their evaluation as of September 30, 2022, the Company's Chief Executive Officer and Chief Financial Officer have concluded that the Company's di</w:t>
      </w:r>
      <w:r>
        <w:rPr>
          <w:rFonts w:eastAsia="Times New Roman"/>
          <w:color w:val="000000"/>
          <w:sz w:val="20"/>
          <w:szCs w:val="20"/>
        </w:rPr>
        <w:t>sclosure controls and procedures (as defined in Rule 13a-15(e) and 15d-15(e) under the Securities Exchange Act of 1934, as amended) were effective to ensure that the information required to be disclosed by the Company in the reports that it files or submit</w:t>
      </w:r>
      <w:r>
        <w:rPr>
          <w:rFonts w:eastAsia="Times New Roman"/>
          <w:color w:val="000000"/>
          <w:sz w:val="20"/>
          <w:szCs w:val="20"/>
        </w:rPr>
        <w:t xml:space="preserve">s under the Securities Exchange Act of 1934 is (a) recorded, processed, summarized, and reported within the time periods specified in the SEC's rules and forms and (b) accumulated and communicated to the Company's management, including its Chief Executive </w:t>
      </w:r>
      <w:r>
        <w:rPr>
          <w:rFonts w:eastAsia="Times New Roman"/>
          <w:color w:val="000000"/>
          <w:sz w:val="20"/>
          <w:szCs w:val="20"/>
        </w:rPr>
        <w:t>Officer and Chief Financial Officer, or persons performing similar functions, as appropriate to allow timely decisions regarding required disclosure.</w:t>
      </w:r>
    </w:p>
    <w:p w:rsidR="00000000" w:rsidRDefault="00BC0821">
      <w:pPr>
        <w:ind w:firstLine="495"/>
        <w:divId w:val="1844271730"/>
        <w:rPr>
          <w:rFonts w:eastAsia="Times New Roman"/>
        </w:rPr>
      </w:pPr>
      <w:r>
        <w:rPr>
          <w:rFonts w:eastAsia="Times New Roman"/>
          <w:color w:val="000000"/>
          <w:sz w:val="20"/>
          <w:szCs w:val="20"/>
        </w:rPr>
        <w:t xml:space="preserve">In addition, there has been no change in the Company's internal control over financial reporting (as such </w:t>
      </w:r>
      <w:r>
        <w:rPr>
          <w:rFonts w:eastAsia="Times New Roman"/>
          <w:color w:val="000000"/>
          <w:sz w:val="20"/>
          <w:szCs w:val="20"/>
        </w:rPr>
        <w:t>term is defined in Rules 13a-15(f) and 15(d)-15(f) under the Securities Exchange Act of 1934) that occurred during the Company's most recent fiscal quarter that has materially affected, or is reasonably likely to materially affect, the Company's internal c</w:t>
      </w:r>
      <w:r>
        <w:rPr>
          <w:rFonts w:eastAsia="Times New Roman"/>
          <w:color w:val="000000"/>
          <w:sz w:val="20"/>
          <w:szCs w:val="20"/>
        </w:rPr>
        <w:t>ontrol over financial reporting.</w:t>
      </w:r>
    </w:p>
    <w:p w:rsidR="00000000" w:rsidRDefault="00BC0821">
      <w:pPr>
        <w:jc w:val="center"/>
        <w:divId w:val="1616789490"/>
        <w:rPr>
          <w:rFonts w:eastAsia="Times New Roman"/>
        </w:rPr>
      </w:pPr>
      <w:r>
        <w:rPr>
          <w:rFonts w:eastAsia="Times New Roman"/>
          <w:b/>
          <w:bCs/>
          <w:color w:val="000000"/>
          <w:sz w:val="20"/>
          <w:szCs w:val="20"/>
        </w:rPr>
        <w:t>PART II OTHER INFORMATION</w:t>
      </w:r>
    </w:p>
    <w:p w:rsidR="00000000" w:rsidRDefault="00BC0821">
      <w:pPr>
        <w:divId w:val="861630866"/>
        <w:rPr>
          <w:rFonts w:eastAsia="Times New Roman"/>
        </w:rPr>
      </w:pPr>
      <w:r>
        <w:rPr>
          <w:rFonts w:eastAsia="Times New Roman"/>
          <w:b/>
          <w:bCs/>
          <w:color w:val="000000"/>
          <w:sz w:val="20"/>
          <w:szCs w:val="20"/>
        </w:rPr>
        <w:t>Item 1.   Legal Proceedings</w:t>
      </w:r>
    </w:p>
    <w:p w:rsidR="00000000" w:rsidRDefault="00BC0821">
      <w:pPr>
        <w:ind w:firstLine="495"/>
        <w:divId w:val="689836756"/>
        <w:rPr>
          <w:rFonts w:eastAsia="Times New Roman"/>
        </w:rPr>
      </w:pPr>
      <w:r>
        <w:rPr>
          <w:rFonts w:eastAsia="Times New Roman"/>
          <w:color w:val="000000"/>
          <w:sz w:val="20"/>
          <w:szCs w:val="20"/>
        </w:rPr>
        <w:t>None of the Company, the Operating Partnership, the Management Companies or their respective affiliates are currently involved in any material legal proceedings, althoug</w:t>
      </w:r>
      <w:r>
        <w:rPr>
          <w:rFonts w:eastAsia="Times New Roman"/>
          <w:color w:val="000000"/>
          <w:sz w:val="20"/>
          <w:szCs w:val="20"/>
        </w:rPr>
        <w:t>h from time-to-time they are involved in various legal proceedings that arise in the ordinary course of business.</w:t>
      </w:r>
    </w:p>
    <w:p w:rsidR="00000000" w:rsidRDefault="00BC0821">
      <w:pPr>
        <w:divId w:val="1800801260"/>
        <w:rPr>
          <w:rFonts w:eastAsia="Times New Roman"/>
        </w:rPr>
      </w:pPr>
      <w:r>
        <w:rPr>
          <w:rFonts w:eastAsia="Times New Roman"/>
          <w:b/>
          <w:bCs/>
          <w:color w:val="000000"/>
          <w:sz w:val="20"/>
          <w:szCs w:val="20"/>
        </w:rPr>
        <w:t>Item 1A.  Risk Factors</w:t>
      </w:r>
    </w:p>
    <w:p w:rsidR="00000000" w:rsidRDefault="00BC0821">
      <w:pPr>
        <w:ind w:firstLine="495"/>
        <w:divId w:val="1650209552"/>
        <w:rPr>
          <w:rFonts w:eastAsia="Times New Roman"/>
        </w:rPr>
      </w:pPr>
      <w:r>
        <w:rPr>
          <w:rFonts w:eastAsia="Times New Roman"/>
          <w:color w:val="000000"/>
          <w:sz w:val="20"/>
          <w:szCs w:val="20"/>
        </w:rPr>
        <w:t>There have been no material changes to the risk factors relating to the Company set forth under the caption "Item 1A. R</w:t>
      </w:r>
      <w:r>
        <w:rPr>
          <w:rFonts w:eastAsia="Times New Roman"/>
          <w:color w:val="000000"/>
          <w:sz w:val="20"/>
          <w:szCs w:val="20"/>
        </w:rPr>
        <w:t>isk Factors" in the Company's Annual Report on Form 10-K for the year ended December 31, 2021.</w:t>
      </w:r>
    </w:p>
    <w:p w:rsidR="00000000" w:rsidRDefault="00BC0821">
      <w:pPr>
        <w:ind w:firstLine="495"/>
        <w:divId w:val="23219268"/>
        <w:rPr>
          <w:rFonts w:eastAsia="Times New Roman"/>
        </w:rPr>
      </w:pPr>
    </w:p>
    <w:p w:rsidR="00000000" w:rsidRDefault="00BC0821">
      <w:pPr>
        <w:ind w:firstLine="495"/>
        <w:divId w:val="1510175744"/>
        <w:rPr>
          <w:rFonts w:eastAsia="Times New Roman"/>
        </w:rPr>
      </w:pPr>
    </w:p>
    <w:p w:rsidR="00000000" w:rsidRDefault="00BC0821">
      <w:pPr>
        <w:ind w:firstLine="495"/>
        <w:divId w:val="1299725253"/>
        <w:rPr>
          <w:rFonts w:eastAsia="Times New Roman"/>
        </w:rPr>
      </w:pPr>
    </w:p>
    <w:p w:rsidR="00000000" w:rsidRDefault="00BC0821">
      <w:pPr>
        <w:jc w:val="center"/>
        <w:divId w:val="329257674"/>
        <w:rPr>
          <w:rFonts w:eastAsia="Times New Roman"/>
        </w:rPr>
      </w:pPr>
    </w:p>
    <w:p w:rsidR="00000000" w:rsidRDefault="00BC0821">
      <w:pPr>
        <w:jc w:val="center"/>
        <w:divId w:val="329257674"/>
        <w:rPr>
          <w:rFonts w:eastAsia="Times New Roman"/>
        </w:rPr>
      </w:pPr>
      <w:r>
        <w:rPr>
          <w:rFonts w:eastAsia="Times New Roman"/>
          <w:color w:val="000000"/>
          <w:sz w:val="20"/>
          <w:szCs w:val="20"/>
        </w:rPr>
        <w:t>44</w:t>
      </w:r>
    </w:p>
    <w:p w:rsidR="00000000" w:rsidRDefault="00BC0821">
      <w:pPr>
        <w:rPr>
          <w:rFonts w:eastAsia="Times New Roman"/>
        </w:rPr>
      </w:pPr>
      <w:r>
        <w:rPr>
          <w:rFonts w:eastAsia="Times New Roman"/>
        </w:rPr>
        <w:pict>
          <v:rect id="_x0000_i1068" style="width:0;height:1.5pt" o:hralign="center" o:hrstd="t" o:hr="t" fillcolor="#a0a0a0" stroked="f"/>
        </w:pict>
      </w:r>
    </w:p>
    <w:p w:rsidR="00000000" w:rsidRDefault="00BC0821">
      <w:pPr>
        <w:divId w:val="1127120828"/>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44510951"/>
        <w:rPr>
          <w:rFonts w:eastAsia="Times New Roman"/>
        </w:rPr>
      </w:pPr>
      <w:r>
        <w:rPr>
          <w:rFonts w:eastAsia="Times New Roman"/>
          <w:b/>
          <w:bCs/>
          <w:color w:val="000000"/>
          <w:sz w:val="20"/>
          <w:szCs w:val="20"/>
        </w:rPr>
        <w:t>Item 2.  </w:t>
      </w:r>
      <w:r>
        <w:rPr>
          <w:rFonts w:eastAsia="Times New Roman"/>
          <w:b/>
          <w:bCs/>
          <w:color w:val="000000"/>
          <w:sz w:val="20"/>
          <w:szCs w:val="20"/>
        </w:rPr>
        <w:t>Unregistered Sales of Equity Securities and Use of Proceeds</w:t>
      </w:r>
    </w:p>
    <w:p w:rsidR="00000000" w:rsidRDefault="00BC0821">
      <w:pPr>
        <w:ind w:firstLine="495"/>
        <w:divId w:val="348218395"/>
        <w:rPr>
          <w:rFonts w:eastAsia="Times New Roman"/>
        </w:rPr>
      </w:pPr>
      <w:r>
        <w:rPr>
          <w:rFonts w:eastAsia="Times New Roman"/>
          <w:color w:val="000000"/>
          <w:sz w:val="20"/>
          <w:szCs w:val="20"/>
        </w:rPr>
        <w:t>On July 7, 2022, the Company, as general partner of the Operating Partnership, issued 11,027 shares of common stock of the Company upon the redemption of 11,027 common partnership units of the Ope</w:t>
      </w:r>
      <w:r>
        <w:rPr>
          <w:rFonts w:eastAsia="Times New Roman"/>
          <w:color w:val="000000"/>
          <w:sz w:val="20"/>
          <w:szCs w:val="20"/>
        </w:rPr>
        <w:t>rating Partnership. These shares of common stock were issued in a private placement to a limited partner of the Operating Partnership, an accredited investor, pursuant to Section 4(a)(2) of the Securities Act of 1933, as amended.</w:t>
      </w:r>
    </w:p>
    <w:p w:rsidR="00000000" w:rsidRDefault="00BC0821">
      <w:pPr>
        <w:divId w:val="461925729"/>
        <w:rPr>
          <w:rFonts w:eastAsia="Times New Roman"/>
        </w:rPr>
      </w:pPr>
      <w:r>
        <w:rPr>
          <w:rFonts w:eastAsia="Times New Roman"/>
          <w:b/>
          <w:bCs/>
          <w:color w:val="000000"/>
          <w:sz w:val="20"/>
          <w:szCs w:val="20"/>
        </w:rPr>
        <w:t>Issuer Purchases of Equity</w:t>
      </w:r>
      <w:r>
        <w:rPr>
          <w:rFonts w:eastAsia="Times New Roman"/>
          <w:b/>
          <w:bCs/>
          <w:color w:val="000000"/>
          <w:sz w:val="20"/>
          <w:szCs w:val="20"/>
        </w:rPr>
        <w:t xml:space="preserve">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7"/>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09"/>
        <w:gridCol w:w="36"/>
      </w:tblGrid>
      <w:tr w:rsidR="00000000">
        <w:trPr>
          <w:divId w:val="461925729"/>
        </w:trPr>
        <w:tc>
          <w:tcPr>
            <w:tcW w:w="50" w:type="pct"/>
            <w:vAlign w:val="center"/>
            <w:hideMark/>
          </w:tcPr>
          <w:p w:rsidR="00000000" w:rsidRDefault="00BC0821">
            <w:pPr>
              <w:rPr>
                <w:rFonts w:eastAsia="Times New Roman"/>
              </w:rPr>
            </w:pPr>
          </w:p>
        </w:tc>
        <w:tc>
          <w:tcPr>
            <w:tcW w:w="151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3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2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54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10"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23"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71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8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461925729"/>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r>
      <w:tr w:rsidR="00000000">
        <w:trPr>
          <w:divId w:val="4619257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July 1, 2022 to July 31, 2022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r>
      <w:tr w:rsidR="00000000">
        <w:trPr>
          <w:divId w:val="46192572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August 1, 2022 to August 31, 2022</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r>
      <w:tr w:rsidR="00000000">
        <w:trPr>
          <w:divId w:val="461925729"/>
        </w:trPr>
        <w:tc>
          <w:tcPr>
            <w:tcW w:w="0" w:type="auto"/>
            <w:gridSpan w:val="3"/>
            <w:shd w:val="clear" w:color="auto" w:fill="CCEE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September 1, 2022 to September 30, 2022</w:t>
            </w: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r>
      <w:tr w:rsidR="00000000">
        <w:trPr>
          <w:divId w:val="461925729"/>
        </w:trPr>
        <w:tc>
          <w:tcPr>
            <w:tcW w:w="0" w:type="auto"/>
            <w:gridSpan w:val="3"/>
            <w:shd w:val="clear" w:color="auto" w:fill="FFFFFF"/>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BC082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082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082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ind w:hanging="630"/>
        <w:divId w:val="1076317623"/>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rsidR="00000000" w:rsidRDefault="00BC0821">
      <w:pPr>
        <w:divId w:val="1925453401"/>
        <w:rPr>
          <w:rFonts w:eastAsia="Times New Roman"/>
        </w:rPr>
      </w:pPr>
      <w:r>
        <w:rPr>
          <w:rFonts w:eastAsia="Times New Roman"/>
          <w:b/>
          <w:bCs/>
          <w:color w:val="000000"/>
          <w:sz w:val="20"/>
          <w:szCs w:val="20"/>
        </w:rPr>
        <w:t>Item 3.  Defaults Upon Senior Securities</w:t>
      </w:r>
    </w:p>
    <w:p w:rsidR="00000000" w:rsidRDefault="00BC0821">
      <w:pPr>
        <w:ind w:firstLine="495"/>
        <w:divId w:val="1798907586"/>
        <w:rPr>
          <w:rFonts w:eastAsia="Times New Roman"/>
        </w:rPr>
      </w:pPr>
      <w:r>
        <w:rPr>
          <w:rFonts w:eastAsia="Times New Roman"/>
          <w:color w:val="000000"/>
          <w:sz w:val="20"/>
          <w:szCs w:val="20"/>
        </w:rPr>
        <w:t>Not Applicable</w:t>
      </w:r>
    </w:p>
    <w:p w:rsidR="00000000" w:rsidRDefault="00BC0821">
      <w:pPr>
        <w:divId w:val="2084066310"/>
        <w:rPr>
          <w:rFonts w:eastAsia="Times New Roman"/>
        </w:rPr>
      </w:pPr>
      <w:r>
        <w:rPr>
          <w:rFonts w:eastAsia="Times New Roman"/>
          <w:b/>
          <w:bCs/>
          <w:color w:val="000000"/>
          <w:sz w:val="20"/>
          <w:szCs w:val="20"/>
        </w:rPr>
        <w:t>Item 4.  Mine Safety Disclosures</w:t>
      </w:r>
    </w:p>
    <w:p w:rsidR="00000000" w:rsidRDefault="00BC0821">
      <w:pPr>
        <w:ind w:firstLine="495"/>
        <w:divId w:val="309138952"/>
        <w:rPr>
          <w:rFonts w:eastAsia="Times New Roman"/>
        </w:rPr>
      </w:pPr>
      <w:r>
        <w:rPr>
          <w:rFonts w:eastAsia="Times New Roman"/>
          <w:color w:val="000000"/>
          <w:sz w:val="20"/>
          <w:szCs w:val="20"/>
        </w:rPr>
        <w:t>Not Applicable</w:t>
      </w:r>
    </w:p>
    <w:p w:rsidR="00000000" w:rsidRDefault="00BC0821">
      <w:pPr>
        <w:divId w:val="1254167042"/>
        <w:rPr>
          <w:rFonts w:eastAsia="Times New Roman"/>
        </w:rPr>
      </w:pPr>
      <w:r>
        <w:rPr>
          <w:rFonts w:eastAsia="Times New Roman"/>
          <w:b/>
          <w:bCs/>
          <w:color w:val="000000"/>
          <w:sz w:val="20"/>
          <w:szCs w:val="20"/>
        </w:rPr>
        <w:t>Item 5.  Other Information</w:t>
      </w:r>
    </w:p>
    <w:p w:rsidR="00000000" w:rsidRDefault="00BC0821">
      <w:pPr>
        <w:ind w:firstLine="495"/>
        <w:divId w:val="1993605461"/>
        <w:rPr>
          <w:rFonts w:eastAsia="Times New Roman"/>
        </w:rPr>
      </w:pPr>
      <w:r>
        <w:rPr>
          <w:rFonts w:eastAsia="Times New Roman"/>
          <w:color w:val="000000"/>
          <w:sz w:val="20"/>
          <w:szCs w:val="20"/>
        </w:rPr>
        <w:t>Not Applicable</w:t>
      </w:r>
    </w:p>
    <w:p w:rsidR="00000000" w:rsidRDefault="00BC0821">
      <w:pPr>
        <w:jc w:val="center"/>
        <w:divId w:val="485518193"/>
        <w:rPr>
          <w:rFonts w:eastAsia="Times New Roman"/>
        </w:rPr>
      </w:pPr>
    </w:p>
    <w:p w:rsidR="00000000" w:rsidRDefault="00BC0821">
      <w:pPr>
        <w:jc w:val="center"/>
        <w:divId w:val="485518193"/>
        <w:rPr>
          <w:rFonts w:eastAsia="Times New Roman"/>
        </w:rPr>
      </w:pPr>
      <w:r>
        <w:rPr>
          <w:rFonts w:eastAsia="Times New Roman"/>
          <w:color w:val="000000"/>
          <w:sz w:val="20"/>
          <w:szCs w:val="20"/>
        </w:rPr>
        <w:t>45</w:t>
      </w:r>
    </w:p>
    <w:p w:rsidR="00000000" w:rsidRDefault="00BC0821">
      <w:pPr>
        <w:rPr>
          <w:rFonts w:eastAsia="Times New Roman"/>
        </w:rPr>
      </w:pPr>
      <w:r>
        <w:rPr>
          <w:rFonts w:eastAsia="Times New Roman"/>
        </w:rPr>
        <w:pict>
          <v:rect id="_x0000_i1069" style="width:0;height:1.5pt" o:hralign="center" o:hrstd="t" o:hr="t" fillcolor="#a0a0a0" stroked="f"/>
        </w:pict>
      </w:r>
    </w:p>
    <w:p w:rsidR="00000000" w:rsidRDefault="00BC0821">
      <w:pPr>
        <w:divId w:val="1679186276"/>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1424953250"/>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9"/>
        <w:gridCol w:w="617"/>
        <w:gridCol w:w="36"/>
        <w:gridCol w:w="36"/>
        <w:gridCol w:w="36"/>
        <w:gridCol w:w="36"/>
        <w:gridCol w:w="45"/>
        <w:gridCol w:w="7368"/>
        <w:gridCol w:w="38"/>
      </w:tblGrid>
      <w:tr w:rsidR="00000000">
        <w:trPr>
          <w:divId w:val="1424953250"/>
        </w:trPr>
        <w:tc>
          <w:tcPr>
            <w:tcW w:w="50" w:type="pct"/>
            <w:vAlign w:val="center"/>
            <w:hideMark/>
          </w:tcPr>
          <w:p w:rsidR="00000000" w:rsidRDefault="00BC0821">
            <w:pPr>
              <w:rPr>
                <w:rFonts w:eastAsia="Times New Roman"/>
              </w:rPr>
            </w:pPr>
          </w:p>
        </w:tc>
        <w:tc>
          <w:tcPr>
            <w:tcW w:w="39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6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424953250"/>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Description</w:t>
            </w:r>
          </w:p>
        </w:tc>
      </w:tr>
      <w:tr w:rsidR="00000000">
        <w:trPr>
          <w:divId w:val="1424953250"/>
        </w:trPr>
        <w:tc>
          <w:tcPr>
            <w:tcW w:w="0" w:type="auto"/>
            <w:gridSpan w:val="3"/>
            <w:tcBorders>
              <w:top w:val="single" w:sz="8" w:space="0" w:color="000000"/>
            </w:tcBorders>
            <w:tcMar>
              <w:top w:w="30" w:type="dxa"/>
              <w:left w:w="20" w:type="dxa"/>
              <w:bottom w:w="30" w:type="dxa"/>
              <w:right w:w="20" w:type="dxa"/>
            </w:tcMar>
            <w:hideMark/>
          </w:tcPr>
          <w:p w:rsidR="00000000" w:rsidRDefault="00BC0821">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BC0821">
            <w:pPr>
              <w:spacing w:after="100"/>
              <w:divId w:val="1202980565"/>
              <w:rPr>
                <w:rFonts w:eastAsia="Times New Roman"/>
              </w:rPr>
            </w:pPr>
            <w:hyperlink r:id="rId5" w:history="1">
              <w:r>
                <w:rPr>
                  <w:rStyle w:val="a3"/>
                  <w:rFonts w:eastAsia="Times New Roman"/>
                  <w:sz w:val="20"/>
                  <w:szCs w:val="20"/>
                </w:rPr>
                <w:t>Master Agreement, dated November 14, 2014, by and among Pacific Premier Retail LP, MACPT LLC, Macerich PPR GP LLC, Queens JV LP, Macerich Queens JV LP, Qu</w:t>
              </w:r>
              <w:r>
                <w:rPr>
                  <w:rStyle w:val="a3"/>
                  <w:rFonts w:eastAsia="Times New Roman"/>
                  <w:sz w:val="20"/>
                  <w:szCs w:val="20"/>
                </w:rPr>
                <w:t>eens JV GP LLC, 1700480 Ontario Inc. and the Company (incorporated by reference as an exhibit to the Company’s Current Report on Form 8-K, event date November 14, 2014).</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875198433"/>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66929264"/>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307315487"/>
              <w:rPr>
                <w:rFonts w:eastAsia="Times New Roman"/>
              </w:rPr>
            </w:pPr>
            <w:hyperlink r:id="rId11" w:history="1">
              <w:r>
                <w:rPr>
                  <w:rStyle w:val="a3"/>
                  <w:rFonts w:eastAsia="Times New Roman"/>
                  <w:sz w:val="20"/>
                  <w:szCs w:val="20"/>
                </w:rPr>
                <w:t>Articles Supplementary of the Company (incorporated by reference as an exhibit to the Company's Registration Statement on Form S-3, as amended (No. 333-88718)).</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671172694"/>
              <w:rPr>
                <w:rFonts w:eastAsia="Times New Roman"/>
              </w:rPr>
            </w:pPr>
            <w:hyperlink r:id="rId13"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768884620"/>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099520914"/>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382291890"/>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(incorporated by reference as an exhibit to the Company’s Current Report on Form 8-K, event date May 30</w:t>
              </w:r>
              <w:r>
                <w:rPr>
                  <w:rStyle w:val="a3"/>
                  <w:rFonts w:eastAsia="Times New Roman"/>
                  <w:sz w:val="20"/>
                  <w:szCs w:val="20"/>
                </w:rPr>
                <w:t>, 2014).</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62034066"/>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w:t>
              </w:r>
              <w:r>
                <w:rPr>
                  <w:rStyle w:val="a3"/>
                  <w:rFonts w:eastAsia="Times New Roman"/>
                  <w:sz w:val="20"/>
                  <w:szCs w:val="20"/>
                </w:rPr>
                <w:t>hibit to the Company’s Current Report on Form 8-K, event date March 17, 2015).</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270309154"/>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divId w:val="1955094453"/>
              <w:rPr>
                <w:rFonts w:eastAsia="Times New Roman"/>
              </w:rPr>
            </w:pPr>
            <w:hyperlink r:id="rId25" w:history="1">
              <w:r>
                <w:rPr>
                  <w:rStyle w:val="a3"/>
                  <w:rFonts w:eastAsia="Times New Roman"/>
                  <w:sz w:val="20"/>
                  <w:szCs w:val="20"/>
                </w:rPr>
                <w:t>Articles Supplementary of the Company (reclassification of Series E Preferred Stock to Preferred Stock) (incorporated by reference as an exhibit to the Company’s Current Report on Form 8-K, event date May 7, 2015).</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divId w:val="1207522998"/>
              <w:rPr>
                <w:rFonts w:eastAsia="Times New Roman"/>
              </w:rPr>
            </w:pPr>
            <w:hyperlink r:id="rId27" w:history="1">
              <w:r>
                <w:rPr>
                  <w:rStyle w:val="a3"/>
                  <w:rFonts w:eastAsia="Times New Roman"/>
                  <w:sz w:val="20"/>
                  <w:szCs w:val="20"/>
                </w:rPr>
                <w:t>Articles Supplementary of the Company (r</w:t>
              </w:r>
              <w:r>
                <w:rPr>
                  <w:rStyle w:val="a3"/>
                  <w:rFonts w:eastAsia="Times New Roman"/>
                  <w:sz w:val="20"/>
                  <w:szCs w:val="20"/>
                </w:rPr>
                <w:t>epeal of election to be subject to Section 3-803 of the Maryland General Corporation Law) (incorporated by reference as an exhibit to the Company’s Current Report on Form 8-K, event date May 28, 2015).</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divId w:val="457380709"/>
              <w:rPr>
                <w:rFonts w:eastAsia="Times New Roman"/>
              </w:rPr>
            </w:pPr>
            <w:hyperlink r:id="rId29" w:history="1">
              <w:r>
                <w:rPr>
                  <w:rStyle w:val="a3"/>
                  <w:rFonts w:eastAsia="Times New Roman"/>
                  <w:sz w:val="20"/>
                  <w:szCs w:val="20"/>
                </w:rPr>
                <w:t>Articles Supplementary of the Company (opting out of provisions of Subtitle 8 of Title 3 of the Mar</w:t>
              </w:r>
              <w:r>
                <w:rPr>
                  <w:rStyle w:val="a3"/>
                  <w:rFonts w:eastAsia="Times New Roman"/>
                  <w:sz w:val="20"/>
                  <w:szCs w:val="20"/>
                </w:rPr>
                <w:t>yland General Corporate Law (MUTA provisions)) (incorporated by reference as an exhibit to the Company’s Current Report on Form 8-K, event date April 24, 2019).</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30"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71085783"/>
              <w:rPr>
                <w:rFonts w:eastAsia="Times New Roman"/>
              </w:rPr>
            </w:pPr>
            <w:hyperlink r:id="rId31" w:history="1">
              <w:r>
                <w:rPr>
                  <w:rStyle w:val="a3"/>
                  <w:rFonts w:eastAsia="Times New Roman"/>
                  <w:sz w:val="20"/>
                  <w:szCs w:val="20"/>
                </w:rPr>
                <w:t>Articles of Amendment of the Company (increased authorized shares) (incorporated by reference as an exhibit to the Company's current Report on Form 8-K, event date May 28, 2021).</w:t>
              </w:r>
            </w:hyperlink>
          </w:p>
        </w:tc>
      </w:tr>
      <w:tr w:rsidR="00000000">
        <w:trPr>
          <w:divId w:val="1424953250"/>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3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34171331"/>
              <w:rPr>
                <w:rFonts w:eastAsia="Times New Roman"/>
              </w:rPr>
            </w:pPr>
            <w:hyperlink r:id="rId33" w:history="1">
              <w:r>
                <w:rPr>
                  <w:rStyle w:val="a3"/>
                  <w:rFonts w:eastAsia="Times New Roman"/>
                  <w:sz w:val="20"/>
                  <w:szCs w:val="20"/>
                </w:rPr>
                <w:t>Amended and Restated Bylaws of the Company (incorporated by reference as an exhibit to the Company's Current Report on Form 8</w:t>
              </w:r>
              <w:r>
                <w:rPr>
                  <w:rStyle w:val="a3"/>
                  <w:rFonts w:eastAsia="Times New Roman"/>
                  <w:sz w:val="20"/>
                  <w:szCs w:val="20"/>
                </w:rPr>
                <w:t>-K, event date April 24, 2019).</w:t>
              </w:r>
            </w:hyperlink>
          </w:p>
        </w:tc>
      </w:tr>
    </w:tbl>
    <w:p w:rsidR="00000000" w:rsidRDefault="00BC0821">
      <w:pPr>
        <w:divId w:val="1473517667"/>
        <w:rPr>
          <w:rFonts w:eastAsia="Times New Roman"/>
        </w:rPr>
      </w:pPr>
    </w:p>
    <w:p w:rsidR="00000000" w:rsidRDefault="00BC0821">
      <w:pPr>
        <w:jc w:val="center"/>
        <w:divId w:val="220411419"/>
        <w:rPr>
          <w:rFonts w:eastAsia="Times New Roman"/>
        </w:rPr>
      </w:pPr>
    </w:p>
    <w:p w:rsidR="00000000" w:rsidRDefault="00BC0821">
      <w:pPr>
        <w:jc w:val="center"/>
        <w:divId w:val="220411419"/>
        <w:rPr>
          <w:rFonts w:eastAsia="Times New Roman"/>
        </w:rPr>
      </w:pPr>
      <w:r>
        <w:rPr>
          <w:rFonts w:eastAsia="Times New Roman"/>
          <w:color w:val="000000"/>
          <w:sz w:val="20"/>
          <w:szCs w:val="20"/>
        </w:rPr>
        <w:t>46</w:t>
      </w:r>
    </w:p>
    <w:p w:rsidR="00000000" w:rsidRDefault="00BC0821">
      <w:pPr>
        <w:rPr>
          <w:rFonts w:eastAsia="Times New Roman"/>
        </w:rPr>
      </w:pPr>
      <w:r>
        <w:rPr>
          <w:rFonts w:eastAsia="Times New Roman"/>
        </w:rPr>
        <w:pict>
          <v:rect id="_x0000_i1070" style="width:0;height:1.5pt" o:hralign="center" o:hrstd="t" o:hr="t" fillcolor="#a0a0a0" stroked="f"/>
        </w:pict>
      </w:r>
    </w:p>
    <w:p w:rsidR="00000000" w:rsidRDefault="00BC0821">
      <w:pPr>
        <w:divId w:val="917523789"/>
        <w:rPr>
          <w:rFonts w:eastAsia="Times New Roman"/>
        </w:rPr>
      </w:pPr>
      <w:hyperlink w:anchor="if29fc3b4d1744e89bfd34e51e96b86e1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289"/>
        <w:gridCol w:w="37"/>
      </w:tblGrid>
      <w:tr w:rsidR="00000000">
        <w:trPr>
          <w:divId w:val="360008496"/>
        </w:trPr>
        <w:tc>
          <w:tcPr>
            <w:tcW w:w="50" w:type="pct"/>
            <w:vAlign w:val="center"/>
            <w:hideMark/>
          </w:tcPr>
          <w:p w:rsidR="00000000" w:rsidRDefault="00BC0821">
            <w:pPr>
              <w:rPr>
                <w:rFonts w:eastAsia="Times New Roman"/>
              </w:rPr>
            </w:pPr>
          </w:p>
        </w:tc>
        <w:tc>
          <w:tcPr>
            <w:tcW w:w="392"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26"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4461"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360008496"/>
        </w:trPr>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b/>
                <w:bCs/>
                <w:color w:val="000000"/>
                <w:sz w:val="16"/>
                <w:szCs w:val="16"/>
              </w:rPr>
              <w:t>Description</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34"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1939437473"/>
              <w:rPr>
                <w:rFonts w:eastAsia="Times New Roman"/>
              </w:rPr>
            </w:pPr>
            <w:hyperlink r:id="rId35" w:history="1">
              <w:r>
                <w:rPr>
                  <w:rStyle w:val="a3"/>
                  <w:rFonts w:eastAsia="Times New Roman"/>
                  <w:sz w:val="20"/>
                  <w:szCs w:val="20"/>
                </w:rPr>
                <w:t>Section 302 Certification of Thomas O'Hern, Chief Executive Officer</w:t>
              </w:r>
            </w:hyperlink>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3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2131781507"/>
              <w:rPr>
                <w:rFonts w:eastAsia="Times New Roman"/>
              </w:rPr>
            </w:pPr>
            <w:hyperlink r:id="rId37" w:history="1">
              <w:r>
                <w:rPr>
                  <w:rStyle w:val="a3"/>
                  <w:rFonts w:eastAsia="Times New Roman"/>
                  <w:sz w:val="20"/>
                  <w:szCs w:val="20"/>
                </w:rPr>
                <w:t>Section 302 Certification of Scott</w:t>
              </w:r>
              <w:r>
                <w:rPr>
                  <w:rStyle w:val="a3"/>
                  <w:rFonts w:eastAsia="Times New Roman"/>
                  <w:sz w:val="20"/>
                  <w:szCs w:val="20"/>
                </w:rPr>
                <w:t xml:space="preserve"> Kingsmore, Chief Financial Officer</w:t>
              </w:r>
            </w:hyperlink>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hyperlink r:id="rId3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divId w:val="631446635"/>
              <w:rPr>
                <w:rFonts w:eastAsia="Times New Roman"/>
              </w:rPr>
            </w:pPr>
            <w:hyperlink r:id="rId39" w:history="1">
              <w:r>
                <w:rPr>
                  <w:rStyle w:val="a3"/>
                  <w:rFonts w:eastAsia="Times New Roman"/>
                  <w:sz w:val="20"/>
                  <w:szCs w:val="20"/>
                </w:rPr>
                <w:t>Section </w:t>
              </w:r>
              <w:r>
                <w:rPr>
                  <w:rStyle w:val="a3"/>
                  <w:rFonts w:eastAsia="Times New Roman"/>
                  <w:sz w:val="20"/>
                  <w:szCs w:val="20"/>
                </w:rPr>
                <w:t>906 Certifications of Thomas O'Hern and Scott Kingsmore</w:t>
              </w:r>
            </w:hyperlink>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Inline XBRL Taxonomy Extension Schema Document</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Inline XBRL Taxonomy Extension Calculation Linkbase Document</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Inline XBRL Taxonomy Extension Label Linkbase Document</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Inline XBRL Taxonomy Extension Presentation Linkbase Document</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Inline XBRL Taxonomy Extension Definition Linkbase Document</w:t>
            </w:r>
          </w:p>
        </w:tc>
      </w:tr>
      <w:tr w:rsidR="00000000">
        <w:trPr>
          <w:divId w:val="360008496"/>
        </w:trPr>
        <w:tc>
          <w:tcPr>
            <w:tcW w:w="0" w:type="auto"/>
            <w:gridSpan w:val="3"/>
            <w:tcMar>
              <w:top w:w="30" w:type="dxa"/>
              <w:left w:w="20" w:type="dxa"/>
              <w:bottom w:w="30" w:type="dxa"/>
              <w:right w:w="20" w:type="dxa"/>
            </w:tcMar>
            <w:hideMark/>
          </w:tcPr>
          <w:p w:rsidR="00000000" w:rsidRDefault="00BC0821">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BC0821">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r w:rsidR="00000000">
        <w:trPr>
          <w:divId w:val="360008496"/>
          <w:trHeight w:val="300"/>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r>
    </w:tbl>
    <w:p w:rsidR="00000000" w:rsidRDefault="00BC0821">
      <w:pPr>
        <w:divId w:val="166948470"/>
        <w:rPr>
          <w:rFonts w:eastAsia="Times New Roman"/>
        </w:rPr>
      </w:pPr>
      <w:r>
        <w:rPr>
          <w:rFonts w:eastAsia="Times New Roman"/>
          <w:color w:val="000000"/>
          <w:sz w:val="20"/>
          <w:szCs w:val="20"/>
        </w:rPr>
        <w:t>** Furnished herewith.</w:t>
      </w:r>
    </w:p>
    <w:p w:rsidR="00000000" w:rsidRDefault="00BC0821">
      <w:pPr>
        <w:jc w:val="center"/>
        <w:divId w:val="1493444431"/>
        <w:rPr>
          <w:rFonts w:eastAsia="Times New Roman"/>
        </w:rPr>
      </w:pPr>
    </w:p>
    <w:p w:rsidR="00000000" w:rsidRDefault="00BC0821">
      <w:pPr>
        <w:jc w:val="center"/>
        <w:divId w:val="1493444431"/>
        <w:rPr>
          <w:rFonts w:eastAsia="Times New Roman"/>
        </w:rPr>
      </w:pPr>
      <w:r>
        <w:rPr>
          <w:rFonts w:eastAsia="Times New Roman"/>
          <w:color w:val="000000"/>
          <w:sz w:val="20"/>
          <w:szCs w:val="20"/>
        </w:rPr>
        <w:t>47</w:t>
      </w:r>
    </w:p>
    <w:p w:rsidR="00000000" w:rsidRDefault="00BC0821">
      <w:pPr>
        <w:rPr>
          <w:rFonts w:eastAsia="Times New Roman"/>
        </w:rPr>
      </w:pPr>
      <w:r>
        <w:rPr>
          <w:rFonts w:eastAsia="Times New Roman"/>
        </w:rPr>
        <w:pict>
          <v:rect id="_x0000_i1071" style="width:0;height:1.5pt" o:hralign="center" o:hrstd="t" o:hr="t" fillcolor="#a0a0a0" stroked="f"/>
        </w:pict>
      </w:r>
    </w:p>
    <w:p w:rsidR="00000000" w:rsidRDefault="00BC0821">
      <w:pPr>
        <w:divId w:val="833423055"/>
        <w:rPr>
          <w:rFonts w:eastAsia="Times New Roman"/>
        </w:rPr>
      </w:pPr>
      <w:hyperlink w:anchor="if29fc3b4d1744e89bfd34e51e96b86e1_7" w:history="1">
        <w:r>
          <w:rPr>
            <w:rStyle w:val="a3"/>
            <w:rFonts w:eastAsia="Times New Roman"/>
            <w:sz w:val="16"/>
            <w:szCs w:val="16"/>
          </w:rPr>
          <w:t>Table of Contents</w:t>
        </w:r>
      </w:hyperlink>
    </w:p>
    <w:p w:rsidR="00000000" w:rsidRDefault="00BC0821">
      <w:pPr>
        <w:divId w:val="964578876"/>
        <w:rPr>
          <w:rFonts w:eastAsia="Times New Roman"/>
        </w:rPr>
      </w:pPr>
      <w:r>
        <w:rPr>
          <w:rFonts w:eastAsia="Times New Roman"/>
          <w:b/>
          <w:bCs/>
          <w:color w:val="000000"/>
          <w:sz w:val="20"/>
          <w:szCs w:val="20"/>
        </w:rPr>
        <w:t>Signature</w:t>
      </w:r>
    </w:p>
    <w:p w:rsidR="00000000" w:rsidRDefault="00BC0821">
      <w:pPr>
        <w:ind w:firstLine="495"/>
        <w:divId w:val="145347626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trPr>
          <w:divId w:val="1453476266"/>
        </w:trPr>
        <w:tc>
          <w:tcPr>
            <w:tcW w:w="50" w:type="pct"/>
            <w:vAlign w:val="center"/>
            <w:hideMark/>
          </w:tcPr>
          <w:p w:rsidR="00000000" w:rsidRDefault="00BC0821">
            <w:pPr>
              <w:ind w:firstLine="495"/>
              <w:rPr>
                <w:rFonts w:eastAsia="Times New Roman"/>
              </w:rPr>
            </w:pPr>
          </w:p>
        </w:tc>
        <w:tc>
          <w:tcPr>
            <w:tcW w:w="238"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60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157"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15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c>
          <w:tcPr>
            <w:tcW w:w="50" w:type="pct"/>
            <w:vAlign w:val="center"/>
            <w:hideMark/>
          </w:tcPr>
          <w:p w:rsidR="00000000" w:rsidRDefault="00BC0821">
            <w:pPr>
              <w:spacing w:after="100"/>
              <w:rPr>
                <w:rFonts w:eastAsia="Times New Roman"/>
                <w:sz w:val="20"/>
                <w:szCs w:val="20"/>
              </w:rPr>
            </w:pPr>
          </w:p>
        </w:tc>
        <w:tc>
          <w:tcPr>
            <w:tcW w:w="2565" w:type="pct"/>
            <w:vAlign w:val="center"/>
            <w:hideMark/>
          </w:tcPr>
          <w:p w:rsidR="00000000" w:rsidRDefault="00BC0821">
            <w:pPr>
              <w:spacing w:after="100"/>
              <w:rPr>
                <w:rFonts w:eastAsia="Times New Roman"/>
                <w:sz w:val="20"/>
                <w:szCs w:val="20"/>
              </w:rPr>
            </w:pPr>
          </w:p>
        </w:tc>
        <w:tc>
          <w:tcPr>
            <w:tcW w:w="5" w:type="pct"/>
            <w:vAlign w:val="center"/>
            <w:hideMark/>
          </w:tcPr>
          <w:p w:rsidR="00000000" w:rsidRDefault="00BC0821">
            <w:pPr>
              <w:spacing w:after="100"/>
              <w:rPr>
                <w:rFonts w:eastAsia="Times New Roman"/>
                <w:sz w:val="20"/>
                <w:szCs w:val="20"/>
              </w:rPr>
            </w:pPr>
          </w:p>
        </w:tc>
      </w:tr>
      <w:tr w:rsidR="00000000">
        <w:trPr>
          <w:divId w:val="1453476266"/>
        </w:trPr>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THE MACERICH COMPANY</w:t>
            </w:r>
          </w:p>
        </w:tc>
      </w:tr>
      <w:tr w:rsidR="00000000">
        <w:trPr>
          <w:divId w:val="1453476266"/>
        </w:trPr>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color w:val="000000"/>
                <w:sz w:val="20"/>
                <w:szCs w:val="20"/>
              </w:rPr>
              <w:t>/s/ SCOTT W. KINGSMORE</w:t>
            </w:r>
          </w:p>
        </w:tc>
      </w:tr>
      <w:tr w:rsidR="00000000">
        <w:trPr>
          <w:divId w:val="1453476266"/>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BC0821">
            <w:pPr>
              <w:spacing w:after="100"/>
              <w:jc w:val="center"/>
              <w:rPr>
                <w:rFonts w:eastAsia="Times New Roman"/>
              </w:rPr>
            </w:pPr>
            <w:r>
              <w:rPr>
                <w:rFonts w:eastAsia="Times New Roman"/>
                <w:color w:val="000000"/>
                <w:sz w:val="20"/>
                <w:szCs w:val="20"/>
              </w:rPr>
              <w:t>Scott W. Kingsmore</w:t>
            </w:r>
          </w:p>
        </w:tc>
      </w:tr>
      <w:tr w:rsidR="00000000">
        <w:trPr>
          <w:divId w:val="1453476266"/>
        </w:trPr>
        <w:tc>
          <w:tcPr>
            <w:tcW w:w="0" w:type="auto"/>
            <w:gridSpan w:val="3"/>
            <w:tcMar>
              <w:top w:w="0" w:type="dxa"/>
              <w:left w:w="20" w:type="dxa"/>
              <w:bottom w:w="0" w:type="dxa"/>
              <w:right w:w="20" w:type="dxa"/>
            </w:tcMar>
            <w:vAlign w:val="center"/>
            <w:hideMark/>
          </w:tcPr>
          <w:p w:rsidR="00000000" w:rsidRDefault="00BC082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i/>
                <w:iCs/>
                <w:color w:val="000000"/>
                <w:sz w:val="20"/>
                <w:szCs w:val="20"/>
              </w:rPr>
              <w:t> Senior Executive Vice President, Treasurer and Chief Financial Officer</w:t>
            </w:r>
          </w:p>
        </w:tc>
      </w:tr>
      <w:tr w:rsidR="00000000">
        <w:trPr>
          <w:divId w:val="1453476266"/>
        </w:trPr>
        <w:tc>
          <w:tcPr>
            <w:tcW w:w="0" w:type="auto"/>
            <w:gridSpan w:val="3"/>
            <w:tcMar>
              <w:top w:w="30" w:type="dxa"/>
              <w:left w:w="20" w:type="dxa"/>
              <w:bottom w:w="30" w:type="dxa"/>
              <w:right w:w="20" w:type="dxa"/>
            </w:tcMar>
            <w:vAlign w:val="bottom"/>
            <w:hideMark/>
          </w:tcPr>
          <w:p w:rsidR="00000000" w:rsidRDefault="00BC0821">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rsidR="00000000" w:rsidRDefault="00BC0821">
            <w:pPr>
              <w:spacing w:after="100"/>
              <w:rPr>
                <w:rFonts w:eastAsia="Times New Roman"/>
              </w:rPr>
            </w:pPr>
            <w:r>
              <w:rPr>
                <w:rFonts w:eastAsia="Times New Roman"/>
                <w:color w:val="000000"/>
                <w:sz w:val="20"/>
                <w:szCs w:val="20"/>
              </w:rPr>
              <w:t>November 7, 2022</w:t>
            </w:r>
          </w:p>
        </w:tc>
        <w:tc>
          <w:tcPr>
            <w:tcW w:w="0" w:type="auto"/>
            <w:gridSpan w:val="3"/>
            <w:tcMar>
              <w:top w:w="0" w:type="dxa"/>
              <w:left w:w="20" w:type="dxa"/>
              <w:bottom w:w="0" w:type="dxa"/>
              <w:right w:w="20" w:type="dxa"/>
            </w:tcMar>
            <w:vAlign w:val="center"/>
            <w:hideMark/>
          </w:tcPr>
          <w:p w:rsidR="00000000" w:rsidRDefault="00BC082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0821">
            <w:pPr>
              <w:spacing w:after="100"/>
              <w:jc w:val="center"/>
              <w:rPr>
                <w:rFonts w:eastAsia="Times New Roman"/>
              </w:rPr>
            </w:pPr>
            <w:r>
              <w:rPr>
                <w:rFonts w:eastAsia="Times New Roman"/>
                <w:i/>
                <w:iCs/>
                <w:color w:val="000000"/>
                <w:sz w:val="20"/>
                <w:szCs w:val="20"/>
              </w:rPr>
              <w:t>(Principal Financial Officer)</w:t>
            </w:r>
          </w:p>
        </w:tc>
      </w:tr>
    </w:tbl>
    <w:p w:rsidR="00000000" w:rsidRDefault="00BC0821">
      <w:pPr>
        <w:divId w:val="630986387"/>
        <w:rPr>
          <w:rFonts w:eastAsia="Times New Roman"/>
        </w:rPr>
      </w:pPr>
    </w:p>
    <w:p w:rsidR="00000000" w:rsidRDefault="00BC0821">
      <w:pPr>
        <w:jc w:val="center"/>
        <w:divId w:val="60569599"/>
        <w:rPr>
          <w:rFonts w:eastAsia="Times New Roman"/>
        </w:rPr>
      </w:pPr>
    </w:p>
    <w:p w:rsidR="00BC0821" w:rsidRDefault="00BC0821">
      <w:pPr>
        <w:jc w:val="center"/>
        <w:divId w:val="60569599"/>
        <w:rPr>
          <w:rFonts w:eastAsia="Times New Roman"/>
        </w:rPr>
      </w:pPr>
      <w:r>
        <w:rPr>
          <w:rFonts w:eastAsia="Times New Roman"/>
          <w:color w:val="000000"/>
          <w:sz w:val="20"/>
          <w:szCs w:val="20"/>
        </w:rPr>
        <w:t>48</w:t>
      </w:r>
    </w:p>
    <w:sectPr w:rsidR="00BC082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0821"/>
    <w:rsid w:val="00BC0821"/>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xbrl.org/2006/xbrldi"/>
  <w:attachedSchema w:val="http://www.xbrl.org/2013/inlineXBRL"/>
  <w:attachedSchema w:val="http://www.xbrl.org/2003/instance"/>
  <w:attachedSchema w:val="http://fasb.org/srt/2022"/>
  <w:attachedSchema w:val="http://www.xbrl.org/2003/iso4217"/>
  <w:attachedSchema w:val="http://www.macerich.com/20220930"/>
  <w:attachedSchema w:val="http://www.xbrl.org/inlineXBRL/transformation/2020-02-12"/>
  <w:attachedSchema w:val="http://fasb.org/us-gaap/2022"/>
  <w:attachedSchema w:val="http://www.xbrl.org/2003/linkbase"/>
  <w:attachedSchema w:val="http://www.w3.org/1999/xlink"/>
  <w:attachedSchema w:val="http://xbrl.sec.gov/dei/2022"/>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945">
      <w:marLeft w:val="0"/>
      <w:marRight w:val="0"/>
      <w:marTop w:val="160"/>
      <w:marBottom w:val="160"/>
      <w:divBdr>
        <w:top w:val="none" w:sz="0" w:space="0" w:color="auto"/>
        <w:left w:val="none" w:sz="0" w:space="0" w:color="auto"/>
        <w:bottom w:val="none" w:sz="0" w:space="0" w:color="auto"/>
        <w:right w:val="none" w:sz="0" w:space="0" w:color="auto"/>
      </w:divBdr>
    </w:div>
    <w:div w:id="18699638">
      <w:marLeft w:val="0"/>
      <w:marRight w:val="0"/>
      <w:marTop w:val="160"/>
      <w:marBottom w:val="160"/>
      <w:divBdr>
        <w:top w:val="none" w:sz="0" w:space="0" w:color="auto"/>
        <w:left w:val="none" w:sz="0" w:space="0" w:color="auto"/>
        <w:bottom w:val="none" w:sz="0" w:space="0" w:color="auto"/>
        <w:right w:val="none" w:sz="0" w:space="0" w:color="auto"/>
      </w:divBdr>
      <w:divsChild>
        <w:div w:id="1725367157">
          <w:marLeft w:val="0"/>
          <w:marRight w:val="0"/>
          <w:marTop w:val="0"/>
          <w:marBottom w:val="0"/>
          <w:divBdr>
            <w:top w:val="none" w:sz="0" w:space="0" w:color="auto"/>
            <w:left w:val="none" w:sz="0" w:space="0" w:color="auto"/>
            <w:bottom w:val="none" w:sz="0" w:space="0" w:color="auto"/>
            <w:right w:val="none" w:sz="0" w:space="0" w:color="auto"/>
          </w:divBdr>
        </w:div>
      </w:divsChild>
    </w:div>
    <w:div w:id="19010308">
      <w:marLeft w:val="0"/>
      <w:marRight w:val="0"/>
      <w:marTop w:val="0"/>
      <w:marBottom w:val="0"/>
      <w:divBdr>
        <w:top w:val="none" w:sz="0" w:space="0" w:color="auto"/>
        <w:left w:val="none" w:sz="0" w:space="0" w:color="auto"/>
        <w:bottom w:val="none" w:sz="0" w:space="0" w:color="auto"/>
        <w:right w:val="none" w:sz="0" w:space="0" w:color="auto"/>
      </w:divBdr>
      <w:divsChild>
        <w:div w:id="1120104249">
          <w:marLeft w:val="0"/>
          <w:marRight w:val="0"/>
          <w:marTop w:val="0"/>
          <w:marBottom w:val="0"/>
          <w:divBdr>
            <w:top w:val="none" w:sz="0" w:space="0" w:color="auto"/>
            <w:left w:val="none" w:sz="0" w:space="0" w:color="auto"/>
            <w:bottom w:val="none" w:sz="0" w:space="0" w:color="auto"/>
            <w:right w:val="none" w:sz="0" w:space="0" w:color="auto"/>
          </w:divBdr>
        </w:div>
      </w:divsChild>
    </w:div>
    <w:div w:id="23219268">
      <w:marLeft w:val="0"/>
      <w:marRight w:val="0"/>
      <w:marTop w:val="160"/>
      <w:marBottom w:val="160"/>
      <w:divBdr>
        <w:top w:val="none" w:sz="0" w:space="0" w:color="auto"/>
        <w:left w:val="none" w:sz="0" w:space="0" w:color="auto"/>
        <w:bottom w:val="none" w:sz="0" w:space="0" w:color="auto"/>
        <w:right w:val="none" w:sz="0" w:space="0" w:color="auto"/>
      </w:divBdr>
    </w:div>
    <w:div w:id="24445840">
      <w:marLeft w:val="0"/>
      <w:marRight w:val="0"/>
      <w:marTop w:val="160"/>
      <w:marBottom w:val="160"/>
      <w:divBdr>
        <w:top w:val="none" w:sz="0" w:space="0" w:color="auto"/>
        <w:left w:val="none" w:sz="0" w:space="0" w:color="auto"/>
        <w:bottom w:val="none" w:sz="0" w:space="0" w:color="auto"/>
        <w:right w:val="none" w:sz="0" w:space="0" w:color="auto"/>
      </w:divBdr>
    </w:div>
    <w:div w:id="28188917">
      <w:marLeft w:val="0"/>
      <w:marRight w:val="0"/>
      <w:marTop w:val="160"/>
      <w:marBottom w:val="160"/>
      <w:divBdr>
        <w:top w:val="none" w:sz="0" w:space="0" w:color="auto"/>
        <w:left w:val="none" w:sz="0" w:space="0" w:color="auto"/>
        <w:bottom w:val="none" w:sz="0" w:space="0" w:color="auto"/>
        <w:right w:val="none" w:sz="0" w:space="0" w:color="auto"/>
      </w:divBdr>
    </w:div>
    <w:div w:id="29192039">
      <w:marLeft w:val="0"/>
      <w:marRight w:val="0"/>
      <w:marTop w:val="0"/>
      <w:marBottom w:val="0"/>
      <w:divBdr>
        <w:top w:val="none" w:sz="0" w:space="0" w:color="auto"/>
        <w:left w:val="none" w:sz="0" w:space="0" w:color="auto"/>
        <w:bottom w:val="none" w:sz="0" w:space="0" w:color="auto"/>
        <w:right w:val="none" w:sz="0" w:space="0" w:color="auto"/>
      </w:divBdr>
      <w:divsChild>
        <w:div w:id="485518193">
          <w:marLeft w:val="0"/>
          <w:marRight w:val="0"/>
          <w:marTop w:val="0"/>
          <w:marBottom w:val="0"/>
          <w:divBdr>
            <w:top w:val="none" w:sz="0" w:space="0" w:color="auto"/>
            <w:left w:val="none" w:sz="0" w:space="0" w:color="auto"/>
            <w:bottom w:val="none" w:sz="0" w:space="0" w:color="auto"/>
            <w:right w:val="none" w:sz="0" w:space="0" w:color="auto"/>
          </w:divBdr>
        </w:div>
      </w:divsChild>
    </w:div>
    <w:div w:id="34090196">
      <w:marLeft w:val="0"/>
      <w:marRight w:val="0"/>
      <w:marTop w:val="160"/>
      <w:marBottom w:val="160"/>
      <w:divBdr>
        <w:top w:val="none" w:sz="0" w:space="0" w:color="auto"/>
        <w:left w:val="none" w:sz="0" w:space="0" w:color="auto"/>
        <w:bottom w:val="none" w:sz="0" w:space="0" w:color="auto"/>
        <w:right w:val="none" w:sz="0" w:space="0" w:color="auto"/>
      </w:divBdr>
    </w:div>
    <w:div w:id="34548117">
      <w:marLeft w:val="0"/>
      <w:marRight w:val="0"/>
      <w:marTop w:val="160"/>
      <w:marBottom w:val="160"/>
      <w:divBdr>
        <w:top w:val="none" w:sz="0" w:space="0" w:color="auto"/>
        <w:left w:val="none" w:sz="0" w:space="0" w:color="auto"/>
        <w:bottom w:val="none" w:sz="0" w:space="0" w:color="auto"/>
        <w:right w:val="none" w:sz="0" w:space="0" w:color="auto"/>
      </w:divBdr>
    </w:div>
    <w:div w:id="36050234">
      <w:marLeft w:val="0"/>
      <w:marRight w:val="0"/>
      <w:marTop w:val="0"/>
      <w:marBottom w:val="0"/>
      <w:divBdr>
        <w:top w:val="none" w:sz="0" w:space="0" w:color="auto"/>
        <w:left w:val="none" w:sz="0" w:space="0" w:color="auto"/>
        <w:bottom w:val="none" w:sz="0" w:space="0" w:color="auto"/>
        <w:right w:val="none" w:sz="0" w:space="0" w:color="auto"/>
      </w:divBdr>
      <w:divsChild>
        <w:div w:id="1355381655">
          <w:marLeft w:val="0"/>
          <w:marRight w:val="0"/>
          <w:marTop w:val="0"/>
          <w:marBottom w:val="0"/>
          <w:divBdr>
            <w:top w:val="none" w:sz="0" w:space="0" w:color="auto"/>
            <w:left w:val="none" w:sz="0" w:space="0" w:color="auto"/>
            <w:bottom w:val="none" w:sz="0" w:space="0" w:color="auto"/>
            <w:right w:val="none" w:sz="0" w:space="0" w:color="auto"/>
          </w:divBdr>
        </w:div>
      </w:divsChild>
    </w:div>
    <w:div w:id="40137863">
      <w:marLeft w:val="0"/>
      <w:marRight w:val="0"/>
      <w:marTop w:val="160"/>
      <w:marBottom w:val="160"/>
      <w:divBdr>
        <w:top w:val="none" w:sz="0" w:space="0" w:color="auto"/>
        <w:left w:val="none" w:sz="0" w:space="0" w:color="auto"/>
        <w:bottom w:val="none" w:sz="0" w:space="0" w:color="auto"/>
        <w:right w:val="none" w:sz="0" w:space="0" w:color="auto"/>
      </w:divBdr>
    </w:div>
    <w:div w:id="43602807">
      <w:marLeft w:val="0"/>
      <w:marRight w:val="0"/>
      <w:marTop w:val="160"/>
      <w:marBottom w:val="160"/>
      <w:divBdr>
        <w:top w:val="none" w:sz="0" w:space="0" w:color="auto"/>
        <w:left w:val="none" w:sz="0" w:space="0" w:color="auto"/>
        <w:bottom w:val="none" w:sz="0" w:space="0" w:color="auto"/>
        <w:right w:val="none" w:sz="0" w:space="0" w:color="auto"/>
      </w:divBdr>
    </w:div>
    <w:div w:id="56439380">
      <w:marLeft w:val="0"/>
      <w:marRight w:val="0"/>
      <w:marTop w:val="160"/>
      <w:marBottom w:val="160"/>
      <w:divBdr>
        <w:top w:val="none" w:sz="0" w:space="0" w:color="auto"/>
        <w:left w:val="none" w:sz="0" w:space="0" w:color="auto"/>
        <w:bottom w:val="none" w:sz="0" w:space="0" w:color="auto"/>
        <w:right w:val="none" w:sz="0" w:space="0" w:color="auto"/>
      </w:divBdr>
    </w:div>
    <w:div w:id="56513701">
      <w:marLeft w:val="0"/>
      <w:marRight w:val="0"/>
      <w:marTop w:val="160"/>
      <w:marBottom w:val="160"/>
      <w:divBdr>
        <w:top w:val="none" w:sz="0" w:space="0" w:color="auto"/>
        <w:left w:val="none" w:sz="0" w:space="0" w:color="auto"/>
        <w:bottom w:val="none" w:sz="0" w:space="0" w:color="auto"/>
        <w:right w:val="none" w:sz="0" w:space="0" w:color="auto"/>
      </w:divBdr>
    </w:div>
    <w:div w:id="57292546">
      <w:marLeft w:val="0"/>
      <w:marRight w:val="0"/>
      <w:marTop w:val="160"/>
      <w:marBottom w:val="160"/>
      <w:divBdr>
        <w:top w:val="none" w:sz="0" w:space="0" w:color="auto"/>
        <w:left w:val="none" w:sz="0" w:space="0" w:color="auto"/>
        <w:bottom w:val="none" w:sz="0" w:space="0" w:color="auto"/>
        <w:right w:val="none" w:sz="0" w:space="0" w:color="auto"/>
      </w:divBdr>
    </w:div>
    <w:div w:id="59911205">
      <w:marLeft w:val="0"/>
      <w:marRight w:val="0"/>
      <w:marTop w:val="160"/>
      <w:marBottom w:val="160"/>
      <w:divBdr>
        <w:top w:val="none" w:sz="0" w:space="0" w:color="auto"/>
        <w:left w:val="none" w:sz="0" w:space="0" w:color="auto"/>
        <w:bottom w:val="none" w:sz="0" w:space="0" w:color="auto"/>
        <w:right w:val="none" w:sz="0" w:space="0" w:color="auto"/>
      </w:divBdr>
    </w:div>
    <w:div w:id="61758955">
      <w:marLeft w:val="0"/>
      <w:marRight w:val="0"/>
      <w:marTop w:val="160"/>
      <w:marBottom w:val="160"/>
      <w:divBdr>
        <w:top w:val="none" w:sz="0" w:space="0" w:color="auto"/>
        <w:left w:val="none" w:sz="0" w:space="0" w:color="auto"/>
        <w:bottom w:val="none" w:sz="0" w:space="0" w:color="auto"/>
        <w:right w:val="none" w:sz="0" w:space="0" w:color="auto"/>
      </w:divBdr>
    </w:div>
    <w:div w:id="65807604">
      <w:marLeft w:val="0"/>
      <w:marRight w:val="0"/>
      <w:marTop w:val="160"/>
      <w:marBottom w:val="160"/>
      <w:divBdr>
        <w:top w:val="none" w:sz="0" w:space="0" w:color="auto"/>
        <w:left w:val="none" w:sz="0" w:space="0" w:color="auto"/>
        <w:bottom w:val="none" w:sz="0" w:space="0" w:color="auto"/>
        <w:right w:val="none" w:sz="0" w:space="0" w:color="auto"/>
      </w:divBdr>
    </w:div>
    <w:div w:id="71513593">
      <w:marLeft w:val="0"/>
      <w:marRight w:val="0"/>
      <w:marTop w:val="60"/>
      <w:marBottom w:val="0"/>
      <w:divBdr>
        <w:top w:val="none" w:sz="0" w:space="0" w:color="auto"/>
        <w:left w:val="none" w:sz="0" w:space="0" w:color="auto"/>
        <w:bottom w:val="none" w:sz="0" w:space="0" w:color="auto"/>
        <w:right w:val="none" w:sz="0" w:space="0" w:color="auto"/>
      </w:divBdr>
    </w:div>
    <w:div w:id="73288249">
      <w:marLeft w:val="0"/>
      <w:marRight w:val="0"/>
      <w:marTop w:val="160"/>
      <w:marBottom w:val="160"/>
      <w:divBdr>
        <w:top w:val="none" w:sz="0" w:space="0" w:color="auto"/>
        <w:left w:val="none" w:sz="0" w:space="0" w:color="auto"/>
        <w:bottom w:val="none" w:sz="0" w:space="0" w:color="auto"/>
        <w:right w:val="none" w:sz="0" w:space="0" w:color="auto"/>
      </w:divBdr>
    </w:div>
    <w:div w:id="79915647">
      <w:marLeft w:val="0"/>
      <w:marRight w:val="0"/>
      <w:marTop w:val="0"/>
      <w:marBottom w:val="0"/>
      <w:divBdr>
        <w:top w:val="none" w:sz="0" w:space="0" w:color="auto"/>
        <w:left w:val="none" w:sz="0" w:space="0" w:color="auto"/>
        <w:bottom w:val="none" w:sz="0" w:space="0" w:color="auto"/>
        <w:right w:val="none" w:sz="0" w:space="0" w:color="auto"/>
      </w:divBdr>
      <w:divsChild>
        <w:div w:id="1702126129">
          <w:marLeft w:val="0"/>
          <w:marRight w:val="0"/>
          <w:marTop w:val="0"/>
          <w:marBottom w:val="0"/>
          <w:divBdr>
            <w:top w:val="none" w:sz="0" w:space="0" w:color="auto"/>
            <w:left w:val="none" w:sz="0" w:space="0" w:color="auto"/>
            <w:bottom w:val="none" w:sz="0" w:space="0" w:color="auto"/>
            <w:right w:val="none" w:sz="0" w:space="0" w:color="auto"/>
          </w:divBdr>
        </w:div>
      </w:divsChild>
    </w:div>
    <w:div w:id="88353509">
      <w:marLeft w:val="0"/>
      <w:marRight w:val="0"/>
      <w:marTop w:val="160"/>
      <w:marBottom w:val="160"/>
      <w:divBdr>
        <w:top w:val="none" w:sz="0" w:space="0" w:color="auto"/>
        <w:left w:val="none" w:sz="0" w:space="0" w:color="auto"/>
        <w:bottom w:val="none" w:sz="0" w:space="0" w:color="auto"/>
        <w:right w:val="none" w:sz="0" w:space="0" w:color="auto"/>
      </w:divBdr>
    </w:div>
    <w:div w:id="89081590">
      <w:marLeft w:val="0"/>
      <w:marRight w:val="0"/>
      <w:marTop w:val="0"/>
      <w:marBottom w:val="0"/>
      <w:divBdr>
        <w:top w:val="none" w:sz="0" w:space="0" w:color="auto"/>
        <w:left w:val="none" w:sz="0" w:space="0" w:color="auto"/>
        <w:bottom w:val="none" w:sz="0" w:space="0" w:color="auto"/>
        <w:right w:val="none" w:sz="0" w:space="0" w:color="auto"/>
      </w:divBdr>
      <w:divsChild>
        <w:div w:id="981033891">
          <w:marLeft w:val="0"/>
          <w:marRight w:val="0"/>
          <w:marTop w:val="0"/>
          <w:marBottom w:val="0"/>
          <w:divBdr>
            <w:top w:val="none" w:sz="0" w:space="0" w:color="auto"/>
            <w:left w:val="none" w:sz="0" w:space="0" w:color="auto"/>
            <w:bottom w:val="none" w:sz="0" w:space="0" w:color="auto"/>
            <w:right w:val="none" w:sz="0" w:space="0" w:color="auto"/>
          </w:divBdr>
        </w:div>
      </w:divsChild>
    </w:div>
    <w:div w:id="91559138">
      <w:marLeft w:val="0"/>
      <w:marRight w:val="0"/>
      <w:marTop w:val="180"/>
      <w:marBottom w:val="0"/>
      <w:divBdr>
        <w:top w:val="none" w:sz="0" w:space="0" w:color="auto"/>
        <w:left w:val="none" w:sz="0" w:space="0" w:color="auto"/>
        <w:bottom w:val="none" w:sz="0" w:space="0" w:color="auto"/>
        <w:right w:val="none" w:sz="0" w:space="0" w:color="auto"/>
      </w:divBdr>
    </w:div>
    <w:div w:id="91777715">
      <w:marLeft w:val="0"/>
      <w:marRight w:val="0"/>
      <w:marTop w:val="160"/>
      <w:marBottom w:val="160"/>
      <w:divBdr>
        <w:top w:val="none" w:sz="0" w:space="0" w:color="auto"/>
        <w:left w:val="none" w:sz="0" w:space="0" w:color="auto"/>
        <w:bottom w:val="none" w:sz="0" w:space="0" w:color="auto"/>
        <w:right w:val="none" w:sz="0" w:space="0" w:color="auto"/>
      </w:divBdr>
    </w:div>
    <w:div w:id="94785628">
      <w:marLeft w:val="0"/>
      <w:marRight w:val="0"/>
      <w:marTop w:val="160"/>
      <w:marBottom w:val="160"/>
      <w:divBdr>
        <w:top w:val="none" w:sz="0" w:space="0" w:color="auto"/>
        <w:left w:val="none" w:sz="0" w:space="0" w:color="auto"/>
        <w:bottom w:val="none" w:sz="0" w:space="0" w:color="auto"/>
        <w:right w:val="none" w:sz="0" w:space="0" w:color="auto"/>
      </w:divBdr>
    </w:div>
    <w:div w:id="99229852">
      <w:marLeft w:val="0"/>
      <w:marRight w:val="0"/>
      <w:marTop w:val="160"/>
      <w:marBottom w:val="160"/>
      <w:divBdr>
        <w:top w:val="none" w:sz="0" w:space="0" w:color="auto"/>
        <w:left w:val="none" w:sz="0" w:space="0" w:color="auto"/>
        <w:bottom w:val="none" w:sz="0" w:space="0" w:color="auto"/>
        <w:right w:val="none" w:sz="0" w:space="0" w:color="auto"/>
      </w:divBdr>
    </w:div>
    <w:div w:id="104077045">
      <w:marLeft w:val="0"/>
      <w:marRight w:val="0"/>
      <w:marTop w:val="160"/>
      <w:marBottom w:val="160"/>
      <w:divBdr>
        <w:top w:val="none" w:sz="0" w:space="0" w:color="auto"/>
        <w:left w:val="none" w:sz="0" w:space="0" w:color="auto"/>
        <w:bottom w:val="none" w:sz="0" w:space="0" w:color="auto"/>
        <w:right w:val="none" w:sz="0" w:space="0" w:color="auto"/>
      </w:divBdr>
    </w:div>
    <w:div w:id="104808832">
      <w:marLeft w:val="0"/>
      <w:marRight w:val="0"/>
      <w:marTop w:val="160"/>
      <w:marBottom w:val="160"/>
      <w:divBdr>
        <w:top w:val="none" w:sz="0" w:space="0" w:color="auto"/>
        <w:left w:val="none" w:sz="0" w:space="0" w:color="auto"/>
        <w:bottom w:val="none" w:sz="0" w:space="0" w:color="auto"/>
        <w:right w:val="none" w:sz="0" w:space="0" w:color="auto"/>
      </w:divBdr>
    </w:div>
    <w:div w:id="109133715">
      <w:marLeft w:val="0"/>
      <w:marRight w:val="0"/>
      <w:marTop w:val="160"/>
      <w:marBottom w:val="160"/>
      <w:divBdr>
        <w:top w:val="none" w:sz="0" w:space="0" w:color="auto"/>
        <w:left w:val="none" w:sz="0" w:space="0" w:color="auto"/>
        <w:bottom w:val="none" w:sz="0" w:space="0" w:color="auto"/>
        <w:right w:val="none" w:sz="0" w:space="0" w:color="auto"/>
      </w:divBdr>
    </w:div>
    <w:div w:id="111871689">
      <w:marLeft w:val="0"/>
      <w:marRight w:val="0"/>
      <w:marTop w:val="160"/>
      <w:marBottom w:val="160"/>
      <w:divBdr>
        <w:top w:val="none" w:sz="0" w:space="0" w:color="auto"/>
        <w:left w:val="none" w:sz="0" w:space="0" w:color="auto"/>
        <w:bottom w:val="none" w:sz="0" w:space="0" w:color="auto"/>
        <w:right w:val="none" w:sz="0" w:space="0" w:color="auto"/>
      </w:divBdr>
    </w:div>
    <w:div w:id="112216257">
      <w:marLeft w:val="0"/>
      <w:marRight w:val="0"/>
      <w:marTop w:val="0"/>
      <w:marBottom w:val="0"/>
      <w:divBdr>
        <w:top w:val="none" w:sz="0" w:space="0" w:color="auto"/>
        <w:left w:val="none" w:sz="0" w:space="0" w:color="auto"/>
        <w:bottom w:val="none" w:sz="0" w:space="0" w:color="auto"/>
        <w:right w:val="none" w:sz="0" w:space="0" w:color="auto"/>
      </w:divBdr>
      <w:divsChild>
        <w:div w:id="231355089">
          <w:marLeft w:val="0"/>
          <w:marRight w:val="0"/>
          <w:marTop w:val="0"/>
          <w:marBottom w:val="0"/>
          <w:divBdr>
            <w:top w:val="none" w:sz="0" w:space="0" w:color="auto"/>
            <w:left w:val="none" w:sz="0" w:space="0" w:color="auto"/>
            <w:bottom w:val="none" w:sz="0" w:space="0" w:color="auto"/>
            <w:right w:val="none" w:sz="0" w:space="0" w:color="auto"/>
          </w:divBdr>
        </w:div>
      </w:divsChild>
    </w:div>
    <w:div w:id="117994669">
      <w:marLeft w:val="0"/>
      <w:marRight w:val="0"/>
      <w:marTop w:val="0"/>
      <w:marBottom w:val="0"/>
      <w:divBdr>
        <w:top w:val="none" w:sz="0" w:space="0" w:color="auto"/>
        <w:left w:val="none" w:sz="0" w:space="0" w:color="auto"/>
        <w:bottom w:val="none" w:sz="0" w:space="0" w:color="auto"/>
        <w:right w:val="none" w:sz="0" w:space="0" w:color="auto"/>
      </w:divBdr>
      <w:divsChild>
        <w:div w:id="1176925352">
          <w:marLeft w:val="0"/>
          <w:marRight w:val="0"/>
          <w:marTop w:val="0"/>
          <w:marBottom w:val="0"/>
          <w:divBdr>
            <w:top w:val="none" w:sz="0" w:space="0" w:color="auto"/>
            <w:left w:val="none" w:sz="0" w:space="0" w:color="auto"/>
            <w:bottom w:val="none" w:sz="0" w:space="0" w:color="auto"/>
            <w:right w:val="none" w:sz="0" w:space="0" w:color="auto"/>
          </w:divBdr>
        </w:div>
      </w:divsChild>
    </w:div>
    <w:div w:id="119956588">
      <w:marLeft w:val="0"/>
      <w:marRight w:val="0"/>
      <w:marTop w:val="160"/>
      <w:marBottom w:val="160"/>
      <w:divBdr>
        <w:top w:val="none" w:sz="0" w:space="0" w:color="auto"/>
        <w:left w:val="none" w:sz="0" w:space="0" w:color="auto"/>
        <w:bottom w:val="none" w:sz="0" w:space="0" w:color="auto"/>
        <w:right w:val="none" w:sz="0" w:space="0" w:color="auto"/>
      </w:divBdr>
    </w:div>
    <w:div w:id="121115896">
      <w:marLeft w:val="0"/>
      <w:marRight w:val="0"/>
      <w:marTop w:val="0"/>
      <w:marBottom w:val="0"/>
      <w:divBdr>
        <w:top w:val="none" w:sz="0" w:space="0" w:color="auto"/>
        <w:left w:val="none" w:sz="0" w:space="0" w:color="auto"/>
        <w:bottom w:val="none" w:sz="0" w:space="0" w:color="auto"/>
        <w:right w:val="none" w:sz="0" w:space="0" w:color="auto"/>
      </w:divBdr>
      <w:divsChild>
        <w:div w:id="2009675390">
          <w:marLeft w:val="0"/>
          <w:marRight w:val="0"/>
          <w:marTop w:val="0"/>
          <w:marBottom w:val="0"/>
          <w:divBdr>
            <w:top w:val="none" w:sz="0" w:space="0" w:color="auto"/>
            <w:left w:val="none" w:sz="0" w:space="0" w:color="auto"/>
            <w:bottom w:val="none" w:sz="0" w:space="0" w:color="auto"/>
            <w:right w:val="none" w:sz="0" w:space="0" w:color="auto"/>
          </w:divBdr>
        </w:div>
      </w:divsChild>
    </w:div>
    <w:div w:id="129251693">
      <w:marLeft w:val="0"/>
      <w:marRight w:val="0"/>
      <w:marTop w:val="160"/>
      <w:marBottom w:val="160"/>
      <w:divBdr>
        <w:top w:val="none" w:sz="0" w:space="0" w:color="auto"/>
        <w:left w:val="none" w:sz="0" w:space="0" w:color="auto"/>
        <w:bottom w:val="none" w:sz="0" w:space="0" w:color="auto"/>
        <w:right w:val="none" w:sz="0" w:space="0" w:color="auto"/>
      </w:divBdr>
      <w:divsChild>
        <w:div w:id="413623819">
          <w:marLeft w:val="0"/>
          <w:marRight w:val="0"/>
          <w:marTop w:val="0"/>
          <w:marBottom w:val="0"/>
          <w:divBdr>
            <w:top w:val="none" w:sz="0" w:space="0" w:color="auto"/>
            <w:left w:val="none" w:sz="0" w:space="0" w:color="auto"/>
            <w:bottom w:val="none" w:sz="0" w:space="0" w:color="auto"/>
            <w:right w:val="none" w:sz="0" w:space="0" w:color="auto"/>
          </w:divBdr>
        </w:div>
      </w:divsChild>
    </w:div>
    <w:div w:id="136800838">
      <w:marLeft w:val="0"/>
      <w:marRight w:val="0"/>
      <w:marTop w:val="160"/>
      <w:marBottom w:val="160"/>
      <w:divBdr>
        <w:top w:val="none" w:sz="0" w:space="0" w:color="auto"/>
        <w:left w:val="none" w:sz="0" w:space="0" w:color="auto"/>
        <w:bottom w:val="none" w:sz="0" w:space="0" w:color="auto"/>
        <w:right w:val="none" w:sz="0" w:space="0" w:color="auto"/>
      </w:divBdr>
    </w:div>
    <w:div w:id="143855079">
      <w:marLeft w:val="0"/>
      <w:marRight w:val="0"/>
      <w:marTop w:val="160"/>
      <w:marBottom w:val="160"/>
      <w:divBdr>
        <w:top w:val="none" w:sz="0" w:space="0" w:color="auto"/>
        <w:left w:val="none" w:sz="0" w:space="0" w:color="auto"/>
        <w:bottom w:val="none" w:sz="0" w:space="0" w:color="auto"/>
        <w:right w:val="none" w:sz="0" w:space="0" w:color="auto"/>
      </w:divBdr>
    </w:div>
    <w:div w:id="144510951">
      <w:marLeft w:val="0"/>
      <w:marRight w:val="0"/>
      <w:marTop w:val="160"/>
      <w:marBottom w:val="160"/>
      <w:divBdr>
        <w:top w:val="none" w:sz="0" w:space="0" w:color="auto"/>
        <w:left w:val="none" w:sz="0" w:space="0" w:color="auto"/>
        <w:bottom w:val="none" w:sz="0" w:space="0" w:color="auto"/>
        <w:right w:val="none" w:sz="0" w:space="0" w:color="auto"/>
      </w:divBdr>
    </w:div>
    <w:div w:id="146556944">
      <w:marLeft w:val="0"/>
      <w:marRight w:val="0"/>
      <w:marTop w:val="160"/>
      <w:marBottom w:val="160"/>
      <w:divBdr>
        <w:top w:val="none" w:sz="0" w:space="0" w:color="auto"/>
        <w:left w:val="none" w:sz="0" w:space="0" w:color="auto"/>
        <w:bottom w:val="none" w:sz="0" w:space="0" w:color="auto"/>
        <w:right w:val="none" w:sz="0" w:space="0" w:color="auto"/>
      </w:divBdr>
    </w:div>
    <w:div w:id="148984836">
      <w:marLeft w:val="0"/>
      <w:marRight w:val="0"/>
      <w:marTop w:val="160"/>
      <w:marBottom w:val="160"/>
      <w:divBdr>
        <w:top w:val="none" w:sz="0" w:space="0" w:color="auto"/>
        <w:left w:val="none" w:sz="0" w:space="0" w:color="auto"/>
        <w:bottom w:val="none" w:sz="0" w:space="0" w:color="auto"/>
        <w:right w:val="none" w:sz="0" w:space="0" w:color="auto"/>
      </w:divBdr>
    </w:div>
    <w:div w:id="150101001">
      <w:marLeft w:val="0"/>
      <w:marRight w:val="0"/>
      <w:marTop w:val="160"/>
      <w:marBottom w:val="160"/>
      <w:divBdr>
        <w:top w:val="none" w:sz="0" w:space="0" w:color="auto"/>
        <w:left w:val="none" w:sz="0" w:space="0" w:color="auto"/>
        <w:bottom w:val="none" w:sz="0" w:space="0" w:color="auto"/>
        <w:right w:val="none" w:sz="0" w:space="0" w:color="auto"/>
      </w:divBdr>
    </w:div>
    <w:div w:id="152918236">
      <w:marLeft w:val="0"/>
      <w:marRight w:val="0"/>
      <w:marTop w:val="0"/>
      <w:marBottom w:val="0"/>
      <w:divBdr>
        <w:top w:val="none" w:sz="0" w:space="0" w:color="auto"/>
        <w:left w:val="none" w:sz="0" w:space="0" w:color="auto"/>
        <w:bottom w:val="none" w:sz="0" w:space="0" w:color="auto"/>
        <w:right w:val="none" w:sz="0" w:space="0" w:color="auto"/>
      </w:divBdr>
      <w:divsChild>
        <w:div w:id="1223979176">
          <w:marLeft w:val="0"/>
          <w:marRight w:val="0"/>
          <w:marTop w:val="0"/>
          <w:marBottom w:val="0"/>
          <w:divBdr>
            <w:top w:val="none" w:sz="0" w:space="0" w:color="auto"/>
            <w:left w:val="none" w:sz="0" w:space="0" w:color="auto"/>
            <w:bottom w:val="none" w:sz="0" w:space="0" w:color="auto"/>
            <w:right w:val="none" w:sz="0" w:space="0" w:color="auto"/>
          </w:divBdr>
        </w:div>
      </w:divsChild>
    </w:div>
    <w:div w:id="154036879">
      <w:marLeft w:val="0"/>
      <w:marRight w:val="0"/>
      <w:marTop w:val="100"/>
      <w:marBottom w:val="160"/>
      <w:divBdr>
        <w:top w:val="none" w:sz="0" w:space="0" w:color="auto"/>
        <w:left w:val="none" w:sz="0" w:space="0" w:color="auto"/>
        <w:bottom w:val="none" w:sz="0" w:space="0" w:color="auto"/>
        <w:right w:val="none" w:sz="0" w:space="0" w:color="auto"/>
      </w:divBdr>
    </w:div>
    <w:div w:id="154421749">
      <w:marLeft w:val="0"/>
      <w:marRight w:val="0"/>
      <w:marTop w:val="160"/>
      <w:marBottom w:val="160"/>
      <w:divBdr>
        <w:top w:val="none" w:sz="0" w:space="0" w:color="auto"/>
        <w:left w:val="none" w:sz="0" w:space="0" w:color="auto"/>
        <w:bottom w:val="none" w:sz="0" w:space="0" w:color="auto"/>
        <w:right w:val="none" w:sz="0" w:space="0" w:color="auto"/>
      </w:divBdr>
    </w:div>
    <w:div w:id="156501828">
      <w:marLeft w:val="0"/>
      <w:marRight w:val="0"/>
      <w:marTop w:val="160"/>
      <w:marBottom w:val="160"/>
      <w:divBdr>
        <w:top w:val="none" w:sz="0" w:space="0" w:color="auto"/>
        <w:left w:val="none" w:sz="0" w:space="0" w:color="auto"/>
        <w:bottom w:val="none" w:sz="0" w:space="0" w:color="auto"/>
        <w:right w:val="none" w:sz="0" w:space="0" w:color="auto"/>
      </w:divBdr>
    </w:div>
    <w:div w:id="156963463">
      <w:marLeft w:val="0"/>
      <w:marRight w:val="0"/>
      <w:marTop w:val="160"/>
      <w:marBottom w:val="160"/>
      <w:divBdr>
        <w:top w:val="none" w:sz="0" w:space="0" w:color="auto"/>
        <w:left w:val="none" w:sz="0" w:space="0" w:color="auto"/>
        <w:bottom w:val="none" w:sz="0" w:space="0" w:color="auto"/>
        <w:right w:val="none" w:sz="0" w:space="0" w:color="auto"/>
      </w:divBdr>
    </w:div>
    <w:div w:id="157161404">
      <w:marLeft w:val="0"/>
      <w:marRight w:val="0"/>
      <w:marTop w:val="0"/>
      <w:marBottom w:val="0"/>
      <w:divBdr>
        <w:top w:val="none" w:sz="0" w:space="0" w:color="auto"/>
        <w:left w:val="none" w:sz="0" w:space="0" w:color="auto"/>
        <w:bottom w:val="none" w:sz="0" w:space="0" w:color="auto"/>
        <w:right w:val="none" w:sz="0" w:space="0" w:color="auto"/>
      </w:divBdr>
      <w:divsChild>
        <w:div w:id="1112171831">
          <w:marLeft w:val="0"/>
          <w:marRight w:val="0"/>
          <w:marTop w:val="160"/>
          <w:marBottom w:val="160"/>
          <w:divBdr>
            <w:top w:val="none" w:sz="0" w:space="0" w:color="auto"/>
            <w:left w:val="none" w:sz="0" w:space="0" w:color="auto"/>
            <w:bottom w:val="none" w:sz="0" w:space="0" w:color="auto"/>
            <w:right w:val="none" w:sz="0" w:space="0" w:color="auto"/>
          </w:divBdr>
        </w:div>
        <w:div w:id="614211559">
          <w:marLeft w:val="0"/>
          <w:marRight w:val="0"/>
          <w:marTop w:val="160"/>
          <w:marBottom w:val="160"/>
          <w:divBdr>
            <w:top w:val="none" w:sz="0" w:space="0" w:color="auto"/>
            <w:left w:val="none" w:sz="0" w:space="0" w:color="auto"/>
            <w:bottom w:val="none" w:sz="0" w:space="0" w:color="auto"/>
            <w:right w:val="none" w:sz="0" w:space="0" w:color="auto"/>
          </w:divBdr>
        </w:div>
        <w:div w:id="1975406927">
          <w:marLeft w:val="0"/>
          <w:marRight w:val="0"/>
          <w:marTop w:val="160"/>
          <w:marBottom w:val="160"/>
          <w:divBdr>
            <w:top w:val="none" w:sz="0" w:space="0" w:color="auto"/>
            <w:left w:val="none" w:sz="0" w:space="0" w:color="auto"/>
            <w:bottom w:val="none" w:sz="0" w:space="0" w:color="auto"/>
            <w:right w:val="none" w:sz="0" w:space="0" w:color="auto"/>
          </w:divBdr>
        </w:div>
        <w:div w:id="1920598585">
          <w:marLeft w:val="0"/>
          <w:marRight w:val="0"/>
          <w:marTop w:val="160"/>
          <w:marBottom w:val="160"/>
          <w:divBdr>
            <w:top w:val="none" w:sz="0" w:space="0" w:color="auto"/>
            <w:left w:val="none" w:sz="0" w:space="0" w:color="auto"/>
            <w:bottom w:val="none" w:sz="0" w:space="0" w:color="auto"/>
            <w:right w:val="none" w:sz="0" w:space="0" w:color="auto"/>
          </w:divBdr>
        </w:div>
        <w:div w:id="1579904969">
          <w:marLeft w:val="0"/>
          <w:marRight w:val="0"/>
          <w:marTop w:val="160"/>
          <w:marBottom w:val="160"/>
          <w:divBdr>
            <w:top w:val="none" w:sz="0" w:space="0" w:color="auto"/>
            <w:left w:val="none" w:sz="0" w:space="0" w:color="auto"/>
            <w:bottom w:val="none" w:sz="0" w:space="0" w:color="auto"/>
            <w:right w:val="none" w:sz="0" w:space="0" w:color="auto"/>
          </w:divBdr>
        </w:div>
        <w:div w:id="761997829">
          <w:marLeft w:val="0"/>
          <w:marRight w:val="0"/>
          <w:marTop w:val="0"/>
          <w:marBottom w:val="0"/>
          <w:divBdr>
            <w:top w:val="none" w:sz="0" w:space="0" w:color="auto"/>
            <w:left w:val="none" w:sz="0" w:space="0" w:color="auto"/>
            <w:bottom w:val="none" w:sz="0" w:space="0" w:color="auto"/>
            <w:right w:val="none" w:sz="0" w:space="0" w:color="auto"/>
          </w:divBdr>
        </w:div>
      </w:divsChild>
    </w:div>
    <w:div w:id="157503536">
      <w:marLeft w:val="0"/>
      <w:marRight w:val="0"/>
      <w:marTop w:val="160"/>
      <w:marBottom w:val="160"/>
      <w:divBdr>
        <w:top w:val="none" w:sz="0" w:space="0" w:color="auto"/>
        <w:left w:val="none" w:sz="0" w:space="0" w:color="auto"/>
        <w:bottom w:val="none" w:sz="0" w:space="0" w:color="auto"/>
        <w:right w:val="none" w:sz="0" w:space="0" w:color="auto"/>
      </w:divBdr>
    </w:div>
    <w:div w:id="160777082">
      <w:marLeft w:val="0"/>
      <w:marRight w:val="0"/>
      <w:marTop w:val="160"/>
      <w:marBottom w:val="160"/>
      <w:divBdr>
        <w:top w:val="none" w:sz="0" w:space="0" w:color="auto"/>
        <w:left w:val="none" w:sz="0" w:space="0" w:color="auto"/>
        <w:bottom w:val="none" w:sz="0" w:space="0" w:color="auto"/>
        <w:right w:val="none" w:sz="0" w:space="0" w:color="auto"/>
      </w:divBdr>
    </w:div>
    <w:div w:id="161431444">
      <w:marLeft w:val="0"/>
      <w:marRight w:val="0"/>
      <w:marTop w:val="160"/>
      <w:marBottom w:val="160"/>
      <w:divBdr>
        <w:top w:val="none" w:sz="0" w:space="0" w:color="auto"/>
        <w:left w:val="none" w:sz="0" w:space="0" w:color="auto"/>
        <w:bottom w:val="none" w:sz="0" w:space="0" w:color="auto"/>
        <w:right w:val="none" w:sz="0" w:space="0" w:color="auto"/>
      </w:divBdr>
    </w:div>
    <w:div w:id="164899659">
      <w:marLeft w:val="0"/>
      <w:marRight w:val="0"/>
      <w:marTop w:val="160"/>
      <w:marBottom w:val="160"/>
      <w:divBdr>
        <w:top w:val="none" w:sz="0" w:space="0" w:color="auto"/>
        <w:left w:val="none" w:sz="0" w:space="0" w:color="auto"/>
        <w:bottom w:val="none" w:sz="0" w:space="0" w:color="auto"/>
        <w:right w:val="none" w:sz="0" w:space="0" w:color="auto"/>
      </w:divBdr>
    </w:div>
    <w:div w:id="165823508">
      <w:marLeft w:val="0"/>
      <w:marRight w:val="0"/>
      <w:marTop w:val="0"/>
      <w:marBottom w:val="0"/>
      <w:divBdr>
        <w:top w:val="none" w:sz="0" w:space="0" w:color="auto"/>
        <w:left w:val="none" w:sz="0" w:space="0" w:color="auto"/>
        <w:bottom w:val="none" w:sz="0" w:space="0" w:color="auto"/>
        <w:right w:val="none" w:sz="0" w:space="0" w:color="auto"/>
      </w:divBdr>
      <w:divsChild>
        <w:div w:id="2009285890">
          <w:marLeft w:val="0"/>
          <w:marRight w:val="0"/>
          <w:marTop w:val="0"/>
          <w:marBottom w:val="0"/>
          <w:divBdr>
            <w:top w:val="none" w:sz="0" w:space="0" w:color="auto"/>
            <w:left w:val="none" w:sz="0" w:space="0" w:color="auto"/>
            <w:bottom w:val="none" w:sz="0" w:space="0" w:color="auto"/>
            <w:right w:val="none" w:sz="0" w:space="0" w:color="auto"/>
          </w:divBdr>
        </w:div>
      </w:divsChild>
    </w:div>
    <w:div w:id="166948470">
      <w:marLeft w:val="0"/>
      <w:marRight w:val="0"/>
      <w:marTop w:val="160"/>
      <w:marBottom w:val="0"/>
      <w:divBdr>
        <w:top w:val="none" w:sz="0" w:space="0" w:color="auto"/>
        <w:left w:val="none" w:sz="0" w:space="0" w:color="auto"/>
        <w:bottom w:val="none" w:sz="0" w:space="0" w:color="auto"/>
        <w:right w:val="none" w:sz="0" w:space="0" w:color="auto"/>
      </w:divBdr>
    </w:div>
    <w:div w:id="168254801">
      <w:marLeft w:val="0"/>
      <w:marRight w:val="0"/>
      <w:marTop w:val="160"/>
      <w:marBottom w:val="160"/>
      <w:divBdr>
        <w:top w:val="none" w:sz="0" w:space="0" w:color="auto"/>
        <w:left w:val="none" w:sz="0" w:space="0" w:color="auto"/>
        <w:bottom w:val="none" w:sz="0" w:space="0" w:color="auto"/>
        <w:right w:val="none" w:sz="0" w:space="0" w:color="auto"/>
      </w:divBdr>
    </w:div>
    <w:div w:id="170074454">
      <w:marLeft w:val="0"/>
      <w:marRight w:val="0"/>
      <w:marTop w:val="0"/>
      <w:marBottom w:val="0"/>
      <w:divBdr>
        <w:top w:val="none" w:sz="0" w:space="0" w:color="auto"/>
        <w:left w:val="none" w:sz="0" w:space="0" w:color="auto"/>
        <w:bottom w:val="none" w:sz="0" w:space="0" w:color="auto"/>
        <w:right w:val="none" w:sz="0" w:space="0" w:color="auto"/>
      </w:divBdr>
    </w:div>
    <w:div w:id="173422763">
      <w:marLeft w:val="0"/>
      <w:marRight w:val="0"/>
      <w:marTop w:val="160"/>
      <w:marBottom w:val="160"/>
      <w:divBdr>
        <w:top w:val="none" w:sz="0" w:space="0" w:color="auto"/>
        <w:left w:val="none" w:sz="0" w:space="0" w:color="auto"/>
        <w:bottom w:val="none" w:sz="0" w:space="0" w:color="auto"/>
        <w:right w:val="none" w:sz="0" w:space="0" w:color="auto"/>
      </w:divBdr>
    </w:div>
    <w:div w:id="183444314">
      <w:marLeft w:val="0"/>
      <w:marRight w:val="0"/>
      <w:marTop w:val="160"/>
      <w:marBottom w:val="160"/>
      <w:divBdr>
        <w:top w:val="none" w:sz="0" w:space="0" w:color="auto"/>
        <w:left w:val="none" w:sz="0" w:space="0" w:color="auto"/>
        <w:bottom w:val="none" w:sz="0" w:space="0" w:color="auto"/>
        <w:right w:val="none" w:sz="0" w:space="0" w:color="auto"/>
      </w:divBdr>
    </w:div>
    <w:div w:id="185339063">
      <w:marLeft w:val="0"/>
      <w:marRight w:val="0"/>
      <w:marTop w:val="0"/>
      <w:marBottom w:val="0"/>
      <w:divBdr>
        <w:top w:val="none" w:sz="0" w:space="0" w:color="auto"/>
        <w:left w:val="none" w:sz="0" w:space="0" w:color="auto"/>
        <w:bottom w:val="none" w:sz="0" w:space="0" w:color="auto"/>
        <w:right w:val="none" w:sz="0" w:space="0" w:color="auto"/>
      </w:divBdr>
      <w:divsChild>
        <w:div w:id="1483085886">
          <w:marLeft w:val="0"/>
          <w:marRight w:val="0"/>
          <w:marTop w:val="0"/>
          <w:marBottom w:val="0"/>
          <w:divBdr>
            <w:top w:val="none" w:sz="0" w:space="0" w:color="auto"/>
            <w:left w:val="none" w:sz="0" w:space="0" w:color="auto"/>
            <w:bottom w:val="none" w:sz="0" w:space="0" w:color="auto"/>
            <w:right w:val="none" w:sz="0" w:space="0" w:color="auto"/>
          </w:divBdr>
        </w:div>
      </w:divsChild>
    </w:div>
    <w:div w:id="186406729">
      <w:marLeft w:val="0"/>
      <w:marRight w:val="0"/>
      <w:marTop w:val="160"/>
      <w:marBottom w:val="160"/>
      <w:divBdr>
        <w:top w:val="none" w:sz="0" w:space="0" w:color="auto"/>
        <w:left w:val="none" w:sz="0" w:space="0" w:color="auto"/>
        <w:bottom w:val="none" w:sz="0" w:space="0" w:color="auto"/>
        <w:right w:val="none" w:sz="0" w:space="0" w:color="auto"/>
      </w:divBdr>
    </w:div>
    <w:div w:id="192499516">
      <w:marLeft w:val="0"/>
      <w:marRight w:val="0"/>
      <w:marTop w:val="0"/>
      <w:marBottom w:val="0"/>
      <w:divBdr>
        <w:top w:val="none" w:sz="0" w:space="0" w:color="auto"/>
        <w:left w:val="none" w:sz="0" w:space="0" w:color="auto"/>
        <w:bottom w:val="none" w:sz="0" w:space="0" w:color="auto"/>
        <w:right w:val="none" w:sz="0" w:space="0" w:color="auto"/>
      </w:divBdr>
      <w:divsChild>
        <w:div w:id="814681780">
          <w:marLeft w:val="0"/>
          <w:marRight w:val="0"/>
          <w:marTop w:val="0"/>
          <w:marBottom w:val="0"/>
          <w:divBdr>
            <w:top w:val="none" w:sz="0" w:space="0" w:color="auto"/>
            <w:left w:val="none" w:sz="0" w:space="0" w:color="auto"/>
            <w:bottom w:val="none" w:sz="0" w:space="0" w:color="auto"/>
            <w:right w:val="none" w:sz="0" w:space="0" w:color="auto"/>
          </w:divBdr>
        </w:div>
      </w:divsChild>
    </w:div>
    <w:div w:id="198972927">
      <w:marLeft w:val="0"/>
      <w:marRight w:val="0"/>
      <w:marTop w:val="160"/>
      <w:marBottom w:val="160"/>
      <w:divBdr>
        <w:top w:val="none" w:sz="0" w:space="0" w:color="auto"/>
        <w:left w:val="none" w:sz="0" w:space="0" w:color="auto"/>
        <w:bottom w:val="none" w:sz="0" w:space="0" w:color="auto"/>
        <w:right w:val="none" w:sz="0" w:space="0" w:color="auto"/>
      </w:divBdr>
    </w:div>
    <w:div w:id="201213379">
      <w:marLeft w:val="0"/>
      <w:marRight w:val="0"/>
      <w:marTop w:val="160"/>
      <w:marBottom w:val="160"/>
      <w:divBdr>
        <w:top w:val="none" w:sz="0" w:space="0" w:color="auto"/>
        <w:left w:val="none" w:sz="0" w:space="0" w:color="auto"/>
        <w:bottom w:val="none" w:sz="0" w:space="0" w:color="auto"/>
        <w:right w:val="none" w:sz="0" w:space="0" w:color="auto"/>
      </w:divBdr>
    </w:div>
    <w:div w:id="204342078">
      <w:marLeft w:val="0"/>
      <w:marRight w:val="0"/>
      <w:marTop w:val="0"/>
      <w:marBottom w:val="0"/>
      <w:divBdr>
        <w:top w:val="none" w:sz="0" w:space="0" w:color="auto"/>
        <w:left w:val="none" w:sz="0" w:space="0" w:color="auto"/>
        <w:bottom w:val="none" w:sz="0" w:space="0" w:color="auto"/>
        <w:right w:val="none" w:sz="0" w:space="0" w:color="auto"/>
      </w:divBdr>
      <w:divsChild>
        <w:div w:id="1466510069">
          <w:marLeft w:val="0"/>
          <w:marRight w:val="0"/>
          <w:marTop w:val="0"/>
          <w:marBottom w:val="0"/>
          <w:divBdr>
            <w:top w:val="none" w:sz="0" w:space="0" w:color="auto"/>
            <w:left w:val="none" w:sz="0" w:space="0" w:color="auto"/>
            <w:bottom w:val="none" w:sz="0" w:space="0" w:color="auto"/>
            <w:right w:val="none" w:sz="0" w:space="0" w:color="auto"/>
          </w:divBdr>
        </w:div>
      </w:divsChild>
    </w:div>
    <w:div w:id="207423273">
      <w:marLeft w:val="0"/>
      <w:marRight w:val="0"/>
      <w:marTop w:val="160"/>
      <w:marBottom w:val="160"/>
      <w:divBdr>
        <w:top w:val="none" w:sz="0" w:space="0" w:color="auto"/>
        <w:left w:val="none" w:sz="0" w:space="0" w:color="auto"/>
        <w:bottom w:val="none" w:sz="0" w:space="0" w:color="auto"/>
        <w:right w:val="none" w:sz="0" w:space="0" w:color="auto"/>
      </w:divBdr>
    </w:div>
    <w:div w:id="213467667">
      <w:marLeft w:val="0"/>
      <w:marRight w:val="0"/>
      <w:marTop w:val="160"/>
      <w:marBottom w:val="160"/>
      <w:divBdr>
        <w:top w:val="none" w:sz="0" w:space="0" w:color="auto"/>
        <w:left w:val="none" w:sz="0" w:space="0" w:color="auto"/>
        <w:bottom w:val="none" w:sz="0" w:space="0" w:color="auto"/>
        <w:right w:val="none" w:sz="0" w:space="0" w:color="auto"/>
      </w:divBdr>
    </w:div>
    <w:div w:id="216361704">
      <w:marLeft w:val="0"/>
      <w:marRight w:val="0"/>
      <w:marTop w:val="160"/>
      <w:marBottom w:val="160"/>
      <w:divBdr>
        <w:top w:val="none" w:sz="0" w:space="0" w:color="auto"/>
        <w:left w:val="none" w:sz="0" w:space="0" w:color="auto"/>
        <w:bottom w:val="none" w:sz="0" w:space="0" w:color="auto"/>
        <w:right w:val="none" w:sz="0" w:space="0" w:color="auto"/>
      </w:divBdr>
    </w:div>
    <w:div w:id="217134610">
      <w:marLeft w:val="0"/>
      <w:marRight w:val="0"/>
      <w:marTop w:val="0"/>
      <w:marBottom w:val="0"/>
      <w:divBdr>
        <w:top w:val="none" w:sz="0" w:space="0" w:color="auto"/>
        <w:left w:val="none" w:sz="0" w:space="0" w:color="auto"/>
        <w:bottom w:val="none" w:sz="0" w:space="0" w:color="auto"/>
        <w:right w:val="none" w:sz="0" w:space="0" w:color="auto"/>
      </w:divBdr>
      <w:divsChild>
        <w:div w:id="996033427">
          <w:marLeft w:val="0"/>
          <w:marRight w:val="0"/>
          <w:marTop w:val="0"/>
          <w:marBottom w:val="0"/>
          <w:divBdr>
            <w:top w:val="none" w:sz="0" w:space="0" w:color="auto"/>
            <w:left w:val="none" w:sz="0" w:space="0" w:color="auto"/>
            <w:bottom w:val="none" w:sz="0" w:space="0" w:color="auto"/>
            <w:right w:val="none" w:sz="0" w:space="0" w:color="auto"/>
          </w:divBdr>
        </w:div>
      </w:divsChild>
    </w:div>
    <w:div w:id="219681840">
      <w:marLeft w:val="0"/>
      <w:marRight w:val="0"/>
      <w:marTop w:val="160"/>
      <w:marBottom w:val="160"/>
      <w:divBdr>
        <w:top w:val="none" w:sz="0" w:space="0" w:color="auto"/>
        <w:left w:val="none" w:sz="0" w:space="0" w:color="auto"/>
        <w:bottom w:val="none" w:sz="0" w:space="0" w:color="auto"/>
        <w:right w:val="none" w:sz="0" w:space="0" w:color="auto"/>
      </w:divBdr>
    </w:div>
    <w:div w:id="225990438">
      <w:marLeft w:val="0"/>
      <w:marRight w:val="0"/>
      <w:marTop w:val="160"/>
      <w:marBottom w:val="160"/>
      <w:divBdr>
        <w:top w:val="none" w:sz="0" w:space="0" w:color="auto"/>
        <w:left w:val="none" w:sz="0" w:space="0" w:color="auto"/>
        <w:bottom w:val="none" w:sz="0" w:space="0" w:color="auto"/>
        <w:right w:val="none" w:sz="0" w:space="0" w:color="auto"/>
      </w:divBdr>
    </w:div>
    <w:div w:id="227304158">
      <w:marLeft w:val="0"/>
      <w:marRight w:val="0"/>
      <w:marTop w:val="160"/>
      <w:marBottom w:val="160"/>
      <w:divBdr>
        <w:top w:val="none" w:sz="0" w:space="0" w:color="auto"/>
        <w:left w:val="none" w:sz="0" w:space="0" w:color="auto"/>
        <w:bottom w:val="none" w:sz="0" w:space="0" w:color="auto"/>
        <w:right w:val="none" w:sz="0" w:space="0" w:color="auto"/>
      </w:divBdr>
    </w:div>
    <w:div w:id="230190321">
      <w:marLeft w:val="0"/>
      <w:marRight w:val="0"/>
      <w:marTop w:val="160"/>
      <w:marBottom w:val="160"/>
      <w:divBdr>
        <w:top w:val="none" w:sz="0" w:space="0" w:color="auto"/>
        <w:left w:val="none" w:sz="0" w:space="0" w:color="auto"/>
        <w:bottom w:val="none" w:sz="0" w:space="0" w:color="auto"/>
        <w:right w:val="none" w:sz="0" w:space="0" w:color="auto"/>
      </w:divBdr>
    </w:div>
    <w:div w:id="237909407">
      <w:marLeft w:val="0"/>
      <w:marRight w:val="0"/>
      <w:marTop w:val="0"/>
      <w:marBottom w:val="0"/>
      <w:divBdr>
        <w:top w:val="none" w:sz="0" w:space="0" w:color="auto"/>
        <w:left w:val="none" w:sz="0" w:space="0" w:color="auto"/>
        <w:bottom w:val="none" w:sz="0" w:space="0" w:color="auto"/>
        <w:right w:val="none" w:sz="0" w:space="0" w:color="auto"/>
      </w:divBdr>
    </w:div>
    <w:div w:id="238372756">
      <w:marLeft w:val="0"/>
      <w:marRight w:val="0"/>
      <w:marTop w:val="160"/>
      <w:marBottom w:val="160"/>
      <w:divBdr>
        <w:top w:val="none" w:sz="0" w:space="0" w:color="auto"/>
        <w:left w:val="none" w:sz="0" w:space="0" w:color="auto"/>
        <w:bottom w:val="none" w:sz="0" w:space="0" w:color="auto"/>
        <w:right w:val="none" w:sz="0" w:space="0" w:color="auto"/>
      </w:divBdr>
    </w:div>
    <w:div w:id="238758075">
      <w:marLeft w:val="0"/>
      <w:marRight w:val="0"/>
      <w:marTop w:val="160"/>
      <w:marBottom w:val="160"/>
      <w:divBdr>
        <w:top w:val="none" w:sz="0" w:space="0" w:color="auto"/>
        <w:left w:val="none" w:sz="0" w:space="0" w:color="auto"/>
        <w:bottom w:val="none" w:sz="0" w:space="0" w:color="auto"/>
        <w:right w:val="none" w:sz="0" w:space="0" w:color="auto"/>
      </w:divBdr>
    </w:div>
    <w:div w:id="241723653">
      <w:marLeft w:val="0"/>
      <w:marRight w:val="0"/>
      <w:marTop w:val="0"/>
      <w:marBottom w:val="0"/>
      <w:divBdr>
        <w:top w:val="none" w:sz="0" w:space="0" w:color="auto"/>
        <w:left w:val="none" w:sz="0" w:space="0" w:color="auto"/>
        <w:bottom w:val="none" w:sz="0" w:space="0" w:color="auto"/>
        <w:right w:val="none" w:sz="0" w:space="0" w:color="auto"/>
      </w:divBdr>
      <w:divsChild>
        <w:div w:id="2064480568">
          <w:marLeft w:val="0"/>
          <w:marRight w:val="0"/>
          <w:marTop w:val="0"/>
          <w:marBottom w:val="0"/>
          <w:divBdr>
            <w:top w:val="none" w:sz="0" w:space="0" w:color="auto"/>
            <w:left w:val="none" w:sz="0" w:space="0" w:color="auto"/>
            <w:bottom w:val="none" w:sz="0" w:space="0" w:color="auto"/>
            <w:right w:val="none" w:sz="0" w:space="0" w:color="auto"/>
          </w:divBdr>
        </w:div>
      </w:divsChild>
    </w:div>
    <w:div w:id="248270647">
      <w:marLeft w:val="0"/>
      <w:marRight w:val="0"/>
      <w:marTop w:val="160"/>
      <w:marBottom w:val="160"/>
      <w:divBdr>
        <w:top w:val="none" w:sz="0" w:space="0" w:color="auto"/>
        <w:left w:val="none" w:sz="0" w:space="0" w:color="auto"/>
        <w:bottom w:val="none" w:sz="0" w:space="0" w:color="auto"/>
        <w:right w:val="none" w:sz="0" w:space="0" w:color="auto"/>
      </w:divBdr>
    </w:div>
    <w:div w:id="248320359">
      <w:marLeft w:val="0"/>
      <w:marRight w:val="0"/>
      <w:marTop w:val="160"/>
      <w:marBottom w:val="160"/>
      <w:divBdr>
        <w:top w:val="none" w:sz="0" w:space="0" w:color="auto"/>
        <w:left w:val="none" w:sz="0" w:space="0" w:color="auto"/>
        <w:bottom w:val="none" w:sz="0" w:space="0" w:color="auto"/>
        <w:right w:val="none" w:sz="0" w:space="0" w:color="auto"/>
      </w:divBdr>
    </w:div>
    <w:div w:id="251284787">
      <w:marLeft w:val="0"/>
      <w:marRight w:val="0"/>
      <w:marTop w:val="160"/>
      <w:marBottom w:val="160"/>
      <w:divBdr>
        <w:top w:val="none" w:sz="0" w:space="0" w:color="auto"/>
        <w:left w:val="none" w:sz="0" w:space="0" w:color="auto"/>
        <w:bottom w:val="none" w:sz="0" w:space="0" w:color="auto"/>
        <w:right w:val="none" w:sz="0" w:space="0" w:color="auto"/>
      </w:divBdr>
    </w:div>
    <w:div w:id="252279445">
      <w:marLeft w:val="0"/>
      <w:marRight w:val="0"/>
      <w:marTop w:val="0"/>
      <w:marBottom w:val="0"/>
      <w:divBdr>
        <w:top w:val="none" w:sz="0" w:space="0" w:color="auto"/>
        <w:left w:val="none" w:sz="0" w:space="0" w:color="auto"/>
        <w:bottom w:val="none" w:sz="0" w:space="0" w:color="auto"/>
        <w:right w:val="none" w:sz="0" w:space="0" w:color="auto"/>
      </w:divBdr>
      <w:divsChild>
        <w:div w:id="1638337257">
          <w:marLeft w:val="0"/>
          <w:marRight w:val="0"/>
          <w:marTop w:val="0"/>
          <w:marBottom w:val="0"/>
          <w:divBdr>
            <w:top w:val="none" w:sz="0" w:space="0" w:color="auto"/>
            <w:left w:val="none" w:sz="0" w:space="0" w:color="auto"/>
            <w:bottom w:val="none" w:sz="0" w:space="0" w:color="auto"/>
            <w:right w:val="none" w:sz="0" w:space="0" w:color="auto"/>
          </w:divBdr>
        </w:div>
      </w:divsChild>
    </w:div>
    <w:div w:id="252518235">
      <w:marLeft w:val="0"/>
      <w:marRight w:val="0"/>
      <w:marTop w:val="160"/>
      <w:marBottom w:val="160"/>
      <w:divBdr>
        <w:top w:val="none" w:sz="0" w:space="0" w:color="auto"/>
        <w:left w:val="none" w:sz="0" w:space="0" w:color="auto"/>
        <w:bottom w:val="none" w:sz="0" w:space="0" w:color="auto"/>
        <w:right w:val="none" w:sz="0" w:space="0" w:color="auto"/>
      </w:divBdr>
    </w:div>
    <w:div w:id="258370921">
      <w:marLeft w:val="0"/>
      <w:marRight w:val="0"/>
      <w:marTop w:val="0"/>
      <w:marBottom w:val="0"/>
      <w:divBdr>
        <w:top w:val="none" w:sz="0" w:space="0" w:color="auto"/>
        <w:left w:val="none" w:sz="0" w:space="0" w:color="auto"/>
        <w:bottom w:val="none" w:sz="0" w:space="0" w:color="auto"/>
        <w:right w:val="none" w:sz="0" w:space="0" w:color="auto"/>
      </w:divBdr>
    </w:div>
    <w:div w:id="260651405">
      <w:marLeft w:val="0"/>
      <w:marRight w:val="0"/>
      <w:marTop w:val="160"/>
      <w:marBottom w:val="160"/>
      <w:divBdr>
        <w:top w:val="none" w:sz="0" w:space="0" w:color="auto"/>
        <w:left w:val="none" w:sz="0" w:space="0" w:color="auto"/>
        <w:bottom w:val="none" w:sz="0" w:space="0" w:color="auto"/>
        <w:right w:val="none" w:sz="0" w:space="0" w:color="auto"/>
      </w:divBdr>
    </w:div>
    <w:div w:id="261038906">
      <w:marLeft w:val="0"/>
      <w:marRight w:val="0"/>
      <w:marTop w:val="160"/>
      <w:marBottom w:val="160"/>
      <w:divBdr>
        <w:top w:val="none" w:sz="0" w:space="0" w:color="auto"/>
        <w:left w:val="none" w:sz="0" w:space="0" w:color="auto"/>
        <w:bottom w:val="none" w:sz="0" w:space="0" w:color="auto"/>
        <w:right w:val="none" w:sz="0" w:space="0" w:color="auto"/>
      </w:divBdr>
    </w:div>
    <w:div w:id="268440486">
      <w:marLeft w:val="0"/>
      <w:marRight w:val="0"/>
      <w:marTop w:val="160"/>
      <w:marBottom w:val="160"/>
      <w:divBdr>
        <w:top w:val="none" w:sz="0" w:space="0" w:color="auto"/>
        <w:left w:val="none" w:sz="0" w:space="0" w:color="auto"/>
        <w:bottom w:val="none" w:sz="0" w:space="0" w:color="auto"/>
        <w:right w:val="none" w:sz="0" w:space="0" w:color="auto"/>
      </w:divBdr>
    </w:div>
    <w:div w:id="269246501">
      <w:marLeft w:val="0"/>
      <w:marRight w:val="0"/>
      <w:marTop w:val="160"/>
      <w:marBottom w:val="160"/>
      <w:divBdr>
        <w:top w:val="none" w:sz="0" w:space="0" w:color="auto"/>
        <w:left w:val="none" w:sz="0" w:space="0" w:color="auto"/>
        <w:bottom w:val="none" w:sz="0" w:space="0" w:color="auto"/>
        <w:right w:val="none" w:sz="0" w:space="0" w:color="auto"/>
      </w:divBdr>
    </w:div>
    <w:div w:id="275262114">
      <w:marLeft w:val="0"/>
      <w:marRight w:val="0"/>
      <w:marTop w:val="160"/>
      <w:marBottom w:val="160"/>
      <w:divBdr>
        <w:top w:val="none" w:sz="0" w:space="0" w:color="auto"/>
        <w:left w:val="none" w:sz="0" w:space="0" w:color="auto"/>
        <w:bottom w:val="none" w:sz="0" w:space="0" w:color="auto"/>
        <w:right w:val="none" w:sz="0" w:space="0" w:color="auto"/>
      </w:divBdr>
    </w:div>
    <w:div w:id="277226650">
      <w:marLeft w:val="0"/>
      <w:marRight w:val="0"/>
      <w:marTop w:val="0"/>
      <w:marBottom w:val="0"/>
      <w:divBdr>
        <w:top w:val="none" w:sz="0" w:space="0" w:color="auto"/>
        <w:left w:val="none" w:sz="0" w:space="0" w:color="auto"/>
        <w:bottom w:val="none" w:sz="0" w:space="0" w:color="auto"/>
        <w:right w:val="none" w:sz="0" w:space="0" w:color="auto"/>
      </w:divBdr>
      <w:divsChild>
        <w:div w:id="1654991243">
          <w:marLeft w:val="0"/>
          <w:marRight w:val="0"/>
          <w:marTop w:val="160"/>
          <w:marBottom w:val="0"/>
          <w:divBdr>
            <w:top w:val="none" w:sz="0" w:space="0" w:color="auto"/>
            <w:left w:val="none" w:sz="0" w:space="0" w:color="auto"/>
            <w:bottom w:val="none" w:sz="0" w:space="0" w:color="auto"/>
            <w:right w:val="none" w:sz="0" w:space="0" w:color="auto"/>
          </w:divBdr>
        </w:div>
        <w:div w:id="1600915693">
          <w:marLeft w:val="0"/>
          <w:marRight w:val="0"/>
          <w:marTop w:val="160"/>
          <w:marBottom w:val="160"/>
          <w:divBdr>
            <w:top w:val="none" w:sz="0" w:space="0" w:color="auto"/>
            <w:left w:val="none" w:sz="0" w:space="0" w:color="auto"/>
            <w:bottom w:val="none" w:sz="0" w:space="0" w:color="auto"/>
            <w:right w:val="none" w:sz="0" w:space="0" w:color="auto"/>
          </w:divBdr>
        </w:div>
        <w:div w:id="1790277413">
          <w:marLeft w:val="0"/>
          <w:marRight w:val="0"/>
          <w:marTop w:val="160"/>
          <w:marBottom w:val="160"/>
          <w:divBdr>
            <w:top w:val="none" w:sz="0" w:space="0" w:color="auto"/>
            <w:left w:val="none" w:sz="0" w:space="0" w:color="auto"/>
            <w:bottom w:val="none" w:sz="0" w:space="0" w:color="auto"/>
            <w:right w:val="none" w:sz="0" w:space="0" w:color="auto"/>
          </w:divBdr>
        </w:div>
        <w:div w:id="1770736050">
          <w:marLeft w:val="0"/>
          <w:marRight w:val="0"/>
          <w:marTop w:val="160"/>
          <w:marBottom w:val="160"/>
          <w:divBdr>
            <w:top w:val="none" w:sz="0" w:space="0" w:color="auto"/>
            <w:left w:val="none" w:sz="0" w:space="0" w:color="auto"/>
            <w:bottom w:val="none" w:sz="0" w:space="0" w:color="auto"/>
            <w:right w:val="none" w:sz="0" w:space="0" w:color="auto"/>
          </w:divBdr>
        </w:div>
        <w:div w:id="1252010394">
          <w:marLeft w:val="0"/>
          <w:marRight w:val="0"/>
          <w:marTop w:val="0"/>
          <w:marBottom w:val="0"/>
          <w:divBdr>
            <w:top w:val="none" w:sz="0" w:space="0" w:color="auto"/>
            <w:left w:val="none" w:sz="0" w:space="0" w:color="auto"/>
            <w:bottom w:val="none" w:sz="0" w:space="0" w:color="auto"/>
            <w:right w:val="none" w:sz="0" w:space="0" w:color="auto"/>
          </w:divBdr>
        </w:div>
        <w:div w:id="256132738">
          <w:marLeft w:val="0"/>
          <w:marRight w:val="0"/>
          <w:marTop w:val="0"/>
          <w:marBottom w:val="0"/>
          <w:divBdr>
            <w:top w:val="none" w:sz="0" w:space="0" w:color="auto"/>
            <w:left w:val="none" w:sz="0" w:space="0" w:color="auto"/>
            <w:bottom w:val="none" w:sz="0" w:space="0" w:color="auto"/>
            <w:right w:val="none" w:sz="0" w:space="0" w:color="auto"/>
          </w:divBdr>
        </w:div>
      </w:divsChild>
    </w:div>
    <w:div w:id="280890245">
      <w:marLeft w:val="0"/>
      <w:marRight w:val="0"/>
      <w:marTop w:val="160"/>
      <w:marBottom w:val="160"/>
      <w:divBdr>
        <w:top w:val="none" w:sz="0" w:space="0" w:color="auto"/>
        <w:left w:val="none" w:sz="0" w:space="0" w:color="auto"/>
        <w:bottom w:val="none" w:sz="0" w:space="0" w:color="auto"/>
        <w:right w:val="none" w:sz="0" w:space="0" w:color="auto"/>
      </w:divBdr>
    </w:div>
    <w:div w:id="281310612">
      <w:marLeft w:val="0"/>
      <w:marRight w:val="0"/>
      <w:marTop w:val="0"/>
      <w:marBottom w:val="0"/>
      <w:divBdr>
        <w:top w:val="none" w:sz="0" w:space="0" w:color="auto"/>
        <w:left w:val="none" w:sz="0" w:space="0" w:color="auto"/>
        <w:bottom w:val="none" w:sz="0" w:space="0" w:color="auto"/>
        <w:right w:val="none" w:sz="0" w:space="0" w:color="auto"/>
      </w:divBdr>
      <w:divsChild>
        <w:div w:id="1832332428">
          <w:marLeft w:val="0"/>
          <w:marRight w:val="0"/>
          <w:marTop w:val="0"/>
          <w:marBottom w:val="0"/>
          <w:divBdr>
            <w:top w:val="none" w:sz="0" w:space="0" w:color="auto"/>
            <w:left w:val="none" w:sz="0" w:space="0" w:color="auto"/>
            <w:bottom w:val="none" w:sz="0" w:space="0" w:color="auto"/>
            <w:right w:val="none" w:sz="0" w:space="0" w:color="auto"/>
          </w:divBdr>
        </w:div>
      </w:divsChild>
    </w:div>
    <w:div w:id="288825228">
      <w:marLeft w:val="0"/>
      <w:marRight w:val="0"/>
      <w:marTop w:val="0"/>
      <w:marBottom w:val="0"/>
      <w:divBdr>
        <w:top w:val="none" w:sz="0" w:space="0" w:color="auto"/>
        <w:left w:val="none" w:sz="0" w:space="0" w:color="auto"/>
        <w:bottom w:val="none" w:sz="0" w:space="0" w:color="auto"/>
        <w:right w:val="none" w:sz="0" w:space="0" w:color="auto"/>
      </w:divBdr>
    </w:div>
    <w:div w:id="294991573">
      <w:marLeft w:val="0"/>
      <w:marRight w:val="0"/>
      <w:marTop w:val="160"/>
      <w:marBottom w:val="160"/>
      <w:divBdr>
        <w:top w:val="none" w:sz="0" w:space="0" w:color="auto"/>
        <w:left w:val="none" w:sz="0" w:space="0" w:color="auto"/>
        <w:bottom w:val="none" w:sz="0" w:space="0" w:color="auto"/>
        <w:right w:val="none" w:sz="0" w:space="0" w:color="auto"/>
      </w:divBdr>
    </w:div>
    <w:div w:id="305277651">
      <w:marLeft w:val="0"/>
      <w:marRight w:val="0"/>
      <w:marTop w:val="160"/>
      <w:marBottom w:val="160"/>
      <w:divBdr>
        <w:top w:val="none" w:sz="0" w:space="0" w:color="auto"/>
        <w:left w:val="none" w:sz="0" w:space="0" w:color="auto"/>
        <w:bottom w:val="none" w:sz="0" w:space="0" w:color="auto"/>
        <w:right w:val="none" w:sz="0" w:space="0" w:color="auto"/>
      </w:divBdr>
    </w:div>
    <w:div w:id="307976870">
      <w:marLeft w:val="0"/>
      <w:marRight w:val="0"/>
      <w:marTop w:val="160"/>
      <w:marBottom w:val="160"/>
      <w:divBdr>
        <w:top w:val="none" w:sz="0" w:space="0" w:color="auto"/>
        <w:left w:val="none" w:sz="0" w:space="0" w:color="auto"/>
        <w:bottom w:val="none" w:sz="0" w:space="0" w:color="auto"/>
        <w:right w:val="none" w:sz="0" w:space="0" w:color="auto"/>
      </w:divBdr>
    </w:div>
    <w:div w:id="309138952">
      <w:marLeft w:val="0"/>
      <w:marRight w:val="0"/>
      <w:marTop w:val="160"/>
      <w:marBottom w:val="160"/>
      <w:divBdr>
        <w:top w:val="none" w:sz="0" w:space="0" w:color="auto"/>
        <w:left w:val="none" w:sz="0" w:space="0" w:color="auto"/>
        <w:bottom w:val="none" w:sz="0" w:space="0" w:color="auto"/>
        <w:right w:val="none" w:sz="0" w:space="0" w:color="auto"/>
      </w:divBdr>
    </w:div>
    <w:div w:id="313031386">
      <w:marLeft w:val="0"/>
      <w:marRight w:val="0"/>
      <w:marTop w:val="0"/>
      <w:marBottom w:val="0"/>
      <w:divBdr>
        <w:top w:val="none" w:sz="0" w:space="0" w:color="auto"/>
        <w:left w:val="none" w:sz="0" w:space="0" w:color="auto"/>
        <w:bottom w:val="none" w:sz="0" w:space="0" w:color="auto"/>
        <w:right w:val="none" w:sz="0" w:space="0" w:color="auto"/>
      </w:divBdr>
    </w:div>
    <w:div w:id="315645544">
      <w:marLeft w:val="0"/>
      <w:marRight w:val="0"/>
      <w:marTop w:val="160"/>
      <w:marBottom w:val="160"/>
      <w:divBdr>
        <w:top w:val="none" w:sz="0" w:space="0" w:color="auto"/>
        <w:left w:val="none" w:sz="0" w:space="0" w:color="auto"/>
        <w:bottom w:val="none" w:sz="0" w:space="0" w:color="auto"/>
        <w:right w:val="none" w:sz="0" w:space="0" w:color="auto"/>
      </w:divBdr>
    </w:div>
    <w:div w:id="316301337">
      <w:marLeft w:val="0"/>
      <w:marRight w:val="0"/>
      <w:marTop w:val="160"/>
      <w:marBottom w:val="160"/>
      <w:divBdr>
        <w:top w:val="none" w:sz="0" w:space="0" w:color="auto"/>
        <w:left w:val="none" w:sz="0" w:space="0" w:color="auto"/>
        <w:bottom w:val="none" w:sz="0" w:space="0" w:color="auto"/>
        <w:right w:val="none" w:sz="0" w:space="0" w:color="auto"/>
      </w:divBdr>
    </w:div>
    <w:div w:id="318458703">
      <w:marLeft w:val="0"/>
      <w:marRight w:val="0"/>
      <w:marTop w:val="160"/>
      <w:marBottom w:val="160"/>
      <w:divBdr>
        <w:top w:val="none" w:sz="0" w:space="0" w:color="auto"/>
        <w:left w:val="none" w:sz="0" w:space="0" w:color="auto"/>
        <w:bottom w:val="none" w:sz="0" w:space="0" w:color="auto"/>
        <w:right w:val="none" w:sz="0" w:space="0" w:color="auto"/>
      </w:divBdr>
    </w:div>
    <w:div w:id="320735951">
      <w:marLeft w:val="0"/>
      <w:marRight w:val="0"/>
      <w:marTop w:val="0"/>
      <w:marBottom w:val="0"/>
      <w:divBdr>
        <w:top w:val="none" w:sz="0" w:space="0" w:color="auto"/>
        <w:left w:val="none" w:sz="0" w:space="0" w:color="auto"/>
        <w:bottom w:val="none" w:sz="0" w:space="0" w:color="auto"/>
        <w:right w:val="none" w:sz="0" w:space="0" w:color="auto"/>
      </w:divBdr>
      <w:divsChild>
        <w:div w:id="333411597">
          <w:marLeft w:val="0"/>
          <w:marRight w:val="0"/>
          <w:marTop w:val="0"/>
          <w:marBottom w:val="0"/>
          <w:divBdr>
            <w:top w:val="none" w:sz="0" w:space="0" w:color="auto"/>
            <w:left w:val="none" w:sz="0" w:space="0" w:color="auto"/>
            <w:bottom w:val="none" w:sz="0" w:space="0" w:color="auto"/>
            <w:right w:val="none" w:sz="0" w:space="0" w:color="auto"/>
          </w:divBdr>
        </w:div>
      </w:divsChild>
    </w:div>
    <w:div w:id="323969077">
      <w:marLeft w:val="0"/>
      <w:marRight w:val="0"/>
      <w:marTop w:val="160"/>
      <w:marBottom w:val="160"/>
      <w:divBdr>
        <w:top w:val="none" w:sz="0" w:space="0" w:color="auto"/>
        <w:left w:val="none" w:sz="0" w:space="0" w:color="auto"/>
        <w:bottom w:val="none" w:sz="0" w:space="0" w:color="auto"/>
        <w:right w:val="none" w:sz="0" w:space="0" w:color="auto"/>
      </w:divBdr>
    </w:div>
    <w:div w:id="327903674">
      <w:marLeft w:val="0"/>
      <w:marRight w:val="0"/>
      <w:marTop w:val="160"/>
      <w:marBottom w:val="160"/>
      <w:divBdr>
        <w:top w:val="none" w:sz="0" w:space="0" w:color="auto"/>
        <w:left w:val="none" w:sz="0" w:space="0" w:color="auto"/>
        <w:bottom w:val="none" w:sz="0" w:space="0" w:color="auto"/>
        <w:right w:val="none" w:sz="0" w:space="0" w:color="auto"/>
      </w:divBdr>
    </w:div>
    <w:div w:id="328288873">
      <w:marLeft w:val="0"/>
      <w:marRight w:val="0"/>
      <w:marTop w:val="160"/>
      <w:marBottom w:val="160"/>
      <w:divBdr>
        <w:top w:val="none" w:sz="0" w:space="0" w:color="auto"/>
        <w:left w:val="none" w:sz="0" w:space="0" w:color="auto"/>
        <w:bottom w:val="none" w:sz="0" w:space="0" w:color="auto"/>
        <w:right w:val="none" w:sz="0" w:space="0" w:color="auto"/>
      </w:divBdr>
    </w:div>
    <w:div w:id="338313563">
      <w:marLeft w:val="0"/>
      <w:marRight w:val="0"/>
      <w:marTop w:val="0"/>
      <w:marBottom w:val="0"/>
      <w:divBdr>
        <w:top w:val="none" w:sz="0" w:space="0" w:color="auto"/>
        <w:left w:val="none" w:sz="0" w:space="0" w:color="auto"/>
        <w:bottom w:val="none" w:sz="0" w:space="0" w:color="auto"/>
        <w:right w:val="none" w:sz="0" w:space="0" w:color="auto"/>
      </w:divBdr>
      <w:divsChild>
        <w:div w:id="2012101463">
          <w:marLeft w:val="0"/>
          <w:marRight w:val="0"/>
          <w:marTop w:val="0"/>
          <w:marBottom w:val="0"/>
          <w:divBdr>
            <w:top w:val="none" w:sz="0" w:space="0" w:color="auto"/>
            <w:left w:val="none" w:sz="0" w:space="0" w:color="auto"/>
            <w:bottom w:val="none" w:sz="0" w:space="0" w:color="auto"/>
            <w:right w:val="none" w:sz="0" w:space="0" w:color="auto"/>
          </w:divBdr>
        </w:div>
      </w:divsChild>
    </w:div>
    <w:div w:id="338583258">
      <w:marLeft w:val="0"/>
      <w:marRight w:val="0"/>
      <w:marTop w:val="160"/>
      <w:marBottom w:val="160"/>
      <w:divBdr>
        <w:top w:val="none" w:sz="0" w:space="0" w:color="auto"/>
        <w:left w:val="none" w:sz="0" w:space="0" w:color="auto"/>
        <w:bottom w:val="none" w:sz="0" w:space="0" w:color="auto"/>
        <w:right w:val="none" w:sz="0" w:space="0" w:color="auto"/>
      </w:divBdr>
    </w:div>
    <w:div w:id="342245043">
      <w:marLeft w:val="0"/>
      <w:marRight w:val="0"/>
      <w:marTop w:val="160"/>
      <w:marBottom w:val="160"/>
      <w:divBdr>
        <w:top w:val="none" w:sz="0" w:space="0" w:color="auto"/>
        <w:left w:val="none" w:sz="0" w:space="0" w:color="auto"/>
        <w:bottom w:val="none" w:sz="0" w:space="0" w:color="auto"/>
        <w:right w:val="none" w:sz="0" w:space="0" w:color="auto"/>
      </w:divBdr>
    </w:div>
    <w:div w:id="343479390">
      <w:marLeft w:val="0"/>
      <w:marRight w:val="0"/>
      <w:marTop w:val="160"/>
      <w:marBottom w:val="160"/>
      <w:divBdr>
        <w:top w:val="none" w:sz="0" w:space="0" w:color="auto"/>
        <w:left w:val="none" w:sz="0" w:space="0" w:color="auto"/>
        <w:bottom w:val="none" w:sz="0" w:space="0" w:color="auto"/>
        <w:right w:val="none" w:sz="0" w:space="0" w:color="auto"/>
      </w:divBdr>
    </w:div>
    <w:div w:id="343702905">
      <w:marLeft w:val="0"/>
      <w:marRight w:val="0"/>
      <w:marTop w:val="160"/>
      <w:marBottom w:val="160"/>
      <w:divBdr>
        <w:top w:val="none" w:sz="0" w:space="0" w:color="auto"/>
        <w:left w:val="none" w:sz="0" w:space="0" w:color="auto"/>
        <w:bottom w:val="none" w:sz="0" w:space="0" w:color="auto"/>
        <w:right w:val="none" w:sz="0" w:space="0" w:color="auto"/>
      </w:divBdr>
    </w:div>
    <w:div w:id="347561426">
      <w:marLeft w:val="0"/>
      <w:marRight w:val="0"/>
      <w:marTop w:val="160"/>
      <w:marBottom w:val="160"/>
      <w:divBdr>
        <w:top w:val="none" w:sz="0" w:space="0" w:color="auto"/>
        <w:left w:val="none" w:sz="0" w:space="0" w:color="auto"/>
        <w:bottom w:val="none" w:sz="0" w:space="0" w:color="auto"/>
        <w:right w:val="none" w:sz="0" w:space="0" w:color="auto"/>
      </w:divBdr>
    </w:div>
    <w:div w:id="348218395">
      <w:marLeft w:val="0"/>
      <w:marRight w:val="0"/>
      <w:marTop w:val="160"/>
      <w:marBottom w:val="160"/>
      <w:divBdr>
        <w:top w:val="none" w:sz="0" w:space="0" w:color="auto"/>
        <w:left w:val="none" w:sz="0" w:space="0" w:color="auto"/>
        <w:bottom w:val="none" w:sz="0" w:space="0" w:color="auto"/>
        <w:right w:val="none" w:sz="0" w:space="0" w:color="auto"/>
      </w:divBdr>
    </w:div>
    <w:div w:id="348678453">
      <w:marLeft w:val="0"/>
      <w:marRight w:val="0"/>
      <w:marTop w:val="160"/>
      <w:marBottom w:val="160"/>
      <w:divBdr>
        <w:top w:val="none" w:sz="0" w:space="0" w:color="auto"/>
        <w:left w:val="none" w:sz="0" w:space="0" w:color="auto"/>
        <w:bottom w:val="none" w:sz="0" w:space="0" w:color="auto"/>
        <w:right w:val="none" w:sz="0" w:space="0" w:color="auto"/>
      </w:divBdr>
    </w:div>
    <w:div w:id="351299149">
      <w:marLeft w:val="0"/>
      <w:marRight w:val="0"/>
      <w:marTop w:val="160"/>
      <w:marBottom w:val="160"/>
      <w:divBdr>
        <w:top w:val="none" w:sz="0" w:space="0" w:color="auto"/>
        <w:left w:val="none" w:sz="0" w:space="0" w:color="auto"/>
        <w:bottom w:val="none" w:sz="0" w:space="0" w:color="auto"/>
        <w:right w:val="none" w:sz="0" w:space="0" w:color="auto"/>
      </w:divBdr>
    </w:div>
    <w:div w:id="359362054">
      <w:marLeft w:val="0"/>
      <w:marRight w:val="0"/>
      <w:marTop w:val="160"/>
      <w:marBottom w:val="160"/>
      <w:divBdr>
        <w:top w:val="none" w:sz="0" w:space="0" w:color="auto"/>
        <w:left w:val="none" w:sz="0" w:space="0" w:color="auto"/>
        <w:bottom w:val="none" w:sz="0" w:space="0" w:color="auto"/>
        <w:right w:val="none" w:sz="0" w:space="0" w:color="auto"/>
      </w:divBdr>
    </w:div>
    <w:div w:id="360008496">
      <w:marLeft w:val="0"/>
      <w:marRight w:val="0"/>
      <w:marTop w:val="0"/>
      <w:marBottom w:val="0"/>
      <w:divBdr>
        <w:top w:val="none" w:sz="0" w:space="0" w:color="auto"/>
        <w:left w:val="none" w:sz="0" w:space="0" w:color="auto"/>
        <w:bottom w:val="none" w:sz="0" w:space="0" w:color="auto"/>
        <w:right w:val="none" w:sz="0" w:space="0" w:color="auto"/>
      </w:divBdr>
      <w:divsChild>
        <w:div w:id="1939437473">
          <w:marLeft w:val="0"/>
          <w:marRight w:val="0"/>
          <w:marTop w:val="0"/>
          <w:marBottom w:val="0"/>
          <w:divBdr>
            <w:top w:val="none" w:sz="0" w:space="0" w:color="auto"/>
            <w:left w:val="none" w:sz="0" w:space="0" w:color="auto"/>
            <w:bottom w:val="none" w:sz="0" w:space="0" w:color="auto"/>
            <w:right w:val="none" w:sz="0" w:space="0" w:color="auto"/>
          </w:divBdr>
        </w:div>
        <w:div w:id="2131781507">
          <w:marLeft w:val="0"/>
          <w:marRight w:val="0"/>
          <w:marTop w:val="0"/>
          <w:marBottom w:val="0"/>
          <w:divBdr>
            <w:top w:val="none" w:sz="0" w:space="0" w:color="auto"/>
            <w:left w:val="none" w:sz="0" w:space="0" w:color="auto"/>
            <w:bottom w:val="none" w:sz="0" w:space="0" w:color="auto"/>
            <w:right w:val="none" w:sz="0" w:space="0" w:color="auto"/>
          </w:divBdr>
        </w:div>
        <w:div w:id="631446635">
          <w:marLeft w:val="0"/>
          <w:marRight w:val="0"/>
          <w:marTop w:val="0"/>
          <w:marBottom w:val="0"/>
          <w:divBdr>
            <w:top w:val="none" w:sz="0" w:space="0" w:color="auto"/>
            <w:left w:val="none" w:sz="0" w:space="0" w:color="auto"/>
            <w:bottom w:val="none" w:sz="0" w:space="0" w:color="auto"/>
            <w:right w:val="none" w:sz="0" w:space="0" w:color="auto"/>
          </w:divBdr>
        </w:div>
      </w:divsChild>
    </w:div>
    <w:div w:id="365373982">
      <w:marLeft w:val="0"/>
      <w:marRight w:val="0"/>
      <w:marTop w:val="160"/>
      <w:marBottom w:val="160"/>
      <w:divBdr>
        <w:top w:val="none" w:sz="0" w:space="0" w:color="auto"/>
        <w:left w:val="none" w:sz="0" w:space="0" w:color="auto"/>
        <w:bottom w:val="none" w:sz="0" w:space="0" w:color="auto"/>
        <w:right w:val="none" w:sz="0" w:space="0" w:color="auto"/>
      </w:divBdr>
    </w:div>
    <w:div w:id="373432820">
      <w:marLeft w:val="0"/>
      <w:marRight w:val="0"/>
      <w:marTop w:val="160"/>
      <w:marBottom w:val="160"/>
      <w:divBdr>
        <w:top w:val="none" w:sz="0" w:space="0" w:color="auto"/>
        <w:left w:val="none" w:sz="0" w:space="0" w:color="auto"/>
        <w:bottom w:val="none" w:sz="0" w:space="0" w:color="auto"/>
        <w:right w:val="none" w:sz="0" w:space="0" w:color="auto"/>
      </w:divBdr>
    </w:div>
    <w:div w:id="373771992">
      <w:marLeft w:val="0"/>
      <w:marRight w:val="0"/>
      <w:marTop w:val="160"/>
      <w:marBottom w:val="160"/>
      <w:divBdr>
        <w:top w:val="none" w:sz="0" w:space="0" w:color="auto"/>
        <w:left w:val="none" w:sz="0" w:space="0" w:color="auto"/>
        <w:bottom w:val="none" w:sz="0" w:space="0" w:color="auto"/>
        <w:right w:val="none" w:sz="0" w:space="0" w:color="auto"/>
      </w:divBdr>
    </w:div>
    <w:div w:id="374234026">
      <w:marLeft w:val="0"/>
      <w:marRight w:val="0"/>
      <w:marTop w:val="160"/>
      <w:marBottom w:val="160"/>
      <w:divBdr>
        <w:top w:val="none" w:sz="0" w:space="0" w:color="auto"/>
        <w:left w:val="none" w:sz="0" w:space="0" w:color="auto"/>
        <w:bottom w:val="none" w:sz="0" w:space="0" w:color="auto"/>
        <w:right w:val="none" w:sz="0" w:space="0" w:color="auto"/>
      </w:divBdr>
    </w:div>
    <w:div w:id="380712190">
      <w:marLeft w:val="0"/>
      <w:marRight w:val="0"/>
      <w:marTop w:val="160"/>
      <w:marBottom w:val="160"/>
      <w:divBdr>
        <w:top w:val="none" w:sz="0" w:space="0" w:color="auto"/>
        <w:left w:val="none" w:sz="0" w:space="0" w:color="auto"/>
        <w:bottom w:val="none" w:sz="0" w:space="0" w:color="auto"/>
        <w:right w:val="none" w:sz="0" w:space="0" w:color="auto"/>
      </w:divBdr>
    </w:div>
    <w:div w:id="383650148">
      <w:marLeft w:val="0"/>
      <w:marRight w:val="0"/>
      <w:marTop w:val="160"/>
      <w:marBottom w:val="160"/>
      <w:divBdr>
        <w:top w:val="none" w:sz="0" w:space="0" w:color="auto"/>
        <w:left w:val="none" w:sz="0" w:space="0" w:color="auto"/>
        <w:bottom w:val="none" w:sz="0" w:space="0" w:color="auto"/>
        <w:right w:val="none" w:sz="0" w:space="0" w:color="auto"/>
      </w:divBdr>
    </w:div>
    <w:div w:id="386299318">
      <w:marLeft w:val="0"/>
      <w:marRight w:val="0"/>
      <w:marTop w:val="0"/>
      <w:marBottom w:val="0"/>
      <w:divBdr>
        <w:top w:val="none" w:sz="0" w:space="0" w:color="auto"/>
        <w:left w:val="none" w:sz="0" w:space="0" w:color="auto"/>
        <w:bottom w:val="none" w:sz="0" w:space="0" w:color="auto"/>
        <w:right w:val="none" w:sz="0" w:space="0" w:color="auto"/>
      </w:divBdr>
      <w:divsChild>
        <w:div w:id="596208278">
          <w:marLeft w:val="0"/>
          <w:marRight w:val="0"/>
          <w:marTop w:val="0"/>
          <w:marBottom w:val="0"/>
          <w:divBdr>
            <w:top w:val="none" w:sz="0" w:space="0" w:color="auto"/>
            <w:left w:val="none" w:sz="0" w:space="0" w:color="auto"/>
            <w:bottom w:val="none" w:sz="0" w:space="0" w:color="auto"/>
            <w:right w:val="none" w:sz="0" w:space="0" w:color="auto"/>
          </w:divBdr>
        </w:div>
      </w:divsChild>
    </w:div>
    <w:div w:id="397824848">
      <w:marLeft w:val="0"/>
      <w:marRight w:val="0"/>
      <w:marTop w:val="160"/>
      <w:marBottom w:val="160"/>
      <w:divBdr>
        <w:top w:val="none" w:sz="0" w:space="0" w:color="auto"/>
        <w:left w:val="none" w:sz="0" w:space="0" w:color="auto"/>
        <w:bottom w:val="none" w:sz="0" w:space="0" w:color="auto"/>
        <w:right w:val="none" w:sz="0" w:space="0" w:color="auto"/>
      </w:divBdr>
    </w:div>
    <w:div w:id="400717100">
      <w:marLeft w:val="0"/>
      <w:marRight w:val="0"/>
      <w:marTop w:val="0"/>
      <w:marBottom w:val="0"/>
      <w:divBdr>
        <w:top w:val="none" w:sz="0" w:space="0" w:color="auto"/>
        <w:left w:val="none" w:sz="0" w:space="0" w:color="auto"/>
        <w:bottom w:val="none" w:sz="0" w:space="0" w:color="auto"/>
        <w:right w:val="none" w:sz="0" w:space="0" w:color="auto"/>
      </w:divBdr>
      <w:divsChild>
        <w:div w:id="550001798">
          <w:marLeft w:val="0"/>
          <w:marRight w:val="0"/>
          <w:marTop w:val="0"/>
          <w:marBottom w:val="0"/>
          <w:divBdr>
            <w:top w:val="none" w:sz="0" w:space="0" w:color="auto"/>
            <w:left w:val="none" w:sz="0" w:space="0" w:color="auto"/>
            <w:bottom w:val="none" w:sz="0" w:space="0" w:color="auto"/>
            <w:right w:val="none" w:sz="0" w:space="0" w:color="auto"/>
          </w:divBdr>
          <w:divsChild>
            <w:div w:id="7879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5789">
      <w:marLeft w:val="0"/>
      <w:marRight w:val="0"/>
      <w:marTop w:val="160"/>
      <w:marBottom w:val="160"/>
      <w:divBdr>
        <w:top w:val="none" w:sz="0" w:space="0" w:color="auto"/>
        <w:left w:val="none" w:sz="0" w:space="0" w:color="auto"/>
        <w:bottom w:val="none" w:sz="0" w:space="0" w:color="auto"/>
        <w:right w:val="none" w:sz="0" w:space="0" w:color="auto"/>
      </w:divBdr>
    </w:div>
    <w:div w:id="420952373">
      <w:marLeft w:val="0"/>
      <w:marRight w:val="0"/>
      <w:marTop w:val="160"/>
      <w:marBottom w:val="160"/>
      <w:divBdr>
        <w:top w:val="none" w:sz="0" w:space="0" w:color="auto"/>
        <w:left w:val="none" w:sz="0" w:space="0" w:color="auto"/>
        <w:bottom w:val="none" w:sz="0" w:space="0" w:color="auto"/>
        <w:right w:val="none" w:sz="0" w:space="0" w:color="auto"/>
      </w:divBdr>
    </w:div>
    <w:div w:id="424039781">
      <w:marLeft w:val="0"/>
      <w:marRight w:val="0"/>
      <w:marTop w:val="160"/>
      <w:marBottom w:val="160"/>
      <w:divBdr>
        <w:top w:val="none" w:sz="0" w:space="0" w:color="auto"/>
        <w:left w:val="none" w:sz="0" w:space="0" w:color="auto"/>
        <w:bottom w:val="none" w:sz="0" w:space="0" w:color="auto"/>
        <w:right w:val="none" w:sz="0" w:space="0" w:color="auto"/>
      </w:divBdr>
    </w:div>
    <w:div w:id="430323794">
      <w:marLeft w:val="0"/>
      <w:marRight w:val="0"/>
      <w:marTop w:val="0"/>
      <w:marBottom w:val="160"/>
      <w:divBdr>
        <w:top w:val="none" w:sz="0" w:space="0" w:color="auto"/>
        <w:left w:val="none" w:sz="0" w:space="0" w:color="auto"/>
        <w:bottom w:val="none" w:sz="0" w:space="0" w:color="auto"/>
        <w:right w:val="none" w:sz="0" w:space="0" w:color="auto"/>
      </w:divBdr>
    </w:div>
    <w:div w:id="438454610">
      <w:marLeft w:val="0"/>
      <w:marRight w:val="0"/>
      <w:marTop w:val="60"/>
      <w:marBottom w:val="60"/>
      <w:divBdr>
        <w:top w:val="none" w:sz="0" w:space="0" w:color="auto"/>
        <w:left w:val="none" w:sz="0" w:space="0" w:color="auto"/>
        <w:bottom w:val="none" w:sz="0" w:space="0" w:color="auto"/>
        <w:right w:val="none" w:sz="0" w:space="0" w:color="auto"/>
      </w:divBdr>
    </w:div>
    <w:div w:id="439181107">
      <w:marLeft w:val="0"/>
      <w:marRight w:val="0"/>
      <w:marTop w:val="0"/>
      <w:marBottom w:val="0"/>
      <w:divBdr>
        <w:top w:val="none" w:sz="0" w:space="0" w:color="auto"/>
        <w:left w:val="none" w:sz="0" w:space="0" w:color="auto"/>
        <w:bottom w:val="none" w:sz="0" w:space="0" w:color="auto"/>
        <w:right w:val="none" w:sz="0" w:space="0" w:color="auto"/>
      </w:divBdr>
      <w:divsChild>
        <w:div w:id="717972651">
          <w:marLeft w:val="0"/>
          <w:marRight w:val="0"/>
          <w:marTop w:val="0"/>
          <w:marBottom w:val="0"/>
          <w:divBdr>
            <w:top w:val="none" w:sz="0" w:space="0" w:color="auto"/>
            <w:left w:val="none" w:sz="0" w:space="0" w:color="auto"/>
            <w:bottom w:val="none" w:sz="0" w:space="0" w:color="auto"/>
            <w:right w:val="none" w:sz="0" w:space="0" w:color="auto"/>
          </w:divBdr>
        </w:div>
      </w:divsChild>
    </w:div>
    <w:div w:id="442383457">
      <w:marLeft w:val="0"/>
      <w:marRight w:val="0"/>
      <w:marTop w:val="0"/>
      <w:marBottom w:val="0"/>
      <w:divBdr>
        <w:top w:val="none" w:sz="0" w:space="0" w:color="auto"/>
        <w:left w:val="none" w:sz="0" w:space="0" w:color="auto"/>
        <w:bottom w:val="none" w:sz="0" w:space="0" w:color="auto"/>
        <w:right w:val="none" w:sz="0" w:space="0" w:color="auto"/>
      </w:divBdr>
    </w:div>
    <w:div w:id="445471625">
      <w:marLeft w:val="0"/>
      <w:marRight w:val="0"/>
      <w:marTop w:val="160"/>
      <w:marBottom w:val="160"/>
      <w:divBdr>
        <w:top w:val="none" w:sz="0" w:space="0" w:color="auto"/>
        <w:left w:val="none" w:sz="0" w:space="0" w:color="auto"/>
        <w:bottom w:val="none" w:sz="0" w:space="0" w:color="auto"/>
        <w:right w:val="none" w:sz="0" w:space="0" w:color="auto"/>
      </w:divBdr>
    </w:div>
    <w:div w:id="449662611">
      <w:marLeft w:val="0"/>
      <w:marRight w:val="0"/>
      <w:marTop w:val="160"/>
      <w:marBottom w:val="160"/>
      <w:divBdr>
        <w:top w:val="none" w:sz="0" w:space="0" w:color="auto"/>
        <w:left w:val="none" w:sz="0" w:space="0" w:color="auto"/>
        <w:bottom w:val="none" w:sz="0" w:space="0" w:color="auto"/>
        <w:right w:val="none" w:sz="0" w:space="0" w:color="auto"/>
      </w:divBdr>
    </w:div>
    <w:div w:id="450166959">
      <w:marLeft w:val="0"/>
      <w:marRight w:val="0"/>
      <w:marTop w:val="160"/>
      <w:marBottom w:val="160"/>
      <w:divBdr>
        <w:top w:val="none" w:sz="0" w:space="0" w:color="auto"/>
        <w:left w:val="none" w:sz="0" w:space="0" w:color="auto"/>
        <w:bottom w:val="none" w:sz="0" w:space="0" w:color="auto"/>
        <w:right w:val="none" w:sz="0" w:space="0" w:color="auto"/>
      </w:divBdr>
    </w:div>
    <w:div w:id="450440195">
      <w:marLeft w:val="0"/>
      <w:marRight w:val="0"/>
      <w:marTop w:val="160"/>
      <w:marBottom w:val="160"/>
      <w:divBdr>
        <w:top w:val="none" w:sz="0" w:space="0" w:color="auto"/>
        <w:left w:val="none" w:sz="0" w:space="0" w:color="auto"/>
        <w:bottom w:val="none" w:sz="0" w:space="0" w:color="auto"/>
        <w:right w:val="none" w:sz="0" w:space="0" w:color="auto"/>
      </w:divBdr>
    </w:div>
    <w:div w:id="452989880">
      <w:marLeft w:val="0"/>
      <w:marRight w:val="0"/>
      <w:marTop w:val="160"/>
      <w:marBottom w:val="160"/>
      <w:divBdr>
        <w:top w:val="none" w:sz="0" w:space="0" w:color="auto"/>
        <w:left w:val="none" w:sz="0" w:space="0" w:color="auto"/>
        <w:bottom w:val="none" w:sz="0" w:space="0" w:color="auto"/>
        <w:right w:val="none" w:sz="0" w:space="0" w:color="auto"/>
      </w:divBdr>
    </w:div>
    <w:div w:id="461925729">
      <w:marLeft w:val="0"/>
      <w:marRight w:val="0"/>
      <w:marTop w:val="0"/>
      <w:marBottom w:val="240"/>
      <w:divBdr>
        <w:top w:val="none" w:sz="0" w:space="0" w:color="auto"/>
        <w:left w:val="none" w:sz="0" w:space="0" w:color="auto"/>
        <w:bottom w:val="none" w:sz="0" w:space="0" w:color="auto"/>
        <w:right w:val="none" w:sz="0" w:space="0" w:color="auto"/>
      </w:divBdr>
    </w:div>
    <w:div w:id="462500247">
      <w:marLeft w:val="0"/>
      <w:marRight w:val="0"/>
      <w:marTop w:val="0"/>
      <w:marBottom w:val="0"/>
      <w:divBdr>
        <w:top w:val="none" w:sz="0" w:space="0" w:color="auto"/>
        <w:left w:val="none" w:sz="0" w:space="0" w:color="auto"/>
        <w:bottom w:val="none" w:sz="0" w:space="0" w:color="auto"/>
        <w:right w:val="none" w:sz="0" w:space="0" w:color="auto"/>
      </w:divBdr>
    </w:div>
    <w:div w:id="464202643">
      <w:marLeft w:val="0"/>
      <w:marRight w:val="0"/>
      <w:marTop w:val="160"/>
      <w:marBottom w:val="160"/>
      <w:divBdr>
        <w:top w:val="none" w:sz="0" w:space="0" w:color="auto"/>
        <w:left w:val="none" w:sz="0" w:space="0" w:color="auto"/>
        <w:bottom w:val="none" w:sz="0" w:space="0" w:color="auto"/>
        <w:right w:val="none" w:sz="0" w:space="0" w:color="auto"/>
      </w:divBdr>
    </w:div>
    <w:div w:id="476342283">
      <w:marLeft w:val="0"/>
      <w:marRight w:val="0"/>
      <w:marTop w:val="160"/>
      <w:marBottom w:val="160"/>
      <w:divBdr>
        <w:top w:val="none" w:sz="0" w:space="0" w:color="auto"/>
        <w:left w:val="none" w:sz="0" w:space="0" w:color="auto"/>
        <w:bottom w:val="none" w:sz="0" w:space="0" w:color="auto"/>
        <w:right w:val="none" w:sz="0" w:space="0" w:color="auto"/>
      </w:divBdr>
    </w:div>
    <w:div w:id="495801060">
      <w:marLeft w:val="0"/>
      <w:marRight w:val="0"/>
      <w:marTop w:val="160"/>
      <w:marBottom w:val="160"/>
      <w:divBdr>
        <w:top w:val="none" w:sz="0" w:space="0" w:color="auto"/>
        <w:left w:val="none" w:sz="0" w:space="0" w:color="auto"/>
        <w:bottom w:val="none" w:sz="0" w:space="0" w:color="auto"/>
        <w:right w:val="none" w:sz="0" w:space="0" w:color="auto"/>
      </w:divBdr>
    </w:div>
    <w:div w:id="504712873">
      <w:marLeft w:val="0"/>
      <w:marRight w:val="0"/>
      <w:marTop w:val="60"/>
      <w:marBottom w:val="0"/>
      <w:divBdr>
        <w:top w:val="none" w:sz="0" w:space="0" w:color="auto"/>
        <w:left w:val="none" w:sz="0" w:space="0" w:color="auto"/>
        <w:bottom w:val="none" w:sz="0" w:space="0" w:color="auto"/>
        <w:right w:val="none" w:sz="0" w:space="0" w:color="auto"/>
      </w:divBdr>
    </w:div>
    <w:div w:id="506408023">
      <w:marLeft w:val="0"/>
      <w:marRight w:val="0"/>
      <w:marTop w:val="160"/>
      <w:marBottom w:val="160"/>
      <w:divBdr>
        <w:top w:val="none" w:sz="0" w:space="0" w:color="auto"/>
        <w:left w:val="none" w:sz="0" w:space="0" w:color="auto"/>
        <w:bottom w:val="none" w:sz="0" w:space="0" w:color="auto"/>
        <w:right w:val="none" w:sz="0" w:space="0" w:color="auto"/>
      </w:divBdr>
    </w:div>
    <w:div w:id="510415269">
      <w:marLeft w:val="0"/>
      <w:marRight w:val="0"/>
      <w:marTop w:val="160"/>
      <w:marBottom w:val="160"/>
      <w:divBdr>
        <w:top w:val="none" w:sz="0" w:space="0" w:color="auto"/>
        <w:left w:val="none" w:sz="0" w:space="0" w:color="auto"/>
        <w:bottom w:val="none" w:sz="0" w:space="0" w:color="auto"/>
        <w:right w:val="none" w:sz="0" w:space="0" w:color="auto"/>
      </w:divBdr>
    </w:div>
    <w:div w:id="516699430">
      <w:marLeft w:val="0"/>
      <w:marRight w:val="0"/>
      <w:marTop w:val="160"/>
      <w:marBottom w:val="160"/>
      <w:divBdr>
        <w:top w:val="none" w:sz="0" w:space="0" w:color="auto"/>
        <w:left w:val="none" w:sz="0" w:space="0" w:color="auto"/>
        <w:bottom w:val="none" w:sz="0" w:space="0" w:color="auto"/>
        <w:right w:val="none" w:sz="0" w:space="0" w:color="auto"/>
      </w:divBdr>
    </w:div>
    <w:div w:id="521013928">
      <w:marLeft w:val="0"/>
      <w:marRight w:val="0"/>
      <w:marTop w:val="0"/>
      <w:marBottom w:val="0"/>
      <w:divBdr>
        <w:top w:val="none" w:sz="0" w:space="0" w:color="auto"/>
        <w:left w:val="none" w:sz="0" w:space="0" w:color="auto"/>
        <w:bottom w:val="none" w:sz="0" w:space="0" w:color="auto"/>
        <w:right w:val="none" w:sz="0" w:space="0" w:color="auto"/>
      </w:divBdr>
      <w:divsChild>
        <w:div w:id="114833466">
          <w:marLeft w:val="0"/>
          <w:marRight w:val="0"/>
          <w:marTop w:val="0"/>
          <w:marBottom w:val="0"/>
          <w:divBdr>
            <w:top w:val="none" w:sz="0" w:space="0" w:color="auto"/>
            <w:left w:val="none" w:sz="0" w:space="0" w:color="auto"/>
            <w:bottom w:val="none" w:sz="0" w:space="0" w:color="auto"/>
            <w:right w:val="none" w:sz="0" w:space="0" w:color="auto"/>
          </w:divBdr>
        </w:div>
      </w:divsChild>
    </w:div>
    <w:div w:id="524246108">
      <w:marLeft w:val="0"/>
      <w:marRight w:val="0"/>
      <w:marTop w:val="160"/>
      <w:marBottom w:val="160"/>
      <w:divBdr>
        <w:top w:val="none" w:sz="0" w:space="0" w:color="auto"/>
        <w:left w:val="none" w:sz="0" w:space="0" w:color="auto"/>
        <w:bottom w:val="none" w:sz="0" w:space="0" w:color="auto"/>
        <w:right w:val="none" w:sz="0" w:space="0" w:color="auto"/>
      </w:divBdr>
    </w:div>
    <w:div w:id="534317104">
      <w:marLeft w:val="0"/>
      <w:marRight w:val="0"/>
      <w:marTop w:val="160"/>
      <w:marBottom w:val="160"/>
      <w:divBdr>
        <w:top w:val="none" w:sz="0" w:space="0" w:color="auto"/>
        <w:left w:val="none" w:sz="0" w:space="0" w:color="auto"/>
        <w:bottom w:val="none" w:sz="0" w:space="0" w:color="auto"/>
        <w:right w:val="none" w:sz="0" w:space="0" w:color="auto"/>
      </w:divBdr>
    </w:div>
    <w:div w:id="541132377">
      <w:marLeft w:val="0"/>
      <w:marRight w:val="0"/>
      <w:marTop w:val="0"/>
      <w:marBottom w:val="0"/>
      <w:divBdr>
        <w:top w:val="none" w:sz="0" w:space="0" w:color="auto"/>
        <w:left w:val="none" w:sz="0" w:space="0" w:color="auto"/>
        <w:bottom w:val="none" w:sz="0" w:space="0" w:color="auto"/>
        <w:right w:val="none" w:sz="0" w:space="0" w:color="auto"/>
      </w:divBdr>
      <w:divsChild>
        <w:div w:id="181742699">
          <w:marLeft w:val="0"/>
          <w:marRight w:val="0"/>
          <w:marTop w:val="0"/>
          <w:marBottom w:val="0"/>
          <w:divBdr>
            <w:top w:val="none" w:sz="0" w:space="0" w:color="auto"/>
            <w:left w:val="none" w:sz="0" w:space="0" w:color="auto"/>
            <w:bottom w:val="none" w:sz="0" w:space="0" w:color="auto"/>
            <w:right w:val="none" w:sz="0" w:space="0" w:color="auto"/>
          </w:divBdr>
        </w:div>
      </w:divsChild>
    </w:div>
    <w:div w:id="544758105">
      <w:marLeft w:val="0"/>
      <w:marRight w:val="0"/>
      <w:marTop w:val="160"/>
      <w:marBottom w:val="160"/>
      <w:divBdr>
        <w:top w:val="none" w:sz="0" w:space="0" w:color="auto"/>
        <w:left w:val="none" w:sz="0" w:space="0" w:color="auto"/>
        <w:bottom w:val="none" w:sz="0" w:space="0" w:color="auto"/>
        <w:right w:val="none" w:sz="0" w:space="0" w:color="auto"/>
      </w:divBdr>
    </w:div>
    <w:div w:id="549420652">
      <w:marLeft w:val="0"/>
      <w:marRight w:val="0"/>
      <w:marTop w:val="160"/>
      <w:marBottom w:val="160"/>
      <w:divBdr>
        <w:top w:val="none" w:sz="0" w:space="0" w:color="auto"/>
        <w:left w:val="none" w:sz="0" w:space="0" w:color="auto"/>
        <w:bottom w:val="none" w:sz="0" w:space="0" w:color="auto"/>
        <w:right w:val="none" w:sz="0" w:space="0" w:color="auto"/>
      </w:divBdr>
    </w:div>
    <w:div w:id="551380270">
      <w:marLeft w:val="0"/>
      <w:marRight w:val="0"/>
      <w:marTop w:val="160"/>
      <w:marBottom w:val="160"/>
      <w:divBdr>
        <w:top w:val="none" w:sz="0" w:space="0" w:color="auto"/>
        <w:left w:val="none" w:sz="0" w:space="0" w:color="auto"/>
        <w:bottom w:val="none" w:sz="0" w:space="0" w:color="auto"/>
        <w:right w:val="none" w:sz="0" w:space="0" w:color="auto"/>
      </w:divBdr>
    </w:div>
    <w:div w:id="552473628">
      <w:marLeft w:val="0"/>
      <w:marRight w:val="0"/>
      <w:marTop w:val="160"/>
      <w:marBottom w:val="160"/>
      <w:divBdr>
        <w:top w:val="none" w:sz="0" w:space="0" w:color="auto"/>
        <w:left w:val="none" w:sz="0" w:space="0" w:color="auto"/>
        <w:bottom w:val="none" w:sz="0" w:space="0" w:color="auto"/>
        <w:right w:val="none" w:sz="0" w:space="0" w:color="auto"/>
      </w:divBdr>
    </w:div>
    <w:div w:id="556622326">
      <w:marLeft w:val="0"/>
      <w:marRight w:val="0"/>
      <w:marTop w:val="160"/>
      <w:marBottom w:val="160"/>
      <w:divBdr>
        <w:top w:val="none" w:sz="0" w:space="0" w:color="auto"/>
        <w:left w:val="none" w:sz="0" w:space="0" w:color="auto"/>
        <w:bottom w:val="none" w:sz="0" w:space="0" w:color="auto"/>
        <w:right w:val="none" w:sz="0" w:space="0" w:color="auto"/>
      </w:divBdr>
    </w:div>
    <w:div w:id="564068580">
      <w:marLeft w:val="0"/>
      <w:marRight w:val="0"/>
      <w:marTop w:val="0"/>
      <w:marBottom w:val="0"/>
      <w:divBdr>
        <w:top w:val="none" w:sz="0" w:space="0" w:color="auto"/>
        <w:left w:val="none" w:sz="0" w:space="0" w:color="auto"/>
        <w:bottom w:val="none" w:sz="0" w:space="0" w:color="auto"/>
        <w:right w:val="none" w:sz="0" w:space="0" w:color="auto"/>
      </w:divBdr>
      <w:divsChild>
        <w:div w:id="1493444431">
          <w:marLeft w:val="0"/>
          <w:marRight w:val="0"/>
          <w:marTop w:val="0"/>
          <w:marBottom w:val="0"/>
          <w:divBdr>
            <w:top w:val="none" w:sz="0" w:space="0" w:color="auto"/>
            <w:left w:val="none" w:sz="0" w:space="0" w:color="auto"/>
            <w:bottom w:val="none" w:sz="0" w:space="0" w:color="auto"/>
            <w:right w:val="none" w:sz="0" w:space="0" w:color="auto"/>
          </w:divBdr>
        </w:div>
      </w:divsChild>
    </w:div>
    <w:div w:id="565997936">
      <w:marLeft w:val="0"/>
      <w:marRight w:val="0"/>
      <w:marTop w:val="160"/>
      <w:marBottom w:val="160"/>
      <w:divBdr>
        <w:top w:val="none" w:sz="0" w:space="0" w:color="auto"/>
        <w:left w:val="none" w:sz="0" w:space="0" w:color="auto"/>
        <w:bottom w:val="none" w:sz="0" w:space="0" w:color="auto"/>
        <w:right w:val="none" w:sz="0" w:space="0" w:color="auto"/>
      </w:divBdr>
    </w:div>
    <w:div w:id="566770264">
      <w:marLeft w:val="0"/>
      <w:marRight w:val="0"/>
      <w:marTop w:val="160"/>
      <w:marBottom w:val="160"/>
      <w:divBdr>
        <w:top w:val="none" w:sz="0" w:space="0" w:color="auto"/>
        <w:left w:val="none" w:sz="0" w:space="0" w:color="auto"/>
        <w:bottom w:val="none" w:sz="0" w:space="0" w:color="auto"/>
        <w:right w:val="none" w:sz="0" w:space="0" w:color="auto"/>
      </w:divBdr>
    </w:div>
    <w:div w:id="571550442">
      <w:marLeft w:val="0"/>
      <w:marRight w:val="0"/>
      <w:marTop w:val="160"/>
      <w:marBottom w:val="160"/>
      <w:divBdr>
        <w:top w:val="none" w:sz="0" w:space="0" w:color="auto"/>
        <w:left w:val="none" w:sz="0" w:space="0" w:color="auto"/>
        <w:bottom w:val="none" w:sz="0" w:space="0" w:color="auto"/>
        <w:right w:val="none" w:sz="0" w:space="0" w:color="auto"/>
      </w:divBdr>
    </w:div>
    <w:div w:id="574170968">
      <w:marLeft w:val="0"/>
      <w:marRight w:val="0"/>
      <w:marTop w:val="160"/>
      <w:marBottom w:val="160"/>
      <w:divBdr>
        <w:top w:val="none" w:sz="0" w:space="0" w:color="auto"/>
        <w:left w:val="none" w:sz="0" w:space="0" w:color="auto"/>
        <w:bottom w:val="none" w:sz="0" w:space="0" w:color="auto"/>
        <w:right w:val="none" w:sz="0" w:space="0" w:color="auto"/>
      </w:divBdr>
    </w:div>
    <w:div w:id="576401716">
      <w:marLeft w:val="0"/>
      <w:marRight w:val="0"/>
      <w:marTop w:val="0"/>
      <w:marBottom w:val="0"/>
      <w:divBdr>
        <w:top w:val="none" w:sz="0" w:space="0" w:color="auto"/>
        <w:left w:val="none" w:sz="0" w:space="0" w:color="auto"/>
        <w:bottom w:val="none" w:sz="0" w:space="0" w:color="auto"/>
        <w:right w:val="none" w:sz="0" w:space="0" w:color="auto"/>
      </w:divBdr>
      <w:divsChild>
        <w:div w:id="1459303305">
          <w:marLeft w:val="0"/>
          <w:marRight w:val="0"/>
          <w:marTop w:val="0"/>
          <w:marBottom w:val="0"/>
          <w:divBdr>
            <w:top w:val="none" w:sz="0" w:space="0" w:color="auto"/>
            <w:left w:val="none" w:sz="0" w:space="0" w:color="auto"/>
            <w:bottom w:val="none" w:sz="0" w:space="0" w:color="auto"/>
            <w:right w:val="none" w:sz="0" w:space="0" w:color="auto"/>
          </w:divBdr>
        </w:div>
      </w:divsChild>
    </w:div>
    <w:div w:id="576862467">
      <w:marLeft w:val="0"/>
      <w:marRight w:val="0"/>
      <w:marTop w:val="0"/>
      <w:marBottom w:val="0"/>
      <w:divBdr>
        <w:top w:val="none" w:sz="0" w:space="0" w:color="auto"/>
        <w:left w:val="none" w:sz="0" w:space="0" w:color="auto"/>
        <w:bottom w:val="none" w:sz="0" w:space="0" w:color="auto"/>
        <w:right w:val="none" w:sz="0" w:space="0" w:color="auto"/>
      </w:divBdr>
      <w:divsChild>
        <w:div w:id="1424912787">
          <w:marLeft w:val="0"/>
          <w:marRight w:val="0"/>
          <w:marTop w:val="160"/>
          <w:marBottom w:val="0"/>
          <w:divBdr>
            <w:top w:val="none" w:sz="0" w:space="0" w:color="auto"/>
            <w:left w:val="none" w:sz="0" w:space="0" w:color="auto"/>
            <w:bottom w:val="none" w:sz="0" w:space="0" w:color="auto"/>
            <w:right w:val="none" w:sz="0" w:space="0" w:color="auto"/>
          </w:divBdr>
        </w:div>
        <w:div w:id="1168598225">
          <w:marLeft w:val="0"/>
          <w:marRight w:val="0"/>
          <w:marTop w:val="160"/>
          <w:marBottom w:val="0"/>
          <w:divBdr>
            <w:top w:val="none" w:sz="0" w:space="0" w:color="auto"/>
            <w:left w:val="none" w:sz="0" w:space="0" w:color="auto"/>
            <w:bottom w:val="none" w:sz="0" w:space="0" w:color="auto"/>
            <w:right w:val="none" w:sz="0" w:space="0" w:color="auto"/>
          </w:divBdr>
        </w:div>
        <w:div w:id="1510371443">
          <w:marLeft w:val="0"/>
          <w:marRight w:val="0"/>
          <w:marTop w:val="160"/>
          <w:marBottom w:val="160"/>
          <w:divBdr>
            <w:top w:val="none" w:sz="0" w:space="0" w:color="auto"/>
            <w:left w:val="none" w:sz="0" w:space="0" w:color="auto"/>
            <w:bottom w:val="none" w:sz="0" w:space="0" w:color="auto"/>
            <w:right w:val="none" w:sz="0" w:space="0" w:color="auto"/>
          </w:divBdr>
        </w:div>
        <w:div w:id="372969960">
          <w:marLeft w:val="0"/>
          <w:marRight w:val="0"/>
          <w:marTop w:val="160"/>
          <w:marBottom w:val="160"/>
          <w:divBdr>
            <w:top w:val="none" w:sz="0" w:space="0" w:color="auto"/>
            <w:left w:val="none" w:sz="0" w:space="0" w:color="auto"/>
            <w:bottom w:val="none" w:sz="0" w:space="0" w:color="auto"/>
            <w:right w:val="none" w:sz="0" w:space="0" w:color="auto"/>
          </w:divBdr>
        </w:div>
        <w:div w:id="132646153">
          <w:marLeft w:val="0"/>
          <w:marRight w:val="0"/>
          <w:marTop w:val="160"/>
          <w:marBottom w:val="160"/>
          <w:divBdr>
            <w:top w:val="none" w:sz="0" w:space="0" w:color="auto"/>
            <w:left w:val="none" w:sz="0" w:space="0" w:color="auto"/>
            <w:bottom w:val="none" w:sz="0" w:space="0" w:color="auto"/>
            <w:right w:val="none" w:sz="0" w:space="0" w:color="auto"/>
          </w:divBdr>
        </w:div>
      </w:divsChild>
    </w:div>
    <w:div w:id="578369451">
      <w:marLeft w:val="0"/>
      <w:marRight w:val="0"/>
      <w:marTop w:val="0"/>
      <w:marBottom w:val="160"/>
      <w:divBdr>
        <w:top w:val="none" w:sz="0" w:space="0" w:color="auto"/>
        <w:left w:val="none" w:sz="0" w:space="0" w:color="auto"/>
        <w:bottom w:val="none" w:sz="0" w:space="0" w:color="auto"/>
        <w:right w:val="none" w:sz="0" w:space="0" w:color="auto"/>
      </w:divBdr>
    </w:div>
    <w:div w:id="580143130">
      <w:marLeft w:val="0"/>
      <w:marRight w:val="0"/>
      <w:marTop w:val="160"/>
      <w:marBottom w:val="160"/>
      <w:divBdr>
        <w:top w:val="none" w:sz="0" w:space="0" w:color="auto"/>
        <w:left w:val="none" w:sz="0" w:space="0" w:color="auto"/>
        <w:bottom w:val="none" w:sz="0" w:space="0" w:color="auto"/>
        <w:right w:val="none" w:sz="0" w:space="0" w:color="auto"/>
      </w:divBdr>
    </w:div>
    <w:div w:id="583536320">
      <w:marLeft w:val="0"/>
      <w:marRight w:val="0"/>
      <w:marTop w:val="160"/>
      <w:marBottom w:val="160"/>
      <w:divBdr>
        <w:top w:val="none" w:sz="0" w:space="0" w:color="auto"/>
        <w:left w:val="none" w:sz="0" w:space="0" w:color="auto"/>
        <w:bottom w:val="none" w:sz="0" w:space="0" w:color="auto"/>
        <w:right w:val="none" w:sz="0" w:space="0" w:color="auto"/>
      </w:divBdr>
    </w:div>
    <w:div w:id="595208580">
      <w:marLeft w:val="0"/>
      <w:marRight w:val="0"/>
      <w:marTop w:val="0"/>
      <w:marBottom w:val="0"/>
      <w:divBdr>
        <w:top w:val="none" w:sz="0" w:space="0" w:color="auto"/>
        <w:left w:val="none" w:sz="0" w:space="0" w:color="auto"/>
        <w:bottom w:val="none" w:sz="0" w:space="0" w:color="auto"/>
        <w:right w:val="none" w:sz="0" w:space="0" w:color="auto"/>
      </w:divBdr>
      <w:divsChild>
        <w:div w:id="2084402172">
          <w:marLeft w:val="0"/>
          <w:marRight w:val="0"/>
          <w:marTop w:val="0"/>
          <w:marBottom w:val="0"/>
          <w:divBdr>
            <w:top w:val="none" w:sz="0" w:space="0" w:color="auto"/>
            <w:left w:val="none" w:sz="0" w:space="0" w:color="auto"/>
            <w:bottom w:val="none" w:sz="0" w:space="0" w:color="auto"/>
            <w:right w:val="none" w:sz="0" w:space="0" w:color="auto"/>
          </w:divBdr>
        </w:div>
      </w:divsChild>
    </w:div>
    <w:div w:id="595330302">
      <w:marLeft w:val="0"/>
      <w:marRight w:val="0"/>
      <w:marTop w:val="160"/>
      <w:marBottom w:val="160"/>
      <w:divBdr>
        <w:top w:val="none" w:sz="0" w:space="0" w:color="auto"/>
        <w:left w:val="none" w:sz="0" w:space="0" w:color="auto"/>
        <w:bottom w:val="none" w:sz="0" w:space="0" w:color="auto"/>
        <w:right w:val="none" w:sz="0" w:space="0" w:color="auto"/>
      </w:divBdr>
    </w:div>
    <w:div w:id="596669898">
      <w:marLeft w:val="0"/>
      <w:marRight w:val="0"/>
      <w:marTop w:val="0"/>
      <w:marBottom w:val="0"/>
      <w:divBdr>
        <w:top w:val="none" w:sz="0" w:space="0" w:color="auto"/>
        <w:left w:val="none" w:sz="0" w:space="0" w:color="auto"/>
        <w:bottom w:val="none" w:sz="0" w:space="0" w:color="auto"/>
        <w:right w:val="none" w:sz="0" w:space="0" w:color="auto"/>
      </w:divBdr>
      <w:divsChild>
        <w:div w:id="2102480282">
          <w:marLeft w:val="0"/>
          <w:marRight w:val="0"/>
          <w:marTop w:val="0"/>
          <w:marBottom w:val="0"/>
          <w:divBdr>
            <w:top w:val="none" w:sz="0" w:space="0" w:color="auto"/>
            <w:left w:val="none" w:sz="0" w:space="0" w:color="auto"/>
            <w:bottom w:val="none" w:sz="0" w:space="0" w:color="auto"/>
            <w:right w:val="none" w:sz="0" w:space="0" w:color="auto"/>
          </w:divBdr>
        </w:div>
      </w:divsChild>
    </w:div>
    <w:div w:id="596988555">
      <w:marLeft w:val="0"/>
      <w:marRight w:val="0"/>
      <w:marTop w:val="160"/>
      <w:marBottom w:val="160"/>
      <w:divBdr>
        <w:top w:val="none" w:sz="0" w:space="0" w:color="auto"/>
        <w:left w:val="none" w:sz="0" w:space="0" w:color="auto"/>
        <w:bottom w:val="none" w:sz="0" w:space="0" w:color="auto"/>
        <w:right w:val="none" w:sz="0" w:space="0" w:color="auto"/>
      </w:divBdr>
    </w:div>
    <w:div w:id="598176884">
      <w:marLeft w:val="0"/>
      <w:marRight w:val="0"/>
      <w:marTop w:val="60"/>
      <w:marBottom w:val="60"/>
      <w:divBdr>
        <w:top w:val="none" w:sz="0" w:space="0" w:color="auto"/>
        <w:left w:val="none" w:sz="0" w:space="0" w:color="auto"/>
        <w:bottom w:val="none" w:sz="0" w:space="0" w:color="auto"/>
        <w:right w:val="none" w:sz="0" w:space="0" w:color="auto"/>
      </w:divBdr>
    </w:div>
    <w:div w:id="602810146">
      <w:marLeft w:val="0"/>
      <w:marRight w:val="0"/>
      <w:marTop w:val="0"/>
      <w:marBottom w:val="0"/>
      <w:divBdr>
        <w:top w:val="none" w:sz="0" w:space="0" w:color="auto"/>
        <w:left w:val="none" w:sz="0" w:space="0" w:color="auto"/>
        <w:bottom w:val="none" w:sz="0" w:space="0" w:color="auto"/>
        <w:right w:val="none" w:sz="0" w:space="0" w:color="auto"/>
      </w:divBdr>
      <w:divsChild>
        <w:div w:id="683213336">
          <w:marLeft w:val="0"/>
          <w:marRight w:val="0"/>
          <w:marTop w:val="160"/>
          <w:marBottom w:val="160"/>
          <w:divBdr>
            <w:top w:val="none" w:sz="0" w:space="0" w:color="auto"/>
            <w:left w:val="none" w:sz="0" w:space="0" w:color="auto"/>
            <w:bottom w:val="none" w:sz="0" w:space="0" w:color="auto"/>
            <w:right w:val="none" w:sz="0" w:space="0" w:color="auto"/>
          </w:divBdr>
        </w:div>
        <w:div w:id="1284845867">
          <w:marLeft w:val="0"/>
          <w:marRight w:val="0"/>
          <w:marTop w:val="160"/>
          <w:marBottom w:val="160"/>
          <w:divBdr>
            <w:top w:val="none" w:sz="0" w:space="0" w:color="auto"/>
            <w:left w:val="none" w:sz="0" w:space="0" w:color="auto"/>
            <w:bottom w:val="none" w:sz="0" w:space="0" w:color="auto"/>
            <w:right w:val="none" w:sz="0" w:space="0" w:color="auto"/>
          </w:divBdr>
        </w:div>
        <w:div w:id="1478645071">
          <w:marLeft w:val="0"/>
          <w:marRight w:val="0"/>
          <w:marTop w:val="160"/>
          <w:marBottom w:val="160"/>
          <w:divBdr>
            <w:top w:val="none" w:sz="0" w:space="0" w:color="auto"/>
            <w:left w:val="none" w:sz="0" w:space="0" w:color="auto"/>
            <w:bottom w:val="none" w:sz="0" w:space="0" w:color="auto"/>
            <w:right w:val="none" w:sz="0" w:space="0" w:color="auto"/>
          </w:divBdr>
        </w:div>
        <w:div w:id="1481311604">
          <w:marLeft w:val="0"/>
          <w:marRight w:val="0"/>
          <w:marTop w:val="160"/>
          <w:marBottom w:val="160"/>
          <w:divBdr>
            <w:top w:val="none" w:sz="0" w:space="0" w:color="auto"/>
            <w:left w:val="none" w:sz="0" w:space="0" w:color="auto"/>
            <w:bottom w:val="none" w:sz="0" w:space="0" w:color="auto"/>
            <w:right w:val="none" w:sz="0" w:space="0" w:color="auto"/>
          </w:divBdr>
        </w:div>
        <w:div w:id="770589625">
          <w:marLeft w:val="0"/>
          <w:marRight w:val="0"/>
          <w:marTop w:val="160"/>
          <w:marBottom w:val="160"/>
          <w:divBdr>
            <w:top w:val="none" w:sz="0" w:space="0" w:color="auto"/>
            <w:left w:val="none" w:sz="0" w:space="0" w:color="auto"/>
            <w:bottom w:val="none" w:sz="0" w:space="0" w:color="auto"/>
            <w:right w:val="none" w:sz="0" w:space="0" w:color="auto"/>
          </w:divBdr>
        </w:div>
      </w:divsChild>
    </w:div>
    <w:div w:id="603223477">
      <w:marLeft w:val="0"/>
      <w:marRight w:val="0"/>
      <w:marTop w:val="160"/>
      <w:marBottom w:val="160"/>
      <w:divBdr>
        <w:top w:val="none" w:sz="0" w:space="0" w:color="auto"/>
        <w:left w:val="none" w:sz="0" w:space="0" w:color="auto"/>
        <w:bottom w:val="none" w:sz="0" w:space="0" w:color="auto"/>
        <w:right w:val="none" w:sz="0" w:space="0" w:color="auto"/>
      </w:divBdr>
    </w:div>
    <w:div w:id="603273618">
      <w:marLeft w:val="0"/>
      <w:marRight w:val="0"/>
      <w:marTop w:val="60"/>
      <w:marBottom w:val="0"/>
      <w:divBdr>
        <w:top w:val="none" w:sz="0" w:space="0" w:color="auto"/>
        <w:left w:val="none" w:sz="0" w:space="0" w:color="auto"/>
        <w:bottom w:val="none" w:sz="0" w:space="0" w:color="auto"/>
        <w:right w:val="none" w:sz="0" w:space="0" w:color="auto"/>
      </w:divBdr>
    </w:div>
    <w:div w:id="604653158">
      <w:marLeft w:val="0"/>
      <w:marRight w:val="0"/>
      <w:marTop w:val="160"/>
      <w:marBottom w:val="160"/>
      <w:divBdr>
        <w:top w:val="none" w:sz="0" w:space="0" w:color="auto"/>
        <w:left w:val="none" w:sz="0" w:space="0" w:color="auto"/>
        <w:bottom w:val="none" w:sz="0" w:space="0" w:color="auto"/>
        <w:right w:val="none" w:sz="0" w:space="0" w:color="auto"/>
      </w:divBdr>
    </w:div>
    <w:div w:id="613483346">
      <w:marLeft w:val="0"/>
      <w:marRight w:val="0"/>
      <w:marTop w:val="160"/>
      <w:marBottom w:val="160"/>
      <w:divBdr>
        <w:top w:val="none" w:sz="0" w:space="0" w:color="auto"/>
        <w:left w:val="none" w:sz="0" w:space="0" w:color="auto"/>
        <w:bottom w:val="none" w:sz="0" w:space="0" w:color="auto"/>
        <w:right w:val="none" w:sz="0" w:space="0" w:color="auto"/>
      </w:divBdr>
    </w:div>
    <w:div w:id="614601600">
      <w:marLeft w:val="0"/>
      <w:marRight w:val="0"/>
      <w:marTop w:val="160"/>
      <w:marBottom w:val="160"/>
      <w:divBdr>
        <w:top w:val="none" w:sz="0" w:space="0" w:color="auto"/>
        <w:left w:val="none" w:sz="0" w:space="0" w:color="auto"/>
        <w:bottom w:val="none" w:sz="0" w:space="0" w:color="auto"/>
        <w:right w:val="none" w:sz="0" w:space="0" w:color="auto"/>
      </w:divBdr>
    </w:div>
    <w:div w:id="614605476">
      <w:marLeft w:val="0"/>
      <w:marRight w:val="0"/>
      <w:marTop w:val="160"/>
      <w:marBottom w:val="160"/>
      <w:divBdr>
        <w:top w:val="none" w:sz="0" w:space="0" w:color="auto"/>
        <w:left w:val="none" w:sz="0" w:space="0" w:color="auto"/>
        <w:bottom w:val="none" w:sz="0" w:space="0" w:color="auto"/>
        <w:right w:val="none" w:sz="0" w:space="0" w:color="auto"/>
      </w:divBdr>
    </w:div>
    <w:div w:id="619535127">
      <w:marLeft w:val="0"/>
      <w:marRight w:val="0"/>
      <w:marTop w:val="160"/>
      <w:marBottom w:val="160"/>
      <w:divBdr>
        <w:top w:val="none" w:sz="0" w:space="0" w:color="auto"/>
        <w:left w:val="none" w:sz="0" w:space="0" w:color="auto"/>
        <w:bottom w:val="none" w:sz="0" w:space="0" w:color="auto"/>
        <w:right w:val="none" w:sz="0" w:space="0" w:color="auto"/>
      </w:divBdr>
    </w:div>
    <w:div w:id="630986387">
      <w:marLeft w:val="0"/>
      <w:marRight w:val="0"/>
      <w:marTop w:val="0"/>
      <w:marBottom w:val="0"/>
      <w:divBdr>
        <w:top w:val="none" w:sz="0" w:space="0" w:color="auto"/>
        <w:left w:val="none" w:sz="0" w:space="0" w:color="auto"/>
        <w:bottom w:val="none" w:sz="0" w:space="0" w:color="auto"/>
        <w:right w:val="none" w:sz="0" w:space="0" w:color="auto"/>
      </w:divBdr>
    </w:div>
    <w:div w:id="637227077">
      <w:marLeft w:val="0"/>
      <w:marRight w:val="0"/>
      <w:marTop w:val="160"/>
      <w:marBottom w:val="160"/>
      <w:divBdr>
        <w:top w:val="none" w:sz="0" w:space="0" w:color="auto"/>
        <w:left w:val="none" w:sz="0" w:space="0" w:color="auto"/>
        <w:bottom w:val="none" w:sz="0" w:space="0" w:color="auto"/>
        <w:right w:val="none" w:sz="0" w:space="0" w:color="auto"/>
      </w:divBdr>
    </w:div>
    <w:div w:id="644234788">
      <w:marLeft w:val="0"/>
      <w:marRight w:val="0"/>
      <w:marTop w:val="160"/>
      <w:marBottom w:val="160"/>
      <w:divBdr>
        <w:top w:val="none" w:sz="0" w:space="0" w:color="auto"/>
        <w:left w:val="none" w:sz="0" w:space="0" w:color="auto"/>
        <w:bottom w:val="none" w:sz="0" w:space="0" w:color="auto"/>
        <w:right w:val="none" w:sz="0" w:space="0" w:color="auto"/>
      </w:divBdr>
    </w:div>
    <w:div w:id="648097655">
      <w:marLeft w:val="0"/>
      <w:marRight w:val="0"/>
      <w:marTop w:val="160"/>
      <w:marBottom w:val="160"/>
      <w:divBdr>
        <w:top w:val="none" w:sz="0" w:space="0" w:color="auto"/>
        <w:left w:val="none" w:sz="0" w:space="0" w:color="auto"/>
        <w:bottom w:val="none" w:sz="0" w:space="0" w:color="auto"/>
        <w:right w:val="none" w:sz="0" w:space="0" w:color="auto"/>
      </w:divBdr>
    </w:div>
    <w:div w:id="658116956">
      <w:marLeft w:val="0"/>
      <w:marRight w:val="0"/>
      <w:marTop w:val="160"/>
      <w:marBottom w:val="160"/>
      <w:divBdr>
        <w:top w:val="none" w:sz="0" w:space="0" w:color="auto"/>
        <w:left w:val="none" w:sz="0" w:space="0" w:color="auto"/>
        <w:bottom w:val="none" w:sz="0" w:space="0" w:color="auto"/>
        <w:right w:val="none" w:sz="0" w:space="0" w:color="auto"/>
      </w:divBdr>
    </w:div>
    <w:div w:id="658965374">
      <w:marLeft w:val="0"/>
      <w:marRight w:val="0"/>
      <w:marTop w:val="160"/>
      <w:marBottom w:val="160"/>
      <w:divBdr>
        <w:top w:val="none" w:sz="0" w:space="0" w:color="auto"/>
        <w:left w:val="none" w:sz="0" w:space="0" w:color="auto"/>
        <w:bottom w:val="none" w:sz="0" w:space="0" w:color="auto"/>
        <w:right w:val="none" w:sz="0" w:space="0" w:color="auto"/>
      </w:divBdr>
    </w:div>
    <w:div w:id="660163128">
      <w:marLeft w:val="0"/>
      <w:marRight w:val="0"/>
      <w:marTop w:val="160"/>
      <w:marBottom w:val="160"/>
      <w:divBdr>
        <w:top w:val="none" w:sz="0" w:space="0" w:color="auto"/>
        <w:left w:val="none" w:sz="0" w:space="0" w:color="auto"/>
        <w:bottom w:val="none" w:sz="0" w:space="0" w:color="auto"/>
        <w:right w:val="none" w:sz="0" w:space="0" w:color="auto"/>
      </w:divBdr>
    </w:div>
    <w:div w:id="661931187">
      <w:marLeft w:val="0"/>
      <w:marRight w:val="0"/>
      <w:marTop w:val="0"/>
      <w:marBottom w:val="0"/>
      <w:divBdr>
        <w:top w:val="none" w:sz="0" w:space="0" w:color="auto"/>
        <w:left w:val="none" w:sz="0" w:space="0" w:color="auto"/>
        <w:bottom w:val="none" w:sz="0" w:space="0" w:color="auto"/>
        <w:right w:val="none" w:sz="0" w:space="0" w:color="auto"/>
      </w:divBdr>
      <w:divsChild>
        <w:div w:id="319776820">
          <w:marLeft w:val="0"/>
          <w:marRight w:val="0"/>
          <w:marTop w:val="0"/>
          <w:marBottom w:val="0"/>
          <w:divBdr>
            <w:top w:val="none" w:sz="0" w:space="0" w:color="auto"/>
            <w:left w:val="none" w:sz="0" w:space="0" w:color="auto"/>
            <w:bottom w:val="none" w:sz="0" w:space="0" w:color="auto"/>
            <w:right w:val="none" w:sz="0" w:space="0" w:color="auto"/>
          </w:divBdr>
        </w:div>
      </w:divsChild>
    </w:div>
    <w:div w:id="675035372">
      <w:marLeft w:val="0"/>
      <w:marRight w:val="0"/>
      <w:marTop w:val="160"/>
      <w:marBottom w:val="160"/>
      <w:divBdr>
        <w:top w:val="none" w:sz="0" w:space="0" w:color="auto"/>
        <w:left w:val="none" w:sz="0" w:space="0" w:color="auto"/>
        <w:bottom w:val="none" w:sz="0" w:space="0" w:color="auto"/>
        <w:right w:val="none" w:sz="0" w:space="0" w:color="auto"/>
      </w:divBdr>
    </w:div>
    <w:div w:id="677198905">
      <w:marLeft w:val="0"/>
      <w:marRight w:val="0"/>
      <w:marTop w:val="160"/>
      <w:marBottom w:val="160"/>
      <w:divBdr>
        <w:top w:val="none" w:sz="0" w:space="0" w:color="auto"/>
        <w:left w:val="none" w:sz="0" w:space="0" w:color="auto"/>
        <w:bottom w:val="none" w:sz="0" w:space="0" w:color="auto"/>
        <w:right w:val="none" w:sz="0" w:space="0" w:color="auto"/>
      </w:divBdr>
    </w:div>
    <w:div w:id="679745027">
      <w:marLeft w:val="0"/>
      <w:marRight w:val="0"/>
      <w:marTop w:val="160"/>
      <w:marBottom w:val="160"/>
      <w:divBdr>
        <w:top w:val="none" w:sz="0" w:space="0" w:color="auto"/>
        <w:left w:val="none" w:sz="0" w:space="0" w:color="auto"/>
        <w:bottom w:val="none" w:sz="0" w:space="0" w:color="auto"/>
        <w:right w:val="none" w:sz="0" w:space="0" w:color="auto"/>
      </w:divBdr>
    </w:div>
    <w:div w:id="680667918">
      <w:marLeft w:val="0"/>
      <w:marRight w:val="0"/>
      <w:marTop w:val="100"/>
      <w:marBottom w:val="160"/>
      <w:divBdr>
        <w:top w:val="none" w:sz="0" w:space="0" w:color="auto"/>
        <w:left w:val="none" w:sz="0" w:space="0" w:color="auto"/>
        <w:bottom w:val="none" w:sz="0" w:space="0" w:color="auto"/>
        <w:right w:val="none" w:sz="0" w:space="0" w:color="auto"/>
      </w:divBdr>
    </w:div>
    <w:div w:id="682392134">
      <w:marLeft w:val="0"/>
      <w:marRight w:val="0"/>
      <w:marTop w:val="160"/>
      <w:marBottom w:val="160"/>
      <w:divBdr>
        <w:top w:val="none" w:sz="0" w:space="0" w:color="auto"/>
        <w:left w:val="none" w:sz="0" w:space="0" w:color="auto"/>
        <w:bottom w:val="none" w:sz="0" w:space="0" w:color="auto"/>
        <w:right w:val="none" w:sz="0" w:space="0" w:color="auto"/>
      </w:divBdr>
    </w:div>
    <w:div w:id="688260292">
      <w:marLeft w:val="0"/>
      <w:marRight w:val="0"/>
      <w:marTop w:val="160"/>
      <w:marBottom w:val="160"/>
      <w:divBdr>
        <w:top w:val="none" w:sz="0" w:space="0" w:color="auto"/>
        <w:left w:val="none" w:sz="0" w:space="0" w:color="auto"/>
        <w:bottom w:val="none" w:sz="0" w:space="0" w:color="auto"/>
        <w:right w:val="none" w:sz="0" w:space="0" w:color="auto"/>
      </w:divBdr>
    </w:div>
    <w:div w:id="688607850">
      <w:marLeft w:val="0"/>
      <w:marRight w:val="0"/>
      <w:marTop w:val="0"/>
      <w:marBottom w:val="160"/>
      <w:divBdr>
        <w:top w:val="none" w:sz="0" w:space="0" w:color="auto"/>
        <w:left w:val="none" w:sz="0" w:space="0" w:color="auto"/>
        <w:bottom w:val="none" w:sz="0" w:space="0" w:color="auto"/>
        <w:right w:val="none" w:sz="0" w:space="0" w:color="auto"/>
      </w:divBdr>
    </w:div>
    <w:div w:id="689836756">
      <w:marLeft w:val="0"/>
      <w:marRight w:val="0"/>
      <w:marTop w:val="160"/>
      <w:marBottom w:val="160"/>
      <w:divBdr>
        <w:top w:val="none" w:sz="0" w:space="0" w:color="auto"/>
        <w:left w:val="none" w:sz="0" w:space="0" w:color="auto"/>
        <w:bottom w:val="none" w:sz="0" w:space="0" w:color="auto"/>
        <w:right w:val="none" w:sz="0" w:space="0" w:color="auto"/>
      </w:divBdr>
    </w:div>
    <w:div w:id="689992755">
      <w:marLeft w:val="0"/>
      <w:marRight w:val="0"/>
      <w:marTop w:val="160"/>
      <w:marBottom w:val="160"/>
      <w:divBdr>
        <w:top w:val="none" w:sz="0" w:space="0" w:color="auto"/>
        <w:left w:val="none" w:sz="0" w:space="0" w:color="auto"/>
        <w:bottom w:val="none" w:sz="0" w:space="0" w:color="auto"/>
        <w:right w:val="none" w:sz="0" w:space="0" w:color="auto"/>
      </w:divBdr>
    </w:div>
    <w:div w:id="691960126">
      <w:marLeft w:val="0"/>
      <w:marRight w:val="0"/>
      <w:marTop w:val="160"/>
      <w:marBottom w:val="160"/>
      <w:divBdr>
        <w:top w:val="none" w:sz="0" w:space="0" w:color="auto"/>
        <w:left w:val="none" w:sz="0" w:space="0" w:color="auto"/>
        <w:bottom w:val="none" w:sz="0" w:space="0" w:color="auto"/>
        <w:right w:val="none" w:sz="0" w:space="0" w:color="auto"/>
      </w:divBdr>
    </w:div>
    <w:div w:id="693925069">
      <w:marLeft w:val="0"/>
      <w:marRight w:val="0"/>
      <w:marTop w:val="160"/>
      <w:marBottom w:val="160"/>
      <w:divBdr>
        <w:top w:val="none" w:sz="0" w:space="0" w:color="auto"/>
        <w:left w:val="none" w:sz="0" w:space="0" w:color="auto"/>
        <w:bottom w:val="none" w:sz="0" w:space="0" w:color="auto"/>
        <w:right w:val="none" w:sz="0" w:space="0" w:color="auto"/>
      </w:divBdr>
    </w:div>
    <w:div w:id="693992850">
      <w:marLeft w:val="0"/>
      <w:marRight w:val="0"/>
      <w:marTop w:val="160"/>
      <w:marBottom w:val="160"/>
      <w:divBdr>
        <w:top w:val="none" w:sz="0" w:space="0" w:color="auto"/>
        <w:left w:val="none" w:sz="0" w:space="0" w:color="auto"/>
        <w:bottom w:val="none" w:sz="0" w:space="0" w:color="auto"/>
        <w:right w:val="none" w:sz="0" w:space="0" w:color="auto"/>
      </w:divBdr>
    </w:div>
    <w:div w:id="698433414">
      <w:marLeft w:val="0"/>
      <w:marRight w:val="0"/>
      <w:marTop w:val="160"/>
      <w:marBottom w:val="160"/>
      <w:divBdr>
        <w:top w:val="none" w:sz="0" w:space="0" w:color="auto"/>
        <w:left w:val="none" w:sz="0" w:space="0" w:color="auto"/>
        <w:bottom w:val="none" w:sz="0" w:space="0" w:color="auto"/>
        <w:right w:val="none" w:sz="0" w:space="0" w:color="auto"/>
      </w:divBdr>
    </w:div>
    <w:div w:id="698555397">
      <w:marLeft w:val="0"/>
      <w:marRight w:val="0"/>
      <w:marTop w:val="160"/>
      <w:marBottom w:val="160"/>
      <w:divBdr>
        <w:top w:val="none" w:sz="0" w:space="0" w:color="auto"/>
        <w:left w:val="none" w:sz="0" w:space="0" w:color="auto"/>
        <w:bottom w:val="none" w:sz="0" w:space="0" w:color="auto"/>
        <w:right w:val="none" w:sz="0" w:space="0" w:color="auto"/>
      </w:divBdr>
    </w:div>
    <w:div w:id="713768848">
      <w:marLeft w:val="0"/>
      <w:marRight w:val="0"/>
      <w:marTop w:val="160"/>
      <w:marBottom w:val="160"/>
      <w:divBdr>
        <w:top w:val="none" w:sz="0" w:space="0" w:color="auto"/>
        <w:left w:val="none" w:sz="0" w:space="0" w:color="auto"/>
        <w:bottom w:val="none" w:sz="0" w:space="0" w:color="auto"/>
        <w:right w:val="none" w:sz="0" w:space="0" w:color="auto"/>
      </w:divBdr>
    </w:div>
    <w:div w:id="716052877">
      <w:marLeft w:val="0"/>
      <w:marRight w:val="0"/>
      <w:marTop w:val="160"/>
      <w:marBottom w:val="160"/>
      <w:divBdr>
        <w:top w:val="none" w:sz="0" w:space="0" w:color="auto"/>
        <w:left w:val="none" w:sz="0" w:space="0" w:color="auto"/>
        <w:bottom w:val="none" w:sz="0" w:space="0" w:color="auto"/>
        <w:right w:val="none" w:sz="0" w:space="0" w:color="auto"/>
      </w:divBdr>
    </w:div>
    <w:div w:id="719324776">
      <w:marLeft w:val="0"/>
      <w:marRight w:val="0"/>
      <w:marTop w:val="160"/>
      <w:marBottom w:val="160"/>
      <w:divBdr>
        <w:top w:val="none" w:sz="0" w:space="0" w:color="auto"/>
        <w:left w:val="none" w:sz="0" w:space="0" w:color="auto"/>
        <w:bottom w:val="none" w:sz="0" w:space="0" w:color="auto"/>
        <w:right w:val="none" w:sz="0" w:space="0" w:color="auto"/>
      </w:divBdr>
    </w:div>
    <w:div w:id="720832303">
      <w:marLeft w:val="0"/>
      <w:marRight w:val="0"/>
      <w:marTop w:val="160"/>
      <w:marBottom w:val="160"/>
      <w:divBdr>
        <w:top w:val="none" w:sz="0" w:space="0" w:color="auto"/>
        <w:left w:val="none" w:sz="0" w:space="0" w:color="auto"/>
        <w:bottom w:val="none" w:sz="0" w:space="0" w:color="auto"/>
        <w:right w:val="none" w:sz="0" w:space="0" w:color="auto"/>
      </w:divBdr>
    </w:div>
    <w:div w:id="723217704">
      <w:marLeft w:val="0"/>
      <w:marRight w:val="0"/>
      <w:marTop w:val="0"/>
      <w:marBottom w:val="0"/>
      <w:divBdr>
        <w:top w:val="none" w:sz="0" w:space="0" w:color="auto"/>
        <w:left w:val="none" w:sz="0" w:space="0" w:color="auto"/>
        <w:bottom w:val="none" w:sz="0" w:space="0" w:color="auto"/>
        <w:right w:val="none" w:sz="0" w:space="0" w:color="auto"/>
      </w:divBdr>
      <w:divsChild>
        <w:div w:id="1103768649">
          <w:marLeft w:val="0"/>
          <w:marRight w:val="0"/>
          <w:marTop w:val="160"/>
          <w:marBottom w:val="160"/>
          <w:divBdr>
            <w:top w:val="none" w:sz="0" w:space="0" w:color="auto"/>
            <w:left w:val="none" w:sz="0" w:space="0" w:color="auto"/>
            <w:bottom w:val="none" w:sz="0" w:space="0" w:color="auto"/>
            <w:right w:val="none" w:sz="0" w:space="0" w:color="auto"/>
          </w:divBdr>
        </w:div>
        <w:div w:id="2144107341">
          <w:marLeft w:val="0"/>
          <w:marRight w:val="0"/>
          <w:marTop w:val="160"/>
          <w:marBottom w:val="160"/>
          <w:divBdr>
            <w:top w:val="none" w:sz="0" w:space="0" w:color="auto"/>
            <w:left w:val="none" w:sz="0" w:space="0" w:color="auto"/>
            <w:bottom w:val="none" w:sz="0" w:space="0" w:color="auto"/>
            <w:right w:val="none" w:sz="0" w:space="0" w:color="auto"/>
          </w:divBdr>
        </w:div>
        <w:div w:id="1910001306">
          <w:marLeft w:val="0"/>
          <w:marRight w:val="0"/>
          <w:marTop w:val="160"/>
          <w:marBottom w:val="160"/>
          <w:divBdr>
            <w:top w:val="none" w:sz="0" w:space="0" w:color="auto"/>
            <w:left w:val="none" w:sz="0" w:space="0" w:color="auto"/>
            <w:bottom w:val="none" w:sz="0" w:space="0" w:color="auto"/>
            <w:right w:val="none" w:sz="0" w:space="0" w:color="auto"/>
          </w:divBdr>
        </w:div>
        <w:div w:id="162278094">
          <w:marLeft w:val="0"/>
          <w:marRight w:val="0"/>
          <w:marTop w:val="160"/>
          <w:marBottom w:val="160"/>
          <w:divBdr>
            <w:top w:val="none" w:sz="0" w:space="0" w:color="auto"/>
            <w:left w:val="none" w:sz="0" w:space="0" w:color="auto"/>
            <w:bottom w:val="none" w:sz="0" w:space="0" w:color="auto"/>
            <w:right w:val="none" w:sz="0" w:space="0" w:color="auto"/>
          </w:divBdr>
        </w:div>
        <w:div w:id="621422737">
          <w:marLeft w:val="0"/>
          <w:marRight w:val="0"/>
          <w:marTop w:val="160"/>
          <w:marBottom w:val="160"/>
          <w:divBdr>
            <w:top w:val="none" w:sz="0" w:space="0" w:color="auto"/>
            <w:left w:val="none" w:sz="0" w:space="0" w:color="auto"/>
            <w:bottom w:val="none" w:sz="0" w:space="0" w:color="auto"/>
            <w:right w:val="none" w:sz="0" w:space="0" w:color="auto"/>
          </w:divBdr>
        </w:div>
        <w:div w:id="1192764673">
          <w:marLeft w:val="0"/>
          <w:marRight w:val="0"/>
          <w:marTop w:val="160"/>
          <w:marBottom w:val="160"/>
          <w:divBdr>
            <w:top w:val="none" w:sz="0" w:space="0" w:color="auto"/>
            <w:left w:val="none" w:sz="0" w:space="0" w:color="auto"/>
            <w:bottom w:val="none" w:sz="0" w:space="0" w:color="auto"/>
            <w:right w:val="none" w:sz="0" w:space="0" w:color="auto"/>
          </w:divBdr>
        </w:div>
      </w:divsChild>
    </w:div>
    <w:div w:id="724837821">
      <w:marLeft w:val="0"/>
      <w:marRight w:val="0"/>
      <w:marTop w:val="160"/>
      <w:marBottom w:val="160"/>
      <w:divBdr>
        <w:top w:val="none" w:sz="0" w:space="0" w:color="auto"/>
        <w:left w:val="none" w:sz="0" w:space="0" w:color="auto"/>
        <w:bottom w:val="none" w:sz="0" w:space="0" w:color="auto"/>
        <w:right w:val="none" w:sz="0" w:space="0" w:color="auto"/>
      </w:divBdr>
    </w:div>
    <w:div w:id="726296870">
      <w:marLeft w:val="0"/>
      <w:marRight w:val="0"/>
      <w:marTop w:val="160"/>
      <w:marBottom w:val="160"/>
      <w:divBdr>
        <w:top w:val="none" w:sz="0" w:space="0" w:color="auto"/>
        <w:left w:val="none" w:sz="0" w:space="0" w:color="auto"/>
        <w:bottom w:val="none" w:sz="0" w:space="0" w:color="auto"/>
        <w:right w:val="none" w:sz="0" w:space="0" w:color="auto"/>
      </w:divBdr>
    </w:div>
    <w:div w:id="726537052">
      <w:marLeft w:val="0"/>
      <w:marRight w:val="0"/>
      <w:marTop w:val="160"/>
      <w:marBottom w:val="160"/>
      <w:divBdr>
        <w:top w:val="none" w:sz="0" w:space="0" w:color="auto"/>
        <w:left w:val="none" w:sz="0" w:space="0" w:color="auto"/>
        <w:bottom w:val="none" w:sz="0" w:space="0" w:color="auto"/>
        <w:right w:val="none" w:sz="0" w:space="0" w:color="auto"/>
      </w:divBdr>
    </w:div>
    <w:div w:id="727268831">
      <w:marLeft w:val="0"/>
      <w:marRight w:val="0"/>
      <w:marTop w:val="0"/>
      <w:marBottom w:val="0"/>
      <w:divBdr>
        <w:top w:val="none" w:sz="0" w:space="0" w:color="auto"/>
        <w:left w:val="none" w:sz="0" w:space="0" w:color="auto"/>
        <w:bottom w:val="none" w:sz="0" w:space="0" w:color="auto"/>
        <w:right w:val="none" w:sz="0" w:space="0" w:color="auto"/>
      </w:divBdr>
      <w:divsChild>
        <w:div w:id="833423055">
          <w:marLeft w:val="0"/>
          <w:marRight w:val="0"/>
          <w:marTop w:val="0"/>
          <w:marBottom w:val="0"/>
          <w:divBdr>
            <w:top w:val="none" w:sz="0" w:space="0" w:color="auto"/>
            <w:left w:val="none" w:sz="0" w:space="0" w:color="auto"/>
            <w:bottom w:val="none" w:sz="0" w:space="0" w:color="auto"/>
            <w:right w:val="none" w:sz="0" w:space="0" w:color="auto"/>
          </w:divBdr>
        </w:div>
      </w:divsChild>
    </w:div>
    <w:div w:id="735781034">
      <w:marLeft w:val="0"/>
      <w:marRight w:val="0"/>
      <w:marTop w:val="180"/>
      <w:marBottom w:val="0"/>
      <w:divBdr>
        <w:top w:val="none" w:sz="0" w:space="0" w:color="auto"/>
        <w:left w:val="none" w:sz="0" w:space="0" w:color="auto"/>
        <w:bottom w:val="none" w:sz="0" w:space="0" w:color="auto"/>
        <w:right w:val="none" w:sz="0" w:space="0" w:color="auto"/>
      </w:divBdr>
      <w:divsChild>
        <w:div w:id="1202595661">
          <w:marLeft w:val="0"/>
          <w:marRight w:val="0"/>
          <w:marTop w:val="0"/>
          <w:marBottom w:val="60"/>
          <w:divBdr>
            <w:top w:val="none" w:sz="0" w:space="0" w:color="auto"/>
            <w:left w:val="none" w:sz="0" w:space="0" w:color="auto"/>
            <w:bottom w:val="none" w:sz="0" w:space="0" w:color="auto"/>
            <w:right w:val="none" w:sz="0" w:space="0" w:color="auto"/>
          </w:divBdr>
        </w:div>
        <w:div w:id="948973845">
          <w:marLeft w:val="0"/>
          <w:marRight w:val="0"/>
          <w:marTop w:val="0"/>
          <w:marBottom w:val="60"/>
          <w:divBdr>
            <w:top w:val="none" w:sz="0" w:space="0" w:color="auto"/>
            <w:left w:val="none" w:sz="0" w:space="0" w:color="auto"/>
            <w:bottom w:val="none" w:sz="0" w:space="0" w:color="auto"/>
            <w:right w:val="none" w:sz="0" w:space="0" w:color="auto"/>
          </w:divBdr>
        </w:div>
        <w:div w:id="29260654">
          <w:marLeft w:val="0"/>
          <w:marRight w:val="0"/>
          <w:marTop w:val="0"/>
          <w:marBottom w:val="60"/>
          <w:divBdr>
            <w:top w:val="none" w:sz="0" w:space="0" w:color="auto"/>
            <w:left w:val="none" w:sz="0" w:space="0" w:color="auto"/>
            <w:bottom w:val="none" w:sz="0" w:space="0" w:color="auto"/>
            <w:right w:val="none" w:sz="0" w:space="0" w:color="auto"/>
          </w:divBdr>
        </w:div>
        <w:div w:id="1279874625">
          <w:marLeft w:val="0"/>
          <w:marRight w:val="0"/>
          <w:marTop w:val="140"/>
          <w:marBottom w:val="0"/>
          <w:divBdr>
            <w:top w:val="none" w:sz="0" w:space="0" w:color="auto"/>
            <w:left w:val="none" w:sz="0" w:space="0" w:color="auto"/>
            <w:bottom w:val="none" w:sz="0" w:space="0" w:color="auto"/>
            <w:right w:val="none" w:sz="0" w:space="0" w:color="auto"/>
          </w:divBdr>
        </w:div>
      </w:divsChild>
    </w:div>
    <w:div w:id="736245356">
      <w:marLeft w:val="0"/>
      <w:marRight w:val="0"/>
      <w:marTop w:val="160"/>
      <w:marBottom w:val="160"/>
      <w:divBdr>
        <w:top w:val="none" w:sz="0" w:space="0" w:color="auto"/>
        <w:left w:val="none" w:sz="0" w:space="0" w:color="auto"/>
        <w:bottom w:val="none" w:sz="0" w:space="0" w:color="auto"/>
        <w:right w:val="none" w:sz="0" w:space="0" w:color="auto"/>
      </w:divBdr>
    </w:div>
    <w:div w:id="736783200">
      <w:marLeft w:val="0"/>
      <w:marRight w:val="0"/>
      <w:marTop w:val="160"/>
      <w:marBottom w:val="160"/>
      <w:divBdr>
        <w:top w:val="none" w:sz="0" w:space="0" w:color="auto"/>
        <w:left w:val="none" w:sz="0" w:space="0" w:color="auto"/>
        <w:bottom w:val="none" w:sz="0" w:space="0" w:color="auto"/>
        <w:right w:val="none" w:sz="0" w:space="0" w:color="auto"/>
      </w:divBdr>
    </w:div>
    <w:div w:id="741681595">
      <w:marLeft w:val="0"/>
      <w:marRight w:val="0"/>
      <w:marTop w:val="160"/>
      <w:marBottom w:val="160"/>
      <w:divBdr>
        <w:top w:val="none" w:sz="0" w:space="0" w:color="auto"/>
        <w:left w:val="none" w:sz="0" w:space="0" w:color="auto"/>
        <w:bottom w:val="none" w:sz="0" w:space="0" w:color="auto"/>
        <w:right w:val="none" w:sz="0" w:space="0" w:color="auto"/>
      </w:divBdr>
    </w:div>
    <w:div w:id="742221919">
      <w:marLeft w:val="0"/>
      <w:marRight w:val="0"/>
      <w:marTop w:val="160"/>
      <w:marBottom w:val="160"/>
      <w:divBdr>
        <w:top w:val="none" w:sz="0" w:space="0" w:color="auto"/>
        <w:left w:val="none" w:sz="0" w:space="0" w:color="auto"/>
        <w:bottom w:val="none" w:sz="0" w:space="0" w:color="auto"/>
        <w:right w:val="none" w:sz="0" w:space="0" w:color="auto"/>
      </w:divBdr>
    </w:div>
    <w:div w:id="743337907">
      <w:marLeft w:val="0"/>
      <w:marRight w:val="0"/>
      <w:marTop w:val="100"/>
      <w:marBottom w:val="160"/>
      <w:divBdr>
        <w:top w:val="none" w:sz="0" w:space="0" w:color="auto"/>
        <w:left w:val="none" w:sz="0" w:space="0" w:color="auto"/>
        <w:bottom w:val="none" w:sz="0" w:space="0" w:color="auto"/>
        <w:right w:val="none" w:sz="0" w:space="0" w:color="auto"/>
      </w:divBdr>
    </w:div>
    <w:div w:id="744491731">
      <w:marLeft w:val="0"/>
      <w:marRight w:val="0"/>
      <w:marTop w:val="160"/>
      <w:marBottom w:val="160"/>
      <w:divBdr>
        <w:top w:val="none" w:sz="0" w:space="0" w:color="auto"/>
        <w:left w:val="none" w:sz="0" w:space="0" w:color="auto"/>
        <w:bottom w:val="none" w:sz="0" w:space="0" w:color="auto"/>
        <w:right w:val="none" w:sz="0" w:space="0" w:color="auto"/>
      </w:divBdr>
    </w:div>
    <w:div w:id="745226545">
      <w:marLeft w:val="0"/>
      <w:marRight w:val="0"/>
      <w:marTop w:val="160"/>
      <w:marBottom w:val="160"/>
      <w:divBdr>
        <w:top w:val="none" w:sz="0" w:space="0" w:color="auto"/>
        <w:left w:val="none" w:sz="0" w:space="0" w:color="auto"/>
        <w:bottom w:val="none" w:sz="0" w:space="0" w:color="auto"/>
        <w:right w:val="none" w:sz="0" w:space="0" w:color="auto"/>
      </w:divBdr>
    </w:div>
    <w:div w:id="745303070">
      <w:marLeft w:val="0"/>
      <w:marRight w:val="0"/>
      <w:marTop w:val="0"/>
      <w:marBottom w:val="0"/>
      <w:divBdr>
        <w:top w:val="none" w:sz="0" w:space="0" w:color="auto"/>
        <w:left w:val="none" w:sz="0" w:space="0" w:color="auto"/>
        <w:bottom w:val="none" w:sz="0" w:space="0" w:color="auto"/>
        <w:right w:val="none" w:sz="0" w:space="0" w:color="auto"/>
      </w:divBdr>
    </w:div>
    <w:div w:id="746612669">
      <w:marLeft w:val="0"/>
      <w:marRight w:val="0"/>
      <w:marTop w:val="160"/>
      <w:marBottom w:val="160"/>
      <w:divBdr>
        <w:top w:val="none" w:sz="0" w:space="0" w:color="auto"/>
        <w:left w:val="none" w:sz="0" w:space="0" w:color="auto"/>
        <w:bottom w:val="none" w:sz="0" w:space="0" w:color="auto"/>
        <w:right w:val="none" w:sz="0" w:space="0" w:color="auto"/>
      </w:divBdr>
    </w:div>
    <w:div w:id="747727434">
      <w:marLeft w:val="0"/>
      <w:marRight w:val="0"/>
      <w:marTop w:val="160"/>
      <w:marBottom w:val="160"/>
      <w:divBdr>
        <w:top w:val="none" w:sz="0" w:space="0" w:color="auto"/>
        <w:left w:val="none" w:sz="0" w:space="0" w:color="auto"/>
        <w:bottom w:val="none" w:sz="0" w:space="0" w:color="auto"/>
        <w:right w:val="none" w:sz="0" w:space="0" w:color="auto"/>
      </w:divBdr>
    </w:div>
    <w:div w:id="751901440">
      <w:marLeft w:val="0"/>
      <w:marRight w:val="0"/>
      <w:marTop w:val="160"/>
      <w:marBottom w:val="160"/>
      <w:divBdr>
        <w:top w:val="none" w:sz="0" w:space="0" w:color="auto"/>
        <w:left w:val="none" w:sz="0" w:space="0" w:color="auto"/>
        <w:bottom w:val="none" w:sz="0" w:space="0" w:color="auto"/>
        <w:right w:val="none" w:sz="0" w:space="0" w:color="auto"/>
      </w:divBdr>
    </w:div>
    <w:div w:id="756555812">
      <w:marLeft w:val="0"/>
      <w:marRight w:val="0"/>
      <w:marTop w:val="160"/>
      <w:marBottom w:val="160"/>
      <w:divBdr>
        <w:top w:val="none" w:sz="0" w:space="0" w:color="auto"/>
        <w:left w:val="none" w:sz="0" w:space="0" w:color="auto"/>
        <w:bottom w:val="none" w:sz="0" w:space="0" w:color="auto"/>
        <w:right w:val="none" w:sz="0" w:space="0" w:color="auto"/>
      </w:divBdr>
    </w:div>
    <w:div w:id="761923378">
      <w:marLeft w:val="0"/>
      <w:marRight w:val="0"/>
      <w:marTop w:val="160"/>
      <w:marBottom w:val="160"/>
      <w:divBdr>
        <w:top w:val="none" w:sz="0" w:space="0" w:color="auto"/>
        <w:left w:val="none" w:sz="0" w:space="0" w:color="auto"/>
        <w:bottom w:val="none" w:sz="0" w:space="0" w:color="auto"/>
        <w:right w:val="none" w:sz="0" w:space="0" w:color="auto"/>
      </w:divBdr>
    </w:div>
    <w:div w:id="762606590">
      <w:marLeft w:val="0"/>
      <w:marRight w:val="0"/>
      <w:marTop w:val="160"/>
      <w:marBottom w:val="160"/>
      <w:divBdr>
        <w:top w:val="none" w:sz="0" w:space="0" w:color="auto"/>
        <w:left w:val="none" w:sz="0" w:space="0" w:color="auto"/>
        <w:bottom w:val="none" w:sz="0" w:space="0" w:color="auto"/>
        <w:right w:val="none" w:sz="0" w:space="0" w:color="auto"/>
      </w:divBdr>
    </w:div>
    <w:div w:id="770009956">
      <w:marLeft w:val="0"/>
      <w:marRight w:val="0"/>
      <w:marTop w:val="0"/>
      <w:marBottom w:val="0"/>
      <w:divBdr>
        <w:top w:val="none" w:sz="0" w:space="0" w:color="auto"/>
        <w:left w:val="none" w:sz="0" w:space="0" w:color="auto"/>
        <w:bottom w:val="none" w:sz="0" w:space="0" w:color="auto"/>
        <w:right w:val="none" w:sz="0" w:space="0" w:color="auto"/>
      </w:divBdr>
      <w:divsChild>
        <w:div w:id="917523789">
          <w:marLeft w:val="0"/>
          <w:marRight w:val="0"/>
          <w:marTop w:val="0"/>
          <w:marBottom w:val="0"/>
          <w:divBdr>
            <w:top w:val="none" w:sz="0" w:space="0" w:color="auto"/>
            <w:left w:val="none" w:sz="0" w:space="0" w:color="auto"/>
            <w:bottom w:val="none" w:sz="0" w:space="0" w:color="auto"/>
            <w:right w:val="none" w:sz="0" w:space="0" w:color="auto"/>
          </w:divBdr>
        </w:div>
      </w:divsChild>
    </w:div>
    <w:div w:id="777456699">
      <w:marLeft w:val="0"/>
      <w:marRight w:val="0"/>
      <w:marTop w:val="0"/>
      <w:marBottom w:val="0"/>
      <w:divBdr>
        <w:top w:val="none" w:sz="0" w:space="0" w:color="auto"/>
        <w:left w:val="none" w:sz="0" w:space="0" w:color="auto"/>
        <w:bottom w:val="none" w:sz="0" w:space="0" w:color="auto"/>
        <w:right w:val="none" w:sz="0" w:space="0" w:color="auto"/>
      </w:divBdr>
      <w:divsChild>
        <w:div w:id="1211961233">
          <w:marLeft w:val="0"/>
          <w:marRight w:val="0"/>
          <w:marTop w:val="0"/>
          <w:marBottom w:val="0"/>
          <w:divBdr>
            <w:top w:val="none" w:sz="0" w:space="0" w:color="auto"/>
            <w:left w:val="none" w:sz="0" w:space="0" w:color="auto"/>
            <w:bottom w:val="none" w:sz="0" w:space="0" w:color="auto"/>
            <w:right w:val="none" w:sz="0" w:space="0" w:color="auto"/>
          </w:divBdr>
        </w:div>
      </w:divsChild>
    </w:div>
    <w:div w:id="778448061">
      <w:marLeft w:val="0"/>
      <w:marRight w:val="0"/>
      <w:marTop w:val="160"/>
      <w:marBottom w:val="160"/>
      <w:divBdr>
        <w:top w:val="none" w:sz="0" w:space="0" w:color="auto"/>
        <w:left w:val="none" w:sz="0" w:space="0" w:color="auto"/>
        <w:bottom w:val="none" w:sz="0" w:space="0" w:color="auto"/>
        <w:right w:val="none" w:sz="0" w:space="0" w:color="auto"/>
      </w:divBdr>
    </w:div>
    <w:div w:id="781337899">
      <w:marLeft w:val="0"/>
      <w:marRight w:val="0"/>
      <w:marTop w:val="0"/>
      <w:marBottom w:val="160"/>
      <w:divBdr>
        <w:top w:val="none" w:sz="0" w:space="0" w:color="auto"/>
        <w:left w:val="none" w:sz="0" w:space="0" w:color="auto"/>
        <w:bottom w:val="none" w:sz="0" w:space="0" w:color="auto"/>
        <w:right w:val="none" w:sz="0" w:space="0" w:color="auto"/>
      </w:divBdr>
    </w:div>
    <w:div w:id="782921303">
      <w:marLeft w:val="0"/>
      <w:marRight w:val="0"/>
      <w:marTop w:val="160"/>
      <w:marBottom w:val="160"/>
      <w:divBdr>
        <w:top w:val="none" w:sz="0" w:space="0" w:color="auto"/>
        <w:left w:val="none" w:sz="0" w:space="0" w:color="auto"/>
        <w:bottom w:val="none" w:sz="0" w:space="0" w:color="auto"/>
        <w:right w:val="none" w:sz="0" w:space="0" w:color="auto"/>
      </w:divBdr>
    </w:div>
    <w:div w:id="785544415">
      <w:marLeft w:val="0"/>
      <w:marRight w:val="0"/>
      <w:marTop w:val="160"/>
      <w:marBottom w:val="160"/>
      <w:divBdr>
        <w:top w:val="none" w:sz="0" w:space="0" w:color="auto"/>
        <w:left w:val="none" w:sz="0" w:space="0" w:color="auto"/>
        <w:bottom w:val="none" w:sz="0" w:space="0" w:color="auto"/>
        <w:right w:val="none" w:sz="0" w:space="0" w:color="auto"/>
      </w:divBdr>
    </w:div>
    <w:div w:id="794180338">
      <w:marLeft w:val="0"/>
      <w:marRight w:val="0"/>
      <w:marTop w:val="0"/>
      <w:marBottom w:val="0"/>
      <w:divBdr>
        <w:top w:val="none" w:sz="0" w:space="0" w:color="auto"/>
        <w:left w:val="none" w:sz="0" w:space="0" w:color="auto"/>
        <w:bottom w:val="none" w:sz="0" w:space="0" w:color="auto"/>
        <w:right w:val="none" w:sz="0" w:space="0" w:color="auto"/>
      </w:divBdr>
      <w:divsChild>
        <w:div w:id="524446622">
          <w:marLeft w:val="0"/>
          <w:marRight w:val="0"/>
          <w:marTop w:val="0"/>
          <w:marBottom w:val="0"/>
          <w:divBdr>
            <w:top w:val="none" w:sz="0" w:space="0" w:color="auto"/>
            <w:left w:val="none" w:sz="0" w:space="0" w:color="auto"/>
            <w:bottom w:val="none" w:sz="0" w:space="0" w:color="auto"/>
            <w:right w:val="none" w:sz="0" w:space="0" w:color="auto"/>
          </w:divBdr>
        </w:div>
      </w:divsChild>
    </w:div>
    <w:div w:id="798959202">
      <w:marLeft w:val="0"/>
      <w:marRight w:val="0"/>
      <w:marTop w:val="160"/>
      <w:marBottom w:val="160"/>
      <w:divBdr>
        <w:top w:val="none" w:sz="0" w:space="0" w:color="auto"/>
        <w:left w:val="none" w:sz="0" w:space="0" w:color="auto"/>
        <w:bottom w:val="none" w:sz="0" w:space="0" w:color="auto"/>
        <w:right w:val="none" w:sz="0" w:space="0" w:color="auto"/>
      </w:divBdr>
    </w:div>
    <w:div w:id="803740935">
      <w:marLeft w:val="0"/>
      <w:marRight w:val="0"/>
      <w:marTop w:val="0"/>
      <w:marBottom w:val="0"/>
      <w:divBdr>
        <w:top w:val="none" w:sz="0" w:space="0" w:color="auto"/>
        <w:left w:val="none" w:sz="0" w:space="0" w:color="auto"/>
        <w:bottom w:val="none" w:sz="0" w:space="0" w:color="auto"/>
        <w:right w:val="none" w:sz="0" w:space="0" w:color="auto"/>
      </w:divBdr>
    </w:div>
    <w:div w:id="812987360">
      <w:marLeft w:val="0"/>
      <w:marRight w:val="0"/>
      <w:marTop w:val="160"/>
      <w:marBottom w:val="160"/>
      <w:divBdr>
        <w:top w:val="none" w:sz="0" w:space="0" w:color="auto"/>
        <w:left w:val="none" w:sz="0" w:space="0" w:color="auto"/>
        <w:bottom w:val="none" w:sz="0" w:space="0" w:color="auto"/>
        <w:right w:val="none" w:sz="0" w:space="0" w:color="auto"/>
      </w:divBdr>
    </w:div>
    <w:div w:id="814761220">
      <w:marLeft w:val="0"/>
      <w:marRight w:val="0"/>
      <w:marTop w:val="160"/>
      <w:marBottom w:val="160"/>
      <w:divBdr>
        <w:top w:val="none" w:sz="0" w:space="0" w:color="auto"/>
        <w:left w:val="none" w:sz="0" w:space="0" w:color="auto"/>
        <w:bottom w:val="none" w:sz="0" w:space="0" w:color="auto"/>
        <w:right w:val="none" w:sz="0" w:space="0" w:color="auto"/>
      </w:divBdr>
    </w:div>
    <w:div w:id="824276145">
      <w:marLeft w:val="0"/>
      <w:marRight w:val="0"/>
      <w:marTop w:val="160"/>
      <w:marBottom w:val="160"/>
      <w:divBdr>
        <w:top w:val="none" w:sz="0" w:space="0" w:color="auto"/>
        <w:left w:val="none" w:sz="0" w:space="0" w:color="auto"/>
        <w:bottom w:val="none" w:sz="0" w:space="0" w:color="auto"/>
        <w:right w:val="none" w:sz="0" w:space="0" w:color="auto"/>
      </w:divBdr>
    </w:div>
    <w:div w:id="830364451">
      <w:marLeft w:val="0"/>
      <w:marRight w:val="0"/>
      <w:marTop w:val="160"/>
      <w:marBottom w:val="160"/>
      <w:divBdr>
        <w:top w:val="none" w:sz="0" w:space="0" w:color="auto"/>
        <w:left w:val="none" w:sz="0" w:space="0" w:color="auto"/>
        <w:bottom w:val="none" w:sz="0" w:space="0" w:color="auto"/>
        <w:right w:val="none" w:sz="0" w:space="0" w:color="auto"/>
      </w:divBdr>
    </w:div>
    <w:div w:id="830751609">
      <w:marLeft w:val="0"/>
      <w:marRight w:val="0"/>
      <w:marTop w:val="0"/>
      <w:marBottom w:val="0"/>
      <w:divBdr>
        <w:top w:val="none" w:sz="0" w:space="0" w:color="auto"/>
        <w:left w:val="none" w:sz="0" w:space="0" w:color="auto"/>
        <w:bottom w:val="none" w:sz="0" w:space="0" w:color="auto"/>
        <w:right w:val="none" w:sz="0" w:space="0" w:color="auto"/>
      </w:divBdr>
      <w:divsChild>
        <w:div w:id="568465167">
          <w:marLeft w:val="0"/>
          <w:marRight w:val="0"/>
          <w:marTop w:val="0"/>
          <w:marBottom w:val="0"/>
          <w:divBdr>
            <w:top w:val="none" w:sz="0" w:space="0" w:color="auto"/>
            <w:left w:val="none" w:sz="0" w:space="0" w:color="auto"/>
            <w:bottom w:val="none" w:sz="0" w:space="0" w:color="auto"/>
            <w:right w:val="none" w:sz="0" w:space="0" w:color="auto"/>
          </w:divBdr>
        </w:div>
      </w:divsChild>
    </w:div>
    <w:div w:id="831070701">
      <w:marLeft w:val="0"/>
      <w:marRight w:val="0"/>
      <w:marTop w:val="160"/>
      <w:marBottom w:val="160"/>
      <w:divBdr>
        <w:top w:val="none" w:sz="0" w:space="0" w:color="auto"/>
        <w:left w:val="none" w:sz="0" w:space="0" w:color="auto"/>
        <w:bottom w:val="none" w:sz="0" w:space="0" w:color="auto"/>
        <w:right w:val="none" w:sz="0" w:space="0" w:color="auto"/>
      </w:divBdr>
    </w:div>
    <w:div w:id="832256523">
      <w:marLeft w:val="0"/>
      <w:marRight w:val="0"/>
      <w:marTop w:val="0"/>
      <w:marBottom w:val="0"/>
      <w:divBdr>
        <w:top w:val="none" w:sz="0" w:space="0" w:color="auto"/>
        <w:left w:val="none" w:sz="0" w:space="0" w:color="auto"/>
        <w:bottom w:val="none" w:sz="0" w:space="0" w:color="auto"/>
        <w:right w:val="none" w:sz="0" w:space="0" w:color="auto"/>
      </w:divBdr>
    </w:div>
    <w:div w:id="833181550">
      <w:marLeft w:val="0"/>
      <w:marRight w:val="0"/>
      <w:marTop w:val="160"/>
      <w:marBottom w:val="160"/>
      <w:divBdr>
        <w:top w:val="none" w:sz="0" w:space="0" w:color="auto"/>
        <w:left w:val="none" w:sz="0" w:space="0" w:color="auto"/>
        <w:bottom w:val="none" w:sz="0" w:space="0" w:color="auto"/>
        <w:right w:val="none" w:sz="0" w:space="0" w:color="auto"/>
      </w:divBdr>
    </w:div>
    <w:div w:id="838888706">
      <w:marLeft w:val="0"/>
      <w:marRight w:val="0"/>
      <w:marTop w:val="160"/>
      <w:marBottom w:val="160"/>
      <w:divBdr>
        <w:top w:val="none" w:sz="0" w:space="0" w:color="auto"/>
        <w:left w:val="none" w:sz="0" w:space="0" w:color="auto"/>
        <w:bottom w:val="none" w:sz="0" w:space="0" w:color="auto"/>
        <w:right w:val="none" w:sz="0" w:space="0" w:color="auto"/>
      </w:divBdr>
    </w:div>
    <w:div w:id="838929717">
      <w:marLeft w:val="0"/>
      <w:marRight w:val="0"/>
      <w:marTop w:val="0"/>
      <w:marBottom w:val="160"/>
      <w:divBdr>
        <w:top w:val="none" w:sz="0" w:space="0" w:color="auto"/>
        <w:left w:val="none" w:sz="0" w:space="0" w:color="auto"/>
        <w:bottom w:val="none" w:sz="0" w:space="0" w:color="auto"/>
        <w:right w:val="none" w:sz="0" w:space="0" w:color="auto"/>
      </w:divBdr>
    </w:div>
    <w:div w:id="842672256">
      <w:marLeft w:val="0"/>
      <w:marRight w:val="0"/>
      <w:marTop w:val="160"/>
      <w:marBottom w:val="160"/>
      <w:divBdr>
        <w:top w:val="none" w:sz="0" w:space="0" w:color="auto"/>
        <w:left w:val="none" w:sz="0" w:space="0" w:color="auto"/>
        <w:bottom w:val="none" w:sz="0" w:space="0" w:color="auto"/>
        <w:right w:val="none" w:sz="0" w:space="0" w:color="auto"/>
      </w:divBdr>
    </w:div>
    <w:div w:id="843011992">
      <w:marLeft w:val="0"/>
      <w:marRight w:val="0"/>
      <w:marTop w:val="0"/>
      <w:marBottom w:val="0"/>
      <w:divBdr>
        <w:top w:val="none" w:sz="0" w:space="0" w:color="auto"/>
        <w:left w:val="none" w:sz="0" w:space="0" w:color="auto"/>
        <w:bottom w:val="none" w:sz="0" w:space="0" w:color="auto"/>
        <w:right w:val="none" w:sz="0" w:space="0" w:color="auto"/>
      </w:divBdr>
    </w:div>
    <w:div w:id="843977580">
      <w:marLeft w:val="0"/>
      <w:marRight w:val="0"/>
      <w:marTop w:val="0"/>
      <w:marBottom w:val="0"/>
      <w:divBdr>
        <w:top w:val="none" w:sz="0" w:space="0" w:color="auto"/>
        <w:left w:val="none" w:sz="0" w:space="0" w:color="auto"/>
        <w:bottom w:val="none" w:sz="0" w:space="0" w:color="auto"/>
        <w:right w:val="none" w:sz="0" w:space="0" w:color="auto"/>
      </w:divBdr>
    </w:div>
    <w:div w:id="846477494">
      <w:marLeft w:val="0"/>
      <w:marRight w:val="0"/>
      <w:marTop w:val="0"/>
      <w:marBottom w:val="0"/>
      <w:divBdr>
        <w:top w:val="none" w:sz="0" w:space="0" w:color="auto"/>
        <w:left w:val="none" w:sz="0" w:space="0" w:color="auto"/>
        <w:bottom w:val="none" w:sz="0" w:space="0" w:color="auto"/>
        <w:right w:val="none" w:sz="0" w:space="0" w:color="auto"/>
      </w:divBdr>
      <w:divsChild>
        <w:div w:id="34354988">
          <w:marLeft w:val="0"/>
          <w:marRight w:val="0"/>
          <w:marTop w:val="0"/>
          <w:marBottom w:val="0"/>
          <w:divBdr>
            <w:top w:val="none" w:sz="0" w:space="0" w:color="auto"/>
            <w:left w:val="none" w:sz="0" w:space="0" w:color="auto"/>
            <w:bottom w:val="none" w:sz="0" w:space="0" w:color="auto"/>
            <w:right w:val="none" w:sz="0" w:space="0" w:color="auto"/>
          </w:divBdr>
        </w:div>
      </w:divsChild>
    </w:div>
    <w:div w:id="850989827">
      <w:marLeft w:val="0"/>
      <w:marRight w:val="0"/>
      <w:marTop w:val="160"/>
      <w:marBottom w:val="160"/>
      <w:divBdr>
        <w:top w:val="none" w:sz="0" w:space="0" w:color="auto"/>
        <w:left w:val="none" w:sz="0" w:space="0" w:color="auto"/>
        <w:bottom w:val="none" w:sz="0" w:space="0" w:color="auto"/>
        <w:right w:val="none" w:sz="0" w:space="0" w:color="auto"/>
      </w:divBdr>
    </w:div>
    <w:div w:id="855849955">
      <w:marLeft w:val="0"/>
      <w:marRight w:val="0"/>
      <w:marTop w:val="160"/>
      <w:marBottom w:val="16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859584157">
      <w:marLeft w:val="0"/>
      <w:marRight w:val="0"/>
      <w:marTop w:val="160"/>
      <w:marBottom w:val="160"/>
      <w:divBdr>
        <w:top w:val="none" w:sz="0" w:space="0" w:color="auto"/>
        <w:left w:val="none" w:sz="0" w:space="0" w:color="auto"/>
        <w:bottom w:val="none" w:sz="0" w:space="0" w:color="auto"/>
        <w:right w:val="none" w:sz="0" w:space="0" w:color="auto"/>
      </w:divBdr>
    </w:div>
    <w:div w:id="860974682">
      <w:marLeft w:val="0"/>
      <w:marRight w:val="0"/>
      <w:marTop w:val="160"/>
      <w:marBottom w:val="160"/>
      <w:divBdr>
        <w:top w:val="none" w:sz="0" w:space="0" w:color="auto"/>
        <w:left w:val="none" w:sz="0" w:space="0" w:color="auto"/>
        <w:bottom w:val="none" w:sz="0" w:space="0" w:color="auto"/>
        <w:right w:val="none" w:sz="0" w:space="0" w:color="auto"/>
      </w:divBdr>
    </w:div>
    <w:div w:id="861630866">
      <w:marLeft w:val="0"/>
      <w:marRight w:val="0"/>
      <w:marTop w:val="160"/>
      <w:marBottom w:val="160"/>
      <w:divBdr>
        <w:top w:val="none" w:sz="0" w:space="0" w:color="auto"/>
        <w:left w:val="none" w:sz="0" w:space="0" w:color="auto"/>
        <w:bottom w:val="none" w:sz="0" w:space="0" w:color="auto"/>
        <w:right w:val="none" w:sz="0" w:space="0" w:color="auto"/>
      </w:divBdr>
    </w:div>
    <w:div w:id="865172546">
      <w:marLeft w:val="0"/>
      <w:marRight w:val="0"/>
      <w:marTop w:val="160"/>
      <w:marBottom w:val="160"/>
      <w:divBdr>
        <w:top w:val="none" w:sz="0" w:space="0" w:color="auto"/>
        <w:left w:val="none" w:sz="0" w:space="0" w:color="auto"/>
        <w:bottom w:val="none" w:sz="0" w:space="0" w:color="auto"/>
        <w:right w:val="none" w:sz="0" w:space="0" w:color="auto"/>
      </w:divBdr>
    </w:div>
    <w:div w:id="868420761">
      <w:marLeft w:val="0"/>
      <w:marRight w:val="0"/>
      <w:marTop w:val="160"/>
      <w:marBottom w:val="160"/>
      <w:divBdr>
        <w:top w:val="none" w:sz="0" w:space="0" w:color="auto"/>
        <w:left w:val="none" w:sz="0" w:space="0" w:color="auto"/>
        <w:bottom w:val="none" w:sz="0" w:space="0" w:color="auto"/>
        <w:right w:val="none" w:sz="0" w:space="0" w:color="auto"/>
      </w:divBdr>
    </w:div>
    <w:div w:id="871764824">
      <w:marLeft w:val="0"/>
      <w:marRight w:val="0"/>
      <w:marTop w:val="0"/>
      <w:marBottom w:val="0"/>
      <w:divBdr>
        <w:top w:val="none" w:sz="0" w:space="0" w:color="auto"/>
        <w:left w:val="none" w:sz="0" w:space="0" w:color="auto"/>
        <w:bottom w:val="none" w:sz="0" w:space="0" w:color="auto"/>
        <w:right w:val="none" w:sz="0" w:space="0" w:color="auto"/>
      </w:divBdr>
      <w:divsChild>
        <w:div w:id="671688895">
          <w:marLeft w:val="0"/>
          <w:marRight w:val="0"/>
          <w:marTop w:val="0"/>
          <w:marBottom w:val="0"/>
          <w:divBdr>
            <w:top w:val="none" w:sz="0" w:space="0" w:color="auto"/>
            <w:left w:val="none" w:sz="0" w:space="0" w:color="auto"/>
            <w:bottom w:val="none" w:sz="0" w:space="0" w:color="auto"/>
            <w:right w:val="none" w:sz="0" w:space="0" w:color="auto"/>
          </w:divBdr>
        </w:div>
      </w:divsChild>
    </w:div>
    <w:div w:id="875894689">
      <w:marLeft w:val="0"/>
      <w:marRight w:val="0"/>
      <w:marTop w:val="180"/>
      <w:marBottom w:val="0"/>
      <w:divBdr>
        <w:top w:val="none" w:sz="0" w:space="0" w:color="auto"/>
        <w:left w:val="none" w:sz="0" w:space="0" w:color="auto"/>
        <w:bottom w:val="none" w:sz="0" w:space="0" w:color="auto"/>
        <w:right w:val="none" w:sz="0" w:space="0" w:color="auto"/>
      </w:divBdr>
    </w:div>
    <w:div w:id="876620876">
      <w:marLeft w:val="0"/>
      <w:marRight w:val="0"/>
      <w:marTop w:val="160"/>
      <w:marBottom w:val="160"/>
      <w:divBdr>
        <w:top w:val="none" w:sz="0" w:space="0" w:color="auto"/>
        <w:left w:val="none" w:sz="0" w:space="0" w:color="auto"/>
        <w:bottom w:val="none" w:sz="0" w:space="0" w:color="auto"/>
        <w:right w:val="none" w:sz="0" w:space="0" w:color="auto"/>
      </w:divBdr>
    </w:div>
    <w:div w:id="877012412">
      <w:marLeft w:val="0"/>
      <w:marRight w:val="0"/>
      <w:marTop w:val="160"/>
      <w:marBottom w:val="160"/>
      <w:divBdr>
        <w:top w:val="none" w:sz="0" w:space="0" w:color="auto"/>
        <w:left w:val="none" w:sz="0" w:space="0" w:color="auto"/>
        <w:bottom w:val="none" w:sz="0" w:space="0" w:color="auto"/>
        <w:right w:val="none" w:sz="0" w:space="0" w:color="auto"/>
      </w:divBdr>
    </w:div>
    <w:div w:id="877663609">
      <w:marLeft w:val="0"/>
      <w:marRight w:val="0"/>
      <w:marTop w:val="160"/>
      <w:marBottom w:val="160"/>
      <w:divBdr>
        <w:top w:val="none" w:sz="0" w:space="0" w:color="auto"/>
        <w:left w:val="none" w:sz="0" w:space="0" w:color="auto"/>
        <w:bottom w:val="none" w:sz="0" w:space="0" w:color="auto"/>
        <w:right w:val="none" w:sz="0" w:space="0" w:color="auto"/>
      </w:divBdr>
    </w:div>
    <w:div w:id="884174045">
      <w:marLeft w:val="0"/>
      <w:marRight w:val="0"/>
      <w:marTop w:val="160"/>
      <w:marBottom w:val="160"/>
      <w:divBdr>
        <w:top w:val="none" w:sz="0" w:space="0" w:color="auto"/>
        <w:left w:val="none" w:sz="0" w:space="0" w:color="auto"/>
        <w:bottom w:val="none" w:sz="0" w:space="0" w:color="auto"/>
        <w:right w:val="none" w:sz="0" w:space="0" w:color="auto"/>
      </w:divBdr>
    </w:div>
    <w:div w:id="890775534">
      <w:marLeft w:val="0"/>
      <w:marRight w:val="0"/>
      <w:marTop w:val="160"/>
      <w:marBottom w:val="160"/>
      <w:divBdr>
        <w:top w:val="none" w:sz="0" w:space="0" w:color="auto"/>
        <w:left w:val="none" w:sz="0" w:space="0" w:color="auto"/>
        <w:bottom w:val="none" w:sz="0" w:space="0" w:color="auto"/>
        <w:right w:val="none" w:sz="0" w:space="0" w:color="auto"/>
      </w:divBdr>
    </w:div>
    <w:div w:id="891113739">
      <w:marLeft w:val="0"/>
      <w:marRight w:val="0"/>
      <w:marTop w:val="160"/>
      <w:marBottom w:val="160"/>
      <w:divBdr>
        <w:top w:val="none" w:sz="0" w:space="0" w:color="auto"/>
        <w:left w:val="none" w:sz="0" w:space="0" w:color="auto"/>
        <w:bottom w:val="none" w:sz="0" w:space="0" w:color="auto"/>
        <w:right w:val="none" w:sz="0" w:space="0" w:color="auto"/>
      </w:divBdr>
    </w:div>
    <w:div w:id="893006632">
      <w:marLeft w:val="0"/>
      <w:marRight w:val="0"/>
      <w:marTop w:val="160"/>
      <w:marBottom w:val="160"/>
      <w:divBdr>
        <w:top w:val="none" w:sz="0" w:space="0" w:color="auto"/>
        <w:left w:val="none" w:sz="0" w:space="0" w:color="auto"/>
        <w:bottom w:val="none" w:sz="0" w:space="0" w:color="auto"/>
        <w:right w:val="none" w:sz="0" w:space="0" w:color="auto"/>
      </w:divBdr>
    </w:div>
    <w:div w:id="900866528">
      <w:marLeft w:val="0"/>
      <w:marRight w:val="0"/>
      <w:marTop w:val="160"/>
      <w:marBottom w:val="160"/>
      <w:divBdr>
        <w:top w:val="none" w:sz="0" w:space="0" w:color="auto"/>
        <w:left w:val="none" w:sz="0" w:space="0" w:color="auto"/>
        <w:bottom w:val="none" w:sz="0" w:space="0" w:color="auto"/>
        <w:right w:val="none" w:sz="0" w:space="0" w:color="auto"/>
      </w:divBdr>
    </w:div>
    <w:div w:id="902258017">
      <w:marLeft w:val="0"/>
      <w:marRight w:val="0"/>
      <w:marTop w:val="160"/>
      <w:marBottom w:val="160"/>
      <w:divBdr>
        <w:top w:val="none" w:sz="0" w:space="0" w:color="auto"/>
        <w:left w:val="none" w:sz="0" w:space="0" w:color="auto"/>
        <w:bottom w:val="none" w:sz="0" w:space="0" w:color="auto"/>
        <w:right w:val="none" w:sz="0" w:space="0" w:color="auto"/>
      </w:divBdr>
    </w:div>
    <w:div w:id="909728897">
      <w:marLeft w:val="0"/>
      <w:marRight w:val="0"/>
      <w:marTop w:val="60"/>
      <w:marBottom w:val="0"/>
      <w:divBdr>
        <w:top w:val="none" w:sz="0" w:space="0" w:color="auto"/>
        <w:left w:val="none" w:sz="0" w:space="0" w:color="auto"/>
        <w:bottom w:val="none" w:sz="0" w:space="0" w:color="auto"/>
        <w:right w:val="none" w:sz="0" w:space="0" w:color="auto"/>
      </w:divBdr>
    </w:div>
    <w:div w:id="914510020">
      <w:marLeft w:val="0"/>
      <w:marRight w:val="0"/>
      <w:marTop w:val="0"/>
      <w:marBottom w:val="0"/>
      <w:divBdr>
        <w:top w:val="none" w:sz="0" w:space="0" w:color="auto"/>
        <w:left w:val="none" w:sz="0" w:space="0" w:color="auto"/>
        <w:bottom w:val="none" w:sz="0" w:space="0" w:color="auto"/>
        <w:right w:val="none" w:sz="0" w:space="0" w:color="auto"/>
      </w:divBdr>
      <w:divsChild>
        <w:div w:id="1335835789">
          <w:marLeft w:val="0"/>
          <w:marRight w:val="0"/>
          <w:marTop w:val="160"/>
          <w:marBottom w:val="0"/>
          <w:divBdr>
            <w:top w:val="none" w:sz="0" w:space="0" w:color="auto"/>
            <w:left w:val="none" w:sz="0" w:space="0" w:color="auto"/>
            <w:bottom w:val="none" w:sz="0" w:space="0" w:color="auto"/>
            <w:right w:val="none" w:sz="0" w:space="0" w:color="auto"/>
          </w:divBdr>
        </w:div>
        <w:div w:id="299311491">
          <w:marLeft w:val="0"/>
          <w:marRight w:val="0"/>
          <w:marTop w:val="160"/>
          <w:marBottom w:val="0"/>
          <w:divBdr>
            <w:top w:val="none" w:sz="0" w:space="0" w:color="auto"/>
            <w:left w:val="none" w:sz="0" w:space="0" w:color="auto"/>
            <w:bottom w:val="none" w:sz="0" w:space="0" w:color="auto"/>
            <w:right w:val="none" w:sz="0" w:space="0" w:color="auto"/>
          </w:divBdr>
        </w:div>
        <w:div w:id="580650412">
          <w:marLeft w:val="0"/>
          <w:marRight w:val="0"/>
          <w:marTop w:val="160"/>
          <w:marBottom w:val="160"/>
          <w:divBdr>
            <w:top w:val="none" w:sz="0" w:space="0" w:color="auto"/>
            <w:left w:val="none" w:sz="0" w:space="0" w:color="auto"/>
            <w:bottom w:val="none" w:sz="0" w:space="0" w:color="auto"/>
            <w:right w:val="none" w:sz="0" w:space="0" w:color="auto"/>
          </w:divBdr>
        </w:div>
        <w:div w:id="798914877">
          <w:marLeft w:val="0"/>
          <w:marRight w:val="0"/>
          <w:marTop w:val="160"/>
          <w:marBottom w:val="160"/>
          <w:divBdr>
            <w:top w:val="none" w:sz="0" w:space="0" w:color="auto"/>
            <w:left w:val="none" w:sz="0" w:space="0" w:color="auto"/>
            <w:bottom w:val="none" w:sz="0" w:space="0" w:color="auto"/>
            <w:right w:val="none" w:sz="0" w:space="0" w:color="auto"/>
          </w:divBdr>
        </w:div>
        <w:div w:id="1095440917">
          <w:marLeft w:val="0"/>
          <w:marRight w:val="0"/>
          <w:marTop w:val="160"/>
          <w:marBottom w:val="160"/>
          <w:divBdr>
            <w:top w:val="none" w:sz="0" w:space="0" w:color="auto"/>
            <w:left w:val="none" w:sz="0" w:space="0" w:color="auto"/>
            <w:bottom w:val="none" w:sz="0" w:space="0" w:color="auto"/>
            <w:right w:val="none" w:sz="0" w:space="0" w:color="auto"/>
          </w:divBdr>
        </w:div>
      </w:divsChild>
    </w:div>
    <w:div w:id="918251508">
      <w:marLeft w:val="0"/>
      <w:marRight w:val="0"/>
      <w:marTop w:val="0"/>
      <w:marBottom w:val="0"/>
      <w:divBdr>
        <w:top w:val="none" w:sz="0" w:space="0" w:color="auto"/>
        <w:left w:val="none" w:sz="0" w:space="0" w:color="auto"/>
        <w:bottom w:val="none" w:sz="0" w:space="0" w:color="auto"/>
        <w:right w:val="none" w:sz="0" w:space="0" w:color="auto"/>
      </w:divBdr>
      <w:divsChild>
        <w:div w:id="84423531">
          <w:marLeft w:val="0"/>
          <w:marRight w:val="0"/>
          <w:marTop w:val="0"/>
          <w:marBottom w:val="0"/>
          <w:divBdr>
            <w:top w:val="none" w:sz="0" w:space="0" w:color="auto"/>
            <w:left w:val="none" w:sz="0" w:space="0" w:color="auto"/>
            <w:bottom w:val="none" w:sz="0" w:space="0" w:color="auto"/>
            <w:right w:val="none" w:sz="0" w:space="0" w:color="auto"/>
          </w:divBdr>
        </w:div>
      </w:divsChild>
    </w:div>
    <w:div w:id="918516511">
      <w:marLeft w:val="0"/>
      <w:marRight w:val="0"/>
      <w:marTop w:val="160"/>
      <w:marBottom w:val="160"/>
      <w:divBdr>
        <w:top w:val="none" w:sz="0" w:space="0" w:color="auto"/>
        <w:left w:val="none" w:sz="0" w:space="0" w:color="auto"/>
        <w:bottom w:val="none" w:sz="0" w:space="0" w:color="auto"/>
        <w:right w:val="none" w:sz="0" w:space="0" w:color="auto"/>
      </w:divBdr>
    </w:div>
    <w:div w:id="921840678">
      <w:marLeft w:val="0"/>
      <w:marRight w:val="0"/>
      <w:marTop w:val="0"/>
      <w:marBottom w:val="0"/>
      <w:divBdr>
        <w:top w:val="none" w:sz="0" w:space="0" w:color="auto"/>
        <w:left w:val="none" w:sz="0" w:space="0" w:color="auto"/>
        <w:bottom w:val="none" w:sz="0" w:space="0" w:color="auto"/>
        <w:right w:val="none" w:sz="0" w:space="0" w:color="auto"/>
      </w:divBdr>
      <w:divsChild>
        <w:div w:id="1384938793">
          <w:marLeft w:val="0"/>
          <w:marRight w:val="0"/>
          <w:marTop w:val="0"/>
          <w:marBottom w:val="0"/>
          <w:divBdr>
            <w:top w:val="none" w:sz="0" w:space="0" w:color="auto"/>
            <w:left w:val="none" w:sz="0" w:space="0" w:color="auto"/>
            <w:bottom w:val="none" w:sz="0" w:space="0" w:color="auto"/>
            <w:right w:val="none" w:sz="0" w:space="0" w:color="auto"/>
          </w:divBdr>
        </w:div>
      </w:divsChild>
    </w:div>
    <w:div w:id="928269338">
      <w:marLeft w:val="0"/>
      <w:marRight w:val="0"/>
      <w:marTop w:val="160"/>
      <w:marBottom w:val="160"/>
      <w:divBdr>
        <w:top w:val="none" w:sz="0" w:space="0" w:color="auto"/>
        <w:left w:val="none" w:sz="0" w:space="0" w:color="auto"/>
        <w:bottom w:val="none" w:sz="0" w:space="0" w:color="auto"/>
        <w:right w:val="none" w:sz="0" w:space="0" w:color="auto"/>
      </w:divBdr>
    </w:div>
    <w:div w:id="929393356">
      <w:marLeft w:val="0"/>
      <w:marRight w:val="0"/>
      <w:marTop w:val="160"/>
      <w:marBottom w:val="160"/>
      <w:divBdr>
        <w:top w:val="none" w:sz="0" w:space="0" w:color="auto"/>
        <w:left w:val="none" w:sz="0" w:space="0" w:color="auto"/>
        <w:bottom w:val="none" w:sz="0" w:space="0" w:color="auto"/>
        <w:right w:val="none" w:sz="0" w:space="0" w:color="auto"/>
      </w:divBdr>
    </w:div>
    <w:div w:id="932207336">
      <w:marLeft w:val="0"/>
      <w:marRight w:val="0"/>
      <w:marTop w:val="0"/>
      <w:marBottom w:val="0"/>
      <w:divBdr>
        <w:top w:val="none" w:sz="0" w:space="0" w:color="auto"/>
        <w:left w:val="none" w:sz="0" w:space="0" w:color="auto"/>
        <w:bottom w:val="none" w:sz="0" w:space="0" w:color="auto"/>
        <w:right w:val="none" w:sz="0" w:space="0" w:color="auto"/>
      </w:divBdr>
      <w:divsChild>
        <w:div w:id="1568763426">
          <w:marLeft w:val="0"/>
          <w:marRight w:val="0"/>
          <w:marTop w:val="0"/>
          <w:marBottom w:val="0"/>
          <w:divBdr>
            <w:top w:val="none" w:sz="0" w:space="0" w:color="auto"/>
            <w:left w:val="none" w:sz="0" w:space="0" w:color="auto"/>
            <w:bottom w:val="none" w:sz="0" w:space="0" w:color="auto"/>
            <w:right w:val="none" w:sz="0" w:space="0" w:color="auto"/>
          </w:divBdr>
        </w:div>
      </w:divsChild>
    </w:div>
    <w:div w:id="938101654">
      <w:marLeft w:val="0"/>
      <w:marRight w:val="0"/>
      <w:marTop w:val="160"/>
      <w:marBottom w:val="160"/>
      <w:divBdr>
        <w:top w:val="none" w:sz="0" w:space="0" w:color="auto"/>
        <w:left w:val="none" w:sz="0" w:space="0" w:color="auto"/>
        <w:bottom w:val="none" w:sz="0" w:space="0" w:color="auto"/>
        <w:right w:val="none" w:sz="0" w:space="0" w:color="auto"/>
      </w:divBdr>
    </w:div>
    <w:div w:id="938947772">
      <w:marLeft w:val="0"/>
      <w:marRight w:val="0"/>
      <w:marTop w:val="160"/>
      <w:marBottom w:val="160"/>
      <w:divBdr>
        <w:top w:val="none" w:sz="0" w:space="0" w:color="auto"/>
        <w:left w:val="none" w:sz="0" w:space="0" w:color="auto"/>
        <w:bottom w:val="none" w:sz="0" w:space="0" w:color="auto"/>
        <w:right w:val="none" w:sz="0" w:space="0" w:color="auto"/>
      </w:divBdr>
    </w:div>
    <w:div w:id="939681667">
      <w:marLeft w:val="0"/>
      <w:marRight w:val="0"/>
      <w:marTop w:val="0"/>
      <w:marBottom w:val="0"/>
      <w:divBdr>
        <w:top w:val="none" w:sz="0" w:space="0" w:color="auto"/>
        <w:left w:val="none" w:sz="0" w:space="0" w:color="auto"/>
        <w:bottom w:val="none" w:sz="0" w:space="0" w:color="auto"/>
        <w:right w:val="none" w:sz="0" w:space="0" w:color="auto"/>
      </w:divBdr>
      <w:divsChild>
        <w:div w:id="522280741">
          <w:marLeft w:val="0"/>
          <w:marRight w:val="0"/>
          <w:marTop w:val="0"/>
          <w:marBottom w:val="0"/>
          <w:divBdr>
            <w:top w:val="none" w:sz="0" w:space="0" w:color="auto"/>
            <w:left w:val="none" w:sz="0" w:space="0" w:color="auto"/>
            <w:bottom w:val="none" w:sz="0" w:space="0" w:color="auto"/>
            <w:right w:val="none" w:sz="0" w:space="0" w:color="auto"/>
          </w:divBdr>
        </w:div>
      </w:divsChild>
    </w:div>
    <w:div w:id="943999296">
      <w:marLeft w:val="0"/>
      <w:marRight w:val="0"/>
      <w:marTop w:val="160"/>
      <w:marBottom w:val="160"/>
      <w:divBdr>
        <w:top w:val="none" w:sz="0" w:space="0" w:color="auto"/>
        <w:left w:val="none" w:sz="0" w:space="0" w:color="auto"/>
        <w:bottom w:val="none" w:sz="0" w:space="0" w:color="auto"/>
        <w:right w:val="none" w:sz="0" w:space="0" w:color="auto"/>
      </w:divBdr>
    </w:div>
    <w:div w:id="945380017">
      <w:marLeft w:val="0"/>
      <w:marRight w:val="0"/>
      <w:marTop w:val="160"/>
      <w:marBottom w:val="160"/>
      <w:divBdr>
        <w:top w:val="none" w:sz="0" w:space="0" w:color="auto"/>
        <w:left w:val="none" w:sz="0" w:space="0" w:color="auto"/>
        <w:bottom w:val="none" w:sz="0" w:space="0" w:color="auto"/>
        <w:right w:val="none" w:sz="0" w:space="0" w:color="auto"/>
      </w:divBdr>
    </w:div>
    <w:div w:id="950622293">
      <w:marLeft w:val="0"/>
      <w:marRight w:val="0"/>
      <w:marTop w:val="160"/>
      <w:marBottom w:val="160"/>
      <w:divBdr>
        <w:top w:val="none" w:sz="0" w:space="0" w:color="auto"/>
        <w:left w:val="none" w:sz="0" w:space="0" w:color="auto"/>
        <w:bottom w:val="none" w:sz="0" w:space="0" w:color="auto"/>
        <w:right w:val="none" w:sz="0" w:space="0" w:color="auto"/>
      </w:divBdr>
    </w:div>
    <w:div w:id="964578876">
      <w:marLeft w:val="0"/>
      <w:marRight w:val="0"/>
      <w:marTop w:val="160"/>
      <w:marBottom w:val="160"/>
      <w:divBdr>
        <w:top w:val="none" w:sz="0" w:space="0" w:color="auto"/>
        <w:left w:val="none" w:sz="0" w:space="0" w:color="auto"/>
        <w:bottom w:val="none" w:sz="0" w:space="0" w:color="auto"/>
        <w:right w:val="none" w:sz="0" w:space="0" w:color="auto"/>
      </w:divBdr>
    </w:div>
    <w:div w:id="964845505">
      <w:marLeft w:val="0"/>
      <w:marRight w:val="0"/>
      <w:marTop w:val="160"/>
      <w:marBottom w:val="160"/>
      <w:divBdr>
        <w:top w:val="none" w:sz="0" w:space="0" w:color="auto"/>
        <w:left w:val="none" w:sz="0" w:space="0" w:color="auto"/>
        <w:bottom w:val="none" w:sz="0" w:space="0" w:color="auto"/>
        <w:right w:val="none" w:sz="0" w:space="0" w:color="auto"/>
      </w:divBdr>
    </w:div>
    <w:div w:id="965817718">
      <w:marLeft w:val="0"/>
      <w:marRight w:val="0"/>
      <w:marTop w:val="160"/>
      <w:marBottom w:val="160"/>
      <w:divBdr>
        <w:top w:val="none" w:sz="0" w:space="0" w:color="auto"/>
        <w:left w:val="none" w:sz="0" w:space="0" w:color="auto"/>
        <w:bottom w:val="none" w:sz="0" w:space="0" w:color="auto"/>
        <w:right w:val="none" w:sz="0" w:space="0" w:color="auto"/>
      </w:divBdr>
    </w:div>
    <w:div w:id="972830811">
      <w:marLeft w:val="0"/>
      <w:marRight w:val="0"/>
      <w:marTop w:val="60"/>
      <w:marBottom w:val="60"/>
      <w:divBdr>
        <w:top w:val="none" w:sz="0" w:space="0" w:color="auto"/>
        <w:left w:val="none" w:sz="0" w:space="0" w:color="auto"/>
        <w:bottom w:val="none" w:sz="0" w:space="0" w:color="auto"/>
        <w:right w:val="none" w:sz="0" w:space="0" w:color="auto"/>
      </w:divBdr>
    </w:div>
    <w:div w:id="976253570">
      <w:marLeft w:val="0"/>
      <w:marRight w:val="0"/>
      <w:marTop w:val="160"/>
      <w:marBottom w:val="160"/>
      <w:divBdr>
        <w:top w:val="none" w:sz="0" w:space="0" w:color="auto"/>
        <w:left w:val="none" w:sz="0" w:space="0" w:color="auto"/>
        <w:bottom w:val="none" w:sz="0" w:space="0" w:color="auto"/>
        <w:right w:val="none" w:sz="0" w:space="0" w:color="auto"/>
      </w:divBdr>
    </w:div>
    <w:div w:id="976446707">
      <w:marLeft w:val="0"/>
      <w:marRight w:val="0"/>
      <w:marTop w:val="160"/>
      <w:marBottom w:val="160"/>
      <w:divBdr>
        <w:top w:val="none" w:sz="0" w:space="0" w:color="auto"/>
        <w:left w:val="none" w:sz="0" w:space="0" w:color="auto"/>
        <w:bottom w:val="none" w:sz="0" w:space="0" w:color="auto"/>
        <w:right w:val="none" w:sz="0" w:space="0" w:color="auto"/>
      </w:divBdr>
    </w:div>
    <w:div w:id="976448174">
      <w:marLeft w:val="0"/>
      <w:marRight w:val="0"/>
      <w:marTop w:val="160"/>
      <w:marBottom w:val="160"/>
      <w:divBdr>
        <w:top w:val="none" w:sz="0" w:space="0" w:color="auto"/>
        <w:left w:val="none" w:sz="0" w:space="0" w:color="auto"/>
        <w:bottom w:val="none" w:sz="0" w:space="0" w:color="auto"/>
        <w:right w:val="none" w:sz="0" w:space="0" w:color="auto"/>
      </w:divBdr>
    </w:div>
    <w:div w:id="987980067">
      <w:marLeft w:val="0"/>
      <w:marRight w:val="0"/>
      <w:marTop w:val="160"/>
      <w:marBottom w:val="160"/>
      <w:divBdr>
        <w:top w:val="none" w:sz="0" w:space="0" w:color="auto"/>
        <w:left w:val="none" w:sz="0" w:space="0" w:color="auto"/>
        <w:bottom w:val="none" w:sz="0" w:space="0" w:color="auto"/>
        <w:right w:val="none" w:sz="0" w:space="0" w:color="auto"/>
      </w:divBdr>
    </w:div>
    <w:div w:id="1000738038">
      <w:marLeft w:val="0"/>
      <w:marRight w:val="0"/>
      <w:marTop w:val="160"/>
      <w:marBottom w:val="160"/>
      <w:divBdr>
        <w:top w:val="none" w:sz="0" w:space="0" w:color="auto"/>
        <w:left w:val="none" w:sz="0" w:space="0" w:color="auto"/>
        <w:bottom w:val="none" w:sz="0" w:space="0" w:color="auto"/>
        <w:right w:val="none" w:sz="0" w:space="0" w:color="auto"/>
      </w:divBdr>
    </w:div>
    <w:div w:id="1004473485">
      <w:marLeft w:val="0"/>
      <w:marRight w:val="0"/>
      <w:marTop w:val="160"/>
      <w:marBottom w:val="160"/>
      <w:divBdr>
        <w:top w:val="none" w:sz="0" w:space="0" w:color="auto"/>
        <w:left w:val="none" w:sz="0" w:space="0" w:color="auto"/>
        <w:bottom w:val="none" w:sz="0" w:space="0" w:color="auto"/>
        <w:right w:val="none" w:sz="0" w:space="0" w:color="auto"/>
      </w:divBdr>
    </w:div>
    <w:div w:id="1007176308">
      <w:marLeft w:val="0"/>
      <w:marRight w:val="0"/>
      <w:marTop w:val="160"/>
      <w:marBottom w:val="160"/>
      <w:divBdr>
        <w:top w:val="none" w:sz="0" w:space="0" w:color="auto"/>
        <w:left w:val="none" w:sz="0" w:space="0" w:color="auto"/>
        <w:bottom w:val="none" w:sz="0" w:space="0" w:color="auto"/>
        <w:right w:val="none" w:sz="0" w:space="0" w:color="auto"/>
      </w:divBdr>
    </w:div>
    <w:div w:id="1015811615">
      <w:marLeft w:val="0"/>
      <w:marRight w:val="0"/>
      <w:marTop w:val="0"/>
      <w:marBottom w:val="0"/>
      <w:divBdr>
        <w:top w:val="none" w:sz="0" w:space="0" w:color="auto"/>
        <w:left w:val="none" w:sz="0" w:space="0" w:color="auto"/>
        <w:bottom w:val="none" w:sz="0" w:space="0" w:color="auto"/>
        <w:right w:val="none" w:sz="0" w:space="0" w:color="auto"/>
      </w:divBdr>
    </w:div>
    <w:div w:id="1016267374">
      <w:marLeft w:val="0"/>
      <w:marRight w:val="0"/>
      <w:marTop w:val="160"/>
      <w:marBottom w:val="160"/>
      <w:divBdr>
        <w:top w:val="none" w:sz="0" w:space="0" w:color="auto"/>
        <w:left w:val="none" w:sz="0" w:space="0" w:color="auto"/>
        <w:bottom w:val="none" w:sz="0" w:space="0" w:color="auto"/>
        <w:right w:val="none" w:sz="0" w:space="0" w:color="auto"/>
      </w:divBdr>
    </w:div>
    <w:div w:id="1021861186">
      <w:marLeft w:val="0"/>
      <w:marRight w:val="0"/>
      <w:marTop w:val="160"/>
      <w:marBottom w:val="160"/>
      <w:divBdr>
        <w:top w:val="none" w:sz="0" w:space="0" w:color="auto"/>
        <w:left w:val="none" w:sz="0" w:space="0" w:color="auto"/>
        <w:bottom w:val="none" w:sz="0" w:space="0" w:color="auto"/>
        <w:right w:val="none" w:sz="0" w:space="0" w:color="auto"/>
      </w:divBdr>
    </w:div>
    <w:div w:id="1023478783">
      <w:marLeft w:val="0"/>
      <w:marRight w:val="0"/>
      <w:marTop w:val="160"/>
      <w:marBottom w:val="160"/>
      <w:divBdr>
        <w:top w:val="none" w:sz="0" w:space="0" w:color="auto"/>
        <w:left w:val="none" w:sz="0" w:space="0" w:color="auto"/>
        <w:bottom w:val="none" w:sz="0" w:space="0" w:color="auto"/>
        <w:right w:val="none" w:sz="0" w:space="0" w:color="auto"/>
      </w:divBdr>
    </w:div>
    <w:div w:id="1023550604">
      <w:marLeft w:val="0"/>
      <w:marRight w:val="0"/>
      <w:marTop w:val="160"/>
      <w:marBottom w:val="160"/>
      <w:divBdr>
        <w:top w:val="none" w:sz="0" w:space="0" w:color="auto"/>
        <w:left w:val="none" w:sz="0" w:space="0" w:color="auto"/>
        <w:bottom w:val="none" w:sz="0" w:space="0" w:color="auto"/>
        <w:right w:val="none" w:sz="0" w:space="0" w:color="auto"/>
      </w:divBdr>
    </w:div>
    <w:div w:id="1026174734">
      <w:marLeft w:val="0"/>
      <w:marRight w:val="0"/>
      <w:marTop w:val="160"/>
      <w:marBottom w:val="160"/>
      <w:divBdr>
        <w:top w:val="none" w:sz="0" w:space="0" w:color="auto"/>
        <w:left w:val="none" w:sz="0" w:space="0" w:color="auto"/>
        <w:bottom w:val="none" w:sz="0" w:space="0" w:color="auto"/>
        <w:right w:val="none" w:sz="0" w:space="0" w:color="auto"/>
      </w:divBdr>
    </w:div>
    <w:div w:id="1028215467">
      <w:marLeft w:val="0"/>
      <w:marRight w:val="0"/>
      <w:marTop w:val="160"/>
      <w:marBottom w:val="160"/>
      <w:divBdr>
        <w:top w:val="none" w:sz="0" w:space="0" w:color="auto"/>
        <w:left w:val="none" w:sz="0" w:space="0" w:color="auto"/>
        <w:bottom w:val="none" w:sz="0" w:space="0" w:color="auto"/>
        <w:right w:val="none" w:sz="0" w:space="0" w:color="auto"/>
      </w:divBdr>
    </w:div>
    <w:div w:id="1030375059">
      <w:marLeft w:val="0"/>
      <w:marRight w:val="0"/>
      <w:marTop w:val="0"/>
      <w:marBottom w:val="0"/>
      <w:divBdr>
        <w:top w:val="none" w:sz="0" w:space="0" w:color="auto"/>
        <w:left w:val="none" w:sz="0" w:space="0" w:color="auto"/>
        <w:bottom w:val="none" w:sz="0" w:space="0" w:color="auto"/>
        <w:right w:val="none" w:sz="0" w:space="0" w:color="auto"/>
      </w:divBdr>
      <w:divsChild>
        <w:div w:id="1008168863">
          <w:marLeft w:val="0"/>
          <w:marRight w:val="0"/>
          <w:marTop w:val="160"/>
          <w:marBottom w:val="160"/>
          <w:divBdr>
            <w:top w:val="none" w:sz="0" w:space="0" w:color="auto"/>
            <w:left w:val="none" w:sz="0" w:space="0" w:color="auto"/>
            <w:bottom w:val="none" w:sz="0" w:space="0" w:color="auto"/>
            <w:right w:val="none" w:sz="0" w:space="0" w:color="auto"/>
          </w:divBdr>
        </w:div>
        <w:div w:id="1507482455">
          <w:marLeft w:val="0"/>
          <w:marRight w:val="0"/>
          <w:marTop w:val="160"/>
          <w:marBottom w:val="160"/>
          <w:divBdr>
            <w:top w:val="none" w:sz="0" w:space="0" w:color="auto"/>
            <w:left w:val="none" w:sz="0" w:space="0" w:color="auto"/>
            <w:bottom w:val="none" w:sz="0" w:space="0" w:color="auto"/>
            <w:right w:val="none" w:sz="0" w:space="0" w:color="auto"/>
          </w:divBdr>
        </w:div>
        <w:div w:id="837234343">
          <w:marLeft w:val="0"/>
          <w:marRight w:val="0"/>
          <w:marTop w:val="160"/>
          <w:marBottom w:val="160"/>
          <w:divBdr>
            <w:top w:val="none" w:sz="0" w:space="0" w:color="auto"/>
            <w:left w:val="none" w:sz="0" w:space="0" w:color="auto"/>
            <w:bottom w:val="none" w:sz="0" w:space="0" w:color="auto"/>
            <w:right w:val="none" w:sz="0" w:space="0" w:color="auto"/>
          </w:divBdr>
        </w:div>
        <w:div w:id="1394037821">
          <w:marLeft w:val="0"/>
          <w:marRight w:val="0"/>
          <w:marTop w:val="160"/>
          <w:marBottom w:val="160"/>
          <w:divBdr>
            <w:top w:val="none" w:sz="0" w:space="0" w:color="auto"/>
            <w:left w:val="none" w:sz="0" w:space="0" w:color="auto"/>
            <w:bottom w:val="none" w:sz="0" w:space="0" w:color="auto"/>
            <w:right w:val="none" w:sz="0" w:space="0" w:color="auto"/>
          </w:divBdr>
        </w:div>
        <w:div w:id="1359351565">
          <w:marLeft w:val="0"/>
          <w:marRight w:val="0"/>
          <w:marTop w:val="160"/>
          <w:marBottom w:val="160"/>
          <w:divBdr>
            <w:top w:val="none" w:sz="0" w:space="0" w:color="auto"/>
            <w:left w:val="none" w:sz="0" w:space="0" w:color="auto"/>
            <w:bottom w:val="none" w:sz="0" w:space="0" w:color="auto"/>
            <w:right w:val="none" w:sz="0" w:space="0" w:color="auto"/>
          </w:divBdr>
        </w:div>
        <w:div w:id="1929920967">
          <w:marLeft w:val="0"/>
          <w:marRight w:val="0"/>
          <w:marTop w:val="160"/>
          <w:marBottom w:val="160"/>
          <w:divBdr>
            <w:top w:val="none" w:sz="0" w:space="0" w:color="auto"/>
            <w:left w:val="none" w:sz="0" w:space="0" w:color="auto"/>
            <w:bottom w:val="none" w:sz="0" w:space="0" w:color="auto"/>
            <w:right w:val="none" w:sz="0" w:space="0" w:color="auto"/>
          </w:divBdr>
        </w:div>
        <w:div w:id="188228835">
          <w:marLeft w:val="0"/>
          <w:marRight w:val="0"/>
          <w:marTop w:val="0"/>
          <w:marBottom w:val="0"/>
          <w:divBdr>
            <w:top w:val="none" w:sz="0" w:space="0" w:color="auto"/>
            <w:left w:val="none" w:sz="0" w:space="0" w:color="auto"/>
            <w:bottom w:val="none" w:sz="0" w:space="0" w:color="auto"/>
            <w:right w:val="none" w:sz="0" w:space="0" w:color="auto"/>
          </w:divBdr>
        </w:div>
      </w:divsChild>
    </w:div>
    <w:div w:id="1030493381">
      <w:marLeft w:val="0"/>
      <w:marRight w:val="0"/>
      <w:marTop w:val="160"/>
      <w:marBottom w:val="160"/>
      <w:divBdr>
        <w:top w:val="none" w:sz="0" w:space="0" w:color="auto"/>
        <w:left w:val="none" w:sz="0" w:space="0" w:color="auto"/>
        <w:bottom w:val="none" w:sz="0" w:space="0" w:color="auto"/>
        <w:right w:val="none" w:sz="0" w:space="0" w:color="auto"/>
      </w:divBdr>
    </w:div>
    <w:div w:id="1031224201">
      <w:marLeft w:val="0"/>
      <w:marRight w:val="0"/>
      <w:marTop w:val="160"/>
      <w:marBottom w:val="160"/>
      <w:divBdr>
        <w:top w:val="none" w:sz="0" w:space="0" w:color="auto"/>
        <w:left w:val="none" w:sz="0" w:space="0" w:color="auto"/>
        <w:bottom w:val="none" w:sz="0" w:space="0" w:color="auto"/>
        <w:right w:val="none" w:sz="0" w:space="0" w:color="auto"/>
      </w:divBdr>
    </w:div>
    <w:div w:id="1035154566">
      <w:marLeft w:val="0"/>
      <w:marRight w:val="0"/>
      <w:marTop w:val="160"/>
      <w:marBottom w:val="160"/>
      <w:divBdr>
        <w:top w:val="none" w:sz="0" w:space="0" w:color="auto"/>
        <w:left w:val="none" w:sz="0" w:space="0" w:color="auto"/>
        <w:bottom w:val="none" w:sz="0" w:space="0" w:color="auto"/>
        <w:right w:val="none" w:sz="0" w:space="0" w:color="auto"/>
      </w:divBdr>
    </w:div>
    <w:div w:id="1037973397">
      <w:marLeft w:val="0"/>
      <w:marRight w:val="0"/>
      <w:marTop w:val="160"/>
      <w:marBottom w:val="160"/>
      <w:divBdr>
        <w:top w:val="none" w:sz="0" w:space="0" w:color="auto"/>
        <w:left w:val="none" w:sz="0" w:space="0" w:color="auto"/>
        <w:bottom w:val="none" w:sz="0" w:space="0" w:color="auto"/>
        <w:right w:val="none" w:sz="0" w:space="0" w:color="auto"/>
      </w:divBdr>
    </w:div>
    <w:div w:id="1043559595">
      <w:marLeft w:val="0"/>
      <w:marRight w:val="0"/>
      <w:marTop w:val="0"/>
      <w:marBottom w:val="0"/>
      <w:divBdr>
        <w:top w:val="none" w:sz="0" w:space="0" w:color="auto"/>
        <w:left w:val="none" w:sz="0" w:space="0" w:color="auto"/>
        <w:bottom w:val="none" w:sz="0" w:space="0" w:color="auto"/>
        <w:right w:val="none" w:sz="0" w:space="0" w:color="auto"/>
      </w:divBdr>
    </w:div>
    <w:div w:id="1043748630">
      <w:marLeft w:val="0"/>
      <w:marRight w:val="0"/>
      <w:marTop w:val="0"/>
      <w:marBottom w:val="0"/>
      <w:divBdr>
        <w:top w:val="none" w:sz="0" w:space="0" w:color="auto"/>
        <w:left w:val="none" w:sz="0" w:space="0" w:color="auto"/>
        <w:bottom w:val="none" w:sz="0" w:space="0" w:color="auto"/>
        <w:right w:val="none" w:sz="0" w:space="0" w:color="auto"/>
      </w:divBdr>
      <w:divsChild>
        <w:div w:id="1336222390">
          <w:marLeft w:val="0"/>
          <w:marRight w:val="0"/>
          <w:marTop w:val="0"/>
          <w:marBottom w:val="0"/>
          <w:divBdr>
            <w:top w:val="none" w:sz="0" w:space="0" w:color="auto"/>
            <w:left w:val="none" w:sz="0" w:space="0" w:color="auto"/>
            <w:bottom w:val="none" w:sz="0" w:space="0" w:color="auto"/>
            <w:right w:val="none" w:sz="0" w:space="0" w:color="auto"/>
          </w:divBdr>
        </w:div>
      </w:divsChild>
    </w:div>
    <w:div w:id="1044674671">
      <w:marLeft w:val="0"/>
      <w:marRight w:val="0"/>
      <w:marTop w:val="160"/>
      <w:marBottom w:val="160"/>
      <w:divBdr>
        <w:top w:val="none" w:sz="0" w:space="0" w:color="auto"/>
        <w:left w:val="none" w:sz="0" w:space="0" w:color="auto"/>
        <w:bottom w:val="none" w:sz="0" w:space="0" w:color="auto"/>
        <w:right w:val="none" w:sz="0" w:space="0" w:color="auto"/>
      </w:divBdr>
    </w:div>
    <w:div w:id="1045329293">
      <w:marLeft w:val="0"/>
      <w:marRight w:val="0"/>
      <w:marTop w:val="0"/>
      <w:marBottom w:val="160"/>
      <w:divBdr>
        <w:top w:val="none" w:sz="0" w:space="0" w:color="auto"/>
        <w:left w:val="none" w:sz="0" w:space="0" w:color="auto"/>
        <w:bottom w:val="none" w:sz="0" w:space="0" w:color="auto"/>
        <w:right w:val="none" w:sz="0" w:space="0" w:color="auto"/>
      </w:divBdr>
    </w:div>
    <w:div w:id="1046760347">
      <w:marLeft w:val="0"/>
      <w:marRight w:val="0"/>
      <w:marTop w:val="160"/>
      <w:marBottom w:val="160"/>
      <w:divBdr>
        <w:top w:val="none" w:sz="0" w:space="0" w:color="auto"/>
        <w:left w:val="none" w:sz="0" w:space="0" w:color="auto"/>
        <w:bottom w:val="none" w:sz="0" w:space="0" w:color="auto"/>
        <w:right w:val="none" w:sz="0" w:space="0" w:color="auto"/>
      </w:divBdr>
    </w:div>
    <w:div w:id="1059747314">
      <w:marLeft w:val="0"/>
      <w:marRight w:val="0"/>
      <w:marTop w:val="0"/>
      <w:marBottom w:val="0"/>
      <w:divBdr>
        <w:top w:val="none" w:sz="0" w:space="0" w:color="auto"/>
        <w:left w:val="none" w:sz="0" w:space="0" w:color="auto"/>
        <w:bottom w:val="none" w:sz="0" w:space="0" w:color="auto"/>
        <w:right w:val="none" w:sz="0" w:space="0" w:color="auto"/>
      </w:divBdr>
      <w:divsChild>
        <w:div w:id="2100174551">
          <w:marLeft w:val="0"/>
          <w:marRight w:val="0"/>
          <w:marTop w:val="0"/>
          <w:marBottom w:val="0"/>
          <w:divBdr>
            <w:top w:val="none" w:sz="0" w:space="0" w:color="auto"/>
            <w:left w:val="none" w:sz="0" w:space="0" w:color="auto"/>
            <w:bottom w:val="none" w:sz="0" w:space="0" w:color="auto"/>
            <w:right w:val="none" w:sz="0" w:space="0" w:color="auto"/>
          </w:divBdr>
        </w:div>
      </w:divsChild>
    </w:div>
    <w:div w:id="1065764264">
      <w:marLeft w:val="0"/>
      <w:marRight w:val="0"/>
      <w:marTop w:val="160"/>
      <w:marBottom w:val="160"/>
      <w:divBdr>
        <w:top w:val="none" w:sz="0" w:space="0" w:color="auto"/>
        <w:left w:val="none" w:sz="0" w:space="0" w:color="auto"/>
        <w:bottom w:val="none" w:sz="0" w:space="0" w:color="auto"/>
        <w:right w:val="none" w:sz="0" w:space="0" w:color="auto"/>
      </w:divBdr>
    </w:div>
    <w:div w:id="1068111830">
      <w:marLeft w:val="0"/>
      <w:marRight w:val="0"/>
      <w:marTop w:val="0"/>
      <w:marBottom w:val="0"/>
      <w:divBdr>
        <w:top w:val="none" w:sz="0" w:space="0" w:color="auto"/>
        <w:left w:val="none" w:sz="0" w:space="0" w:color="auto"/>
        <w:bottom w:val="none" w:sz="0" w:space="0" w:color="auto"/>
        <w:right w:val="none" w:sz="0" w:space="0" w:color="auto"/>
      </w:divBdr>
      <w:divsChild>
        <w:div w:id="349569292">
          <w:marLeft w:val="0"/>
          <w:marRight w:val="0"/>
          <w:marTop w:val="0"/>
          <w:marBottom w:val="0"/>
          <w:divBdr>
            <w:top w:val="none" w:sz="0" w:space="0" w:color="auto"/>
            <w:left w:val="none" w:sz="0" w:space="0" w:color="auto"/>
            <w:bottom w:val="none" w:sz="0" w:space="0" w:color="auto"/>
            <w:right w:val="none" w:sz="0" w:space="0" w:color="auto"/>
          </w:divBdr>
        </w:div>
      </w:divsChild>
    </w:div>
    <w:div w:id="1070730745">
      <w:marLeft w:val="0"/>
      <w:marRight w:val="0"/>
      <w:marTop w:val="0"/>
      <w:marBottom w:val="0"/>
      <w:divBdr>
        <w:top w:val="none" w:sz="0" w:space="0" w:color="auto"/>
        <w:left w:val="none" w:sz="0" w:space="0" w:color="auto"/>
        <w:bottom w:val="none" w:sz="0" w:space="0" w:color="auto"/>
        <w:right w:val="none" w:sz="0" w:space="0" w:color="auto"/>
      </w:divBdr>
      <w:divsChild>
        <w:div w:id="587890345">
          <w:marLeft w:val="0"/>
          <w:marRight w:val="0"/>
          <w:marTop w:val="0"/>
          <w:marBottom w:val="0"/>
          <w:divBdr>
            <w:top w:val="none" w:sz="0" w:space="0" w:color="auto"/>
            <w:left w:val="none" w:sz="0" w:space="0" w:color="auto"/>
            <w:bottom w:val="none" w:sz="0" w:space="0" w:color="auto"/>
            <w:right w:val="none" w:sz="0" w:space="0" w:color="auto"/>
          </w:divBdr>
        </w:div>
      </w:divsChild>
    </w:div>
    <w:div w:id="1072192581">
      <w:marLeft w:val="0"/>
      <w:marRight w:val="0"/>
      <w:marTop w:val="160"/>
      <w:marBottom w:val="160"/>
      <w:divBdr>
        <w:top w:val="none" w:sz="0" w:space="0" w:color="auto"/>
        <w:left w:val="none" w:sz="0" w:space="0" w:color="auto"/>
        <w:bottom w:val="none" w:sz="0" w:space="0" w:color="auto"/>
        <w:right w:val="none" w:sz="0" w:space="0" w:color="auto"/>
      </w:divBdr>
    </w:div>
    <w:div w:id="1075198864">
      <w:marLeft w:val="0"/>
      <w:marRight w:val="0"/>
      <w:marTop w:val="0"/>
      <w:marBottom w:val="0"/>
      <w:divBdr>
        <w:top w:val="none" w:sz="0" w:space="0" w:color="auto"/>
        <w:left w:val="none" w:sz="0" w:space="0" w:color="auto"/>
        <w:bottom w:val="none" w:sz="0" w:space="0" w:color="auto"/>
        <w:right w:val="none" w:sz="0" w:space="0" w:color="auto"/>
      </w:divBdr>
      <w:divsChild>
        <w:div w:id="725837755">
          <w:marLeft w:val="0"/>
          <w:marRight w:val="0"/>
          <w:marTop w:val="0"/>
          <w:marBottom w:val="0"/>
          <w:divBdr>
            <w:top w:val="none" w:sz="0" w:space="0" w:color="auto"/>
            <w:left w:val="none" w:sz="0" w:space="0" w:color="auto"/>
            <w:bottom w:val="none" w:sz="0" w:space="0" w:color="auto"/>
            <w:right w:val="none" w:sz="0" w:space="0" w:color="auto"/>
          </w:divBdr>
        </w:div>
      </w:divsChild>
    </w:div>
    <w:div w:id="1075663199">
      <w:marLeft w:val="0"/>
      <w:marRight w:val="0"/>
      <w:marTop w:val="0"/>
      <w:marBottom w:val="0"/>
      <w:divBdr>
        <w:top w:val="none" w:sz="0" w:space="0" w:color="auto"/>
        <w:left w:val="none" w:sz="0" w:space="0" w:color="auto"/>
        <w:bottom w:val="none" w:sz="0" w:space="0" w:color="auto"/>
        <w:right w:val="none" w:sz="0" w:space="0" w:color="auto"/>
      </w:divBdr>
      <w:divsChild>
        <w:div w:id="868758650">
          <w:marLeft w:val="0"/>
          <w:marRight w:val="0"/>
          <w:marTop w:val="160"/>
          <w:marBottom w:val="160"/>
          <w:divBdr>
            <w:top w:val="none" w:sz="0" w:space="0" w:color="auto"/>
            <w:left w:val="none" w:sz="0" w:space="0" w:color="auto"/>
            <w:bottom w:val="none" w:sz="0" w:space="0" w:color="auto"/>
            <w:right w:val="none" w:sz="0" w:space="0" w:color="auto"/>
          </w:divBdr>
        </w:div>
        <w:div w:id="968512632">
          <w:marLeft w:val="0"/>
          <w:marRight w:val="0"/>
          <w:marTop w:val="160"/>
          <w:marBottom w:val="160"/>
          <w:divBdr>
            <w:top w:val="none" w:sz="0" w:space="0" w:color="auto"/>
            <w:left w:val="none" w:sz="0" w:space="0" w:color="auto"/>
            <w:bottom w:val="none" w:sz="0" w:space="0" w:color="auto"/>
            <w:right w:val="none" w:sz="0" w:space="0" w:color="auto"/>
          </w:divBdr>
        </w:div>
        <w:div w:id="515658579">
          <w:marLeft w:val="0"/>
          <w:marRight w:val="0"/>
          <w:marTop w:val="160"/>
          <w:marBottom w:val="160"/>
          <w:divBdr>
            <w:top w:val="none" w:sz="0" w:space="0" w:color="auto"/>
            <w:left w:val="none" w:sz="0" w:space="0" w:color="auto"/>
            <w:bottom w:val="none" w:sz="0" w:space="0" w:color="auto"/>
            <w:right w:val="none" w:sz="0" w:space="0" w:color="auto"/>
          </w:divBdr>
        </w:div>
        <w:div w:id="705326859">
          <w:marLeft w:val="0"/>
          <w:marRight w:val="0"/>
          <w:marTop w:val="160"/>
          <w:marBottom w:val="160"/>
          <w:divBdr>
            <w:top w:val="none" w:sz="0" w:space="0" w:color="auto"/>
            <w:left w:val="none" w:sz="0" w:space="0" w:color="auto"/>
            <w:bottom w:val="none" w:sz="0" w:space="0" w:color="auto"/>
            <w:right w:val="none" w:sz="0" w:space="0" w:color="auto"/>
          </w:divBdr>
        </w:div>
        <w:div w:id="894244971">
          <w:marLeft w:val="0"/>
          <w:marRight w:val="0"/>
          <w:marTop w:val="160"/>
          <w:marBottom w:val="160"/>
          <w:divBdr>
            <w:top w:val="none" w:sz="0" w:space="0" w:color="auto"/>
            <w:left w:val="none" w:sz="0" w:space="0" w:color="auto"/>
            <w:bottom w:val="none" w:sz="0" w:space="0" w:color="auto"/>
            <w:right w:val="none" w:sz="0" w:space="0" w:color="auto"/>
          </w:divBdr>
        </w:div>
        <w:div w:id="1186754279">
          <w:marLeft w:val="0"/>
          <w:marRight w:val="0"/>
          <w:marTop w:val="160"/>
          <w:marBottom w:val="160"/>
          <w:divBdr>
            <w:top w:val="none" w:sz="0" w:space="0" w:color="auto"/>
            <w:left w:val="none" w:sz="0" w:space="0" w:color="auto"/>
            <w:bottom w:val="none" w:sz="0" w:space="0" w:color="auto"/>
            <w:right w:val="none" w:sz="0" w:space="0" w:color="auto"/>
          </w:divBdr>
        </w:div>
      </w:divsChild>
    </w:div>
    <w:div w:id="1076317623">
      <w:marLeft w:val="0"/>
      <w:marRight w:val="0"/>
      <w:marTop w:val="160"/>
      <w:marBottom w:val="160"/>
      <w:divBdr>
        <w:top w:val="none" w:sz="0" w:space="0" w:color="auto"/>
        <w:left w:val="none" w:sz="0" w:space="0" w:color="auto"/>
        <w:bottom w:val="none" w:sz="0" w:space="0" w:color="auto"/>
        <w:right w:val="none" w:sz="0" w:space="0" w:color="auto"/>
      </w:divBdr>
    </w:div>
    <w:div w:id="1089742061">
      <w:marLeft w:val="0"/>
      <w:marRight w:val="0"/>
      <w:marTop w:val="60"/>
      <w:marBottom w:val="60"/>
      <w:divBdr>
        <w:top w:val="none" w:sz="0" w:space="0" w:color="auto"/>
        <w:left w:val="none" w:sz="0" w:space="0" w:color="auto"/>
        <w:bottom w:val="none" w:sz="0" w:space="0" w:color="auto"/>
        <w:right w:val="none" w:sz="0" w:space="0" w:color="auto"/>
      </w:divBdr>
    </w:div>
    <w:div w:id="1103067253">
      <w:marLeft w:val="0"/>
      <w:marRight w:val="0"/>
      <w:marTop w:val="0"/>
      <w:marBottom w:val="0"/>
      <w:divBdr>
        <w:top w:val="none" w:sz="0" w:space="0" w:color="auto"/>
        <w:left w:val="none" w:sz="0" w:space="0" w:color="auto"/>
        <w:bottom w:val="none" w:sz="0" w:space="0" w:color="auto"/>
        <w:right w:val="none" w:sz="0" w:space="0" w:color="auto"/>
      </w:divBdr>
    </w:div>
    <w:div w:id="1104808975">
      <w:marLeft w:val="0"/>
      <w:marRight w:val="0"/>
      <w:marTop w:val="160"/>
      <w:marBottom w:val="160"/>
      <w:divBdr>
        <w:top w:val="none" w:sz="0" w:space="0" w:color="auto"/>
        <w:left w:val="none" w:sz="0" w:space="0" w:color="auto"/>
        <w:bottom w:val="none" w:sz="0" w:space="0" w:color="auto"/>
        <w:right w:val="none" w:sz="0" w:space="0" w:color="auto"/>
      </w:divBdr>
    </w:div>
    <w:div w:id="1105223542">
      <w:marLeft w:val="0"/>
      <w:marRight w:val="0"/>
      <w:marTop w:val="160"/>
      <w:marBottom w:val="160"/>
      <w:divBdr>
        <w:top w:val="none" w:sz="0" w:space="0" w:color="auto"/>
        <w:left w:val="none" w:sz="0" w:space="0" w:color="auto"/>
        <w:bottom w:val="none" w:sz="0" w:space="0" w:color="auto"/>
        <w:right w:val="none" w:sz="0" w:space="0" w:color="auto"/>
      </w:divBdr>
    </w:div>
    <w:div w:id="1110667357">
      <w:marLeft w:val="0"/>
      <w:marRight w:val="0"/>
      <w:marTop w:val="0"/>
      <w:marBottom w:val="0"/>
      <w:divBdr>
        <w:top w:val="none" w:sz="0" w:space="0" w:color="auto"/>
        <w:left w:val="none" w:sz="0" w:space="0" w:color="auto"/>
        <w:bottom w:val="none" w:sz="0" w:space="0" w:color="auto"/>
        <w:right w:val="none" w:sz="0" w:space="0" w:color="auto"/>
      </w:divBdr>
      <w:divsChild>
        <w:div w:id="464616769">
          <w:marLeft w:val="0"/>
          <w:marRight w:val="0"/>
          <w:marTop w:val="160"/>
          <w:marBottom w:val="160"/>
          <w:divBdr>
            <w:top w:val="none" w:sz="0" w:space="0" w:color="auto"/>
            <w:left w:val="none" w:sz="0" w:space="0" w:color="auto"/>
            <w:bottom w:val="none" w:sz="0" w:space="0" w:color="auto"/>
            <w:right w:val="none" w:sz="0" w:space="0" w:color="auto"/>
          </w:divBdr>
        </w:div>
        <w:div w:id="1365254732">
          <w:marLeft w:val="0"/>
          <w:marRight w:val="0"/>
          <w:marTop w:val="160"/>
          <w:marBottom w:val="160"/>
          <w:divBdr>
            <w:top w:val="none" w:sz="0" w:space="0" w:color="auto"/>
            <w:left w:val="none" w:sz="0" w:space="0" w:color="auto"/>
            <w:bottom w:val="none" w:sz="0" w:space="0" w:color="auto"/>
            <w:right w:val="none" w:sz="0" w:space="0" w:color="auto"/>
          </w:divBdr>
        </w:div>
        <w:div w:id="1033189552">
          <w:marLeft w:val="0"/>
          <w:marRight w:val="0"/>
          <w:marTop w:val="160"/>
          <w:marBottom w:val="160"/>
          <w:divBdr>
            <w:top w:val="none" w:sz="0" w:space="0" w:color="auto"/>
            <w:left w:val="none" w:sz="0" w:space="0" w:color="auto"/>
            <w:bottom w:val="none" w:sz="0" w:space="0" w:color="auto"/>
            <w:right w:val="none" w:sz="0" w:space="0" w:color="auto"/>
          </w:divBdr>
        </w:div>
        <w:div w:id="1633512843">
          <w:marLeft w:val="0"/>
          <w:marRight w:val="0"/>
          <w:marTop w:val="160"/>
          <w:marBottom w:val="160"/>
          <w:divBdr>
            <w:top w:val="none" w:sz="0" w:space="0" w:color="auto"/>
            <w:left w:val="none" w:sz="0" w:space="0" w:color="auto"/>
            <w:bottom w:val="none" w:sz="0" w:space="0" w:color="auto"/>
            <w:right w:val="none" w:sz="0" w:space="0" w:color="auto"/>
          </w:divBdr>
        </w:div>
        <w:div w:id="547884612">
          <w:marLeft w:val="0"/>
          <w:marRight w:val="0"/>
          <w:marTop w:val="160"/>
          <w:marBottom w:val="160"/>
          <w:divBdr>
            <w:top w:val="none" w:sz="0" w:space="0" w:color="auto"/>
            <w:left w:val="none" w:sz="0" w:space="0" w:color="auto"/>
            <w:bottom w:val="none" w:sz="0" w:space="0" w:color="auto"/>
            <w:right w:val="none" w:sz="0" w:space="0" w:color="auto"/>
          </w:divBdr>
        </w:div>
      </w:divsChild>
    </w:div>
    <w:div w:id="1112285885">
      <w:marLeft w:val="0"/>
      <w:marRight w:val="0"/>
      <w:marTop w:val="160"/>
      <w:marBottom w:val="160"/>
      <w:divBdr>
        <w:top w:val="none" w:sz="0" w:space="0" w:color="auto"/>
        <w:left w:val="none" w:sz="0" w:space="0" w:color="auto"/>
        <w:bottom w:val="none" w:sz="0" w:space="0" w:color="auto"/>
        <w:right w:val="none" w:sz="0" w:space="0" w:color="auto"/>
      </w:divBdr>
    </w:div>
    <w:div w:id="1115565579">
      <w:marLeft w:val="0"/>
      <w:marRight w:val="0"/>
      <w:marTop w:val="0"/>
      <w:marBottom w:val="0"/>
      <w:divBdr>
        <w:top w:val="none" w:sz="0" w:space="0" w:color="auto"/>
        <w:left w:val="none" w:sz="0" w:space="0" w:color="auto"/>
        <w:bottom w:val="none" w:sz="0" w:space="0" w:color="auto"/>
        <w:right w:val="none" w:sz="0" w:space="0" w:color="auto"/>
      </w:divBdr>
      <w:divsChild>
        <w:div w:id="1700937364">
          <w:marLeft w:val="0"/>
          <w:marRight w:val="0"/>
          <w:marTop w:val="0"/>
          <w:marBottom w:val="0"/>
          <w:divBdr>
            <w:top w:val="none" w:sz="0" w:space="0" w:color="auto"/>
            <w:left w:val="none" w:sz="0" w:space="0" w:color="auto"/>
            <w:bottom w:val="none" w:sz="0" w:space="0" w:color="auto"/>
            <w:right w:val="none" w:sz="0" w:space="0" w:color="auto"/>
          </w:divBdr>
        </w:div>
      </w:divsChild>
    </w:div>
    <w:div w:id="1117482616">
      <w:marLeft w:val="0"/>
      <w:marRight w:val="0"/>
      <w:marTop w:val="160"/>
      <w:marBottom w:val="160"/>
      <w:divBdr>
        <w:top w:val="none" w:sz="0" w:space="0" w:color="auto"/>
        <w:left w:val="none" w:sz="0" w:space="0" w:color="auto"/>
        <w:bottom w:val="none" w:sz="0" w:space="0" w:color="auto"/>
        <w:right w:val="none" w:sz="0" w:space="0" w:color="auto"/>
      </w:divBdr>
    </w:div>
    <w:div w:id="1119028980">
      <w:marLeft w:val="0"/>
      <w:marRight w:val="0"/>
      <w:marTop w:val="160"/>
      <w:marBottom w:val="160"/>
      <w:divBdr>
        <w:top w:val="none" w:sz="0" w:space="0" w:color="auto"/>
        <w:left w:val="none" w:sz="0" w:space="0" w:color="auto"/>
        <w:bottom w:val="none" w:sz="0" w:space="0" w:color="auto"/>
        <w:right w:val="none" w:sz="0" w:space="0" w:color="auto"/>
      </w:divBdr>
    </w:div>
    <w:div w:id="1119186004">
      <w:marLeft w:val="0"/>
      <w:marRight w:val="0"/>
      <w:marTop w:val="160"/>
      <w:marBottom w:val="160"/>
      <w:divBdr>
        <w:top w:val="none" w:sz="0" w:space="0" w:color="auto"/>
        <w:left w:val="none" w:sz="0" w:space="0" w:color="auto"/>
        <w:bottom w:val="none" w:sz="0" w:space="0" w:color="auto"/>
        <w:right w:val="none" w:sz="0" w:space="0" w:color="auto"/>
      </w:divBdr>
    </w:div>
    <w:div w:id="1120302680">
      <w:marLeft w:val="0"/>
      <w:marRight w:val="0"/>
      <w:marTop w:val="160"/>
      <w:marBottom w:val="160"/>
      <w:divBdr>
        <w:top w:val="none" w:sz="0" w:space="0" w:color="auto"/>
        <w:left w:val="none" w:sz="0" w:space="0" w:color="auto"/>
        <w:bottom w:val="none" w:sz="0" w:space="0" w:color="auto"/>
        <w:right w:val="none" w:sz="0" w:space="0" w:color="auto"/>
      </w:divBdr>
    </w:div>
    <w:div w:id="1124034599">
      <w:marLeft w:val="0"/>
      <w:marRight w:val="0"/>
      <w:marTop w:val="0"/>
      <w:marBottom w:val="0"/>
      <w:divBdr>
        <w:top w:val="none" w:sz="0" w:space="0" w:color="auto"/>
        <w:left w:val="none" w:sz="0" w:space="0" w:color="auto"/>
        <w:bottom w:val="none" w:sz="0" w:space="0" w:color="auto"/>
        <w:right w:val="none" w:sz="0" w:space="0" w:color="auto"/>
      </w:divBdr>
      <w:divsChild>
        <w:div w:id="220411419">
          <w:marLeft w:val="0"/>
          <w:marRight w:val="0"/>
          <w:marTop w:val="0"/>
          <w:marBottom w:val="0"/>
          <w:divBdr>
            <w:top w:val="none" w:sz="0" w:space="0" w:color="auto"/>
            <w:left w:val="none" w:sz="0" w:space="0" w:color="auto"/>
            <w:bottom w:val="none" w:sz="0" w:space="0" w:color="auto"/>
            <w:right w:val="none" w:sz="0" w:space="0" w:color="auto"/>
          </w:divBdr>
        </w:div>
      </w:divsChild>
    </w:div>
    <w:div w:id="1125737739">
      <w:marLeft w:val="0"/>
      <w:marRight w:val="0"/>
      <w:marTop w:val="160"/>
      <w:marBottom w:val="160"/>
      <w:divBdr>
        <w:top w:val="none" w:sz="0" w:space="0" w:color="auto"/>
        <w:left w:val="none" w:sz="0" w:space="0" w:color="auto"/>
        <w:bottom w:val="none" w:sz="0" w:space="0" w:color="auto"/>
        <w:right w:val="none" w:sz="0" w:space="0" w:color="auto"/>
      </w:divBdr>
    </w:div>
    <w:div w:id="1126660448">
      <w:marLeft w:val="0"/>
      <w:marRight w:val="0"/>
      <w:marTop w:val="160"/>
      <w:marBottom w:val="160"/>
      <w:divBdr>
        <w:top w:val="none" w:sz="0" w:space="0" w:color="auto"/>
        <w:left w:val="none" w:sz="0" w:space="0" w:color="auto"/>
        <w:bottom w:val="none" w:sz="0" w:space="0" w:color="auto"/>
        <w:right w:val="none" w:sz="0" w:space="0" w:color="auto"/>
      </w:divBdr>
    </w:div>
    <w:div w:id="1129472091">
      <w:marLeft w:val="0"/>
      <w:marRight w:val="0"/>
      <w:marTop w:val="160"/>
      <w:marBottom w:val="160"/>
      <w:divBdr>
        <w:top w:val="none" w:sz="0" w:space="0" w:color="auto"/>
        <w:left w:val="none" w:sz="0" w:space="0" w:color="auto"/>
        <w:bottom w:val="none" w:sz="0" w:space="0" w:color="auto"/>
        <w:right w:val="none" w:sz="0" w:space="0" w:color="auto"/>
      </w:divBdr>
    </w:div>
    <w:div w:id="1149829403">
      <w:marLeft w:val="0"/>
      <w:marRight w:val="0"/>
      <w:marTop w:val="160"/>
      <w:marBottom w:val="160"/>
      <w:divBdr>
        <w:top w:val="none" w:sz="0" w:space="0" w:color="auto"/>
        <w:left w:val="none" w:sz="0" w:space="0" w:color="auto"/>
        <w:bottom w:val="none" w:sz="0" w:space="0" w:color="auto"/>
        <w:right w:val="none" w:sz="0" w:space="0" w:color="auto"/>
      </w:divBdr>
    </w:div>
    <w:div w:id="1156265109">
      <w:marLeft w:val="0"/>
      <w:marRight w:val="0"/>
      <w:marTop w:val="160"/>
      <w:marBottom w:val="160"/>
      <w:divBdr>
        <w:top w:val="none" w:sz="0" w:space="0" w:color="auto"/>
        <w:left w:val="none" w:sz="0" w:space="0" w:color="auto"/>
        <w:bottom w:val="none" w:sz="0" w:space="0" w:color="auto"/>
        <w:right w:val="none" w:sz="0" w:space="0" w:color="auto"/>
      </w:divBdr>
    </w:div>
    <w:div w:id="1163005339">
      <w:marLeft w:val="0"/>
      <w:marRight w:val="0"/>
      <w:marTop w:val="0"/>
      <w:marBottom w:val="0"/>
      <w:divBdr>
        <w:top w:val="none" w:sz="0" w:space="0" w:color="auto"/>
        <w:left w:val="none" w:sz="0" w:space="0" w:color="auto"/>
        <w:bottom w:val="none" w:sz="0" w:space="0" w:color="auto"/>
        <w:right w:val="none" w:sz="0" w:space="0" w:color="auto"/>
      </w:divBdr>
      <w:divsChild>
        <w:div w:id="254829517">
          <w:marLeft w:val="0"/>
          <w:marRight w:val="0"/>
          <w:marTop w:val="0"/>
          <w:marBottom w:val="0"/>
          <w:divBdr>
            <w:top w:val="none" w:sz="0" w:space="0" w:color="auto"/>
            <w:left w:val="none" w:sz="0" w:space="0" w:color="auto"/>
            <w:bottom w:val="none" w:sz="0" w:space="0" w:color="auto"/>
            <w:right w:val="none" w:sz="0" w:space="0" w:color="auto"/>
          </w:divBdr>
        </w:div>
      </w:divsChild>
    </w:div>
    <w:div w:id="1173108921">
      <w:marLeft w:val="0"/>
      <w:marRight w:val="0"/>
      <w:marTop w:val="0"/>
      <w:marBottom w:val="0"/>
      <w:divBdr>
        <w:top w:val="none" w:sz="0" w:space="0" w:color="auto"/>
        <w:left w:val="none" w:sz="0" w:space="0" w:color="auto"/>
        <w:bottom w:val="none" w:sz="0" w:space="0" w:color="auto"/>
        <w:right w:val="none" w:sz="0" w:space="0" w:color="auto"/>
      </w:divBdr>
      <w:divsChild>
        <w:div w:id="1403479469">
          <w:marLeft w:val="0"/>
          <w:marRight w:val="0"/>
          <w:marTop w:val="0"/>
          <w:marBottom w:val="0"/>
          <w:divBdr>
            <w:top w:val="none" w:sz="0" w:space="0" w:color="auto"/>
            <w:left w:val="none" w:sz="0" w:space="0" w:color="auto"/>
            <w:bottom w:val="none" w:sz="0" w:space="0" w:color="auto"/>
            <w:right w:val="none" w:sz="0" w:space="0" w:color="auto"/>
          </w:divBdr>
        </w:div>
      </w:divsChild>
    </w:div>
    <w:div w:id="1173378204">
      <w:marLeft w:val="0"/>
      <w:marRight w:val="0"/>
      <w:marTop w:val="160"/>
      <w:marBottom w:val="160"/>
      <w:divBdr>
        <w:top w:val="none" w:sz="0" w:space="0" w:color="auto"/>
        <w:left w:val="none" w:sz="0" w:space="0" w:color="auto"/>
        <w:bottom w:val="none" w:sz="0" w:space="0" w:color="auto"/>
        <w:right w:val="none" w:sz="0" w:space="0" w:color="auto"/>
      </w:divBdr>
    </w:div>
    <w:div w:id="1174304047">
      <w:marLeft w:val="0"/>
      <w:marRight w:val="0"/>
      <w:marTop w:val="0"/>
      <w:marBottom w:val="0"/>
      <w:divBdr>
        <w:top w:val="none" w:sz="0" w:space="0" w:color="auto"/>
        <w:left w:val="none" w:sz="0" w:space="0" w:color="auto"/>
        <w:bottom w:val="none" w:sz="0" w:space="0" w:color="auto"/>
        <w:right w:val="none" w:sz="0" w:space="0" w:color="auto"/>
      </w:divBdr>
      <w:divsChild>
        <w:div w:id="878663574">
          <w:marLeft w:val="0"/>
          <w:marRight w:val="0"/>
          <w:marTop w:val="0"/>
          <w:marBottom w:val="0"/>
          <w:divBdr>
            <w:top w:val="none" w:sz="0" w:space="0" w:color="auto"/>
            <w:left w:val="none" w:sz="0" w:space="0" w:color="auto"/>
            <w:bottom w:val="none" w:sz="0" w:space="0" w:color="auto"/>
            <w:right w:val="none" w:sz="0" w:space="0" w:color="auto"/>
          </w:divBdr>
        </w:div>
      </w:divsChild>
    </w:div>
    <w:div w:id="1177042739">
      <w:marLeft w:val="0"/>
      <w:marRight w:val="0"/>
      <w:marTop w:val="160"/>
      <w:marBottom w:val="160"/>
      <w:divBdr>
        <w:top w:val="none" w:sz="0" w:space="0" w:color="auto"/>
        <w:left w:val="none" w:sz="0" w:space="0" w:color="auto"/>
        <w:bottom w:val="none" w:sz="0" w:space="0" w:color="auto"/>
        <w:right w:val="none" w:sz="0" w:space="0" w:color="auto"/>
      </w:divBdr>
    </w:div>
    <w:div w:id="1179389931">
      <w:marLeft w:val="0"/>
      <w:marRight w:val="0"/>
      <w:marTop w:val="160"/>
      <w:marBottom w:val="160"/>
      <w:divBdr>
        <w:top w:val="none" w:sz="0" w:space="0" w:color="auto"/>
        <w:left w:val="none" w:sz="0" w:space="0" w:color="auto"/>
        <w:bottom w:val="none" w:sz="0" w:space="0" w:color="auto"/>
        <w:right w:val="none" w:sz="0" w:space="0" w:color="auto"/>
      </w:divBdr>
    </w:div>
    <w:div w:id="1192765227">
      <w:marLeft w:val="0"/>
      <w:marRight w:val="0"/>
      <w:marTop w:val="160"/>
      <w:marBottom w:val="160"/>
      <w:divBdr>
        <w:top w:val="none" w:sz="0" w:space="0" w:color="auto"/>
        <w:left w:val="none" w:sz="0" w:space="0" w:color="auto"/>
        <w:bottom w:val="none" w:sz="0" w:space="0" w:color="auto"/>
        <w:right w:val="none" w:sz="0" w:space="0" w:color="auto"/>
      </w:divBdr>
    </w:div>
    <w:div w:id="1201287837">
      <w:marLeft w:val="0"/>
      <w:marRight w:val="0"/>
      <w:marTop w:val="160"/>
      <w:marBottom w:val="160"/>
      <w:divBdr>
        <w:top w:val="none" w:sz="0" w:space="0" w:color="auto"/>
        <w:left w:val="none" w:sz="0" w:space="0" w:color="auto"/>
        <w:bottom w:val="none" w:sz="0" w:space="0" w:color="auto"/>
        <w:right w:val="none" w:sz="0" w:space="0" w:color="auto"/>
      </w:divBdr>
    </w:div>
    <w:div w:id="1201432722">
      <w:marLeft w:val="0"/>
      <w:marRight w:val="0"/>
      <w:marTop w:val="160"/>
      <w:marBottom w:val="160"/>
      <w:divBdr>
        <w:top w:val="none" w:sz="0" w:space="0" w:color="auto"/>
        <w:left w:val="none" w:sz="0" w:space="0" w:color="auto"/>
        <w:bottom w:val="none" w:sz="0" w:space="0" w:color="auto"/>
        <w:right w:val="none" w:sz="0" w:space="0" w:color="auto"/>
      </w:divBdr>
    </w:div>
    <w:div w:id="1202403087">
      <w:marLeft w:val="0"/>
      <w:marRight w:val="0"/>
      <w:marTop w:val="160"/>
      <w:marBottom w:val="160"/>
      <w:divBdr>
        <w:top w:val="none" w:sz="0" w:space="0" w:color="auto"/>
        <w:left w:val="none" w:sz="0" w:space="0" w:color="auto"/>
        <w:bottom w:val="none" w:sz="0" w:space="0" w:color="auto"/>
        <w:right w:val="none" w:sz="0" w:space="0" w:color="auto"/>
      </w:divBdr>
    </w:div>
    <w:div w:id="1206526456">
      <w:marLeft w:val="0"/>
      <w:marRight w:val="0"/>
      <w:marTop w:val="160"/>
      <w:marBottom w:val="160"/>
      <w:divBdr>
        <w:top w:val="none" w:sz="0" w:space="0" w:color="auto"/>
        <w:left w:val="none" w:sz="0" w:space="0" w:color="auto"/>
        <w:bottom w:val="none" w:sz="0" w:space="0" w:color="auto"/>
        <w:right w:val="none" w:sz="0" w:space="0" w:color="auto"/>
      </w:divBdr>
    </w:div>
    <w:div w:id="1206871947">
      <w:marLeft w:val="0"/>
      <w:marRight w:val="0"/>
      <w:marTop w:val="60"/>
      <w:marBottom w:val="0"/>
      <w:divBdr>
        <w:top w:val="none" w:sz="0" w:space="0" w:color="auto"/>
        <w:left w:val="none" w:sz="0" w:space="0" w:color="auto"/>
        <w:bottom w:val="none" w:sz="0" w:space="0" w:color="auto"/>
        <w:right w:val="none" w:sz="0" w:space="0" w:color="auto"/>
      </w:divBdr>
    </w:div>
    <w:div w:id="1215897311">
      <w:marLeft w:val="0"/>
      <w:marRight w:val="0"/>
      <w:marTop w:val="160"/>
      <w:marBottom w:val="160"/>
      <w:divBdr>
        <w:top w:val="none" w:sz="0" w:space="0" w:color="auto"/>
        <w:left w:val="none" w:sz="0" w:space="0" w:color="auto"/>
        <w:bottom w:val="none" w:sz="0" w:space="0" w:color="auto"/>
        <w:right w:val="none" w:sz="0" w:space="0" w:color="auto"/>
      </w:divBdr>
    </w:div>
    <w:div w:id="1220166839">
      <w:marLeft w:val="0"/>
      <w:marRight w:val="0"/>
      <w:marTop w:val="160"/>
      <w:marBottom w:val="160"/>
      <w:divBdr>
        <w:top w:val="none" w:sz="0" w:space="0" w:color="auto"/>
        <w:left w:val="none" w:sz="0" w:space="0" w:color="auto"/>
        <w:bottom w:val="none" w:sz="0" w:space="0" w:color="auto"/>
        <w:right w:val="none" w:sz="0" w:space="0" w:color="auto"/>
      </w:divBdr>
    </w:div>
    <w:div w:id="1232079177">
      <w:marLeft w:val="0"/>
      <w:marRight w:val="0"/>
      <w:marTop w:val="0"/>
      <w:marBottom w:val="0"/>
      <w:divBdr>
        <w:top w:val="none" w:sz="0" w:space="0" w:color="auto"/>
        <w:left w:val="none" w:sz="0" w:space="0" w:color="auto"/>
        <w:bottom w:val="none" w:sz="0" w:space="0" w:color="auto"/>
        <w:right w:val="none" w:sz="0" w:space="0" w:color="auto"/>
      </w:divBdr>
    </w:div>
    <w:div w:id="1235361110">
      <w:marLeft w:val="0"/>
      <w:marRight w:val="0"/>
      <w:marTop w:val="160"/>
      <w:marBottom w:val="160"/>
      <w:divBdr>
        <w:top w:val="none" w:sz="0" w:space="0" w:color="auto"/>
        <w:left w:val="none" w:sz="0" w:space="0" w:color="auto"/>
        <w:bottom w:val="none" w:sz="0" w:space="0" w:color="auto"/>
        <w:right w:val="none" w:sz="0" w:space="0" w:color="auto"/>
      </w:divBdr>
    </w:div>
    <w:div w:id="1237520924">
      <w:marLeft w:val="0"/>
      <w:marRight w:val="0"/>
      <w:marTop w:val="0"/>
      <w:marBottom w:val="0"/>
      <w:divBdr>
        <w:top w:val="none" w:sz="0" w:space="0" w:color="auto"/>
        <w:left w:val="none" w:sz="0" w:space="0" w:color="auto"/>
        <w:bottom w:val="none" w:sz="0" w:space="0" w:color="auto"/>
        <w:right w:val="none" w:sz="0" w:space="0" w:color="auto"/>
      </w:divBdr>
      <w:divsChild>
        <w:div w:id="993728389">
          <w:marLeft w:val="0"/>
          <w:marRight w:val="0"/>
          <w:marTop w:val="0"/>
          <w:marBottom w:val="0"/>
          <w:divBdr>
            <w:top w:val="none" w:sz="0" w:space="0" w:color="auto"/>
            <w:left w:val="none" w:sz="0" w:space="0" w:color="auto"/>
            <w:bottom w:val="none" w:sz="0" w:space="0" w:color="auto"/>
            <w:right w:val="none" w:sz="0" w:space="0" w:color="auto"/>
          </w:divBdr>
        </w:div>
      </w:divsChild>
    </w:div>
    <w:div w:id="1244530869">
      <w:marLeft w:val="0"/>
      <w:marRight w:val="0"/>
      <w:marTop w:val="160"/>
      <w:marBottom w:val="160"/>
      <w:divBdr>
        <w:top w:val="none" w:sz="0" w:space="0" w:color="auto"/>
        <w:left w:val="none" w:sz="0" w:space="0" w:color="auto"/>
        <w:bottom w:val="none" w:sz="0" w:space="0" w:color="auto"/>
        <w:right w:val="none" w:sz="0" w:space="0" w:color="auto"/>
      </w:divBdr>
    </w:div>
    <w:div w:id="1244679822">
      <w:marLeft w:val="0"/>
      <w:marRight w:val="0"/>
      <w:marTop w:val="0"/>
      <w:marBottom w:val="0"/>
      <w:divBdr>
        <w:top w:val="none" w:sz="0" w:space="0" w:color="auto"/>
        <w:left w:val="none" w:sz="0" w:space="0" w:color="auto"/>
        <w:bottom w:val="none" w:sz="0" w:space="0" w:color="auto"/>
        <w:right w:val="none" w:sz="0" w:space="0" w:color="auto"/>
      </w:divBdr>
      <w:divsChild>
        <w:div w:id="1883904114">
          <w:marLeft w:val="0"/>
          <w:marRight w:val="0"/>
          <w:marTop w:val="0"/>
          <w:marBottom w:val="0"/>
          <w:divBdr>
            <w:top w:val="none" w:sz="0" w:space="0" w:color="auto"/>
            <w:left w:val="none" w:sz="0" w:space="0" w:color="auto"/>
            <w:bottom w:val="none" w:sz="0" w:space="0" w:color="auto"/>
            <w:right w:val="none" w:sz="0" w:space="0" w:color="auto"/>
          </w:divBdr>
        </w:div>
      </w:divsChild>
    </w:div>
    <w:div w:id="1246064872">
      <w:marLeft w:val="0"/>
      <w:marRight w:val="0"/>
      <w:marTop w:val="160"/>
      <w:marBottom w:val="160"/>
      <w:divBdr>
        <w:top w:val="none" w:sz="0" w:space="0" w:color="auto"/>
        <w:left w:val="none" w:sz="0" w:space="0" w:color="auto"/>
        <w:bottom w:val="none" w:sz="0" w:space="0" w:color="auto"/>
        <w:right w:val="none" w:sz="0" w:space="0" w:color="auto"/>
      </w:divBdr>
    </w:div>
    <w:div w:id="1247879477">
      <w:marLeft w:val="0"/>
      <w:marRight w:val="0"/>
      <w:marTop w:val="0"/>
      <w:marBottom w:val="160"/>
      <w:divBdr>
        <w:top w:val="none" w:sz="0" w:space="0" w:color="auto"/>
        <w:left w:val="none" w:sz="0" w:space="0" w:color="auto"/>
        <w:bottom w:val="none" w:sz="0" w:space="0" w:color="auto"/>
        <w:right w:val="none" w:sz="0" w:space="0" w:color="auto"/>
      </w:divBdr>
    </w:div>
    <w:div w:id="1249459094">
      <w:marLeft w:val="0"/>
      <w:marRight w:val="0"/>
      <w:marTop w:val="160"/>
      <w:marBottom w:val="160"/>
      <w:divBdr>
        <w:top w:val="none" w:sz="0" w:space="0" w:color="auto"/>
        <w:left w:val="none" w:sz="0" w:space="0" w:color="auto"/>
        <w:bottom w:val="none" w:sz="0" w:space="0" w:color="auto"/>
        <w:right w:val="none" w:sz="0" w:space="0" w:color="auto"/>
      </w:divBdr>
      <w:divsChild>
        <w:div w:id="1130854690">
          <w:marLeft w:val="0"/>
          <w:marRight w:val="0"/>
          <w:marTop w:val="0"/>
          <w:marBottom w:val="0"/>
          <w:divBdr>
            <w:top w:val="none" w:sz="0" w:space="0" w:color="auto"/>
            <w:left w:val="none" w:sz="0" w:space="0" w:color="auto"/>
            <w:bottom w:val="none" w:sz="0" w:space="0" w:color="auto"/>
            <w:right w:val="none" w:sz="0" w:space="0" w:color="auto"/>
          </w:divBdr>
        </w:div>
      </w:divsChild>
    </w:div>
    <w:div w:id="1252081745">
      <w:marLeft w:val="0"/>
      <w:marRight w:val="0"/>
      <w:marTop w:val="160"/>
      <w:marBottom w:val="160"/>
      <w:divBdr>
        <w:top w:val="none" w:sz="0" w:space="0" w:color="auto"/>
        <w:left w:val="none" w:sz="0" w:space="0" w:color="auto"/>
        <w:bottom w:val="none" w:sz="0" w:space="0" w:color="auto"/>
        <w:right w:val="none" w:sz="0" w:space="0" w:color="auto"/>
      </w:divBdr>
    </w:div>
    <w:div w:id="1254167042">
      <w:marLeft w:val="0"/>
      <w:marRight w:val="0"/>
      <w:marTop w:val="160"/>
      <w:marBottom w:val="160"/>
      <w:divBdr>
        <w:top w:val="none" w:sz="0" w:space="0" w:color="auto"/>
        <w:left w:val="none" w:sz="0" w:space="0" w:color="auto"/>
        <w:bottom w:val="none" w:sz="0" w:space="0" w:color="auto"/>
        <w:right w:val="none" w:sz="0" w:space="0" w:color="auto"/>
      </w:divBdr>
    </w:div>
    <w:div w:id="1254781282">
      <w:marLeft w:val="0"/>
      <w:marRight w:val="0"/>
      <w:marTop w:val="160"/>
      <w:marBottom w:val="160"/>
      <w:divBdr>
        <w:top w:val="none" w:sz="0" w:space="0" w:color="auto"/>
        <w:left w:val="none" w:sz="0" w:space="0" w:color="auto"/>
        <w:bottom w:val="none" w:sz="0" w:space="0" w:color="auto"/>
        <w:right w:val="none" w:sz="0" w:space="0" w:color="auto"/>
      </w:divBdr>
    </w:div>
    <w:div w:id="1255748299">
      <w:marLeft w:val="0"/>
      <w:marRight w:val="0"/>
      <w:marTop w:val="160"/>
      <w:marBottom w:val="160"/>
      <w:divBdr>
        <w:top w:val="none" w:sz="0" w:space="0" w:color="auto"/>
        <w:left w:val="none" w:sz="0" w:space="0" w:color="auto"/>
        <w:bottom w:val="none" w:sz="0" w:space="0" w:color="auto"/>
        <w:right w:val="none" w:sz="0" w:space="0" w:color="auto"/>
      </w:divBdr>
    </w:div>
    <w:div w:id="1259170638">
      <w:marLeft w:val="0"/>
      <w:marRight w:val="0"/>
      <w:marTop w:val="160"/>
      <w:marBottom w:val="160"/>
      <w:divBdr>
        <w:top w:val="none" w:sz="0" w:space="0" w:color="auto"/>
        <w:left w:val="none" w:sz="0" w:space="0" w:color="auto"/>
        <w:bottom w:val="none" w:sz="0" w:space="0" w:color="auto"/>
        <w:right w:val="none" w:sz="0" w:space="0" w:color="auto"/>
      </w:divBdr>
    </w:div>
    <w:div w:id="1259220781">
      <w:marLeft w:val="0"/>
      <w:marRight w:val="0"/>
      <w:marTop w:val="100"/>
      <w:marBottom w:val="160"/>
      <w:divBdr>
        <w:top w:val="none" w:sz="0" w:space="0" w:color="auto"/>
        <w:left w:val="none" w:sz="0" w:space="0" w:color="auto"/>
        <w:bottom w:val="none" w:sz="0" w:space="0" w:color="auto"/>
        <w:right w:val="none" w:sz="0" w:space="0" w:color="auto"/>
      </w:divBdr>
    </w:div>
    <w:div w:id="1265839875">
      <w:marLeft w:val="0"/>
      <w:marRight w:val="0"/>
      <w:marTop w:val="0"/>
      <w:marBottom w:val="0"/>
      <w:divBdr>
        <w:top w:val="none" w:sz="0" w:space="0" w:color="auto"/>
        <w:left w:val="none" w:sz="0" w:space="0" w:color="auto"/>
        <w:bottom w:val="none" w:sz="0" w:space="0" w:color="auto"/>
        <w:right w:val="none" w:sz="0" w:space="0" w:color="auto"/>
      </w:divBdr>
      <w:divsChild>
        <w:div w:id="1006442225">
          <w:marLeft w:val="0"/>
          <w:marRight w:val="0"/>
          <w:marTop w:val="160"/>
          <w:marBottom w:val="160"/>
          <w:divBdr>
            <w:top w:val="none" w:sz="0" w:space="0" w:color="auto"/>
            <w:left w:val="none" w:sz="0" w:space="0" w:color="auto"/>
            <w:bottom w:val="none" w:sz="0" w:space="0" w:color="auto"/>
            <w:right w:val="none" w:sz="0" w:space="0" w:color="auto"/>
          </w:divBdr>
        </w:div>
        <w:div w:id="760878786">
          <w:marLeft w:val="0"/>
          <w:marRight w:val="0"/>
          <w:marTop w:val="160"/>
          <w:marBottom w:val="160"/>
          <w:divBdr>
            <w:top w:val="none" w:sz="0" w:space="0" w:color="auto"/>
            <w:left w:val="none" w:sz="0" w:space="0" w:color="auto"/>
            <w:bottom w:val="none" w:sz="0" w:space="0" w:color="auto"/>
            <w:right w:val="none" w:sz="0" w:space="0" w:color="auto"/>
          </w:divBdr>
        </w:div>
        <w:div w:id="688144991">
          <w:marLeft w:val="0"/>
          <w:marRight w:val="0"/>
          <w:marTop w:val="160"/>
          <w:marBottom w:val="160"/>
          <w:divBdr>
            <w:top w:val="none" w:sz="0" w:space="0" w:color="auto"/>
            <w:left w:val="none" w:sz="0" w:space="0" w:color="auto"/>
            <w:bottom w:val="none" w:sz="0" w:space="0" w:color="auto"/>
            <w:right w:val="none" w:sz="0" w:space="0" w:color="auto"/>
          </w:divBdr>
        </w:div>
        <w:div w:id="1506171525">
          <w:marLeft w:val="0"/>
          <w:marRight w:val="0"/>
          <w:marTop w:val="160"/>
          <w:marBottom w:val="160"/>
          <w:divBdr>
            <w:top w:val="none" w:sz="0" w:space="0" w:color="auto"/>
            <w:left w:val="none" w:sz="0" w:space="0" w:color="auto"/>
            <w:bottom w:val="none" w:sz="0" w:space="0" w:color="auto"/>
            <w:right w:val="none" w:sz="0" w:space="0" w:color="auto"/>
          </w:divBdr>
        </w:div>
        <w:div w:id="1080979933">
          <w:marLeft w:val="0"/>
          <w:marRight w:val="0"/>
          <w:marTop w:val="160"/>
          <w:marBottom w:val="160"/>
          <w:divBdr>
            <w:top w:val="none" w:sz="0" w:space="0" w:color="auto"/>
            <w:left w:val="none" w:sz="0" w:space="0" w:color="auto"/>
            <w:bottom w:val="none" w:sz="0" w:space="0" w:color="auto"/>
            <w:right w:val="none" w:sz="0" w:space="0" w:color="auto"/>
          </w:divBdr>
        </w:div>
        <w:div w:id="1591739143">
          <w:marLeft w:val="0"/>
          <w:marRight w:val="0"/>
          <w:marTop w:val="160"/>
          <w:marBottom w:val="160"/>
          <w:divBdr>
            <w:top w:val="none" w:sz="0" w:space="0" w:color="auto"/>
            <w:left w:val="none" w:sz="0" w:space="0" w:color="auto"/>
            <w:bottom w:val="none" w:sz="0" w:space="0" w:color="auto"/>
            <w:right w:val="none" w:sz="0" w:space="0" w:color="auto"/>
          </w:divBdr>
        </w:div>
        <w:div w:id="791897260">
          <w:marLeft w:val="0"/>
          <w:marRight w:val="0"/>
          <w:marTop w:val="0"/>
          <w:marBottom w:val="0"/>
          <w:divBdr>
            <w:top w:val="none" w:sz="0" w:space="0" w:color="auto"/>
            <w:left w:val="none" w:sz="0" w:space="0" w:color="auto"/>
            <w:bottom w:val="none" w:sz="0" w:space="0" w:color="auto"/>
            <w:right w:val="none" w:sz="0" w:space="0" w:color="auto"/>
          </w:divBdr>
        </w:div>
      </w:divsChild>
    </w:div>
    <w:div w:id="1268121603">
      <w:marLeft w:val="0"/>
      <w:marRight w:val="0"/>
      <w:marTop w:val="0"/>
      <w:marBottom w:val="0"/>
      <w:divBdr>
        <w:top w:val="none" w:sz="0" w:space="0" w:color="auto"/>
        <w:left w:val="none" w:sz="0" w:space="0" w:color="auto"/>
        <w:bottom w:val="none" w:sz="0" w:space="0" w:color="auto"/>
        <w:right w:val="none" w:sz="0" w:space="0" w:color="auto"/>
      </w:divBdr>
      <w:divsChild>
        <w:div w:id="1992588762">
          <w:marLeft w:val="0"/>
          <w:marRight w:val="0"/>
          <w:marTop w:val="0"/>
          <w:marBottom w:val="0"/>
          <w:divBdr>
            <w:top w:val="none" w:sz="0" w:space="0" w:color="auto"/>
            <w:left w:val="none" w:sz="0" w:space="0" w:color="auto"/>
            <w:bottom w:val="none" w:sz="0" w:space="0" w:color="auto"/>
            <w:right w:val="none" w:sz="0" w:space="0" w:color="auto"/>
          </w:divBdr>
        </w:div>
      </w:divsChild>
    </w:div>
    <w:div w:id="1272859178">
      <w:marLeft w:val="0"/>
      <w:marRight w:val="0"/>
      <w:marTop w:val="160"/>
      <w:marBottom w:val="160"/>
      <w:divBdr>
        <w:top w:val="none" w:sz="0" w:space="0" w:color="auto"/>
        <w:left w:val="none" w:sz="0" w:space="0" w:color="auto"/>
        <w:bottom w:val="none" w:sz="0" w:space="0" w:color="auto"/>
        <w:right w:val="none" w:sz="0" w:space="0" w:color="auto"/>
      </w:divBdr>
    </w:div>
    <w:div w:id="1275673132">
      <w:marLeft w:val="0"/>
      <w:marRight w:val="0"/>
      <w:marTop w:val="0"/>
      <w:marBottom w:val="0"/>
      <w:divBdr>
        <w:top w:val="none" w:sz="0" w:space="0" w:color="auto"/>
        <w:left w:val="none" w:sz="0" w:space="0" w:color="auto"/>
        <w:bottom w:val="none" w:sz="0" w:space="0" w:color="auto"/>
        <w:right w:val="none" w:sz="0" w:space="0" w:color="auto"/>
      </w:divBdr>
    </w:div>
    <w:div w:id="1276405062">
      <w:marLeft w:val="0"/>
      <w:marRight w:val="0"/>
      <w:marTop w:val="160"/>
      <w:marBottom w:val="160"/>
      <w:divBdr>
        <w:top w:val="none" w:sz="0" w:space="0" w:color="auto"/>
        <w:left w:val="none" w:sz="0" w:space="0" w:color="auto"/>
        <w:bottom w:val="none" w:sz="0" w:space="0" w:color="auto"/>
        <w:right w:val="none" w:sz="0" w:space="0" w:color="auto"/>
      </w:divBdr>
    </w:div>
    <w:div w:id="1276476455">
      <w:marLeft w:val="0"/>
      <w:marRight w:val="0"/>
      <w:marTop w:val="160"/>
      <w:marBottom w:val="160"/>
      <w:divBdr>
        <w:top w:val="none" w:sz="0" w:space="0" w:color="auto"/>
        <w:left w:val="none" w:sz="0" w:space="0" w:color="auto"/>
        <w:bottom w:val="none" w:sz="0" w:space="0" w:color="auto"/>
        <w:right w:val="none" w:sz="0" w:space="0" w:color="auto"/>
      </w:divBdr>
    </w:div>
    <w:div w:id="1276598142">
      <w:marLeft w:val="0"/>
      <w:marRight w:val="0"/>
      <w:marTop w:val="160"/>
      <w:marBottom w:val="160"/>
      <w:divBdr>
        <w:top w:val="none" w:sz="0" w:space="0" w:color="auto"/>
        <w:left w:val="none" w:sz="0" w:space="0" w:color="auto"/>
        <w:bottom w:val="none" w:sz="0" w:space="0" w:color="auto"/>
        <w:right w:val="none" w:sz="0" w:space="0" w:color="auto"/>
      </w:divBdr>
    </w:div>
    <w:div w:id="1280843135">
      <w:marLeft w:val="0"/>
      <w:marRight w:val="0"/>
      <w:marTop w:val="160"/>
      <w:marBottom w:val="160"/>
      <w:divBdr>
        <w:top w:val="none" w:sz="0" w:space="0" w:color="auto"/>
        <w:left w:val="none" w:sz="0" w:space="0" w:color="auto"/>
        <w:bottom w:val="none" w:sz="0" w:space="0" w:color="auto"/>
        <w:right w:val="none" w:sz="0" w:space="0" w:color="auto"/>
      </w:divBdr>
    </w:div>
    <w:div w:id="1281255426">
      <w:marLeft w:val="0"/>
      <w:marRight w:val="0"/>
      <w:marTop w:val="160"/>
      <w:marBottom w:val="160"/>
      <w:divBdr>
        <w:top w:val="none" w:sz="0" w:space="0" w:color="auto"/>
        <w:left w:val="none" w:sz="0" w:space="0" w:color="auto"/>
        <w:bottom w:val="none" w:sz="0" w:space="0" w:color="auto"/>
        <w:right w:val="none" w:sz="0" w:space="0" w:color="auto"/>
      </w:divBdr>
    </w:div>
    <w:div w:id="1289967367">
      <w:marLeft w:val="0"/>
      <w:marRight w:val="0"/>
      <w:marTop w:val="0"/>
      <w:marBottom w:val="160"/>
      <w:divBdr>
        <w:top w:val="none" w:sz="0" w:space="0" w:color="auto"/>
        <w:left w:val="none" w:sz="0" w:space="0" w:color="auto"/>
        <w:bottom w:val="none" w:sz="0" w:space="0" w:color="auto"/>
        <w:right w:val="none" w:sz="0" w:space="0" w:color="auto"/>
      </w:divBdr>
    </w:div>
    <w:div w:id="1298682470">
      <w:marLeft w:val="0"/>
      <w:marRight w:val="0"/>
      <w:marTop w:val="0"/>
      <w:marBottom w:val="0"/>
      <w:divBdr>
        <w:top w:val="none" w:sz="0" w:space="0" w:color="auto"/>
        <w:left w:val="none" w:sz="0" w:space="0" w:color="auto"/>
        <w:bottom w:val="none" w:sz="0" w:space="0" w:color="auto"/>
        <w:right w:val="none" w:sz="0" w:space="0" w:color="auto"/>
      </w:divBdr>
      <w:divsChild>
        <w:div w:id="1438021936">
          <w:marLeft w:val="0"/>
          <w:marRight w:val="0"/>
          <w:marTop w:val="0"/>
          <w:marBottom w:val="0"/>
          <w:divBdr>
            <w:top w:val="none" w:sz="0" w:space="0" w:color="auto"/>
            <w:left w:val="none" w:sz="0" w:space="0" w:color="auto"/>
            <w:bottom w:val="none" w:sz="0" w:space="0" w:color="auto"/>
            <w:right w:val="none" w:sz="0" w:space="0" w:color="auto"/>
          </w:divBdr>
        </w:div>
      </w:divsChild>
    </w:div>
    <w:div w:id="1299725253">
      <w:marLeft w:val="0"/>
      <w:marRight w:val="0"/>
      <w:marTop w:val="160"/>
      <w:marBottom w:val="160"/>
      <w:divBdr>
        <w:top w:val="none" w:sz="0" w:space="0" w:color="auto"/>
        <w:left w:val="none" w:sz="0" w:space="0" w:color="auto"/>
        <w:bottom w:val="none" w:sz="0" w:space="0" w:color="auto"/>
        <w:right w:val="none" w:sz="0" w:space="0" w:color="auto"/>
      </w:divBdr>
    </w:div>
    <w:div w:id="1302883812">
      <w:marLeft w:val="0"/>
      <w:marRight w:val="0"/>
      <w:marTop w:val="160"/>
      <w:marBottom w:val="160"/>
      <w:divBdr>
        <w:top w:val="none" w:sz="0" w:space="0" w:color="auto"/>
        <w:left w:val="none" w:sz="0" w:space="0" w:color="auto"/>
        <w:bottom w:val="none" w:sz="0" w:space="0" w:color="auto"/>
        <w:right w:val="none" w:sz="0" w:space="0" w:color="auto"/>
      </w:divBdr>
    </w:div>
    <w:div w:id="1304657916">
      <w:marLeft w:val="0"/>
      <w:marRight w:val="0"/>
      <w:marTop w:val="160"/>
      <w:marBottom w:val="160"/>
      <w:divBdr>
        <w:top w:val="none" w:sz="0" w:space="0" w:color="auto"/>
        <w:left w:val="none" w:sz="0" w:space="0" w:color="auto"/>
        <w:bottom w:val="none" w:sz="0" w:space="0" w:color="auto"/>
        <w:right w:val="none" w:sz="0" w:space="0" w:color="auto"/>
      </w:divBdr>
    </w:div>
    <w:div w:id="1306083515">
      <w:marLeft w:val="0"/>
      <w:marRight w:val="0"/>
      <w:marTop w:val="160"/>
      <w:marBottom w:val="160"/>
      <w:divBdr>
        <w:top w:val="none" w:sz="0" w:space="0" w:color="auto"/>
        <w:left w:val="none" w:sz="0" w:space="0" w:color="auto"/>
        <w:bottom w:val="none" w:sz="0" w:space="0" w:color="auto"/>
        <w:right w:val="none" w:sz="0" w:space="0" w:color="auto"/>
      </w:divBdr>
    </w:div>
    <w:div w:id="1310860163">
      <w:marLeft w:val="0"/>
      <w:marRight w:val="0"/>
      <w:marTop w:val="160"/>
      <w:marBottom w:val="160"/>
      <w:divBdr>
        <w:top w:val="none" w:sz="0" w:space="0" w:color="auto"/>
        <w:left w:val="none" w:sz="0" w:space="0" w:color="auto"/>
        <w:bottom w:val="none" w:sz="0" w:space="0" w:color="auto"/>
        <w:right w:val="none" w:sz="0" w:space="0" w:color="auto"/>
      </w:divBdr>
    </w:div>
    <w:div w:id="1312102835">
      <w:marLeft w:val="0"/>
      <w:marRight w:val="0"/>
      <w:marTop w:val="60"/>
      <w:marBottom w:val="60"/>
      <w:divBdr>
        <w:top w:val="none" w:sz="0" w:space="0" w:color="auto"/>
        <w:left w:val="none" w:sz="0" w:space="0" w:color="auto"/>
        <w:bottom w:val="none" w:sz="0" w:space="0" w:color="auto"/>
        <w:right w:val="none" w:sz="0" w:space="0" w:color="auto"/>
      </w:divBdr>
    </w:div>
    <w:div w:id="1315446623">
      <w:marLeft w:val="0"/>
      <w:marRight w:val="0"/>
      <w:marTop w:val="160"/>
      <w:marBottom w:val="160"/>
      <w:divBdr>
        <w:top w:val="none" w:sz="0" w:space="0" w:color="auto"/>
        <w:left w:val="none" w:sz="0" w:space="0" w:color="auto"/>
        <w:bottom w:val="none" w:sz="0" w:space="0" w:color="auto"/>
        <w:right w:val="none" w:sz="0" w:space="0" w:color="auto"/>
      </w:divBdr>
    </w:div>
    <w:div w:id="1322931156">
      <w:marLeft w:val="0"/>
      <w:marRight w:val="0"/>
      <w:marTop w:val="0"/>
      <w:marBottom w:val="0"/>
      <w:divBdr>
        <w:top w:val="none" w:sz="0" w:space="0" w:color="auto"/>
        <w:left w:val="none" w:sz="0" w:space="0" w:color="auto"/>
        <w:bottom w:val="none" w:sz="0" w:space="0" w:color="auto"/>
        <w:right w:val="none" w:sz="0" w:space="0" w:color="auto"/>
      </w:divBdr>
      <w:divsChild>
        <w:div w:id="933322160">
          <w:marLeft w:val="0"/>
          <w:marRight w:val="0"/>
          <w:marTop w:val="0"/>
          <w:marBottom w:val="0"/>
          <w:divBdr>
            <w:top w:val="none" w:sz="0" w:space="0" w:color="auto"/>
            <w:left w:val="none" w:sz="0" w:space="0" w:color="auto"/>
            <w:bottom w:val="none" w:sz="0" w:space="0" w:color="auto"/>
            <w:right w:val="none" w:sz="0" w:space="0" w:color="auto"/>
          </w:divBdr>
        </w:div>
      </w:divsChild>
    </w:div>
    <w:div w:id="1327634825">
      <w:marLeft w:val="0"/>
      <w:marRight w:val="0"/>
      <w:marTop w:val="160"/>
      <w:marBottom w:val="160"/>
      <w:divBdr>
        <w:top w:val="none" w:sz="0" w:space="0" w:color="auto"/>
        <w:left w:val="none" w:sz="0" w:space="0" w:color="auto"/>
        <w:bottom w:val="none" w:sz="0" w:space="0" w:color="auto"/>
        <w:right w:val="none" w:sz="0" w:space="0" w:color="auto"/>
      </w:divBdr>
    </w:div>
    <w:div w:id="1331757415">
      <w:marLeft w:val="0"/>
      <w:marRight w:val="0"/>
      <w:marTop w:val="160"/>
      <w:marBottom w:val="160"/>
      <w:divBdr>
        <w:top w:val="none" w:sz="0" w:space="0" w:color="auto"/>
        <w:left w:val="none" w:sz="0" w:space="0" w:color="auto"/>
        <w:bottom w:val="none" w:sz="0" w:space="0" w:color="auto"/>
        <w:right w:val="none" w:sz="0" w:space="0" w:color="auto"/>
      </w:divBdr>
    </w:div>
    <w:div w:id="1337801749">
      <w:marLeft w:val="0"/>
      <w:marRight w:val="0"/>
      <w:marTop w:val="160"/>
      <w:marBottom w:val="160"/>
      <w:divBdr>
        <w:top w:val="none" w:sz="0" w:space="0" w:color="auto"/>
        <w:left w:val="none" w:sz="0" w:space="0" w:color="auto"/>
        <w:bottom w:val="none" w:sz="0" w:space="0" w:color="auto"/>
        <w:right w:val="none" w:sz="0" w:space="0" w:color="auto"/>
      </w:divBdr>
    </w:div>
    <w:div w:id="1340963835">
      <w:marLeft w:val="0"/>
      <w:marRight w:val="0"/>
      <w:marTop w:val="160"/>
      <w:marBottom w:val="160"/>
      <w:divBdr>
        <w:top w:val="none" w:sz="0" w:space="0" w:color="auto"/>
        <w:left w:val="none" w:sz="0" w:space="0" w:color="auto"/>
        <w:bottom w:val="none" w:sz="0" w:space="0" w:color="auto"/>
        <w:right w:val="none" w:sz="0" w:space="0" w:color="auto"/>
      </w:divBdr>
    </w:div>
    <w:div w:id="1343507382">
      <w:marLeft w:val="0"/>
      <w:marRight w:val="0"/>
      <w:marTop w:val="160"/>
      <w:marBottom w:val="160"/>
      <w:divBdr>
        <w:top w:val="none" w:sz="0" w:space="0" w:color="auto"/>
        <w:left w:val="none" w:sz="0" w:space="0" w:color="auto"/>
        <w:bottom w:val="none" w:sz="0" w:space="0" w:color="auto"/>
        <w:right w:val="none" w:sz="0" w:space="0" w:color="auto"/>
      </w:divBdr>
    </w:div>
    <w:div w:id="1345130339">
      <w:marLeft w:val="0"/>
      <w:marRight w:val="0"/>
      <w:marTop w:val="160"/>
      <w:marBottom w:val="160"/>
      <w:divBdr>
        <w:top w:val="none" w:sz="0" w:space="0" w:color="auto"/>
        <w:left w:val="none" w:sz="0" w:space="0" w:color="auto"/>
        <w:bottom w:val="none" w:sz="0" w:space="0" w:color="auto"/>
        <w:right w:val="none" w:sz="0" w:space="0" w:color="auto"/>
      </w:divBdr>
    </w:div>
    <w:div w:id="1346008490">
      <w:marLeft w:val="0"/>
      <w:marRight w:val="0"/>
      <w:marTop w:val="160"/>
      <w:marBottom w:val="160"/>
      <w:divBdr>
        <w:top w:val="none" w:sz="0" w:space="0" w:color="auto"/>
        <w:left w:val="none" w:sz="0" w:space="0" w:color="auto"/>
        <w:bottom w:val="none" w:sz="0" w:space="0" w:color="auto"/>
        <w:right w:val="none" w:sz="0" w:space="0" w:color="auto"/>
      </w:divBdr>
    </w:div>
    <w:div w:id="1346403886">
      <w:marLeft w:val="0"/>
      <w:marRight w:val="0"/>
      <w:marTop w:val="0"/>
      <w:marBottom w:val="0"/>
      <w:divBdr>
        <w:top w:val="none" w:sz="0" w:space="0" w:color="auto"/>
        <w:left w:val="none" w:sz="0" w:space="0" w:color="auto"/>
        <w:bottom w:val="none" w:sz="0" w:space="0" w:color="auto"/>
        <w:right w:val="none" w:sz="0" w:space="0" w:color="auto"/>
      </w:divBdr>
      <w:divsChild>
        <w:div w:id="755781276">
          <w:marLeft w:val="0"/>
          <w:marRight w:val="0"/>
          <w:marTop w:val="0"/>
          <w:marBottom w:val="0"/>
          <w:divBdr>
            <w:top w:val="none" w:sz="0" w:space="0" w:color="auto"/>
            <w:left w:val="none" w:sz="0" w:space="0" w:color="auto"/>
            <w:bottom w:val="none" w:sz="0" w:space="0" w:color="auto"/>
            <w:right w:val="none" w:sz="0" w:space="0" w:color="auto"/>
          </w:divBdr>
        </w:div>
      </w:divsChild>
    </w:div>
    <w:div w:id="1351101065">
      <w:marLeft w:val="0"/>
      <w:marRight w:val="0"/>
      <w:marTop w:val="160"/>
      <w:marBottom w:val="160"/>
      <w:divBdr>
        <w:top w:val="none" w:sz="0" w:space="0" w:color="auto"/>
        <w:left w:val="none" w:sz="0" w:space="0" w:color="auto"/>
        <w:bottom w:val="none" w:sz="0" w:space="0" w:color="auto"/>
        <w:right w:val="none" w:sz="0" w:space="0" w:color="auto"/>
      </w:divBdr>
    </w:div>
    <w:div w:id="1351294940">
      <w:marLeft w:val="0"/>
      <w:marRight w:val="0"/>
      <w:marTop w:val="160"/>
      <w:marBottom w:val="160"/>
      <w:divBdr>
        <w:top w:val="none" w:sz="0" w:space="0" w:color="auto"/>
        <w:left w:val="none" w:sz="0" w:space="0" w:color="auto"/>
        <w:bottom w:val="none" w:sz="0" w:space="0" w:color="auto"/>
        <w:right w:val="none" w:sz="0" w:space="0" w:color="auto"/>
      </w:divBdr>
    </w:div>
    <w:div w:id="1354838956">
      <w:marLeft w:val="0"/>
      <w:marRight w:val="0"/>
      <w:marTop w:val="160"/>
      <w:marBottom w:val="160"/>
      <w:divBdr>
        <w:top w:val="none" w:sz="0" w:space="0" w:color="auto"/>
        <w:left w:val="none" w:sz="0" w:space="0" w:color="auto"/>
        <w:bottom w:val="none" w:sz="0" w:space="0" w:color="auto"/>
        <w:right w:val="none" w:sz="0" w:space="0" w:color="auto"/>
      </w:divBdr>
    </w:div>
    <w:div w:id="1356268685">
      <w:marLeft w:val="0"/>
      <w:marRight w:val="0"/>
      <w:marTop w:val="160"/>
      <w:marBottom w:val="160"/>
      <w:divBdr>
        <w:top w:val="none" w:sz="0" w:space="0" w:color="auto"/>
        <w:left w:val="none" w:sz="0" w:space="0" w:color="auto"/>
        <w:bottom w:val="none" w:sz="0" w:space="0" w:color="auto"/>
        <w:right w:val="none" w:sz="0" w:space="0" w:color="auto"/>
      </w:divBdr>
    </w:div>
    <w:div w:id="1359500993">
      <w:marLeft w:val="0"/>
      <w:marRight w:val="0"/>
      <w:marTop w:val="160"/>
      <w:marBottom w:val="160"/>
      <w:divBdr>
        <w:top w:val="none" w:sz="0" w:space="0" w:color="auto"/>
        <w:left w:val="none" w:sz="0" w:space="0" w:color="auto"/>
        <w:bottom w:val="none" w:sz="0" w:space="0" w:color="auto"/>
        <w:right w:val="none" w:sz="0" w:space="0" w:color="auto"/>
      </w:divBdr>
    </w:div>
    <w:div w:id="1366173255">
      <w:marLeft w:val="0"/>
      <w:marRight w:val="0"/>
      <w:marTop w:val="0"/>
      <w:marBottom w:val="0"/>
      <w:divBdr>
        <w:top w:val="none" w:sz="0" w:space="0" w:color="auto"/>
        <w:left w:val="none" w:sz="0" w:space="0" w:color="auto"/>
        <w:bottom w:val="none" w:sz="0" w:space="0" w:color="auto"/>
        <w:right w:val="none" w:sz="0" w:space="0" w:color="auto"/>
      </w:divBdr>
      <w:divsChild>
        <w:div w:id="1303344115">
          <w:marLeft w:val="0"/>
          <w:marRight w:val="0"/>
          <w:marTop w:val="0"/>
          <w:marBottom w:val="0"/>
          <w:divBdr>
            <w:top w:val="none" w:sz="0" w:space="0" w:color="auto"/>
            <w:left w:val="none" w:sz="0" w:space="0" w:color="auto"/>
            <w:bottom w:val="none" w:sz="0" w:space="0" w:color="auto"/>
            <w:right w:val="none" w:sz="0" w:space="0" w:color="auto"/>
          </w:divBdr>
        </w:div>
      </w:divsChild>
    </w:div>
    <w:div w:id="1366901970">
      <w:marLeft w:val="0"/>
      <w:marRight w:val="0"/>
      <w:marTop w:val="0"/>
      <w:marBottom w:val="0"/>
      <w:divBdr>
        <w:top w:val="none" w:sz="0" w:space="0" w:color="auto"/>
        <w:left w:val="none" w:sz="0" w:space="0" w:color="auto"/>
        <w:bottom w:val="none" w:sz="0" w:space="0" w:color="auto"/>
        <w:right w:val="none" w:sz="0" w:space="0" w:color="auto"/>
      </w:divBdr>
      <w:divsChild>
        <w:div w:id="329257674">
          <w:marLeft w:val="0"/>
          <w:marRight w:val="0"/>
          <w:marTop w:val="0"/>
          <w:marBottom w:val="0"/>
          <w:divBdr>
            <w:top w:val="none" w:sz="0" w:space="0" w:color="auto"/>
            <w:left w:val="none" w:sz="0" w:space="0" w:color="auto"/>
            <w:bottom w:val="none" w:sz="0" w:space="0" w:color="auto"/>
            <w:right w:val="none" w:sz="0" w:space="0" w:color="auto"/>
          </w:divBdr>
        </w:div>
      </w:divsChild>
    </w:div>
    <w:div w:id="1373844902">
      <w:marLeft w:val="0"/>
      <w:marRight w:val="0"/>
      <w:marTop w:val="0"/>
      <w:marBottom w:val="0"/>
      <w:divBdr>
        <w:top w:val="none" w:sz="0" w:space="0" w:color="auto"/>
        <w:left w:val="none" w:sz="0" w:space="0" w:color="auto"/>
        <w:bottom w:val="none" w:sz="0" w:space="0" w:color="auto"/>
        <w:right w:val="none" w:sz="0" w:space="0" w:color="auto"/>
      </w:divBdr>
      <w:divsChild>
        <w:div w:id="244724798">
          <w:marLeft w:val="0"/>
          <w:marRight w:val="0"/>
          <w:marTop w:val="0"/>
          <w:marBottom w:val="0"/>
          <w:divBdr>
            <w:top w:val="none" w:sz="0" w:space="0" w:color="auto"/>
            <w:left w:val="none" w:sz="0" w:space="0" w:color="auto"/>
            <w:bottom w:val="none" w:sz="0" w:space="0" w:color="auto"/>
            <w:right w:val="none" w:sz="0" w:space="0" w:color="auto"/>
          </w:divBdr>
        </w:div>
      </w:divsChild>
    </w:div>
    <w:div w:id="1374185459">
      <w:marLeft w:val="0"/>
      <w:marRight w:val="0"/>
      <w:marTop w:val="0"/>
      <w:marBottom w:val="0"/>
      <w:divBdr>
        <w:top w:val="none" w:sz="0" w:space="0" w:color="auto"/>
        <w:left w:val="none" w:sz="0" w:space="0" w:color="auto"/>
        <w:bottom w:val="none" w:sz="0" w:space="0" w:color="auto"/>
        <w:right w:val="none" w:sz="0" w:space="0" w:color="auto"/>
      </w:divBdr>
    </w:div>
    <w:div w:id="1376730984">
      <w:marLeft w:val="0"/>
      <w:marRight w:val="0"/>
      <w:marTop w:val="160"/>
      <w:marBottom w:val="160"/>
      <w:divBdr>
        <w:top w:val="none" w:sz="0" w:space="0" w:color="auto"/>
        <w:left w:val="none" w:sz="0" w:space="0" w:color="auto"/>
        <w:bottom w:val="none" w:sz="0" w:space="0" w:color="auto"/>
        <w:right w:val="none" w:sz="0" w:space="0" w:color="auto"/>
      </w:divBdr>
    </w:div>
    <w:div w:id="1376733190">
      <w:marLeft w:val="0"/>
      <w:marRight w:val="0"/>
      <w:marTop w:val="160"/>
      <w:marBottom w:val="160"/>
      <w:divBdr>
        <w:top w:val="none" w:sz="0" w:space="0" w:color="auto"/>
        <w:left w:val="none" w:sz="0" w:space="0" w:color="auto"/>
        <w:bottom w:val="none" w:sz="0" w:space="0" w:color="auto"/>
        <w:right w:val="none" w:sz="0" w:space="0" w:color="auto"/>
      </w:divBdr>
    </w:div>
    <w:div w:id="1380202347">
      <w:marLeft w:val="0"/>
      <w:marRight w:val="0"/>
      <w:marTop w:val="0"/>
      <w:marBottom w:val="0"/>
      <w:divBdr>
        <w:top w:val="none" w:sz="0" w:space="0" w:color="auto"/>
        <w:left w:val="none" w:sz="0" w:space="0" w:color="auto"/>
        <w:bottom w:val="none" w:sz="0" w:space="0" w:color="auto"/>
        <w:right w:val="none" w:sz="0" w:space="0" w:color="auto"/>
      </w:divBdr>
    </w:div>
    <w:div w:id="1383141356">
      <w:marLeft w:val="0"/>
      <w:marRight w:val="0"/>
      <w:marTop w:val="160"/>
      <w:marBottom w:val="160"/>
      <w:divBdr>
        <w:top w:val="none" w:sz="0" w:space="0" w:color="auto"/>
        <w:left w:val="none" w:sz="0" w:space="0" w:color="auto"/>
        <w:bottom w:val="none" w:sz="0" w:space="0" w:color="auto"/>
        <w:right w:val="none" w:sz="0" w:space="0" w:color="auto"/>
      </w:divBdr>
    </w:div>
    <w:div w:id="1383679164">
      <w:marLeft w:val="0"/>
      <w:marRight w:val="0"/>
      <w:marTop w:val="160"/>
      <w:marBottom w:val="160"/>
      <w:divBdr>
        <w:top w:val="none" w:sz="0" w:space="0" w:color="auto"/>
        <w:left w:val="none" w:sz="0" w:space="0" w:color="auto"/>
        <w:bottom w:val="none" w:sz="0" w:space="0" w:color="auto"/>
        <w:right w:val="none" w:sz="0" w:space="0" w:color="auto"/>
      </w:divBdr>
    </w:div>
    <w:div w:id="1385056930">
      <w:marLeft w:val="0"/>
      <w:marRight w:val="0"/>
      <w:marTop w:val="160"/>
      <w:marBottom w:val="160"/>
      <w:divBdr>
        <w:top w:val="none" w:sz="0" w:space="0" w:color="auto"/>
        <w:left w:val="none" w:sz="0" w:space="0" w:color="auto"/>
        <w:bottom w:val="none" w:sz="0" w:space="0" w:color="auto"/>
        <w:right w:val="none" w:sz="0" w:space="0" w:color="auto"/>
      </w:divBdr>
    </w:div>
    <w:div w:id="1388332151">
      <w:marLeft w:val="0"/>
      <w:marRight w:val="0"/>
      <w:marTop w:val="160"/>
      <w:marBottom w:val="160"/>
      <w:divBdr>
        <w:top w:val="none" w:sz="0" w:space="0" w:color="auto"/>
        <w:left w:val="none" w:sz="0" w:space="0" w:color="auto"/>
        <w:bottom w:val="none" w:sz="0" w:space="0" w:color="auto"/>
        <w:right w:val="none" w:sz="0" w:space="0" w:color="auto"/>
      </w:divBdr>
    </w:div>
    <w:div w:id="1391734006">
      <w:marLeft w:val="0"/>
      <w:marRight w:val="0"/>
      <w:marTop w:val="160"/>
      <w:marBottom w:val="160"/>
      <w:divBdr>
        <w:top w:val="none" w:sz="0" w:space="0" w:color="auto"/>
        <w:left w:val="none" w:sz="0" w:space="0" w:color="auto"/>
        <w:bottom w:val="none" w:sz="0" w:space="0" w:color="auto"/>
        <w:right w:val="none" w:sz="0" w:space="0" w:color="auto"/>
      </w:divBdr>
    </w:div>
    <w:div w:id="1393700492">
      <w:marLeft w:val="0"/>
      <w:marRight w:val="0"/>
      <w:marTop w:val="160"/>
      <w:marBottom w:val="160"/>
      <w:divBdr>
        <w:top w:val="none" w:sz="0" w:space="0" w:color="auto"/>
        <w:left w:val="none" w:sz="0" w:space="0" w:color="auto"/>
        <w:bottom w:val="none" w:sz="0" w:space="0" w:color="auto"/>
        <w:right w:val="none" w:sz="0" w:space="0" w:color="auto"/>
      </w:divBdr>
    </w:div>
    <w:div w:id="1400208847">
      <w:marLeft w:val="0"/>
      <w:marRight w:val="0"/>
      <w:marTop w:val="0"/>
      <w:marBottom w:val="160"/>
      <w:divBdr>
        <w:top w:val="none" w:sz="0" w:space="0" w:color="auto"/>
        <w:left w:val="none" w:sz="0" w:space="0" w:color="auto"/>
        <w:bottom w:val="none" w:sz="0" w:space="0" w:color="auto"/>
        <w:right w:val="none" w:sz="0" w:space="0" w:color="auto"/>
      </w:divBdr>
    </w:div>
    <w:div w:id="1401322477">
      <w:marLeft w:val="0"/>
      <w:marRight w:val="0"/>
      <w:marTop w:val="160"/>
      <w:marBottom w:val="160"/>
      <w:divBdr>
        <w:top w:val="none" w:sz="0" w:space="0" w:color="auto"/>
        <w:left w:val="none" w:sz="0" w:space="0" w:color="auto"/>
        <w:bottom w:val="none" w:sz="0" w:space="0" w:color="auto"/>
        <w:right w:val="none" w:sz="0" w:space="0" w:color="auto"/>
      </w:divBdr>
    </w:div>
    <w:div w:id="1403336183">
      <w:marLeft w:val="0"/>
      <w:marRight w:val="0"/>
      <w:marTop w:val="160"/>
      <w:marBottom w:val="160"/>
      <w:divBdr>
        <w:top w:val="none" w:sz="0" w:space="0" w:color="auto"/>
        <w:left w:val="none" w:sz="0" w:space="0" w:color="auto"/>
        <w:bottom w:val="none" w:sz="0" w:space="0" w:color="auto"/>
        <w:right w:val="none" w:sz="0" w:space="0" w:color="auto"/>
      </w:divBdr>
    </w:div>
    <w:div w:id="1404139121">
      <w:marLeft w:val="0"/>
      <w:marRight w:val="0"/>
      <w:marTop w:val="160"/>
      <w:marBottom w:val="160"/>
      <w:divBdr>
        <w:top w:val="none" w:sz="0" w:space="0" w:color="auto"/>
        <w:left w:val="none" w:sz="0" w:space="0" w:color="auto"/>
        <w:bottom w:val="none" w:sz="0" w:space="0" w:color="auto"/>
        <w:right w:val="none" w:sz="0" w:space="0" w:color="auto"/>
      </w:divBdr>
    </w:div>
    <w:div w:id="1405833993">
      <w:marLeft w:val="0"/>
      <w:marRight w:val="0"/>
      <w:marTop w:val="0"/>
      <w:marBottom w:val="0"/>
      <w:divBdr>
        <w:top w:val="none" w:sz="0" w:space="0" w:color="auto"/>
        <w:left w:val="none" w:sz="0" w:space="0" w:color="auto"/>
        <w:bottom w:val="none" w:sz="0" w:space="0" w:color="auto"/>
        <w:right w:val="none" w:sz="0" w:space="0" w:color="auto"/>
      </w:divBdr>
      <w:divsChild>
        <w:div w:id="60569599">
          <w:marLeft w:val="0"/>
          <w:marRight w:val="0"/>
          <w:marTop w:val="0"/>
          <w:marBottom w:val="0"/>
          <w:divBdr>
            <w:top w:val="none" w:sz="0" w:space="0" w:color="auto"/>
            <w:left w:val="none" w:sz="0" w:space="0" w:color="auto"/>
            <w:bottom w:val="none" w:sz="0" w:space="0" w:color="auto"/>
            <w:right w:val="none" w:sz="0" w:space="0" w:color="auto"/>
          </w:divBdr>
        </w:div>
      </w:divsChild>
    </w:div>
    <w:div w:id="1407990112">
      <w:marLeft w:val="0"/>
      <w:marRight w:val="0"/>
      <w:marTop w:val="60"/>
      <w:marBottom w:val="0"/>
      <w:divBdr>
        <w:top w:val="none" w:sz="0" w:space="0" w:color="auto"/>
        <w:left w:val="none" w:sz="0" w:space="0" w:color="auto"/>
        <w:bottom w:val="none" w:sz="0" w:space="0" w:color="auto"/>
        <w:right w:val="none" w:sz="0" w:space="0" w:color="auto"/>
      </w:divBdr>
    </w:div>
    <w:div w:id="1409225815">
      <w:marLeft w:val="0"/>
      <w:marRight w:val="0"/>
      <w:marTop w:val="0"/>
      <w:marBottom w:val="0"/>
      <w:divBdr>
        <w:top w:val="none" w:sz="0" w:space="0" w:color="auto"/>
        <w:left w:val="none" w:sz="0" w:space="0" w:color="auto"/>
        <w:bottom w:val="none" w:sz="0" w:space="0" w:color="auto"/>
        <w:right w:val="none" w:sz="0" w:space="0" w:color="auto"/>
      </w:divBdr>
      <w:divsChild>
        <w:div w:id="98650359">
          <w:marLeft w:val="0"/>
          <w:marRight w:val="0"/>
          <w:marTop w:val="0"/>
          <w:marBottom w:val="0"/>
          <w:divBdr>
            <w:top w:val="none" w:sz="0" w:space="0" w:color="auto"/>
            <w:left w:val="none" w:sz="0" w:space="0" w:color="auto"/>
            <w:bottom w:val="none" w:sz="0" w:space="0" w:color="auto"/>
            <w:right w:val="none" w:sz="0" w:space="0" w:color="auto"/>
          </w:divBdr>
        </w:div>
      </w:divsChild>
    </w:div>
    <w:div w:id="1417626215">
      <w:marLeft w:val="0"/>
      <w:marRight w:val="0"/>
      <w:marTop w:val="160"/>
      <w:marBottom w:val="160"/>
      <w:divBdr>
        <w:top w:val="none" w:sz="0" w:space="0" w:color="auto"/>
        <w:left w:val="none" w:sz="0" w:space="0" w:color="auto"/>
        <w:bottom w:val="none" w:sz="0" w:space="0" w:color="auto"/>
        <w:right w:val="none" w:sz="0" w:space="0" w:color="auto"/>
      </w:divBdr>
    </w:div>
    <w:div w:id="1423258604">
      <w:marLeft w:val="0"/>
      <w:marRight w:val="0"/>
      <w:marTop w:val="160"/>
      <w:marBottom w:val="160"/>
      <w:divBdr>
        <w:top w:val="none" w:sz="0" w:space="0" w:color="auto"/>
        <w:left w:val="none" w:sz="0" w:space="0" w:color="auto"/>
        <w:bottom w:val="none" w:sz="0" w:space="0" w:color="auto"/>
        <w:right w:val="none" w:sz="0" w:space="0" w:color="auto"/>
      </w:divBdr>
    </w:div>
    <w:div w:id="1424953250">
      <w:marLeft w:val="0"/>
      <w:marRight w:val="0"/>
      <w:marTop w:val="160"/>
      <w:marBottom w:val="160"/>
      <w:divBdr>
        <w:top w:val="none" w:sz="0" w:space="0" w:color="auto"/>
        <w:left w:val="none" w:sz="0" w:space="0" w:color="auto"/>
        <w:bottom w:val="none" w:sz="0" w:space="0" w:color="auto"/>
        <w:right w:val="none" w:sz="0" w:space="0" w:color="auto"/>
      </w:divBdr>
      <w:divsChild>
        <w:div w:id="1202980565">
          <w:marLeft w:val="0"/>
          <w:marRight w:val="0"/>
          <w:marTop w:val="0"/>
          <w:marBottom w:val="0"/>
          <w:divBdr>
            <w:top w:val="none" w:sz="0" w:space="0" w:color="auto"/>
            <w:left w:val="none" w:sz="0" w:space="0" w:color="auto"/>
            <w:bottom w:val="none" w:sz="0" w:space="0" w:color="auto"/>
            <w:right w:val="none" w:sz="0" w:space="0" w:color="auto"/>
          </w:divBdr>
        </w:div>
        <w:div w:id="875198433">
          <w:marLeft w:val="0"/>
          <w:marRight w:val="0"/>
          <w:marTop w:val="0"/>
          <w:marBottom w:val="0"/>
          <w:divBdr>
            <w:top w:val="none" w:sz="0" w:space="0" w:color="auto"/>
            <w:left w:val="none" w:sz="0" w:space="0" w:color="auto"/>
            <w:bottom w:val="none" w:sz="0" w:space="0" w:color="auto"/>
            <w:right w:val="none" w:sz="0" w:space="0" w:color="auto"/>
          </w:divBdr>
        </w:div>
        <w:div w:id="266929264">
          <w:marLeft w:val="0"/>
          <w:marRight w:val="0"/>
          <w:marTop w:val="0"/>
          <w:marBottom w:val="0"/>
          <w:divBdr>
            <w:top w:val="none" w:sz="0" w:space="0" w:color="auto"/>
            <w:left w:val="none" w:sz="0" w:space="0" w:color="auto"/>
            <w:bottom w:val="none" w:sz="0" w:space="0" w:color="auto"/>
            <w:right w:val="none" w:sz="0" w:space="0" w:color="auto"/>
          </w:divBdr>
        </w:div>
        <w:div w:id="1307315487">
          <w:marLeft w:val="0"/>
          <w:marRight w:val="0"/>
          <w:marTop w:val="0"/>
          <w:marBottom w:val="0"/>
          <w:divBdr>
            <w:top w:val="none" w:sz="0" w:space="0" w:color="auto"/>
            <w:left w:val="none" w:sz="0" w:space="0" w:color="auto"/>
            <w:bottom w:val="none" w:sz="0" w:space="0" w:color="auto"/>
            <w:right w:val="none" w:sz="0" w:space="0" w:color="auto"/>
          </w:divBdr>
        </w:div>
        <w:div w:id="1671172694">
          <w:marLeft w:val="0"/>
          <w:marRight w:val="0"/>
          <w:marTop w:val="0"/>
          <w:marBottom w:val="0"/>
          <w:divBdr>
            <w:top w:val="none" w:sz="0" w:space="0" w:color="auto"/>
            <w:left w:val="none" w:sz="0" w:space="0" w:color="auto"/>
            <w:bottom w:val="none" w:sz="0" w:space="0" w:color="auto"/>
            <w:right w:val="none" w:sz="0" w:space="0" w:color="auto"/>
          </w:divBdr>
        </w:div>
        <w:div w:id="1768884620">
          <w:marLeft w:val="0"/>
          <w:marRight w:val="0"/>
          <w:marTop w:val="0"/>
          <w:marBottom w:val="0"/>
          <w:divBdr>
            <w:top w:val="none" w:sz="0" w:space="0" w:color="auto"/>
            <w:left w:val="none" w:sz="0" w:space="0" w:color="auto"/>
            <w:bottom w:val="none" w:sz="0" w:space="0" w:color="auto"/>
            <w:right w:val="none" w:sz="0" w:space="0" w:color="auto"/>
          </w:divBdr>
        </w:div>
        <w:div w:id="1099520914">
          <w:marLeft w:val="0"/>
          <w:marRight w:val="0"/>
          <w:marTop w:val="0"/>
          <w:marBottom w:val="0"/>
          <w:divBdr>
            <w:top w:val="none" w:sz="0" w:space="0" w:color="auto"/>
            <w:left w:val="none" w:sz="0" w:space="0" w:color="auto"/>
            <w:bottom w:val="none" w:sz="0" w:space="0" w:color="auto"/>
            <w:right w:val="none" w:sz="0" w:space="0" w:color="auto"/>
          </w:divBdr>
        </w:div>
        <w:div w:id="382291890">
          <w:marLeft w:val="0"/>
          <w:marRight w:val="0"/>
          <w:marTop w:val="0"/>
          <w:marBottom w:val="0"/>
          <w:divBdr>
            <w:top w:val="none" w:sz="0" w:space="0" w:color="auto"/>
            <w:left w:val="none" w:sz="0" w:space="0" w:color="auto"/>
            <w:bottom w:val="none" w:sz="0" w:space="0" w:color="auto"/>
            <w:right w:val="none" w:sz="0" w:space="0" w:color="auto"/>
          </w:divBdr>
        </w:div>
        <w:div w:id="262034066">
          <w:marLeft w:val="0"/>
          <w:marRight w:val="0"/>
          <w:marTop w:val="0"/>
          <w:marBottom w:val="0"/>
          <w:divBdr>
            <w:top w:val="none" w:sz="0" w:space="0" w:color="auto"/>
            <w:left w:val="none" w:sz="0" w:space="0" w:color="auto"/>
            <w:bottom w:val="none" w:sz="0" w:space="0" w:color="auto"/>
            <w:right w:val="none" w:sz="0" w:space="0" w:color="auto"/>
          </w:divBdr>
        </w:div>
        <w:div w:id="1270309154">
          <w:marLeft w:val="0"/>
          <w:marRight w:val="0"/>
          <w:marTop w:val="0"/>
          <w:marBottom w:val="0"/>
          <w:divBdr>
            <w:top w:val="none" w:sz="0" w:space="0" w:color="auto"/>
            <w:left w:val="none" w:sz="0" w:space="0" w:color="auto"/>
            <w:bottom w:val="none" w:sz="0" w:space="0" w:color="auto"/>
            <w:right w:val="none" w:sz="0" w:space="0" w:color="auto"/>
          </w:divBdr>
        </w:div>
        <w:div w:id="1955094453">
          <w:marLeft w:val="0"/>
          <w:marRight w:val="0"/>
          <w:marTop w:val="0"/>
          <w:marBottom w:val="0"/>
          <w:divBdr>
            <w:top w:val="none" w:sz="0" w:space="0" w:color="auto"/>
            <w:left w:val="none" w:sz="0" w:space="0" w:color="auto"/>
            <w:bottom w:val="none" w:sz="0" w:space="0" w:color="auto"/>
            <w:right w:val="none" w:sz="0" w:space="0" w:color="auto"/>
          </w:divBdr>
        </w:div>
        <w:div w:id="1207522998">
          <w:marLeft w:val="0"/>
          <w:marRight w:val="0"/>
          <w:marTop w:val="0"/>
          <w:marBottom w:val="0"/>
          <w:divBdr>
            <w:top w:val="none" w:sz="0" w:space="0" w:color="auto"/>
            <w:left w:val="none" w:sz="0" w:space="0" w:color="auto"/>
            <w:bottom w:val="none" w:sz="0" w:space="0" w:color="auto"/>
            <w:right w:val="none" w:sz="0" w:space="0" w:color="auto"/>
          </w:divBdr>
        </w:div>
        <w:div w:id="457380709">
          <w:marLeft w:val="0"/>
          <w:marRight w:val="0"/>
          <w:marTop w:val="0"/>
          <w:marBottom w:val="0"/>
          <w:divBdr>
            <w:top w:val="none" w:sz="0" w:space="0" w:color="auto"/>
            <w:left w:val="none" w:sz="0" w:space="0" w:color="auto"/>
            <w:bottom w:val="none" w:sz="0" w:space="0" w:color="auto"/>
            <w:right w:val="none" w:sz="0" w:space="0" w:color="auto"/>
          </w:divBdr>
        </w:div>
        <w:div w:id="271085783">
          <w:marLeft w:val="0"/>
          <w:marRight w:val="0"/>
          <w:marTop w:val="0"/>
          <w:marBottom w:val="0"/>
          <w:divBdr>
            <w:top w:val="none" w:sz="0" w:space="0" w:color="auto"/>
            <w:left w:val="none" w:sz="0" w:space="0" w:color="auto"/>
            <w:bottom w:val="none" w:sz="0" w:space="0" w:color="auto"/>
            <w:right w:val="none" w:sz="0" w:space="0" w:color="auto"/>
          </w:divBdr>
        </w:div>
        <w:div w:id="234171331">
          <w:marLeft w:val="0"/>
          <w:marRight w:val="0"/>
          <w:marTop w:val="0"/>
          <w:marBottom w:val="0"/>
          <w:divBdr>
            <w:top w:val="none" w:sz="0" w:space="0" w:color="auto"/>
            <w:left w:val="none" w:sz="0" w:space="0" w:color="auto"/>
            <w:bottom w:val="none" w:sz="0" w:space="0" w:color="auto"/>
            <w:right w:val="none" w:sz="0" w:space="0" w:color="auto"/>
          </w:divBdr>
        </w:div>
      </w:divsChild>
    </w:div>
    <w:div w:id="1429695436">
      <w:marLeft w:val="0"/>
      <w:marRight w:val="0"/>
      <w:marTop w:val="0"/>
      <w:marBottom w:val="0"/>
      <w:divBdr>
        <w:top w:val="none" w:sz="0" w:space="0" w:color="auto"/>
        <w:left w:val="none" w:sz="0" w:space="0" w:color="auto"/>
        <w:bottom w:val="none" w:sz="0" w:space="0" w:color="auto"/>
        <w:right w:val="none" w:sz="0" w:space="0" w:color="auto"/>
      </w:divBdr>
      <w:divsChild>
        <w:div w:id="1181775124">
          <w:marLeft w:val="0"/>
          <w:marRight w:val="0"/>
          <w:marTop w:val="160"/>
          <w:marBottom w:val="160"/>
          <w:divBdr>
            <w:top w:val="none" w:sz="0" w:space="0" w:color="auto"/>
            <w:left w:val="none" w:sz="0" w:space="0" w:color="auto"/>
            <w:bottom w:val="none" w:sz="0" w:space="0" w:color="auto"/>
            <w:right w:val="none" w:sz="0" w:space="0" w:color="auto"/>
          </w:divBdr>
        </w:div>
        <w:div w:id="993332600">
          <w:marLeft w:val="0"/>
          <w:marRight w:val="0"/>
          <w:marTop w:val="160"/>
          <w:marBottom w:val="160"/>
          <w:divBdr>
            <w:top w:val="none" w:sz="0" w:space="0" w:color="auto"/>
            <w:left w:val="none" w:sz="0" w:space="0" w:color="auto"/>
            <w:bottom w:val="none" w:sz="0" w:space="0" w:color="auto"/>
            <w:right w:val="none" w:sz="0" w:space="0" w:color="auto"/>
          </w:divBdr>
        </w:div>
        <w:div w:id="866527358">
          <w:marLeft w:val="0"/>
          <w:marRight w:val="0"/>
          <w:marTop w:val="160"/>
          <w:marBottom w:val="160"/>
          <w:divBdr>
            <w:top w:val="none" w:sz="0" w:space="0" w:color="auto"/>
            <w:left w:val="none" w:sz="0" w:space="0" w:color="auto"/>
            <w:bottom w:val="none" w:sz="0" w:space="0" w:color="auto"/>
            <w:right w:val="none" w:sz="0" w:space="0" w:color="auto"/>
          </w:divBdr>
        </w:div>
        <w:div w:id="2054891006">
          <w:marLeft w:val="0"/>
          <w:marRight w:val="0"/>
          <w:marTop w:val="160"/>
          <w:marBottom w:val="160"/>
          <w:divBdr>
            <w:top w:val="none" w:sz="0" w:space="0" w:color="auto"/>
            <w:left w:val="none" w:sz="0" w:space="0" w:color="auto"/>
            <w:bottom w:val="none" w:sz="0" w:space="0" w:color="auto"/>
            <w:right w:val="none" w:sz="0" w:space="0" w:color="auto"/>
          </w:divBdr>
        </w:div>
        <w:div w:id="528300068">
          <w:marLeft w:val="0"/>
          <w:marRight w:val="0"/>
          <w:marTop w:val="160"/>
          <w:marBottom w:val="160"/>
          <w:divBdr>
            <w:top w:val="none" w:sz="0" w:space="0" w:color="auto"/>
            <w:left w:val="none" w:sz="0" w:space="0" w:color="auto"/>
            <w:bottom w:val="none" w:sz="0" w:space="0" w:color="auto"/>
            <w:right w:val="none" w:sz="0" w:space="0" w:color="auto"/>
          </w:divBdr>
        </w:div>
        <w:div w:id="1592004851">
          <w:marLeft w:val="0"/>
          <w:marRight w:val="0"/>
          <w:marTop w:val="160"/>
          <w:marBottom w:val="160"/>
          <w:divBdr>
            <w:top w:val="none" w:sz="0" w:space="0" w:color="auto"/>
            <w:left w:val="none" w:sz="0" w:space="0" w:color="auto"/>
            <w:bottom w:val="none" w:sz="0" w:space="0" w:color="auto"/>
            <w:right w:val="none" w:sz="0" w:space="0" w:color="auto"/>
          </w:divBdr>
        </w:div>
      </w:divsChild>
    </w:div>
    <w:div w:id="1443838652">
      <w:marLeft w:val="0"/>
      <w:marRight w:val="0"/>
      <w:marTop w:val="0"/>
      <w:marBottom w:val="0"/>
      <w:divBdr>
        <w:top w:val="none" w:sz="0" w:space="0" w:color="auto"/>
        <w:left w:val="none" w:sz="0" w:space="0" w:color="auto"/>
        <w:bottom w:val="none" w:sz="0" w:space="0" w:color="auto"/>
        <w:right w:val="none" w:sz="0" w:space="0" w:color="auto"/>
      </w:divBdr>
    </w:div>
    <w:div w:id="1444885326">
      <w:marLeft w:val="0"/>
      <w:marRight w:val="0"/>
      <w:marTop w:val="160"/>
      <w:marBottom w:val="160"/>
      <w:divBdr>
        <w:top w:val="none" w:sz="0" w:space="0" w:color="auto"/>
        <w:left w:val="none" w:sz="0" w:space="0" w:color="auto"/>
        <w:bottom w:val="none" w:sz="0" w:space="0" w:color="auto"/>
        <w:right w:val="none" w:sz="0" w:space="0" w:color="auto"/>
      </w:divBdr>
    </w:div>
    <w:div w:id="1447114838">
      <w:marLeft w:val="0"/>
      <w:marRight w:val="0"/>
      <w:marTop w:val="160"/>
      <w:marBottom w:val="160"/>
      <w:divBdr>
        <w:top w:val="none" w:sz="0" w:space="0" w:color="auto"/>
        <w:left w:val="none" w:sz="0" w:space="0" w:color="auto"/>
        <w:bottom w:val="none" w:sz="0" w:space="0" w:color="auto"/>
        <w:right w:val="none" w:sz="0" w:space="0" w:color="auto"/>
      </w:divBdr>
    </w:div>
    <w:div w:id="1447695680">
      <w:marLeft w:val="0"/>
      <w:marRight w:val="0"/>
      <w:marTop w:val="160"/>
      <w:marBottom w:val="160"/>
      <w:divBdr>
        <w:top w:val="none" w:sz="0" w:space="0" w:color="auto"/>
        <w:left w:val="none" w:sz="0" w:space="0" w:color="auto"/>
        <w:bottom w:val="none" w:sz="0" w:space="0" w:color="auto"/>
        <w:right w:val="none" w:sz="0" w:space="0" w:color="auto"/>
      </w:divBdr>
    </w:div>
    <w:div w:id="1453476266">
      <w:marLeft w:val="0"/>
      <w:marRight w:val="0"/>
      <w:marTop w:val="160"/>
      <w:marBottom w:val="160"/>
      <w:divBdr>
        <w:top w:val="none" w:sz="0" w:space="0" w:color="auto"/>
        <w:left w:val="none" w:sz="0" w:space="0" w:color="auto"/>
        <w:bottom w:val="none" w:sz="0" w:space="0" w:color="auto"/>
        <w:right w:val="none" w:sz="0" w:space="0" w:color="auto"/>
      </w:divBdr>
    </w:div>
    <w:div w:id="1458715877">
      <w:marLeft w:val="0"/>
      <w:marRight w:val="0"/>
      <w:marTop w:val="160"/>
      <w:marBottom w:val="0"/>
      <w:divBdr>
        <w:top w:val="none" w:sz="0" w:space="0" w:color="auto"/>
        <w:left w:val="none" w:sz="0" w:space="0" w:color="auto"/>
        <w:bottom w:val="none" w:sz="0" w:space="0" w:color="auto"/>
        <w:right w:val="none" w:sz="0" w:space="0" w:color="auto"/>
      </w:divBdr>
    </w:div>
    <w:div w:id="1459028289">
      <w:marLeft w:val="0"/>
      <w:marRight w:val="0"/>
      <w:marTop w:val="160"/>
      <w:marBottom w:val="160"/>
      <w:divBdr>
        <w:top w:val="none" w:sz="0" w:space="0" w:color="auto"/>
        <w:left w:val="none" w:sz="0" w:space="0" w:color="auto"/>
        <w:bottom w:val="none" w:sz="0" w:space="0" w:color="auto"/>
        <w:right w:val="none" w:sz="0" w:space="0" w:color="auto"/>
      </w:divBdr>
    </w:div>
    <w:div w:id="1459643105">
      <w:marLeft w:val="0"/>
      <w:marRight w:val="0"/>
      <w:marTop w:val="160"/>
      <w:marBottom w:val="160"/>
      <w:divBdr>
        <w:top w:val="none" w:sz="0" w:space="0" w:color="auto"/>
        <w:left w:val="none" w:sz="0" w:space="0" w:color="auto"/>
        <w:bottom w:val="none" w:sz="0" w:space="0" w:color="auto"/>
        <w:right w:val="none" w:sz="0" w:space="0" w:color="auto"/>
      </w:divBdr>
    </w:div>
    <w:div w:id="1468552325">
      <w:marLeft w:val="0"/>
      <w:marRight w:val="0"/>
      <w:marTop w:val="160"/>
      <w:marBottom w:val="160"/>
      <w:divBdr>
        <w:top w:val="none" w:sz="0" w:space="0" w:color="auto"/>
        <w:left w:val="none" w:sz="0" w:space="0" w:color="auto"/>
        <w:bottom w:val="none" w:sz="0" w:space="0" w:color="auto"/>
        <w:right w:val="none" w:sz="0" w:space="0" w:color="auto"/>
      </w:divBdr>
    </w:div>
    <w:div w:id="1473517667">
      <w:marLeft w:val="0"/>
      <w:marRight w:val="0"/>
      <w:marTop w:val="0"/>
      <w:marBottom w:val="0"/>
      <w:divBdr>
        <w:top w:val="none" w:sz="0" w:space="0" w:color="auto"/>
        <w:left w:val="none" w:sz="0" w:space="0" w:color="auto"/>
        <w:bottom w:val="none" w:sz="0" w:space="0" w:color="auto"/>
        <w:right w:val="none" w:sz="0" w:space="0" w:color="auto"/>
      </w:divBdr>
    </w:div>
    <w:div w:id="1476138103">
      <w:marLeft w:val="0"/>
      <w:marRight w:val="0"/>
      <w:marTop w:val="160"/>
      <w:marBottom w:val="160"/>
      <w:divBdr>
        <w:top w:val="none" w:sz="0" w:space="0" w:color="auto"/>
        <w:left w:val="none" w:sz="0" w:space="0" w:color="auto"/>
        <w:bottom w:val="none" w:sz="0" w:space="0" w:color="auto"/>
        <w:right w:val="none" w:sz="0" w:space="0" w:color="auto"/>
      </w:divBdr>
    </w:div>
    <w:div w:id="1477726745">
      <w:marLeft w:val="0"/>
      <w:marRight w:val="0"/>
      <w:marTop w:val="160"/>
      <w:marBottom w:val="160"/>
      <w:divBdr>
        <w:top w:val="none" w:sz="0" w:space="0" w:color="auto"/>
        <w:left w:val="none" w:sz="0" w:space="0" w:color="auto"/>
        <w:bottom w:val="none" w:sz="0" w:space="0" w:color="auto"/>
        <w:right w:val="none" w:sz="0" w:space="0" w:color="auto"/>
      </w:divBdr>
    </w:div>
    <w:div w:id="1478642945">
      <w:marLeft w:val="0"/>
      <w:marRight w:val="0"/>
      <w:marTop w:val="160"/>
      <w:marBottom w:val="160"/>
      <w:divBdr>
        <w:top w:val="none" w:sz="0" w:space="0" w:color="auto"/>
        <w:left w:val="none" w:sz="0" w:space="0" w:color="auto"/>
        <w:bottom w:val="none" w:sz="0" w:space="0" w:color="auto"/>
        <w:right w:val="none" w:sz="0" w:space="0" w:color="auto"/>
      </w:divBdr>
    </w:div>
    <w:div w:id="1480346639">
      <w:marLeft w:val="0"/>
      <w:marRight w:val="0"/>
      <w:marTop w:val="160"/>
      <w:marBottom w:val="160"/>
      <w:divBdr>
        <w:top w:val="none" w:sz="0" w:space="0" w:color="auto"/>
        <w:left w:val="none" w:sz="0" w:space="0" w:color="auto"/>
        <w:bottom w:val="none" w:sz="0" w:space="0" w:color="auto"/>
        <w:right w:val="none" w:sz="0" w:space="0" w:color="auto"/>
      </w:divBdr>
    </w:div>
    <w:div w:id="1487627074">
      <w:marLeft w:val="0"/>
      <w:marRight w:val="0"/>
      <w:marTop w:val="160"/>
      <w:marBottom w:val="160"/>
      <w:divBdr>
        <w:top w:val="none" w:sz="0" w:space="0" w:color="auto"/>
        <w:left w:val="none" w:sz="0" w:space="0" w:color="auto"/>
        <w:bottom w:val="none" w:sz="0" w:space="0" w:color="auto"/>
        <w:right w:val="none" w:sz="0" w:space="0" w:color="auto"/>
      </w:divBdr>
    </w:div>
    <w:div w:id="1495602848">
      <w:marLeft w:val="0"/>
      <w:marRight w:val="0"/>
      <w:marTop w:val="0"/>
      <w:marBottom w:val="0"/>
      <w:divBdr>
        <w:top w:val="none" w:sz="0" w:space="0" w:color="auto"/>
        <w:left w:val="none" w:sz="0" w:space="0" w:color="auto"/>
        <w:bottom w:val="none" w:sz="0" w:space="0" w:color="auto"/>
        <w:right w:val="none" w:sz="0" w:space="0" w:color="auto"/>
      </w:divBdr>
      <w:divsChild>
        <w:div w:id="1275559113">
          <w:marLeft w:val="0"/>
          <w:marRight w:val="0"/>
          <w:marTop w:val="0"/>
          <w:marBottom w:val="0"/>
          <w:divBdr>
            <w:top w:val="none" w:sz="0" w:space="0" w:color="auto"/>
            <w:left w:val="none" w:sz="0" w:space="0" w:color="auto"/>
            <w:bottom w:val="none" w:sz="0" w:space="0" w:color="auto"/>
            <w:right w:val="none" w:sz="0" w:space="0" w:color="auto"/>
          </w:divBdr>
        </w:div>
      </w:divsChild>
    </w:div>
    <w:div w:id="1496260806">
      <w:marLeft w:val="0"/>
      <w:marRight w:val="0"/>
      <w:marTop w:val="160"/>
      <w:marBottom w:val="160"/>
      <w:divBdr>
        <w:top w:val="none" w:sz="0" w:space="0" w:color="auto"/>
        <w:left w:val="none" w:sz="0" w:space="0" w:color="auto"/>
        <w:bottom w:val="none" w:sz="0" w:space="0" w:color="auto"/>
        <w:right w:val="none" w:sz="0" w:space="0" w:color="auto"/>
      </w:divBdr>
    </w:div>
    <w:div w:id="1496459554">
      <w:marLeft w:val="0"/>
      <w:marRight w:val="0"/>
      <w:marTop w:val="100"/>
      <w:marBottom w:val="160"/>
      <w:divBdr>
        <w:top w:val="none" w:sz="0" w:space="0" w:color="auto"/>
        <w:left w:val="none" w:sz="0" w:space="0" w:color="auto"/>
        <w:bottom w:val="none" w:sz="0" w:space="0" w:color="auto"/>
        <w:right w:val="none" w:sz="0" w:space="0" w:color="auto"/>
      </w:divBdr>
    </w:div>
    <w:div w:id="1496801511">
      <w:marLeft w:val="0"/>
      <w:marRight w:val="0"/>
      <w:marTop w:val="0"/>
      <w:marBottom w:val="0"/>
      <w:divBdr>
        <w:top w:val="none" w:sz="0" w:space="0" w:color="auto"/>
        <w:left w:val="none" w:sz="0" w:space="0" w:color="auto"/>
        <w:bottom w:val="none" w:sz="0" w:space="0" w:color="auto"/>
        <w:right w:val="none" w:sz="0" w:space="0" w:color="auto"/>
      </w:divBdr>
    </w:div>
    <w:div w:id="1498577378">
      <w:marLeft w:val="0"/>
      <w:marRight w:val="0"/>
      <w:marTop w:val="160"/>
      <w:marBottom w:val="160"/>
      <w:divBdr>
        <w:top w:val="none" w:sz="0" w:space="0" w:color="auto"/>
        <w:left w:val="none" w:sz="0" w:space="0" w:color="auto"/>
        <w:bottom w:val="none" w:sz="0" w:space="0" w:color="auto"/>
        <w:right w:val="none" w:sz="0" w:space="0" w:color="auto"/>
      </w:divBdr>
    </w:div>
    <w:div w:id="1499344648">
      <w:marLeft w:val="0"/>
      <w:marRight w:val="0"/>
      <w:marTop w:val="160"/>
      <w:marBottom w:val="160"/>
      <w:divBdr>
        <w:top w:val="none" w:sz="0" w:space="0" w:color="auto"/>
        <w:left w:val="none" w:sz="0" w:space="0" w:color="auto"/>
        <w:bottom w:val="none" w:sz="0" w:space="0" w:color="auto"/>
        <w:right w:val="none" w:sz="0" w:space="0" w:color="auto"/>
      </w:divBdr>
    </w:div>
    <w:div w:id="1500660253">
      <w:marLeft w:val="0"/>
      <w:marRight w:val="0"/>
      <w:marTop w:val="0"/>
      <w:marBottom w:val="0"/>
      <w:divBdr>
        <w:top w:val="none" w:sz="0" w:space="0" w:color="auto"/>
        <w:left w:val="none" w:sz="0" w:space="0" w:color="auto"/>
        <w:bottom w:val="none" w:sz="0" w:space="0" w:color="auto"/>
        <w:right w:val="none" w:sz="0" w:space="0" w:color="auto"/>
      </w:divBdr>
      <w:divsChild>
        <w:div w:id="599607914">
          <w:marLeft w:val="0"/>
          <w:marRight w:val="0"/>
          <w:marTop w:val="0"/>
          <w:marBottom w:val="0"/>
          <w:divBdr>
            <w:top w:val="none" w:sz="0" w:space="0" w:color="auto"/>
            <w:left w:val="none" w:sz="0" w:space="0" w:color="auto"/>
            <w:bottom w:val="none" w:sz="0" w:space="0" w:color="auto"/>
            <w:right w:val="none" w:sz="0" w:space="0" w:color="auto"/>
          </w:divBdr>
        </w:div>
      </w:divsChild>
    </w:div>
    <w:div w:id="1501198567">
      <w:marLeft w:val="0"/>
      <w:marRight w:val="0"/>
      <w:marTop w:val="160"/>
      <w:marBottom w:val="160"/>
      <w:divBdr>
        <w:top w:val="none" w:sz="0" w:space="0" w:color="auto"/>
        <w:left w:val="none" w:sz="0" w:space="0" w:color="auto"/>
        <w:bottom w:val="none" w:sz="0" w:space="0" w:color="auto"/>
        <w:right w:val="none" w:sz="0" w:space="0" w:color="auto"/>
      </w:divBdr>
    </w:div>
    <w:div w:id="1510175744">
      <w:marLeft w:val="0"/>
      <w:marRight w:val="0"/>
      <w:marTop w:val="160"/>
      <w:marBottom w:val="160"/>
      <w:divBdr>
        <w:top w:val="none" w:sz="0" w:space="0" w:color="auto"/>
        <w:left w:val="none" w:sz="0" w:space="0" w:color="auto"/>
        <w:bottom w:val="none" w:sz="0" w:space="0" w:color="auto"/>
        <w:right w:val="none" w:sz="0" w:space="0" w:color="auto"/>
      </w:divBdr>
    </w:div>
    <w:div w:id="1514684146">
      <w:marLeft w:val="0"/>
      <w:marRight w:val="0"/>
      <w:marTop w:val="160"/>
      <w:marBottom w:val="160"/>
      <w:divBdr>
        <w:top w:val="none" w:sz="0" w:space="0" w:color="auto"/>
        <w:left w:val="none" w:sz="0" w:space="0" w:color="auto"/>
        <w:bottom w:val="none" w:sz="0" w:space="0" w:color="auto"/>
        <w:right w:val="none" w:sz="0" w:space="0" w:color="auto"/>
      </w:divBdr>
    </w:div>
    <w:div w:id="1515152107">
      <w:marLeft w:val="0"/>
      <w:marRight w:val="0"/>
      <w:marTop w:val="160"/>
      <w:marBottom w:val="160"/>
      <w:divBdr>
        <w:top w:val="none" w:sz="0" w:space="0" w:color="auto"/>
        <w:left w:val="none" w:sz="0" w:space="0" w:color="auto"/>
        <w:bottom w:val="none" w:sz="0" w:space="0" w:color="auto"/>
        <w:right w:val="none" w:sz="0" w:space="0" w:color="auto"/>
      </w:divBdr>
    </w:div>
    <w:div w:id="1518108139">
      <w:marLeft w:val="0"/>
      <w:marRight w:val="0"/>
      <w:marTop w:val="160"/>
      <w:marBottom w:val="160"/>
      <w:divBdr>
        <w:top w:val="none" w:sz="0" w:space="0" w:color="auto"/>
        <w:left w:val="none" w:sz="0" w:space="0" w:color="auto"/>
        <w:bottom w:val="none" w:sz="0" w:space="0" w:color="auto"/>
        <w:right w:val="none" w:sz="0" w:space="0" w:color="auto"/>
      </w:divBdr>
    </w:div>
    <w:div w:id="1541043177">
      <w:marLeft w:val="0"/>
      <w:marRight w:val="0"/>
      <w:marTop w:val="160"/>
      <w:marBottom w:val="160"/>
      <w:divBdr>
        <w:top w:val="none" w:sz="0" w:space="0" w:color="auto"/>
        <w:left w:val="none" w:sz="0" w:space="0" w:color="auto"/>
        <w:bottom w:val="none" w:sz="0" w:space="0" w:color="auto"/>
        <w:right w:val="none" w:sz="0" w:space="0" w:color="auto"/>
      </w:divBdr>
    </w:div>
    <w:div w:id="1543860950">
      <w:marLeft w:val="0"/>
      <w:marRight w:val="0"/>
      <w:marTop w:val="0"/>
      <w:marBottom w:val="0"/>
      <w:divBdr>
        <w:top w:val="none" w:sz="0" w:space="0" w:color="auto"/>
        <w:left w:val="none" w:sz="0" w:space="0" w:color="auto"/>
        <w:bottom w:val="none" w:sz="0" w:space="0" w:color="auto"/>
        <w:right w:val="none" w:sz="0" w:space="0" w:color="auto"/>
      </w:divBdr>
      <w:divsChild>
        <w:div w:id="1946646816">
          <w:marLeft w:val="0"/>
          <w:marRight w:val="0"/>
          <w:marTop w:val="0"/>
          <w:marBottom w:val="0"/>
          <w:divBdr>
            <w:top w:val="none" w:sz="0" w:space="0" w:color="auto"/>
            <w:left w:val="none" w:sz="0" w:space="0" w:color="auto"/>
            <w:bottom w:val="none" w:sz="0" w:space="0" w:color="auto"/>
            <w:right w:val="none" w:sz="0" w:space="0" w:color="auto"/>
          </w:divBdr>
        </w:div>
      </w:divsChild>
    </w:div>
    <w:div w:id="1546287437">
      <w:marLeft w:val="0"/>
      <w:marRight w:val="0"/>
      <w:marTop w:val="160"/>
      <w:marBottom w:val="160"/>
      <w:divBdr>
        <w:top w:val="none" w:sz="0" w:space="0" w:color="auto"/>
        <w:left w:val="none" w:sz="0" w:space="0" w:color="auto"/>
        <w:bottom w:val="none" w:sz="0" w:space="0" w:color="auto"/>
        <w:right w:val="none" w:sz="0" w:space="0" w:color="auto"/>
      </w:divBdr>
    </w:div>
    <w:div w:id="1546484614">
      <w:marLeft w:val="0"/>
      <w:marRight w:val="0"/>
      <w:marTop w:val="160"/>
      <w:marBottom w:val="160"/>
      <w:divBdr>
        <w:top w:val="none" w:sz="0" w:space="0" w:color="auto"/>
        <w:left w:val="none" w:sz="0" w:space="0" w:color="auto"/>
        <w:bottom w:val="none" w:sz="0" w:space="0" w:color="auto"/>
        <w:right w:val="none" w:sz="0" w:space="0" w:color="auto"/>
      </w:divBdr>
    </w:div>
    <w:div w:id="1550728856">
      <w:marLeft w:val="0"/>
      <w:marRight w:val="0"/>
      <w:marTop w:val="160"/>
      <w:marBottom w:val="160"/>
      <w:divBdr>
        <w:top w:val="none" w:sz="0" w:space="0" w:color="auto"/>
        <w:left w:val="none" w:sz="0" w:space="0" w:color="auto"/>
        <w:bottom w:val="none" w:sz="0" w:space="0" w:color="auto"/>
        <w:right w:val="none" w:sz="0" w:space="0" w:color="auto"/>
      </w:divBdr>
    </w:div>
    <w:div w:id="1555505784">
      <w:marLeft w:val="0"/>
      <w:marRight w:val="0"/>
      <w:marTop w:val="160"/>
      <w:marBottom w:val="160"/>
      <w:divBdr>
        <w:top w:val="none" w:sz="0" w:space="0" w:color="auto"/>
        <w:left w:val="none" w:sz="0" w:space="0" w:color="auto"/>
        <w:bottom w:val="none" w:sz="0" w:space="0" w:color="auto"/>
        <w:right w:val="none" w:sz="0" w:space="0" w:color="auto"/>
      </w:divBdr>
    </w:div>
    <w:div w:id="1557743176">
      <w:marLeft w:val="0"/>
      <w:marRight w:val="0"/>
      <w:marTop w:val="160"/>
      <w:marBottom w:val="160"/>
      <w:divBdr>
        <w:top w:val="none" w:sz="0" w:space="0" w:color="auto"/>
        <w:left w:val="none" w:sz="0" w:space="0" w:color="auto"/>
        <w:bottom w:val="none" w:sz="0" w:space="0" w:color="auto"/>
        <w:right w:val="none" w:sz="0" w:space="0" w:color="auto"/>
      </w:divBdr>
    </w:div>
    <w:div w:id="1569413434">
      <w:marLeft w:val="0"/>
      <w:marRight w:val="0"/>
      <w:marTop w:val="160"/>
      <w:marBottom w:val="160"/>
      <w:divBdr>
        <w:top w:val="none" w:sz="0" w:space="0" w:color="auto"/>
        <w:left w:val="none" w:sz="0" w:space="0" w:color="auto"/>
        <w:bottom w:val="none" w:sz="0" w:space="0" w:color="auto"/>
        <w:right w:val="none" w:sz="0" w:space="0" w:color="auto"/>
      </w:divBdr>
    </w:div>
    <w:div w:id="1578516386">
      <w:marLeft w:val="0"/>
      <w:marRight w:val="0"/>
      <w:marTop w:val="160"/>
      <w:marBottom w:val="160"/>
      <w:divBdr>
        <w:top w:val="none" w:sz="0" w:space="0" w:color="auto"/>
        <w:left w:val="none" w:sz="0" w:space="0" w:color="auto"/>
        <w:bottom w:val="none" w:sz="0" w:space="0" w:color="auto"/>
        <w:right w:val="none" w:sz="0" w:space="0" w:color="auto"/>
      </w:divBdr>
    </w:div>
    <w:div w:id="1580478988">
      <w:marLeft w:val="0"/>
      <w:marRight w:val="0"/>
      <w:marTop w:val="60"/>
      <w:marBottom w:val="0"/>
      <w:divBdr>
        <w:top w:val="none" w:sz="0" w:space="0" w:color="auto"/>
        <w:left w:val="none" w:sz="0" w:space="0" w:color="auto"/>
        <w:bottom w:val="none" w:sz="0" w:space="0" w:color="auto"/>
        <w:right w:val="none" w:sz="0" w:space="0" w:color="auto"/>
      </w:divBdr>
    </w:div>
    <w:div w:id="1588075304">
      <w:marLeft w:val="0"/>
      <w:marRight w:val="0"/>
      <w:marTop w:val="160"/>
      <w:marBottom w:val="160"/>
      <w:divBdr>
        <w:top w:val="none" w:sz="0" w:space="0" w:color="auto"/>
        <w:left w:val="none" w:sz="0" w:space="0" w:color="auto"/>
        <w:bottom w:val="none" w:sz="0" w:space="0" w:color="auto"/>
        <w:right w:val="none" w:sz="0" w:space="0" w:color="auto"/>
      </w:divBdr>
    </w:div>
    <w:div w:id="1588225909">
      <w:marLeft w:val="0"/>
      <w:marRight w:val="0"/>
      <w:marTop w:val="160"/>
      <w:marBottom w:val="160"/>
      <w:divBdr>
        <w:top w:val="none" w:sz="0" w:space="0" w:color="auto"/>
        <w:left w:val="none" w:sz="0" w:space="0" w:color="auto"/>
        <w:bottom w:val="none" w:sz="0" w:space="0" w:color="auto"/>
        <w:right w:val="none" w:sz="0" w:space="0" w:color="auto"/>
      </w:divBdr>
    </w:div>
    <w:div w:id="1588419023">
      <w:marLeft w:val="0"/>
      <w:marRight w:val="0"/>
      <w:marTop w:val="160"/>
      <w:marBottom w:val="160"/>
      <w:divBdr>
        <w:top w:val="none" w:sz="0" w:space="0" w:color="auto"/>
        <w:left w:val="none" w:sz="0" w:space="0" w:color="auto"/>
        <w:bottom w:val="none" w:sz="0" w:space="0" w:color="auto"/>
        <w:right w:val="none" w:sz="0" w:space="0" w:color="auto"/>
      </w:divBdr>
    </w:div>
    <w:div w:id="1589923695">
      <w:marLeft w:val="0"/>
      <w:marRight w:val="0"/>
      <w:marTop w:val="160"/>
      <w:marBottom w:val="160"/>
      <w:divBdr>
        <w:top w:val="none" w:sz="0" w:space="0" w:color="auto"/>
        <w:left w:val="none" w:sz="0" w:space="0" w:color="auto"/>
        <w:bottom w:val="none" w:sz="0" w:space="0" w:color="auto"/>
        <w:right w:val="none" w:sz="0" w:space="0" w:color="auto"/>
      </w:divBdr>
    </w:div>
    <w:div w:id="1596937291">
      <w:marLeft w:val="0"/>
      <w:marRight w:val="0"/>
      <w:marTop w:val="160"/>
      <w:marBottom w:val="160"/>
      <w:divBdr>
        <w:top w:val="none" w:sz="0" w:space="0" w:color="auto"/>
        <w:left w:val="none" w:sz="0" w:space="0" w:color="auto"/>
        <w:bottom w:val="none" w:sz="0" w:space="0" w:color="auto"/>
        <w:right w:val="none" w:sz="0" w:space="0" w:color="auto"/>
      </w:divBdr>
    </w:div>
    <w:div w:id="1599747965">
      <w:marLeft w:val="0"/>
      <w:marRight w:val="0"/>
      <w:marTop w:val="160"/>
      <w:marBottom w:val="160"/>
      <w:divBdr>
        <w:top w:val="none" w:sz="0" w:space="0" w:color="auto"/>
        <w:left w:val="none" w:sz="0" w:space="0" w:color="auto"/>
        <w:bottom w:val="none" w:sz="0" w:space="0" w:color="auto"/>
        <w:right w:val="none" w:sz="0" w:space="0" w:color="auto"/>
      </w:divBdr>
    </w:div>
    <w:div w:id="1601832723">
      <w:marLeft w:val="0"/>
      <w:marRight w:val="0"/>
      <w:marTop w:val="0"/>
      <w:marBottom w:val="0"/>
      <w:divBdr>
        <w:top w:val="none" w:sz="0" w:space="0" w:color="auto"/>
        <w:left w:val="none" w:sz="0" w:space="0" w:color="auto"/>
        <w:bottom w:val="none" w:sz="0" w:space="0" w:color="auto"/>
        <w:right w:val="none" w:sz="0" w:space="0" w:color="auto"/>
      </w:divBdr>
      <w:divsChild>
        <w:div w:id="1129397091">
          <w:marLeft w:val="0"/>
          <w:marRight w:val="0"/>
          <w:marTop w:val="0"/>
          <w:marBottom w:val="0"/>
          <w:divBdr>
            <w:top w:val="none" w:sz="0" w:space="0" w:color="auto"/>
            <w:left w:val="none" w:sz="0" w:space="0" w:color="auto"/>
            <w:bottom w:val="none" w:sz="0" w:space="0" w:color="auto"/>
            <w:right w:val="none" w:sz="0" w:space="0" w:color="auto"/>
          </w:divBdr>
        </w:div>
      </w:divsChild>
    </w:div>
    <w:div w:id="1602296933">
      <w:marLeft w:val="0"/>
      <w:marRight w:val="0"/>
      <w:marTop w:val="160"/>
      <w:marBottom w:val="160"/>
      <w:divBdr>
        <w:top w:val="none" w:sz="0" w:space="0" w:color="auto"/>
        <w:left w:val="none" w:sz="0" w:space="0" w:color="auto"/>
        <w:bottom w:val="none" w:sz="0" w:space="0" w:color="auto"/>
        <w:right w:val="none" w:sz="0" w:space="0" w:color="auto"/>
      </w:divBdr>
    </w:div>
    <w:div w:id="1603142620">
      <w:marLeft w:val="0"/>
      <w:marRight w:val="0"/>
      <w:marTop w:val="160"/>
      <w:marBottom w:val="160"/>
      <w:divBdr>
        <w:top w:val="none" w:sz="0" w:space="0" w:color="auto"/>
        <w:left w:val="none" w:sz="0" w:space="0" w:color="auto"/>
        <w:bottom w:val="none" w:sz="0" w:space="0" w:color="auto"/>
        <w:right w:val="none" w:sz="0" w:space="0" w:color="auto"/>
      </w:divBdr>
    </w:div>
    <w:div w:id="1607612210">
      <w:marLeft w:val="0"/>
      <w:marRight w:val="0"/>
      <w:marTop w:val="0"/>
      <w:marBottom w:val="0"/>
      <w:divBdr>
        <w:top w:val="none" w:sz="0" w:space="0" w:color="auto"/>
        <w:left w:val="none" w:sz="0" w:space="0" w:color="auto"/>
        <w:bottom w:val="none" w:sz="0" w:space="0" w:color="auto"/>
        <w:right w:val="none" w:sz="0" w:space="0" w:color="auto"/>
      </w:divBdr>
      <w:divsChild>
        <w:div w:id="470288247">
          <w:marLeft w:val="0"/>
          <w:marRight w:val="0"/>
          <w:marTop w:val="0"/>
          <w:marBottom w:val="0"/>
          <w:divBdr>
            <w:top w:val="none" w:sz="0" w:space="0" w:color="auto"/>
            <w:left w:val="none" w:sz="0" w:space="0" w:color="auto"/>
            <w:bottom w:val="none" w:sz="0" w:space="0" w:color="auto"/>
            <w:right w:val="none" w:sz="0" w:space="0" w:color="auto"/>
          </w:divBdr>
        </w:div>
      </w:divsChild>
    </w:div>
    <w:div w:id="1613325088">
      <w:marLeft w:val="0"/>
      <w:marRight w:val="0"/>
      <w:marTop w:val="0"/>
      <w:marBottom w:val="0"/>
      <w:divBdr>
        <w:top w:val="none" w:sz="0" w:space="0" w:color="auto"/>
        <w:left w:val="none" w:sz="0" w:space="0" w:color="auto"/>
        <w:bottom w:val="none" w:sz="0" w:space="0" w:color="auto"/>
        <w:right w:val="none" w:sz="0" w:space="0" w:color="auto"/>
      </w:divBdr>
    </w:div>
    <w:div w:id="1616789490">
      <w:marLeft w:val="0"/>
      <w:marRight w:val="0"/>
      <w:marTop w:val="160"/>
      <w:marBottom w:val="160"/>
      <w:divBdr>
        <w:top w:val="none" w:sz="0" w:space="0" w:color="auto"/>
        <w:left w:val="none" w:sz="0" w:space="0" w:color="auto"/>
        <w:bottom w:val="none" w:sz="0" w:space="0" w:color="auto"/>
        <w:right w:val="none" w:sz="0" w:space="0" w:color="auto"/>
      </w:divBdr>
    </w:div>
    <w:div w:id="1622490294">
      <w:marLeft w:val="0"/>
      <w:marRight w:val="0"/>
      <w:marTop w:val="160"/>
      <w:marBottom w:val="160"/>
      <w:divBdr>
        <w:top w:val="none" w:sz="0" w:space="0" w:color="auto"/>
        <w:left w:val="none" w:sz="0" w:space="0" w:color="auto"/>
        <w:bottom w:val="none" w:sz="0" w:space="0" w:color="auto"/>
        <w:right w:val="none" w:sz="0" w:space="0" w:color="auto"/>
      </w:divBdr>
    </w:div>
    <w:div w:id="1625308240">
      <w:marLeft w:val="0"/>
      <w:marRight w:val="0"/>
      <w:marTop w:val="0"/>
      <w:marBottom w:val="60"/>
      <w:divBdr>
        <w:top w:val="none" w:sz="0" w:space="0" w:color="auto"/>
        <w:left w:val="none" w:sz="0" w:space="0" w:color="auto"/>
        <w:bottom w:val="none" w:sz="0" w:space="0" w:color="auto"/>
        <w:right w:val="none" w:sz="0" w:space="0" w:color="auto"/>
      </w:divBdr>
    </w:div>
    <w:div w:id="1626615249">
      <w:marLeft w:val="0"/>
      <w:marRight w:val="0"/>
      <w:marTop w:val="0"/>
      <w:marBottom w:val="0"/>
      <w:divBdr>
        <w:top w:val="none" w:sz="0" w:space="0" w:color="auto"/>
        <w:left w:val="none" w:sz="0" w:space="0" w:color="auto"/>
        <w:bottom w:val="none" w:sz="0" w:space="0" w:color="auto"/>
        <w:right w:val="none" w:sz="0" w:space="0" w:color="auto"/>
      </w:divBdr>
      <w:divsChild>
        <w:div w:id="925847415">
          <w:marLeft w:val="0"/>
          <w:marRight w:val="0"/>
          <w:marTop w:val="160"/>
          <w:marBottom w:val="0"/>
          <w:divBdr>
            <w:top w:val="none" w:sz="0" w:space="0" w:color="auto"/>
            <w:left w:val="none" w:sz="0" w:space="0" w:color="auto"/>
            <w:bottom w:val="none" w:sz="0" w:space="0" w:color="auto"/>
            <w:right w:val="none" w:sz="0" w:space="0" w:color="auto"/>
          </w:divBdr>
        </w:div>
        <w:div w:id="871575067">
          <w:marLeft w:val="0"/>
          <w:marRight w:val="0"/>
          <w:marTop w:val="160"/>
          <w:marBottom w:val="0"/>
          <w:divBdr>
            <w:top w:val="none" w:sz="0" w:space="0" w:color="auto"/>
            <w:left w:val="none" w:sz="0" w:space="0" w:color="auto"/>
            <w:bottom w:val="none" w:sz="0" w:space="0" w:color="auto"/>
            <w:right w:val="none" w:sz="0" w:space="0" w:color="auto"/>
          </w:divBdr>
        </w:div>
        <w:div w:id="1169295270">
          <w:marLeft w:val="0"/>
          <w:marRight w:val="0"/>
          <w:marTop w:val="160"/>
          <w:marBottom w:val="160"/>
          <w:divBdr>
            <w:top w:val="none" w:sz="0" w:space="0" w:color="auto"/>
            <w:left w:val="none" w:sz="0" w:space="0" w:color="auto"/>
            <w:bottom w:val="none" w:sz="0" w:space="0" w:color="auto"/>
            <w:right w:val="none" w:sz="0" w:space="0" w:color="auto"/>
          </w:divBdr>
        </w:div>
        <w:div w:id="1950624988">
          <w:marLeft w:val="0"/>
          <w:marRight w:val="0"/>
          <w:marTop w:val="160"/>
          <w:marBottom w:val="160"/>
          <w:divBdr>
            <w:top w:val="none" w:sz="0" w:space="0" w:color="auto"/>
            <w:left w:val="none" w:sz="0" w:space="0" w:color="auto"/>
            <w:bottom w:val="none" w:sz="0" w:space="0" w:color="auto"/>
            <w:right w:val="none" w:sz="0" w:space="0" w:color="auto"/>
          </w:divBdr>
        </w:div>
        <w:div w:id="2123838950">
          <w:marLeft w:val="0"/>
          <w:marRight w:val="0"/>
          <w:marTop w:val="160"/>
          <w:marBottom w:val="160"/>
          <w:divBdr>
            <w:top w:val="none" w:sz="0" w:space="0" w:color="auto"/>
            <w:left w:val="none" w:sz="0" w:space="0" w:color="auto"/>
            <w:bottom w:val="none" w:sz="0" w:space="0" w:color="auto"/>
            <w:right w:val="none" w:sz="0" w:space="0" w:color="auto"/>
          </w:divBdr>
        </w:div>
      </w:divsChild>
    </w:div>
    <w:div w:id="1631596451">
      <w:marLeft w:val="0"/>
      <w:marRight w:val="0"/>
      <w:marTop w:val="160"/>
      <w:marBottom w:val="160"/>
      <w:divBdr>
        <w:top w:val="none" w:sz="0" w:space="0" w:color="auto"/>
        <w:left w:val="none" w:sz="0" w:space="0" w:color="auto"/>
        <w:bottom w:val="none" w:sz="0" w:space="0" w:color="auto"/>
        <w:right w:val="none" w:sz="0" w:space="0" w:color="auto"/>
      </w:divBdr>
    </w:div>
    <w:div w:id="1632050135">
      <w:marLeft w:val="0"/>
      <w:marRight w:val="0"/>
      <w:marTop w:val="160"/>
      <w:marBottom w:val="160"/>
      <w:divBdr>
        <w:top w:val="none" w:sz="0" w:space="0" w:color="auto"/>
        <w:left w:val="none" w:sz="0" w:space="0" w:color="auto"/>
        <w:bottom w:val="none" w:sz="0" w:space="0" w:color="auto"/>
        <w:right w:val="none" w:sz="0" w:space="0" w:color="auto"/>
      </w:divBdr>
    </w:div>
    <w:div w:id="1635867285">
      <w:marLeft w:val="0"/>
      <w:marRight w:val="0"/>
      <w:marTop w:val="160"/>
      <w:marBottom w:val="40"/>
      <w:divBdr>
        <w:top w:val="none" w:sz="0" w:space="0" w:color="auto"/>
        <w:left w:val="none" w:sz="0" w:space="0" w:color="auto"/>
        <w:bottom w:val="none" w:sz="0" w:space="0" w:color="auto"/>
        <w:right w:val="none" w:sz="0" w:space="0" w:color="auto"/>
      </w:divBdr>
    </w:div>
    <w:div w:id="1638100497">
      <w:marLeft w:val="0"/>
      <w:marRight w:val="0"/>
      <w:marTop w:val="160"/>
      <w:marBottom w:val="160"/>
      <w:divBdr>
        <w:top w:val="none" w:sz="0" w:space="0" w:color="auto"/>
        <w:left w:val="none" w:sz="0" w:space="0" w:color="auto"/>
        <w:bottom w:val="none" w:sz="0" w:space="0" w:color="auto"/>
        <w:right w:val="none" w:sz="0" w:space="0" w:color="auto"/>
      </w:divBdr>
    </w:div>
    <w:div w:id="1648319393">
      <w:marLeft w:val="0"/>
      <w:marRight w:val="0"/>
      <w:marTop w:val="160"/>
      <w:marBottom w:val="160"/>
      <w:divBdr>
        <w:top w:val="none" w:sz="0" w:space="0" w:color="auto"/>
        <w:left w:val="none" w:sz="0" w:space="0" w:color="auto"/>
        <w:bottom w:val="none" w:sz="0" w:space="0" w:color="auto"/>
        <w:right w:val="none" w:sz="0" w:space="0" w:color="auto"/>
      </w:divBdr>
    </w:div>
    <w:div w:id="1650209552">
      <w:marLeft w:val="0"/>
      <w:marRight w:val="0"/>
      <w:marTop w:val="160"/>
      <w:marBottom w:val="160"/>
      <w:divBdr>
        <w:top w:val="none" w:sz="0" w:space="0" w:color="auto"/>
        <w:left w:val="none" w:sz="0" w:space="0" w:color="auto"/>
        <w:bottom w:val="none" w:sz="0" w:space="0" w:color="auto"/>
        <w:right w:val="none" w:sz="0" w:space="0" w:color="auto"/>
      </w:divBdr>
    </w:div>
    <w:div w:id="1651670973">
      <w:marLeft w:val="0"/>
      <w:marRight w:val="0"/>
      <w:marTop w:val="160"/>
      <w:marBottom w:val="160"/>
      <w:divBdr>
        <w:top w:val="none" w:sz="0" w:space="0" w:color="auto"/>
        <w:left w:val="none" w:sz="0" w:space="0" w:color="auto"/>
        <w:bottom w:val="none" w:sz="0" w:space="0" w:color="auto"/>
        <w:right w:val="none" w:sz="0" w:space="0" w:color="auto"/>
      </w:divBdr>
    </w:div>
    <w:div w:id="1652754924">
      <w:marLeft w:val="0"/>
      <w:marRight w:val="0"/>
      <w:marTop w:val="0"/>
      <w:marBottom w:val="0"/>
      <w:divBdr>
        <w:top w:val="none" w:sz="0" w:space="0" w:color="auto"/>
        <w:left w:val="none" w:sz="0" w:space="0" w:color="auto"/>
        <w:bottom w:val="none" w:sz="0" w:space="0" w:color="auto"/>
        <w:right w:val="none" w:sz="0" w:space="0" w:color="auto"/>
      </w:divBdr>
      <w:divsChild>
        <w:div w:id="1212619999">
          <w:marLeft w:val="0"/>
          <w:marRight w:val="0"/>
          <w:marTop w:val="160"/>
          <w:marBottom w:val="160"/>
          <w:divBdr>
            <w:top w:val="none" w:sz="0" w:space="0" w:color="auto"/>
            <w:left w:val="none" w:sz="0" w:space="0" w:color="auto"/>
            <w:bottom w:val="none" w:sz="0" w:space="0" w:color="auto"/>
            <w:right w:val="none" w:sz="0" w:space="0" w:color="auto"/>
          </w:divBdr>
        </w:div>
        <w:div w:id="621226539">
          <w:marLeft w:val="0"/>
          <w:marRight w:val="0"/>
          <w:marTop w:val="160"/>
          <w:marBottom w:val="160"/>
          <w:divBdr>
            <w:top w:val="none" w:sz="0" w:space="0" w:color="auto"/>
            <w:left w:val="none" w:sz="0" w:space="0" w:color="auto"/>
            <w:bottom w:val="none" w:sz="0" w:space="0" w:color="auto"/>
            <w:right w:val="none" w:sz="0" w:space="0" w:color="auto"/>
          </w:divBdr>
        </w:div>
        <w:div w:id="1058287520">
          <w:marLeft w:val="0"/>
          <w:marRight w:val="0"/>
          <w:marTop w:val="160"/>
          <w:marBottom w:val="160"/>
          <w:divBdr>
            <w:top w:val="none" w:sz="0" w:space="0" w:color="auto"/>
            <w:left w:val="none" w:sz="0" w:space="0" w:color="auto"/>
            <w:bottom w:val="none" w:sz="0" w:space="0" w:color="auto"/>
            <w:right w:val="none" w:sz="0" w:space="0" w:color="auto"/>
          </w:divBdr>
        </w:div>
        <w:div w:id="286471777">
          <w:marLeft w:val="0"/>
          <w:marRight w:val="0"/>
          <w:marTop w:val="160"/>
          <w:marBottom w:val="160"/>
          <w:divBdr>
            <w:top w:val="none" w:sz="0" w:space="0" w:color="auto"/>
            <w:left w:val="none" w:sz="0" w:space="0" w:color="auto"/>
            <w:bottom w:val="none" w:sz="0" w:space="0" w:color="auto"/>
            <w:right w:val="none" w:sz="0" w:space="0" w:color="auto"/>
          </w:divBdr>
        </w:div>
        <w:div w:id="990014983">
          <w:marLeft w:val="0"/>
          <w:marRight w:val="0"/>
          <w:marTop w:val="160"/>
          <w:marBottom w:val="160"/>
          <w:divBdr>
            <w:top w:val="none" w:sz="0" w:space="0" w:color="auto"/>
            <w:left w:val="none" w:sz="0" w:space="0" w:color="auto"/>
            <w:bottom w:val="none" w:sz="0" w:space="0" w:color="auto"/>
            <w:right w:val="none" w:sz="0" w:space="0" w:color="auto"/>
          </w:divBdr>
        </w:div>
        <w:div w:id="623344921">
          <w:marLeft w:val="0"/>
          <w:marRight w:val="0"/>
          <w:marTop w:val="0"/>
          <w:marBottom w:val="0"/>
          <w:divBdr>
            <w:top w:val="none" w:sz="0" w:space="0" w:color="auto"/>
            <w:left w:val="none" w:sz="0" w:space="0" w:color="auto"/>
            <w:bottom w:val="none" w:sz="0" w:space="0" w:color="auto"/>
            <w:right w:val="none" w:sz="0" w:space="0" w:color="auto"/>
          </w:divBdr>
        </w:div>
      </w:divsChild>
    </w:div>
    <w:div w:id="1655909854">
      <w:marLeft w:val="0"/>
      <w:marRight w:val="0"/>
      <w:marTop w:val="160"/>
      <w:marBottom w:val="160"/>
      <w:divBdr>
        <w:top w:val="none" w:sz="0" w:space="0" w:color="auto"/>
        <w:left w:val="none" w:sz="0" w:space="0" w:color="auto"/>
        <w:bottom w:val="none" w:sz="0" w:space="0" w:color="auto"/>
        <w:right w:val="none" w:sz="0" w:space="0" w:color="auto"/>
      </w:divBdr>
    </w:div>
    <w:div w:id="1657032489">
      <w:marLeft w:val="0"/>
      <w:marRight w:val="0"/>
      <w:marTop w:val="160"/>
      <w:marBottom w:val="160"/>
      <w:divBdr>
        <w:top w:val="none" w:sz="0" w:space="0" w:color="auto"/>
        <w:left w:val="none" w:sz="0" w:space="0" w:color="auto"/>
        <w:bottom w:val="none" w:sz="0" w:space="0" w:color="auto"/>
        <w:right w:val="none" w:sz="0" w:space="0" w:color="auto"/>
      </w:divBdr>
    </w:div>
    <w:div w:id="1665820768">
      <w:marLeft w:val="0"/>
      <w:marRight w:val="0"/>
      <w:marTop w:val="160"/>
      <w:marBottom w:val="160"/>
      <w:divBdr>
        <w:top w:val="none" w:sz="0" w:space="0" w:color="auto"/>
        <w:left w:val="none" w:sz="0" w:space="0" w:color="auto"/>
        <w:bottom w:val="none" w:sz="0" w:space="0" w:color="auto"/>
        <w:right w:val="none" w:sz="0" w:space="0" w:color="auto"/>
      </w:divBdr>
    </w:div>
    <w:div w:id="1673797955">
      <w:marLeft w:val="0"/>
      <w:marRight w:val="0"/>
      <w:marTop w:val="160"/>
      <w:marBottom w:val="160"/>
      <w:divBdr>
        <w:top w:val="none" w:sz="0" w:space="0" w:color="auto"/>
        <w:left w:val="none" w:sz="0" w:space="0" w:color="auto"/>
        <w:bottom w:val="none" w:sz="0" w:space="0" w:color="auto"/>
        <w:right w:val="none" w:sz="0" w:space="0" w:color="auto"/>
      </w:divBdr>
    </w:div>
    <w:div w:id="1674649562">
      <w:marLeft w:val="0"/>
      <w:marRight w:val="0"/>
      <w:marTop w:val="160"/>
      <w:marBottom w:val="160"/>
      <w:divBdr>
        <w:top w:val="none" w:sz="0" w:space="0" w:color="auto"/>
        <w:left w:val="none" w:sz="0" w:space="0" w:color="auto"/>
        <w:bottom w:val="none" w:sz="0" w:space="0" w:color="auto"/>
        <w:right w:val="none" w:sz="0" w:space="0" w:color="auto"/>
      </w:divBdr>
    </w:div>
    <w:div w:id="1675954897">
      <w:marLeft w:val="0"/>
      <w:marRight w:val="0"/>
      <w:marTop w:val="160"/>
      <w:marBottom w:val="160"/>
      <w:divBdr>
        <w:top w:val="none" w:sz="0" w:space="0" w:color="auto"/>
        <w:left w:val="none" w:sz="0" w:space="0" w:color="auto"/>
        <w:bottom w:val="none" w:sz="0" w:space="0" w:color="auto"/>
        <w:right w:val="none" w:sz="0" w:space="0" w:color="auto"/>
      </w:divBdr>
    </w:div>
    <w:div w:id="1678656668">
      <w:marLeft w:val="0"/>
      <w:marRight w:val="0"/>
      <w:marTop w:val="0"/>
      <w:marBottom w:val="0"/>
      <w:divBdr>
        <w:top w:val="none" w:sz="0" w:space="0" w:color="auto"/>
        <w:left w:val="none" w:sz="0" w:space="0" w:color="auto"/>
        <w:bottom w:val="none" w:sz="0" w:space="0" w:color="auto"/>
        <w:right w:val="none" w:sz="0" w:space="0" w:color="auto"/>
      </w:divBdr>
      <w:divsChild>
        <w:div w:id="1486969241">
          <w:marLeft w:val="0"/>
          <w:marRight w:val="0"/>
          <w:marTop w:val="0"/>
          <w:marBottom w:val="0"/>
          <w:divBdr>
            <w:top w:val="none" w:sz="0" w:space="0" w:color="auto"/>
            <w:left w:val="none" w:sz="0" w:space="0" w:color="auto"/>
            <w:bottom w:val="none" w:sz="0" w:space="0" w:color="auto"/>
            <w:right w:val="none" w:sz="0" w:space="0" w:color="auto"/>
          </w:divBdr>
        </w:div>
      </w:divsChild>
    </w:div>
    <w:div w:id="1679505360">
      <w:marLeft w:val="0"/>
      <w:marRight w:val="0"/>
      <w:marTop w:val="160"/>
      <w:marBottom w:val="160"/>
      <w:divBdr>
        <w:top w:val="none" w:sz="0" w:space="0" w:color="auto"/>
        <w:left w:val="none" w:sz="0" w:space="0" w:color="auto"/>
        <w:bottom w:val="none" w:sz="0" w:space="0" w:color="auto"/>
        <w:right w:val="none" w:sz="0" w:space="0" w:color="auto"/>
      </w:divBdr>
    </w:div>
    <w:div w:id="1685594468">
      <w:marLeft w:val="0"/>
      <w:marRight w:val="0"/>
      <w:marTop w:val="160"/>
      <w:marBottom w:val="160"/>
      <w:divBdr>
        <w:top w:val="none" w:sz="0" w:space="0" w:color="auto"/>
        <w:left w:val="none" w:sz="0" w:space="0" w:color="auto"/>
        <w:bottom w:val="none" w:sz="0" w:space="0" w:color="auto"/>
        <w:right w:val="none" w:sz="0" w:space="0" w:color="auto"/>
      </w:divBdr>
      <w:divsChild>
        <w:div w:id="514154758">
          <w:marLeft w:val="0"/>
          <w:marRight w:val="0"/>
          <w:marTop w:val="0"/>
          <w:marBottom w:val="0"/>
          <w:divBdr>
            <w:top w:val="none" w:sz="0" w:space="0" w:color="auto"/>
            <w:left w:val="none" w:sz="0" w:space="0" w:color="auto"/>
            <w:bottom w:val="none" w:sz="0" w:space="0" w:color="auto"/>
            <w:right w:val="none" w:sz="0" w:space="0" w:color="auto"/>
          </w:divBdr>
        </w:div>
        <w:div w:id="1077829227">
          <w:marLeft w:val="0"/>
          <w:marRight w:val="0"/>
          <w:marTop w:val="0"/>
          <w:marBottom w:val="0"/>
          <w:divBdr>
            <w:top w:val="none" w:sz="0" w:space="0" w:color="auto"/>
            <w:left w:val="none" w:sz="0" w:space="0" w:color="auto"/>
            <w:bottom w:val="none" w:sz="0" w:space="0" w:color="auto"/>
            <w:right w:val="none" w:sz="0" w:space="0" w:color="auto"/>
          </w:divBdr>
        </w:div>
        <w:div w:id="1267732267">
          <w:marLeft w:val="0"/>
          <w:marRight w:val="0"/>
          <w:marTop w:val="0"/>
          <w:marBottom w:val="0"/>
          <w:divBdr>
            <w:top w:val="none" w:sz="0" w:space="0" w:color="auto"/>
            <w:left w:val="none" w:sz="0" w:space="0" w:color="auto"/>
            <w:bottom w:val="none" w:sz="0" w:space="0" w:color="auto"/>
            <w:right w:val="none" w:sz="0" w:space="0" w:color="auto"/>
          </w:divBdr>
        </w:div>
        <w:div w:id="2041472353">
          <w:marLeft w:val="0"/>
          <w:marRight w:val="0"/>
          <w:marTop w:val="0"/>
          <w:marBottom w:val="0"/>
          <w:divBdr>
            <w:top w:val="none" w:sz="0" w:space="0" w:color="auto"/>
            <w:left w:val="none" w:sz="0" w:space="0" w:color="auto"/>
            <w:bottom w:val="none" w:sz="0" w:space="0" w:color="auto"/>
            <w:right w:val="none" w:sz="0" w:space="0" w:color="auto"/>
          </w:divBdr>
        </w:div>
        <w:div w:id="1874884096">
          <w:marLeft w:val="0"/>
          <w:marRight w:val="0"/>
          <w:marTop w:val="0"/>
          <w:marBottom w:val="0"/>
          <w:divBdr>
            <w:top w:val="none" w:sz="0" w:space="0" w:color="auto"/>
            <w:left w:val="none" w:sz="0" w:space="0" w:color="auto"/>
            <w:bottom w:val="none" w:sz="0" w:space="0" w:color="auto"/>
            <w:right w:val="none" w:sz="0" w:space="0" w:color="auto"/>
          </w:divBdr>
        </w:div>
        <w:div w:id="361053727">
          <w:marLeft w:val="0"/>
          <w:marRight w:val="0"/>
          <w:marTop w:val="0"/>
          <w:marBottom w:val="0"/>
          <w:divBdr>
            <w:top w:val="none" w:sz="0" w:space="0" w:color="auto"/>
            <w:left w:val="none" w:sz="0" w:space="0" w:color="auto"/>
            <w:bottom w:val="none" w:sz="0" w:space="0" w:color="auto"/>
            <w:right w:val="none" w:sz="0" w:space="0" w:color="auto"/>
          </w:divBdr>
        </w:div>
        <w:div w:id="1289357078">
          <w:marLeft w:val="0"/>
          <w:marRight w:val="0"/>
          <w:marTop w:val="0"/>
          <w:marBottom w:val="0"/>
          <w:divBdr>
            <w:top w:val="none" w:sz="0" w:space="0" w:color="auto"/>
            <w:left w:val="none" w:sz="0" w:space="0" w:color="auto"/>
            <w:bottom w:val="none" w:sz="0" w:space="0" w:color="auto"/>
            <w:right w:val="none" w:sz="0" w:space="0" w:color="auto"/>
          </w:divBdr>
        </w:div>
        <w:div w:id="1439830504">
          <w:marLeft w:val="0"/>
          <w:marRight w:val="0"/>
          <w:marTop w:val="0"/>
          <w:marBottom w:val="0"/>
          <w:divBdr>
            <w:top w:val="none" w:sz="0" w:space="0" w:color="auto"/>
            <w:left w:val="none" w:sz="0" w:space="0" w:color="auto"/>
            <w:bottom w:val="none" w:sz="0" w:space="0" w:color="auto"/>
            <w:right w:val="none" w:sz="0" w:space="0" w:color="auto"/>
          </w:divBdr>
        </w:div>
        <w:div w:id="190067810">
          <w:marLeft w:val="0"/>
          <w:marRight w:val="0"/>
          <w:marTop w:val="0"/>
          <w:marBottom w:val="0"/>
          <w:divBdr>
            <w:top w:val="none" w:sz="0" w:space="0" w:color="auto"/>
            <w:left w:val="none" w:sz="0" w:space="0" w:color="auto"/>
            <w:bottom w:val="none" w:sz="0" w:space="0" w:color="auto"/>
            <w:right w:val="none" w:sz="0" w:space="0" w:color="auto"/>
          </w:divBdr>
        </w:div>
        <w:div w:id="877208038">
          <w:marLeft w:val="0"/>
          <w:marRight w:val="0"/>
          <w:marTop w:val="0"/>
          <w:marBottom w:val="0"/>
          <w:divBdr>
            <w:top w:val="none" w:sz="0" w:space="0" w:color="auto"/>
            <w:left w:val="none" w:sz="0" w:space="0" w:color="auto"/>
            <w:bottom w:val="none" w:sz="0" w:space="0" w:color="auto"/>
            <w:right w:val="none" w:sz="0" w:space="0" w:color="auto"/>
          </w:divBdr>
        </w:div>
        <w:div w:id="1983458128">
          <w:marLeft w:val="0"/>
          <w:marRight w:val="0"/>
          <w:marTop w:val="0"/>
          <w:marBottom w:val="0"/>
          <w:divBdr>
            <w:top w:val="none" w:sz="0" w:space="0" w:color="auto"/>
            <w:left w:val="none" w:sz="0" w:space="0" w:color="auto"/>
            <w:bottom w:val="none" w:sz="0" w:space="0" w:color="auto"/>
            <w:right w:val="none" w:sz="0" w:space="0" w:color="auto"/>
          </w:divBdr>
        </w:div>
        <w:div w:id="909076884">
          <w:marLeft w:val="0"/>
          <w:marRight w:val="0"/>
          <w:marTop w:val="0"/>
          <w:marBottom w:val="0"/>
          <w:divBdr>
            <w:top w:val="none" w:sz="0" w:space="0" w:color="auto"/>
            <w:left w:val="none" w:sz="0" w:space="0" w:color="auto"/>
            <w:bottom w:val="none" w:sz="0" w:space="0" w:color="auto"/>
            <w:right w:val="none" w:sz="0" w:space="0" w:color="auto"/>
          </w:divBdr>
        </w:div>
        <w:div w:id="1819615486">
          <w:marLeft w:val="0"/>
          <w:marRight w:val="0"/>
          <w:marTop w:val="0"/>
          <w:marBottom w:val="0"/>
          <w:divBdr>
            <w:top w:val="none" w:sz="0" w:space="0" w:color="auto"/>
            <w:left w:val="none" w:sz="0" w:space="0" w:color="auto"/>
            <w:bottom w:val="none" w:sz="0" w:space="0" w:color="auto"/>
            <w:right w:val="none" w:sz="0" w:space="0" w:color="auto"/>
          </w:divBdr>
        </w:div>
        <w:div w:id="823006749">
          <w:marLeft w:val="0"/>
          <w:marRight w:val="0"/>
          <w:marTop w:val="0"/>
          <w:marBottom w:val="0"/>
          <w:divBdr>
            <w:top w:val="none" w:sz="0" w:space="0" w:color="auto"/>
            <w:left w:val="none" w:sz="0" w:space="0" w:color="auto"/>
            <w:bottom w:val="none" w:sz="0" w:space="0" w:color="auto"/>
            <w:right w:val="none" w:sz="0" w:space="0" w:color="auto"/>
          </w:divBdr>
        </w:div>
        <w:div w:id="1575892459">
          <w:marLeft w:val="0"/>
          <w:marRight w:val="0"/>
          <w:marTop w:val="0"/>
          <w:marBottom w:val="0"/>
          <w:divBdr>
            <w:top w:val="none" w:sz="0" w:space="0" w:color="auto"/>
            <w:left w:val="none" w:sz="0" w:space="0" w:color="auto"/>
            <w:bottom w:val="none" w:sz="0" w:space="0" w:color="auto"/>
            <w:right w:val="none" w:sz="0" w:space="0" w:color="auto"/>
          </w:divBdr>
        </w:div>
        <w:div w:id="517819077">
          <w:marLeft w:val="0"/>
          <w:marRight w:val="0"/>
          <w:marTop w:val="0"/>
          <w:marBottom w:val="0"/>
          <w:divBdr>
            <w:top w:val="none" w:sz="0" w:space="0" w:color="auto"/>
            <w:left w:val="none" w:sz="0" w:space="0" w:color="auto"/>
            <w:bottom w:val="none" w:sz="0" w:space="0" w:color="auto"/>
            <w:right w:val="none" w:sz="0" w:space="0" w:color="auto"/>
          </w:divBdr>
        </w:div>
        <w:div w:id="184485785">
          <w:marLeft w:val="0"/>
          <w:marRight w:val="0"/>
          <w:marTop w:val="0"/>
          <w:marBottom w:val="0"/>
          <w:divBdr>
            <w:top w:val="none" w:sz="0" w:space="0" w:color="auto"/>
            <w:left w:val="none" w:sz="0" w:space="0" w:color="auto"/>
            <w:bottom w:val="none" w:sz="0" w:space="0" w:color="auto"/>
            <w:right w:val="none" w:sz="0" w:space="0" w:color="auto"/>
          </w:divBdr>
        </w:div>
        <w:div w:id="1966613797">
          <w:marLeft w:val="0"/>
          <w:marRight w:val="0"/>
          <w:marTop w:val="0"/>
          <w:marBottom w:val="0"/>
          <w:divBdr>
            <w:top w:val="none" w:sz="0" w:space="0" w:color="auto"/>
            <w:left w:val="none" w:sz="0" w:space="0" w:color="auto"/>
            <w:bottom w:val="none" w:sz="0" w:space="0" w:color="auto"/>
            <w:right w:val="none" w:sz="0" w:space="0" w:color="auto"/>
          </w:divBdr>
        </w:div>
        <w:div w:id="432090701">
          <w:marLeft w:val="0"/>
          <w:marRight w:val="0"/>
          <w:marTop w:val="0"/>
          <w:marBottom w:val="0"/>
          <w:divBdr>
            <w:top w:val="none" w:sz="0" w:space="0" w:color="auto"/>
            <w:left w:val="none" w:sz="0" w:space="0" w:color="auto"/>
            <w:bottom w:val="none" w:sz="0" w:space="0" w:color="auto"/>
            <w:right w:val="none" w:sz="0" w:space="0" w:color="auto"/>
          </w:divBdr>
        </w:div>
        <w:div w:id="1170296271">
          <w:marLeft w:val="0"/>
          <w:marRight w:val="0"/>
          <w:marTop w:val="0"/>
          <w:marBottom w:val="0"/>
          <w:divBdr>
            <w:top w:val="none" w:sz="0" w:space="0" w:color="auto"/>
            <w:left w:val="none" w:sz="0" w:space="0" w:color="auto"/>
            <w:bottom w:val="none" w:sz="0" w:space="0" w:color="auto"/>
            <w:right w:val="none" w:sz="0" w:space="0" w:color="auto"/>
          </w:divBdr>
        </w:div>
        <w:div w:id="419644890">
          <w:marLeft w:val="0"/>
          <w:marRight w:val="0"/>
          <w:marTop w:val="0"/>
          <w:marBottom w:val="0"/>
          <w:divBdr>
            <w:top w:val="none" w:sz="0" w:space="0" w:color="auto"/>
            <w:left w:val="none" w:sz="0" w:space="0" w:color="auto"/>
            <w:bottom w:val="none" w:sz="0" w:space="0" w:color="auto"/>
            <w:right w:val="none" w:sz="0" w:space="0" w:color="auto"/>
          </w:divBdr>
        </w:div>
        <w:div w:id="1358771356">
          <w:marLeft w:val="0"/>
          <w:marRight w:val="0"/>
          <w:marTop w:val="0"/>
          <w:marBottom w:val="0"/>
          <w:divBdr>
            <w:top w:val="none" w:sz="0" w:space="0" w:color="auto"/>
            <w:left w:val="none" w:sz="0" w:space="0" w:color="auto"/>
            <w:bottom w:val="none" w:sz="0" w:space="0" w:color="auto"/>
            <w:right w:val="none" w:sz="0" w:space="0" w:color="auto"/>
          </w:divBdr>
        </w:div>
        <w:div w:id="1273516724">
          <w:marLeft w:val="0"/>
          <w:marRight w:val="0"/>
          <w:marTop w:val="0"/>
          <w:marBottom w:val="0"/>
          <w:divBdr>
            <w:top w:val="none" w:sz="0" w:space="0" w:color="auto"/>
            <w:left w:val="none" w:sz="0" w:space="0" w:color="auto"/>
            <w:bottom w:val="none" w:sz="0" w:space="0" w:color="auto"/>
            <w:right w:val="none" w:sz="0" w:space="0" w:color="auto"/>
          </w:divBdr>
        </w:div>
        <w:div w:id="1732999623">
          <w:marLeft w:val="0"/>
          <w:marRight w:val="0"/>
          <w:marTop w:val="0"/>
          <w:marBottom w:val="0"/>
          <w:divBdr>
            <w:top w:val="none" w:sz="0" w:space="0" w:color="auto"/>
            <w:left w:val="none" w:sz="0" w:space="0" w:color="auto"/>
            <w:bottom w:val="none" w:sz="0" w:space="0" w:color="auto"/>
            <w:right w:val="none" w:sz="0" w:space="0" w:color="auto"/>
          </w:divBdr>
        </w:div>
        <w:div w:id="21396182">
          <w:marLeft w:val="0"/>
          <w:marRight w:val="0"/>
          <w:marTop w:val="0"/>
          <w:marBottom w:val="0"/>
          <w:divBdr>
            <w:top w:val="none" w:sz="0" w:space="0" w:color="auto"/>
            <w:left w:val="none" w:sz="0" w:space="0" w:color="auto"/>
            <w:bottom w:val="none" w:sz="0" w:space="0" w:color="auto"/>
            <w:right w:val="none" w:sz="0" w:space="0" w:color="auto"/>
          </w:divBdr>
        </w:div>
        <w:div w:id="263730311">
          <w:marLeft w:val="0"/>
          <w:marRight w:val="0"/>
          <w:marTop w:val="0"/>
          <w:marBottom w:val="0"/>
          <w:divBdr>
            <w:top w:val="none" w:sz="0" w:space="0" w:color="auto"/>
            <w:left w:val="none" w:sz="0" w:space="0" w:color="auto"/>
            <w:bottom w:val="none" w:sz="0" w:space="0" w:color="auto"/>
            <w:right w:val="none" w:sz="0" w:space="0" w:color="auto"/>
          </w:divBdr>
        </w:div>
        <w:div w:id="757096459">
          <w:marLeft w:val="0"/>
          <w:marRight w:val="0"/>
          <w:marTop w:val="0"/>
          <w:marBottom w:val="0"/>
          <w:divBdr>
            <w:top w:val="none" w:sz="0" w:space="0" w:color="auto"/>
            <w:left w:val="none" w:sz="0" w:space="0" w:color="auto"/>
            <w:bottom w:val="none" w:sz="0" w:space="0" w:color="auto"/>
            <w:right w:val="none" w:sz="0" w:space="0" w:color="auto"/>
          </w:divBdr>
        </w:div>
        <w:div w:id="931551961">
          <w:marLeft w:val="0"/>
          <w:marRight w:val="0"/>
          <w:marTop w:val="0"/>
          <w:marBottom w:val="0"/>
          <w:divBdr>
            <w:top w:val="none" w:sz="0" w:space="0" w:color="auto"/>
            <w:left w:val="none" w:sz="0" w:space="0" w:color="auto"/>
            <w:bottom w:val="none" w:sz="0" w:space="0" w:color="auto"/>
            <w:right w:val="none" w:sz="0" w:space="0" w:color="auto"/>
          </w:divBdr>
        </w:div>
        <w:div w:id="1338996125">
          <w:marLeft w:val="0"/>
          <w:marRight w:val="0"/>
          <w:marTop w:val="0"/>
          <w:marBottom w:val="0"/>
          <w:divBdr>
            <w:top w:val="none" w:sz="0" w:space="0" w:color="auto"/>
            <w:left w:val="none" w:sz="0" w:space="0" w:color="auto"/>
            <w:bottom w:val="none" w:sz="0" w:space="0" w:color="auto"/>
            <w:right w:val="none" w:sz="0" w:space="0" w:color="auto"/>
          </w:divBdr>
        </w:div>
      </w:divsChild>
    </w:div>
    <w:div w:id="1691253405">
      <w:marLeft w:val="0"/>
      <w:marRight w:val="0"/>
      <w:marTop w:val="160"/>
      <w:marBottom w:val="160"/>
      <w:divBdr>
        <w:top w:val="none" w:sz="0" w:space="0" w:color="auto"/>
        <w:left w:val="none" w:sz="0" w:space="0" w:color="auto"/>
        <w:bottom w:val="none" w:sz="0" w:space="0" w:color="auto"/>
        <w:right w:val="none" w:sz="0" w:space="0" w:color="auto"/>
      </w:divBdr>
    </w:div>
    <w:div w:id="1694649388">
      <w:marLeft w:val="0"/>
      <w:marRight w:val="0"/>
      <w:marTop w:val="160"/>
      <w:marBottom w:val="160"/>
      <w:divBdr>
        <w:top w:val="none" w:sz="0" w:space="0" w:color="auto"/>
        <w:left w:val="none" w:sz="0" w:space="0" w:color="auto"/>
        <w:bottom w:val="none" w:sz="0" w:space="0" w:color="auto"/>
        <w:right w:val="none" w:sz="0" w:space="0" w:color="auto"/>
      </w:divBdr>
    </w:div>
    <w:div w:id="1698047325">
      <w:marLeft w:val="0"/>
      <w:marRight w:val="0"/>
      <w:marTop w:val="0"/>
      <w:marBottom w:val="0"/>
      <w:divBdr>
        <w:top w:val="none" w:sz="0" w:space="0" w:color="auto"/>
        <w:left w:val="none" w:sz="0" w:space="0" w:color="auto"/>
        <w:bottom w:val="none" w:sz="0" w:space="0" w:color="auto"/>
        <w:right w:val="none" w:sz="0" w:space="0" w:color="auto"/>
      </w:divBdr>
      <w:divsChild>
        <w:div w:id="1799565251">
          <w:marLeft w:val="0"/>
          <w:marRight w:val="0"/>
          <w:marTop w:val="0"/>
          <w:marBottom w:val="0"/>
          <w:divBdr>
            <w:top w:val="none" w:sz="0" w:space="0" w:color="auto"/>
            <w:left w:val="none" w:sz="0" w:space="0" w:color="auto"/>
            <w:bottom w:val="none" w:sz="0" w:space="0" w:color="auto"/>
            <w:right w:val="none" w:sz="0" w:space="0" w:color="auto"/>
          </w:divBdr>
        </w:div>
      </w:divsChild>
    </w:div>
    <w:div w:id="1699575826">
      <w:marLeft w:val="0"/>
      <w:marRight w:val="0"/>
      <w:marTop w:val="160"/>
      <w:marBottom w:val="160"/>
      <w:divBdr>
        <w:top w:val="none" w:sz="0" w:space="0" w:color="auto"/>
        <w:left w:val="none" w:sz="0" w:space="0" w:color="auto"/>
        <w:bottom w:val="none" w:sz="0" w:space="0" w:color="auto"/>
        <w:right w:val="none" w:sz="0" w:space="0" w:color="auto"/>
      </w:divBdr>
    </w:div>
    <w:div w:id="1701979229">
      <w:marLeft w:val="0"/>
      <w:marRight w:val="0"/>
      <w:marTop w:val="160"/>
      <w:marBottom w:val="160"/>
      <w:divBdr>
        <w:top w:val="none" w:sz="0" w:space="0" w:color="auto"/>
        <w:left w:val="none" w:sz="0" w:space="0" w:color="auto"/>
        <w:bottom w:val="none" w:sz="0" w:space="0" w:color="auto"/>
        <w:right w:val="none" w:sz="0" w:space="0" w:color="auto"/>
      </w:divBdr>
    </w:div>
    <w:div w:id="1705517799">
      <w:marLeft w:val="0"/>
      <w:marRight w:val="0"/>
      <w:marTop w:val="160"/>
      <w:marBottom w:val="160"/>
      <w:divBdr>
        <w:top w:val="none" w:sz="0" w:space="0" w:color="auto"/>
        <w:left w:val="none" w:sz="0" w:space="0" w:color="auto"/>
        <w:bottom w:val="none" w:sz="0" w:space="0" w:color="auto"/>
        <w:right w:val="none" w:sz="0" w:space="0" w:color="auto"/>
      </w:divBdr>
    </w:div>
    <w:div w:id="1711103418">
      <w:marLeft w:val="0"/>
      <w:marRight w:val="0"/>
      <w:marTop w:val="160"/>
      <w:marBottom w:val="160"/>
      <w:divBdr>
        <w:top w:val="none" w:sz="0" w:space="0" w:color="auto"/>
        <w:left w:val="none" w:sz="0" w:space="0" w:color="auto"/>
        <w:bottom w:val="none" w:sz="0" w:space="0" w:color="auto"/>
        <w:right w:val="none" w:sz="0" w:space="0" w:color="auto"/>
      </w:divBdr>
    </w:div>
    <w:div w:id="1712850613">
      <w:marLeft w:val="0"/>
      <w:marRight w:val="0"/>
      <w:marTop w:val="60"/>
      <w:marBottom w:val="60"/>
      <w:divBdr>
        <w:top w:val="none" w:sz="0" w:space="0" w:color="auto"/>
        <w:left w:val="none" w:sz="0" w:space="0" w:color="auto"/>
        <w:bottom w:val="none" w:sz="0" w:space="0" w:color="auto"/>
        <w:right w:val="none" w:sz="0" w:space="0" w:color="auto"/>
      </w:divBdr>
    </w:div>
    <w:div w:id="1714883614">
      <w:marLeft w:val="0"/>
      <w:marRight w:val="0"/>
      <w:marTop w:val="160"/>
      <w:marBottom w:val="160"/>
      <w:divBdr>
        <w:top w:val="none" w:sz="0" w:space="0" w:color="auto"/>
        <w:left w:val="none" w:sz="0" w:space="0" w:color="auto"/>
        <w:bottom w:val="none" w:sz="0" w:space="0" w:color="auto"/>
        <w:right w:val="none" w:sz="0" w:space="0" w:color="auto"/>
      </w:divBdr>
    </w:div>
    <w:div w:id="1716194095">
      <w:marLeft w:val="0"/>
      <w:marRight w:val="0"/>
      <w:marTop w:val="0"/>
      <w:marBottom w:val="0"/>
      <w:divBdr>
        <w:top w:val="none" w:sz="0" w:space="0" w:color="auto"/>
        <w:left w:val="none" w:sz="0" w:space="0" w:color="auto"/>
        <w:bottom w:val="none" w:sz="0" w:space="0" w:color="auto"/>
        <w:right w:val="none" w:sz="0" w:space="0" w:color="auto"/>
      </w:divBdr>
      <w:divsChild>
        <w:div w:id="1640766348">
          <w:marLeft w:val="0"/>
          <w:marRight w:val="0"/>
          <w:marTop w:val="0"/>
          <w:marBottom w:val="0"/>
          <w:divBdr>
            <w:top w:val="none" w:sz="0" w:space="0" w:color="auto"/>
            <w:left w:val="none" w:sz="0" w:space="0" w:color="auto"/>
            <w:bottom w:val="none" w:sz="0" w:space="0" w:color="auto"/>
            <w:right w:val="none" w:sz="0" w:space="0" w:color="auto"/>
          </w:divBdr>
        </w:div>
      </w:divsChild>
    </w:div>
    <w:div w:id="1724671574">
      <w:marLeft w:val="0"/>
      <w:marRight w:val="0"/>
      <w:marTop w:val="160"/>
      <w:marBottom w:val="160"/>
      <w:divBdr>
        <w:top w:val="none" w:sz="0" w:space="0" w:color="auto"/>
        <w:left w:val="none" w:sz="0" w:space="0" w:color="auto"/>
        <w:bottom w:val="none" w:sz="0" w:space="0" w:color="auto"/>
        <w:right w:val="none" w:sz="0" w:space="0" w:color="auto"/>
      </w:divBdr>
    </w:div>
    <w:div w:id="1728259370">
      <w:marLeft w:val="0"/>
      <w:marRight w:val="0"/>
      <w:marTop w:val="160"/>
      <w:marBottom w:val="160"/>
      <w:divBdr>
        <w:top w:val="none" w:sz="0" w:space="0" w:color="auto"/>
        <w:left w:val="none" w:sz="0" w:space="0" w:color="auto"/>
        <w:bottom w:val="none" w:sz="0" w:space="0" w:color="auto"/>
        <w:right w:val="none" w:sz="0" w:space="0" w:color="auto"/>
      </w:divBdr>
    </w:div>
    <w:div w:id="1735469030">
      <w:marLeft w:val="0"/>
      <w:marRight w:val="0"/>
      <w:marTop w:val="160"/>
      <w:marBottom w:val="160"/>
      <w:divBdr>
        <w:top w:val="none" w:sz="0" w:space="0" w:color="auto"/>
        <w:left w:val="none" w:sz="0" w:space="0" w:color="auto"/>
        <w:bottom w:val="none" w:sz="0" w:space="0" w:color="auto"/>
        <w:right w:val="none" w:sz="0" w:space="0" w:color="auto"/>
      </w:divBdr>
    </w:div>
    <w:div w:id="1736195824">
      <w:marLeft w:val="0"/>
      <w:marRight w:val="0"/>
      <w:marTop w:val="0"/>
      <w:marBottom w:val="0"/>
      <w:divBdr>
        <w:top w:val="none" w:sz="0" w:space="0" w:color="auto"/>
        <w:left w:val="none" w:sz="0" w:space="0" w:color="auto"/>
        <w:bottom w:val="none" w:sz="0" w:space="0" w:color="auto"/>
        <w:right w:val="none" w:sz="0" w:space="0" w:color="auto"/>
      </w:divBdr>
    </w:div>
    <w:div w:id="1738823114">
      <w:marLeft w:val="0"/>
      <w:marRight w:val="0"/>
      <w:marTop w:val="0"/>
      <w:marBottom w:val="0"/>
      <w:divBdr>
        <w:top w:val="none" w:sz="0" w:space="0" w:color="auto"/>
        <w:left w:val="none" w:sz="0" w:space="0" w:color="auto"/>
        <w:bottom w:val="none" w:sz="0" w:space="0" w:color="auto"/>
        <w:right w:val="none" w:sz="0" w:space="0" w:color="auto"/>
      </w:divBdr>
      <w:divsChild>
        <w:div w:id="1679186276">
          <w:marLeft w:val="0"/>
          <w:marRight w:val="0"/>
          <w:marTop w:val="0"/>
          <w:marBottom w:val="0"/>
          <w:divBdr>
            <w:top w:val="none" w:sz="0" w:space="0" w:color="auto"/>
            <w:left w:val="none" w:sz="0" w:space="0" w:color="auto"/>
            <w:bottom w:val="none" w:sz="0" w:space="0" w:color="auto"/>
            <w:right w:val="none" w:sz="0" w:space="0" w:color="auto"/>
          </w:divBdr>
        </w:div>
      </w:divsChild>
    </w:div>
    <w:div w:id="1739816386">
      <w:marLeft w:val="0"/>
      <w:marRight w:val="0"/>
      <w:marTop w:val="0"/>
      <w:marBottom w:val="0"/>
      <w:divBdr>
        <w:top w:val="none" w:sz="0" w:space="0" w:color="auto"/>
        <w:left w:val="none" w:sz="0" w:space="0" w:color="auto"/>
        <w:bottom w:val="none" w:sz="0" w:space="0" w:color="auto"/>
        <w:right w:val="none" w:sz="0" w:space="0" w:color="auto"/>
      </w:divBdr>
      <w:divsChild>
        <w:div w:id="70008786">
          <w:marLeft w:val="0"/>
          <w:marRight w:val="0"/>
          <w:marTop w:val="0"/>
          <w:marBottom w:val="0"/>
          <w:divBdr>
            <w:top w:val="none" w:sz="0" w:space="0" w:color="auto"/>
            <w:left w:val="none" w:sz="0" w:space="0" w:color="auto"/>
            <w:bottom w:val="none" w:sz="0" w:space="0" w:color="auto"/>
            <w:right w:val="none" w:sz="0" w:space="0" w:color="auto"/>
          </w:divBdr>
        </w:div>
      </w:divsChild>
    </w:div>
    <w:div w:id="1741323456">
      <w:marLeft w:val="0"/>
      <w:marRight w:val="0"/>
      <w:marTop w:val="160"/>
      <w:marBottom w:val="160"/>
      <w:divBdr>
        <w:top w:val="none" w:sz="0" w:space="0" w:color="auto"/>
        <w:left w:val="none" w:sz="0" w:space="0" w:color="auto"/>
        <w:bottom w:val="none" w:sz="0" w:space="0" w:color="auto"/>
        <w:right w:val="none" w:sz="0" w:space="0" w:color="auto"/>
      </w:divBdr>
    </w:div>
    <w:div w:id="1742679928">
      <w:marLeft w:val="0"/>
      <w:marRight w:val="0"/>
      <w:marTop w:val="0"/>
      <w:marBottom w:val="0"/>
      <w:divBdr>
        <w:top w:val="none" w:sz="0" w:space="0" w:color="auto"/>
        <w:left w:val="none" w:sz="0" w:space="0" w:color="auto"/>
        <w:bottom w:val="none" w:sz="0" w:space="0" w:color="auto"/>
        <w:right w:val="none" w:sz="0" w:space="0" w:color="auto"/>
      </w:divBdr>
      <w:divsChild>
        <w:div w:id="1296061921">
          <w:marLeft w:val="0"/>
          <w:marRight w:val="0"/>
          <w:marTop w:val="160"/>
          <w:marBottom w:val="160"/>
          <w:divBdr>
            <w:top w:val="none" w:sz="0" w:space="0" w:color="auto"/>
            <w:left w:val="none" w:sz="0" w:space="0" w:color="auto"/>
            <w:bottom w:val="none" w:sz="0" w:space="0" w:color="auto"/>
            <w:right w:val="none" w:sz="0" w:space="0" w:color="auto"/>
          </w:divBdr>
        </w:div>
        <w:div w:id="745227558">
          <w:marLeft w:val="0"/>
          <w:marRight w:val="0"/>
          <w:marTop w:val="160"/>
          <w:marBottom w:val="160"/>
          <w:divBdr>
            <w:top w:val="none" w:sz="0" w:space="0" w:color="auto"/>
            <w:left w:val="none" w:sz="0" w:space="0" w:color="auto"/>
            <w:bottom w:val="none" w:sz="0" w:space="0" w:color="auto"/>
            <w:right w:val="none" w:sz="0" w:space="0" w:color="auto"/>
          </w:divBdr>
        </w:div>
        <w:div w:id="1826315145">
          <w:marLeft w:val="0"/>
          <w:marRight w:val="0"/>
          <w:marTop w:val="160"/>
          <w:marBottom w:val="160"/>
          <w:divBdr>
            <w:top w:val="none" w:sz="0" w:space="0" w:color="auto"/>
            <w:left w:val="none" w:sz="0" w:space="0" w:color="auto"/>
            <w:bottom w:val="none" w:sz="0" w:space="0" w:color="auto"/>
            <w:right w:val="none" w:sz="0" w:space="0" w:color="auto"/>
          </w:divBdr>
        </w:div>
        <w:div w:id="674696181">
          <w:marLeft w:val="0"/>
          <w:marRight w:val="0"/>
          <w:marTop w:val="160"/>
          <w:marBottom w:val="160"/>
          <w:divBdr>
            <w:top w:val="none" w:sz="0" w:space="0" w:color="auto"/>
            <w:left w:val="none" w:sz="0" w:space="0" w:color="auto"/>
            <w:bottom w:val="none" w:sz="0" w:space="0" w:color="auto"/>
            <w:right w:val="none" w:sz="0" w:space="0" w:color="auto"/>
          </w:divBdr>
        </w:div>
        <w:div w:id="1298073559">
          <w:marLeft w:val="0"/>
          <w:marRight w:val="0"/>
          <w:marTop w:val="160"/>
          <w:marBottom w:val="160"/>
          <w:divBdr>
            <w:top w:val="none" w:sz="0" w:space="0" w:color="auto"/>
            <w:left w:val="none" w:sz="0" w:space="0" w:color="auto"/>
            <w:bottom w:val="none" w:sz="0" w:space="0" w:color="auto"/>
            <w:right w:val="none" w:sz="0" w:space="0" w:color="auto"/>
          </w:divBdr>
        </w:div>
        <w:div w:id="1251086416">
          <w:marLeft w:val="0"/>
          <w:marRight w:val="0"/>
          <w:marTop w:val="160"/>
          <w:marBottom w:val="160"/>
          <w:divBdr>
            <w:top w:val="none" w:sz="0" w:space="0" w:color="auto"/>
            <w:left w:val="none" w:sz="0" w:space="0" w:color="auto"/>
            <w:bottom w:val="none" w:sz="0" w:space="0" w:color="auto"/>
            <w:right w:val="none" w:sz="0" w:space="0" w:color="auto"/>
          </w:divBdr>
        </w:div>
      </w:divsChild>
    </w:div>
    <w:div w:id="1744332842">
      <w:marLeft w:val="0"/>
      <w:marRight w:val="0"/>
      <w:marTop w:val="160"/>
      <w:marBottom w:val="160"/>
      <w:divBdr>
        <w:top w:val="none" w:sz="0" w:space="0" w:color="auto"/>
        <w:left w:val="none" w:sz="0" w:space="0" w:color="auto"/>
        <w:bottom w:val="none" w:sz="0" w:space="0" w:color="auto"/>
        <w:right w:val="none" w:sz="0" w:space="0" w:color="auto"/>
      </w:divBdr>
    </w:div>
    <w:div w:id="1747605697">
      <w:marLeft w:val="0"/>
      <w:marRight w:val="0"/>
      <w:marTop w:val="160"/>
      <w:marBottom w:val="160"/>
      <w:divBdr>
        <w:top w:val="none" w:sz="0" w:space="0" w:color="auto"/>
        <w:left w:val="none" w:sz="0" w:space="0" w:color="auto"/>
        <w:bottom w:val="none" w:sz="0" w:space="0" w:color="auto"/>
        <w:right w:val="none" w:sz="0" w:space="0" w:color="auto"/>
      </w:divBdr>
    </w:div>
    <w:div w:id="1747607158">
      <w:marLeft w:val="0"/>
      <w:marRight w:val="0"/>
      <w:marTop w:val="100"/>
      <w:marBottom w:val="160"/>
      <w:divBdr>
        <w:top w:val="none" w:sz="0" w:space="0" w:color="auto"/>
        <w:left w:val="none" w:sz="0" w:space="0" w:color="auto"/>
        <w:bottom w:val="none" w:sz="0" w:space="0" w:color="auto"/>
        <w:right w:val="none" w:sz="0" w:space="0" w:color="auto"/>
      </w:divBdr>
    </w:div>
    <w:div w:id="1748920853">
      <w:marLeft w:val="0"/>
      <w:marRight w:val="0"/>
      <w:marTop w:val="160"/>
      <w:marBottom w:val="160"/>
      <w:divBdr>
        <w:top w:val="none" w:sz="0" w:space="0" w:color="auto"/>
        <w:left w:val="none" w:sz="0" w:space="0" w:color="auto"/>
        <w:bottom w:val="none" w:sz="0" w:space="0" w:color="auto"/>
        <w:right w:val="none" w:sz="0" w:space="0" w:color="auto"/>
      </w:divBdr>
    </w:div>
    <w:div w:id="1750032879">
      <w:marLeft w:val="0"/>
      <w:marRight w:val="0"/>
      <w:marTop w:val="0"/>
      <w:marBottom w:val="0"/>
      <w:divBdr>
        <w:top w:val="none" w:sz="0" w:space="0" w:color="auto"/>
        <w:left w:val="none" w:sz="0" w:space="0" w:color="auto"/>
        <w:bottom w:val="none" w:sz="0" w:space="0" w:color="auto"/>
        <w:right w:val="none" w:sz="0" w:space="0" w:color="auto"/>
      </w:divBdr>
    </w:div>
    <w:div w:id="1757558899">
      <w:marLeft w:val="0"/>
      <w:marRight w:val="0"/>
      <w:marTop w:val="160"/>
      <w:marBottom w:val="160"/>
      <w:divBdr>
        <w:top w:val="none" w:sz="0" w:space="0" w:color="auto"/>
        <w:left w:val="none" w:sz="0" w:space="0" w:color="auto"/>
        <w:bottom w:val="none" w:sz="0" w:space="0" w:color="auto"/>
        <w:right w:val="none" w:sz="0" w:space="0" w:color="auto"/>
      </w:divBdr>
    </w:div>
    <w:div w:id="1758818974">
      <w:marLeft w:val="0"/>
      <w:marRight w:val="0"/>
      <w:marTop w:val="0"/>
      <w:marBottom w:val="0"/>
      <w:divBdr>
        <w:top w:val="none" w:sz="0" w:space="0" w:color="auto"/>
        <w:left w:val="none" w:sz="0" w:space="0" w:color="auto"/>
        <w:bottom w:val="none" w:sz="0" w:space="0" w:color="auto"/>
        <w:right w:val="none" w:sz="0" w:space="0" w:color="auto"/>
      </w:divBdr>
    </w:div>
    <w:div w:id="1762489904">
      <w:marLeft w:val="0"/>
      <w:marRight w:val="0"/>
      <w:marTop w:val="160"/>
      <w:marBottom w:val="160"/>
      <w:divBdr>
        <w:top w:val="none" w:sz="0" w:space="0" w:color="auto"/>
        <w:left w:val="none" w:sz="0" w:space="0" w:color="auto"/>
        <w:bottom w:val="none" w:sz="0" w:space="0" w:color="auto"/>
        <w:right w:val="none" w:sz="0" w:space="0" w:color="auto"/>
      </w:divBdr>
    </w:div>
    <w:div w:id="1768498474">
      <w:marLeft w:val="0"/>
      <w:marRight w:val="0"/>
      <w:marTop w:val="160"/>
      <w:marBottom w:val="160"/>
      <w:divBdr>
        <w:top w:val="none" w:sz="0" w:space="0" w:color="auto"/>
        <w:left w:val="none" w:sz="0" w:space="0" w:color="auto"/>
        <w:bottom w:val="none" w:sz="0" w:space="0" w:color="auto"/>
        <w:right w:val="none" w:sz="0" w:space="0" w:color="auto"/>
      </w:divBdr>
    </w:div>
    <w:div w:id="1768771689">
      <w:marLeft w:val="0"/>
      <w:marRight w:val="0"/>
      <w:marTop w:val="160"/>
      <w:marBottom w:val="160"/>
      <w:divBdr>
        <w:top w:val="none" w:sz="0" w:space="0" w:color="auto"/>
        <w:left w:val="none" w:sz="0" w:space="0" w:color="auto"/>
        <w:bottom w:val="none" w:sz="0" w:space="0" w:color="auto"/>
        <w:right w:val="none" w:sz="0" w:space="0" w:color="auto"/>
      </w:divBdr>
    </w:div>
    <w:div w:id="1772893510">
      <w:marLeft w:val="0"/>
      <w:marRight w:val="0"/>
      <w:marTop w:val="60"/>
      <w:marBottom w:val="60"/>
      <w:divBdr>
        <w:top w:val="none" w:sz="0" w:space="0" w:color="auto"/>
        <w:left w:val="none" w:sz="0" w:space="0" w:color="auto"/>
        <w:bottom w:val="none" w:sz="0" w:space="0" w:color="auto"/>
        <w:right w:val="none" w:sz="0" w:space="0" w:color="auto"/>
      </w:divBdr>
    </w:div>
    <w:div w:id="1773934178">
      <w:marLeft w:val="0"/>
      <w:marRight w:val="0"/>
      <w:marTop w:val="160"/>
      <w:marBottom w:val="160"/>
      <w:divBdr>
        <w:top w:val="none" w:sz="0" w:space="0" w:color="auto"/>
        <w:left w:val="none" w:sz="0" w:space="0" w:color="auto"/>
        <w:bottom w:val="none" w:sz="0" w:space="0" w:color="auto"/>
        <w:right w:val="none" w:sz="0" w:space="0" w:color="auto"/>
      </w:divBdr>
    </w:div>
    <w:div w:id="1782063624">
      <w:marLeft w:val="0"/>
      <w:marRight w:val="0"/>
      <w:marTop w:val="0"/>
      <w:marBottom w:val="0"/>
      <w:divBdr>
        <w:top w:val="none" w:sz="0" w:space="0" w:color="auto"/>
        <w:left w:val="none" w:sz="0" w:space="0" w:color="auto"/>
        <w:bottom w:val="none" w:sz="0" w:space="0" w:color="auto"/>
        <w:right w:val="none" w:sz="0" w:space="0" w:color="auto"/>
      </w:divBdr>
    </w:div>
    <w:div w:id="1789161432">
      <w:marLeft w:val="0"/>
      <w:marRight w:val="0"/>
      <w:marTop w:val="160"/>
      <w:marBottom w:val="160"/>
      <w:divBdr>
        <w:top w:val="none" w:sz="0" w:space="0" w:color="auto"/>
        <w:left w:val="none" w:sz="0" w:space="0" w:color="auto"/>
        <w:bottom w:val="none" w:sz="0" w:space="0" w:color="auto"/>
        <w:right w:val="none" w:sz="0" w:space="0" w:color="auto"/>
      </w:divBdr>
    </w:div>
    <w:div w:id="1793549721">
      <w:marLeft w:val="0"/>
      <w:marRight w:val="0"/>
      <w:marTop w:val="160"/>
      <w:marBottom w:val="160"/>
      <w:divBdr>
        <w:top w:val="none" w:sz="0" w:space="0" w:color="auto"/>
        <w:left w:val="none" w:sz="0" w:space="0" w:color="auto"/>
        <w:bottom w:val="none" w:sz="0" w:space="0" w:color="auto"/>
        <w:right w:val="none" w:sz="0" w:space="0" w:color="auto"/>
      </w:divBdr>
    </w:div>
    <w:div w:id="1798907586">
      <w:marLeft w:val="0"/>
      <w:marRight w:val="0"/>
      <w:marTop w:val="160"/>
      <w:marBottom w:val="160"/>
      <w:divBdr>
        <w:top w:val="none" w:sz="0" w:space="0" w:color="auto"/>
        <w:left w:val="none" w:sz="0" w:space="0" w:color="auto"/>
        <w:bottom w:val="none" w:sz="0" w:space="0" w:color="auto"/>
        <w:right w:val="none" w:sz="0" w:space="0" w:color="auto"/>
      </w:divBdr>
    </w:div>
    <w:div w:id="1799371245">
      <w:marLeft w:val="0"/>
      <w:marRight w:val="0"/>
      <w:marTop w:val="160"/>
      <w:marBottom w:val="160"/>
      <w:divBdr>
        <w:top w:val="none" w:sz="0" w:space="0" w:color="auto"/>
        <w:left w:val="none" w:sz="0" w:space="0" w:color="auto"/>
        <w:bottom w:val="none" w:sz="0" w:space="0" w:color="auto"/>
        <w:right w:val="none" w:sz="0" w:space="0" w:color="auto"/>
      </w:divBdr>
    </w:div>
    <w:div w:id="1800102133">
      <w:marLeft w:val="0"/>
      <w:marRight w:val="0"/>
      <w:marTop w:val="0"/>
      <w:marBottom w:val="0"/>
      <w:divBdr>
        <w:top w:val="none" w:sz="0" w:space="0" w:color="auto"/>
        <w:left w:val="none" w:sz="0" w:space="0" w:color="auto"/>
        <w:bottom w:val="none" w:sz="0" w:space="0" w:color="auto"/>
        <w:right w:val="none" w:sz="0" w:space="0" w:color="auto"/>
      </w:divBdr>
      <w:divsChild>
        <w:div w:id="1311203935">
          <w:marLeft w:val="0"/>
          <w:marRight w:val="0"/>
          <w:marTop w:val="0"/>
          <w:marBottom w:val="0"/>
          <w:divBdr>
            <w:top w:val="none" w:sz="0" w:space="0" w:color="auto"/>
            <w:left w:val="none" w:sz="0" w:space="0" w:color="auto"/>
            <w:bottom w:val="none" w:sz="0" w:space="0" w:color="auto"/>
            <w:right w:val="none" w:sz="0" w:space="0" w:color="auto"/>
          </w:divBdr>
        </w:div>
      </w:divsChild>
    </w:div>
    <w:div w:id="1800801260">
      <w:marLeft w:val="0"/>
      <w:marRight w:val="0"/>
      <w:marTop w:val="160"/>
      <w:marBottom w:val="160"/>
      <w:divBdr>
        <w:top w:val="none" w:sz="0" w:space="0" w:color="auto"/>
        <w:left w:val="none" w:sz="0" w:space="0" w:color="auto"/>
        <w:bottom w:val="none" w:sz="0" w:space="0" w:color="auto"/>
        <w:right w:val="none" w:sz="0" w:space="0" w:color="auto"/>
      </w:divBdr>
    </w:div>
    <w:div w:id="1805927456">
      <w:marLeft w:val="0"/>
      <w:marRight w:val="0"/>
      <w:marTop w:val="0"/>
      <w:marBottom w:val="0"/>
      <w:divBdr>
        <w:top w:val="none" w:sz="0" w:space="0" w:color="auto"/>
        <w:left w:val="none" w:sz="0" w:space="0" w:color="auto"/>
        <w:bottom w:val="none" w:sz="0" w:space="0" w:color="auto"/>
        <w:right w:val="none" w:sz="0" w:space="0" w:color="auto"/>
      </w:divBdr>
      <w:divsChild>
        <w:div w:id="126555747">
          <w:marLeft w:val="0"/>
          <w:marRight w:val="0"/>
          <w:marTop w:val="160"/>
          <w:marBottom w:val="160"/>
          <w:divBdr>
            <w:top w:val="none" w:sz="0" w:space="0" w:color="auto"/>
            <w:left w:val="none" w:sz="0" w:space="0" w:color="auto"/>
            <w:bottom w:val="none" w:sz="0" w:space="0" w:color="auto"/>
            <w:right w:val="none" w:sz="0" w:space="0" w:color="auto"/>
          </w:divBdr>
        </w:div>
        <w:div w:id="1965499858">
          <w:marLeft w:val="0"/>
          <w:marRight w:val="0"/>
          <w:marTop w:val="160"/>
          <w:marBottom w:val="160"/>
          <w:divBdr>
            <w:top w:val="none" w:sz="0" w:space="0" w:color="auto"/>
            <w:left w:val="none" w:sz="0" w:space="0" w:color="auto"/>
            <w:bottom w:val="none" w:sz="0" w:space="0" w:color="auto"/>
            <w:right w:val="none" w:sz="0" w:space="0" w:color="auto"/>
          </w:divBdr>
        </w:div>
        <w:div w:id="132409705">
          <w:marLeft w:val="0"/>
          <w:marRight w:val="0"/>
          <w:marTop w:val="160"/>
          <w:marBottom w:val="160"/>
          <w:divBdr>
            <w:top w:val="none" w:sz="0" w:space="0" w:color="auto"/>
            <w:left w:val="none" w:sz="0" w:space="0" w:color="auto"/>
            <w:bottom w:val="none" w:sz="0" w:space="0" w:color="auto"/>
            <w:right w:val="none" w:sz="0" w:space="0" w:color="auto"/>
          </w:divBdr>
        </w:div>
        <w:div w:id="309023692">
          <w:marLeft w:val="0"/>
          <w:marRight w:val="0"/>
          <w:marTop w:val="160"/>
          <w:marBottom w:val="160"/>
          <w:divBdr>
            <w:top w:val="none" w:sz="0" w:space="0" w:color="auto"/>
            <w:left w:val="none" w:sz="0" w:space="0" w:color="auto"/>
            <w:bottom w:val="none" w:sz="0" w:space="0" w:color="auto"/>
            <w:right w:val="none" w:sz="0" w:space="0" w:color="auto"/>
          </w:divBdr>
        </w:div>
        <w:div w:id="1715345154">
          <w:marLeft w:val="0"/>
          <w:marRight w:val="0"/>
          <w:marTop w:val="160"/>
          <w:marBottom w:val="160"/>
          <w:divBdr>
            <w:top w:val="none" w:sz="0" w:space="0" w:color="auto"/>
            <w:left w:val="none" w:sz="0" w:space="0" w:color="auto"/>
            <w:bottom w:val="none" w:sz="0" w:space="0" w:color="auto"/>
            <w:right w:val="none" w:sz="0" w:space="0" w:color="auto"/>
          </w:divBdr>
        </w:div>
        <w:div w:id="1047149167">
          <w:marLeft w:val="0"/>
          <w:marRight w:val="0"/>
          <w:marTop w:val="160"/>
          <w:marBottom w:val="160"/>
          <w:divBdr>
            <w:top w:val="none" w:sz="0" w:space="0" w:color="auto"/>
            <w:left w:val="none" w:sz="0" w:space="0" w:color="auto"/>
            <w:bottom w:val="none" w:sz="0" w:space="0" w:color="auto"/>
            <w:right w:val="none" w:sz="0" w:space="0" w:color="auto"/>
          </w:divBdr>
        </w:div>
        <w:div w:id="1544516105">
          <w:marLeft w:val="0"/>
          <w:marRight w:val="0"/>
          <w:marTop w:val="0"/>
          <w:marBottom w:val="0"/>
          <w:divBdr>
            <w:top w:val="none" w:sz="0" w:space="0" w:color="auto"/>
            <w:left w:val="none" w:sz="0" w:space="0" w:color="auto"/>
            <w:bottom w:val="none" w:sz="0" w:space="0" w:color="auto"/>
            <w:right w:val="none" w:sz="0" w:space="0" w:color="auto"/>
          </w:divBdr>
        </w:div>
      </w:divsChild>
    </w:div>
    <w:div w:id="1805929169">
      <w:marLeft w:val="0"/>
      <w:marRight w:val="0"/>
      <w:marTop w:val="160"/>
      <w:marBottom w:val="160"/>
      <w:divBdr>
        <w:top w:val="none" w:sz="0" w:space="0" w:color="auto"/>
        <w:left w:val="none" w:sz="0" w:space="0" w:color="auto"/>
        <w:bottom w:val="none" w:sz="0" w:space="0" w:color="auto"/>
        <w:right w:val="none" w:sz="0" w:space="0" w:color="auto"/>
      </w:divBdr>
    </w:div>
    <w:div w:id="1809782973">
      <w:marLeft w:val="0"/>
      <w:marRight w:val="0"/>
      <w:marTop w:val="160"/>
      <w:marBottom w:val="160"/>
      <w:divBdr>
        <w:top w:val="none" w:sz="0" w:space="0" w:color="auto"/>
        <w:left w:val="none" w:sz="0" w:space="0" w:color="auto"/>
        <w:bottom w:val="none" w:sz="0" w:space="0" w:color="auto"/>
        <w:right w:val="none" w:sz="0" w:space="0" w:color="auto"/>
      </w:divBdr>
    </w:div>
    <w:div w:id="1812089119">
      <w:marLeft w:val="0"/>
      <w:marRight w:val="0"/>
      <w:marTop w:val="160"/>
      <w:marBottom w:val="160"/>
      <w:divBdr>
        <w:top w:val="none" w:sz="0" w:space="0" w:color="auto"/>
        <w:left w:val="none" w:sz="0" w:space="0" w:color="auto"/>
        <w:bottom w:val="none" w:sz="0" w:space="0" w:color="auto"/>
        <w:right w:val="none" w:sz="0" w:space="0" w:color="auto"/>
      </w:divBdr>
    </w:div>
    <w:div w:id="1816025149">
      <w:marLeft w:val="0"/>
      <w:marRight w:val="0"/>
      <w:marTop w:val="160"/>
      <w:marBottom w:val="160"/>
      <w:divBdr>
        <w:top w:val="none" w:sz="0" w:space="0" w:color="auto"/>
        <w:left w:val="none" w:sz="0" w:space="0" w:color="auto"/>
        <w:bottom w:val="none" w:sz="0" w:space="0" w:color="auto"/>
        <w:right w:val="none" w:sz="0" w:space="0" w:color="auto"/>
      </w:divBdr>
    </w:div>
    <w:div w:id="1816682639">
      <w:marLeft w:val="0"/>
      <w:marRight w:val="0"/>
      <w:marTop w:val="160"/>
      <w:marBottom w:val="160"/>
      <w:divBdr>
        <w:top w:val="none" w:sz="0" w:space="0" w:color="auto"/>
        <w:left w:val="none" w:sz="0" w:space="0" w:color="auto"/>
        <w:bottom w:val="none" w:sz="0" w:space="0" w:color="auto"/>
        <w:right w:val="none" w:sz="0" w:space="0" w:color="auto"/>
      </w:divBdr>
    </w:div>
    <w:div w:id="1825589413">
      <w:marLeft w:val="0"/>
      <w:marRight w:val="0"/>
      <w:marTop w:val="0"/>
      <w:marBottom w:val="0"/>
      <w:divBdr>
        <w:top w:val="none" w:sz="0" w:space="0" w:color="auto"/>
        <w:left w:val="none" w:sz="0" w:space="0" w:color="auto"/>
        <w:bottom w:val="none" w:sz="0" w:space="0" w:color="auto"/>
        <w:right w:val="none" w:sz="0" w:space="0" w:color="auto"/>
      </w:divBdr>
      <w:divsChild>
        <w:div w:id="1991671343">
          <w:marLeft w:val="0"/>
          <w:marRight w:val="0"/>
          <w:marTop w:val="0"/>
          <w:marBottom w:val="0"/>
          <w:divBdr>
            <w:top w:val="none" w:sz="0" w:space="0" w:color="auto"/>
            <w:left w:val="none" w:sz="0" w:space="0" w:color="auto"/>
            <w:bottom w:val="none" w:sz="0" w:space="0" w:color="auto"/>
            <w:right w:val="none" w:sz="0" w:space="0" w:color="auto"/>
          </w:divBdr>
        </w:div>
      </w:divsChild>
    </w:div>
    <w:div w:id="1828784488">
      <w:marLeft w:val="0"/>
      <w:marRight w:val="0"/>
      <w:marTop w:val="160"/>
      <w:marBottom w:val="160"/>
      <w:divBdr>
        <w:top w:val="none" w:sz="0" w:space="0" w:color="auto"/>
        <w:left w:val="none" w:sz="0" w:space="0" w:color="auto"/>
        <w:bottom w:val="none" w:sz="0" w:space="0" w:color="auto"/>
        <w:right w:val="none" w:sz="0" w:space="0" w:color="auto"/>
      </w:divBdr>
    </w:div>
    <w:div w:id="1832939656">
      <w:marLeft w:val="0"/>
      <w:marRight w:val="0"/>
      <w:marTop w:val="0"/>
      <w:marBottom w:val="0"/>
      <w:divBdr>
        <w:top w:val="none" w:sz="0" w:space="0" w:color="auto"/>
        <w:left w:val="none" w:sz="0" w:space="0" w:color="auto"/>
        <w:bottom w:val="none" w:sz="0" w:space="0" w:color="auto"/>
        <w:right w:val="none" w:sz="0" w:space="0" w:color="auto"/>
      </w:divBdr>
    </w:div>
    <w:div w:id="1835299821">
      <w:marLeft w:val="0"/>
      <w:marRight w:val="0"/>
      <w:marTop w:val="0"/>
      <w:marBottom w:val="0"/>
      <w:divBdr>
        <w:top w:val="none" w:sz="0" w:space="0" w:color="auto"/>
        <w:left w:val="none" w:sz="0" w:space="0" w:color="auto"/>
        <w:bottom w:val="none" w:sz="0" w:space="0" w:color="auto"/>
        <w:right w:val="none" w:sz="0" w:space="0" w:color="auto"/>
      </w:divBdr>
      <w:divsChild>
        <w:div w:id="1127120828">
          <w:marLeft w:val="0"/>
          <w:marRight w:val="0"/>
          <w:marTop w:val="0"/>
          <w:marBottom w:val="0"/>
          <w:divBdr>
            <w:top w:val="none" w:sz="0" w:space="0" w:color="auto"/>
            <w:left w:val="none" w:sz="0" w:space="0" w:color="auto"/>
            <w:bottom w:val="none" w:sz="0" w:space="0" w:color="auto"/>
            <w:right w:val="none" w:sz="0" w:space="0" w:color="auto"/>
          </w:divBdr>
        </w:div>
      </w:divsChild>
    </w:div>
    <w:div w:id="1839543142">
      <w:marLeft w:val="0"/>
      <w:marRight w:val="0"/>
      <w:marTop w:val="160"/>
      <w:marBottom w:val="160"/>
      <w:divBdr>
        <w:top w:val="none" w:sz="0" w:space="0" w:color="auto"/>
        <w:left w:val="none" w:sz="0" w:space="0" w:color="auto"/>
        <w:bottom w:val="none" w:sz="0" w:space="0" w:color="auto"/>
        <w:right w:val="none" w:sz="0" w:space="0" w:color="auto"/>
      </w:divBdr>
    </w:div>
    <w:div w:id="1842356990">
      <w:marLeft w:val="0"/>
      <w:marRight w:val="0"/>
      <w:marTop w:val="160"/>
      <w:marBottom w:val="160"/>
      <w:divBdr>
        <w:top w:val="none" w:sz="0" w:space="0" w:color="auto"/>
        <w:left w:val="none" w:sz="0" w:space="0" w:color="auto"/>
        <w:bottom w:val="none" w:sz="0" w:space="0" w:color="auto"/>
        <w:right w:val="none" w:sz="0" w:space="0" w:color="auto"/>
      </w:divBdr>
    </w:div>
    <w:div w:id="1844271730">
      <w:marLeft w:val="0"/>
      <w:marRight w:val="0"/>
      <w:marTop w:val="160"/>
      <w:marBottom w:val="160"/>
      <w:divBdr>
        <w:top w:val="none" w:sz="0" w:space="0" w:color="auto"/>
        <w:left w:val="none" w:sz="0" w:space="0" w:color="auto"/>
        <w:bottom w:val="none" w:sz="0" w:space="0" w:color="auto"/>
        <w:right w:val="none" w:sz="0" w:space="0" w:color="auto"/>
      </w:divBdr>
    </w:div>
    <w:div w:id="1845899951">
      <w:marLeft w:val="0"/>
      <w:marRight w:val="0"/>
      <w:marTop w:val="0"/>
      <w:marBottom w:val="0"/>
      <w:divBdr>
        <w:top w:val="none" w:sz="0" w:space="0" w:color="auto"/>
        <w:left w:val="none" w:sz="0" w:space="0" w:color="auto"/>
        <w:bottom w:val="none" w:sz="0" w:space="0" w:color="auto"/>
        <w:right w:val="none" w:sz="0" w:space="0" w:color="auto"/>
      </w:divBdr>
      <w:divsChild>
        <w:div w:id="1640259870">
          <w:marLeft w:val="0"/>
          <w:marRight w:val="0"/>
          <w:marTop w:val="160"/>
          <w:marBottom w:val="0"/>
          <w:divBdr>
            <w:top w:val="none" w:sz="0" w:space="0" w:color="auto"/>
            <w:left w:val="none" w:sz="0" w:space="0" w:color="auto"/>
            <w:bottom w:val="none" w:sz="0" w:space="0" w:color="auto"/>
            <w:right w:val="none" w:sz="0" w:space="0" w:color="auto"/>
          </w:divBdr>
        </w:div>
        <w:div w:id="1437015240">
          <w:marLeft w:val="0"/>
          <w:marRight w:val="0"/>
          <w:marTop w:val="160"/>
          <w:marBottom w:val="0"/>
          <w:divBdr>
            <w:top w:val="none" w:sz="0" w:space="0" w:color="auto"/>
            <w:left w:val="none" w:sz="0" w:space="0" w:color="auto"/>
            <w:bottom w:val="none" w:sz="0" w:space="0" w:color="auto"/>
            <w:right w:val="none" w:sz="0" w:space="0" w:color="auto"/>
          </w:divBdr>
        </w:div>
        <w:div w:id="808667952">
          <w:marLeft w:val="0"/>
          <w:marRight w:val="0"/>
          <w:marTop w:val="160"/>
          <w:marBottom w:val="160"/>
          <w:divBdr>
            <w:top w:val="none" w:sz="0" w:space="0" w:color="auto"/>
            <w:left w:val="none" w:sz="0" w:space="0" w:color="auto"/>
            <w:bottom w:val="none" w:sz="0" w:space="0" w:color="auto"/>
            <w:right w:val="none" w:sz="0" w:space="0" w:color="auto"/>
          </w:divBdr>
        </w:div>
        <w:div w:id="480462769">
          <w:marLeft w:val="0"/>
          <w:marRight w:val="0"/>
          <w:marTop w:val="160"/>
          <w:marBottom w:val="160"/>
          <w:divBdr>
            <w:top w:val="none" w:sz="0" w:space="0" w:color="auto"/>
            <w:left w:val="none" w:sz="0" w:space="0" w:color="auto"/>
            <w:bottom w:val="none" w:sz="0" w:space="0" w:color="auto"/>
            <w:right w:val="none" w:sz="0" w:space="0" w:color="auto"/>
          </w:divBdr>
        </w:div>
        <w:div w:id="1975062873">
          <w:marLeft w:val="0"/>
          <w:marRight w:val="0"/>
          <w:marTop w:val="160"/>
          <w:marBottom w:val="160"/>
          <w:divBdr>
            <w:top w:val="none" w:sz="0" w:space="0" w:color="auto"/>
            <w:left w:val="none" w:sz="0" w:space="0" w:color="auto"/>
            <w:bottom w:val="none" w:sz="0" w:space="0" w:color="auto"/>
            <w:right w:val="none" w:sz="0" w:space="0" w:color="auto"/>
          </w:divBdr>
        </w:div>
        <w:div w:id="266236065">
          <w:marLeft w:val="0"/>
          <w:marRight w:val="0"/>
          <w:marTop w:val="160"/>
          <w:marBottom w:val="160"/>
          <w:divBdr>
            <w:top w:val="none" w:sz="0" w:space="0" w:color="auto"/>
            <w:left w:val="none" w:sz="0" w:space="0" w:color="auto"/>
            <w:bottom w:val="none" w:sz="0" w:space="0" w:color="auto"/>
            <w:right w:val="none" w:sz="0" w:space="0" w:color="auto"/>
          </w:divBdr>
        </w:div>
      </w:divsChild>
    </w:div>
    <w:div w:id="1847279617">
      <w:marLeft w:val="0"/>
      <w:marRight w:val="0"/>
      <w:marTop w:val="160"/>
      <w:marBottom w:val="160"/>
      <w:divBdr>
        <w:top w:val="none" w:sz="0" w:space="0" w:color="auto"/>
        <w:left w:val="none" w:sz="0" w:space="0" w:color="auto"/>
        <w:bottom w:val="none" w:sz="0" w:space="0" w:color="auto"/>
        <w:right w:val="none" w:sz="0" w:space="0" w:color="auto"/>
      </w:divBdr>
    </w:div>
    <w:div w:id="1852835205">
      <w:marLeft w:val="0"/>
      <w:marRight w:val="0"/>
      <w:marTop w:val="160"/>
      <w:marBottom w:val="160"/>
      <w:divBdr>
        <w:top w:val="none" w:sz="0" w:space="0" w:color="auto"/>
        <w:left w:val="none" w:sz="0" w:space="0" w:color="auto"/>
        <w:bottom w:val="none" w:sz="0" w:space="0" w:color="auto"/>
        <w:right w:val="none" w:sz="0" w:space="0" w:color="auto"/>
      </w:divBdr>
    </w:div>
    <w:div w:id="1856262676">
      <w:marLeft w:val="0"/>
      <w:marRight w:val="0"/>
      <w:marTop w:val="160"/>
      <w:marBottom w:val="160"/>
      <w:divBdr>
        <w:top w:val="none" w:sz="0" w:space="0" w:color="auto"/>
        <w:left w:val="none" w:sz="0" w:space="0" w:color="auto"/>
        <w:bottom w:val="none" w:sz="0" w:space="0" w:color="auto"/>
        <w:right w:val="none" w:sz="0" w:space="0" w:color="auto"/>
      </w:divBdr>
    </w:div>
    <w:div w:id="1864511170">
      <w:marLeft w:val="0"/>
      <w:marRight w:val="0"/>
      <w:marTop w:val="160"/>
      <w:marBottom w:val="160"/>
      <w:divBdr>
        <w:top w:val="none" w:sz="0" w:space="0" w:color="auto"/>
        <w:left w:val="none" w:sz="0" w:space="0" w:color="auto"/>
        <w:bottom w:val="none" w:sz="0" w:space="0" w:color="auto"/>
        <w:right w:val="none" w:sz="0" w:space="0" w:color="auto"/>
      </w:divBdr>
    </w:div>
    <w:div w:id="1869828165">
      <w:marLeft w:val="0"/>
      <w:marRight w:val="0"/>
      <w:marTop w:val="0"/>
      <w:marBottom w:val="0"/>
      <w:divBdr>
        <w:top w:val="none" w:sz="0" w:space="0" w:color="auto"/>
        <w:left w:val="none" w:sz="0" w:space="0" w:color="auto"/>
        <w:bottom w:val="none" w:sz="0" w:space="0" w:color="auto"/>
        <w:right w:val="none" w:sz="0" w:space="0" w:color="auto"/>
      </w:divBdr>
      <w:divsChild>
        <w:div w:id="751436074">
          <w:marLeft w:val="0"/>
          <w:marRight w:val="0"/>
          <w:marTop w:val="160"/>
          <w:marBottom w:val="160"/>
          <w:divBdr>
            <w:top w:val="none" w:sz="0" w:space="0" w:color="auto"/>
            <w:left w:val="none" w:sz="0" w:space="0" w:color="auto"/>
            <w:bottom w:val="none" w:sz="0" w:space="0" w:color="auto"/>
            <w:right w:val="none" w:sz="0" w:space="0" w:color="auto"/>
          </w:divBdr>
        </w:div>
        <w:div w:id="840703162">
          <w:marLeft w:val="0"/>
          <w:marRight w:val="0"/>
          <w:marTop w:val="160"/>
          <w:marBottom w:val="160"/>
          <w:divBdr>
            <w:top w:val="none" w:sz="0" w:space="0" w:color="auto"/>
            <w:left w:val="none" w:sz="0" w:space="0" w:color="auto"/>
            <w:bottom w:val="none" w:sz="0" w:space="0" w:color="auto"/>
            <w:right w:val="none" w:sz="0" w:space="0" w:color="auto"/>
          </w:divBdr>
        </w:div>
        <w:div w:id="476071236">
          <w:marLeft w:val="0"/>
          <w:marRight w:val="0"/>
          <w:marTop w:val="160"/>
          <w:marBottom w:val="160"/>
          <w:divBdr>
            <w:top w:val="none" w:sz="0" w:space="0" w:color="auto"/>
            <w:left w:val="none" w:sz="0" w:space="0" w:color="auto"/>
            <w:bottom w:val="none" w:sz="0" w:space="0" w:color="auto"/>
            <w:right w:val="none" w:sz="0" w:space="0" w:color="auto"/>
          </w:divBdr>
        </w:div>
        <w:div w:id="1543903006">
          <w:marLeft w:val="0"/>
          <w:marRight w:val="0"/>
          <w:marTop w:val="160"/>
          <w:marBottom w:val="160"/>
          <w:divBdr>
            <w:top w:val="none" w:sz="0" w:space="0" w:color="auto"/>
            <w:left w:val="none" w:sz="0" w:space="0" w:color="auto"/>
            <w:bottom w:val="none" w:sz="0" w:space="0" w:color="auto"/>
            <w:right w:val="none" w:sz="0" w:space="0" w:color="auto"/>
          </w:divBdr>
        </w:div>
        <w:div w:id="1995597120">
          <w:marLeft w:val="0"/>
          <w:marRight w:val="0"/>
          <w:marTop w:val="160"/>
          <w:marBottom w:val="160"/>
          <w:divBdr>
            <w:top w:val="none" w:sz="0" w:space="0" w:color="auto"/>
            <w:left w:val="none" w:sz="0" w:space="0" w:color="auto"/>
            <w:bottom w:val="none" w:sz="0" w:space="0" w:color="auto"/>
            <w:right w:val="none" w:sz="0" w:space="0" w:color="auto"/>
          </w:divBdr>
        </w:div>
      </w:divsChild>
    </w:div>
    <w:div w:id="1870020726">
      <w:marLeft w:val="0"/>
      <w:marRight w:val="0"/>
      <w:marTop w:val="160"/>
      <w:marBottom w:val="160"/>
      <w:divBdr>
        <w:top w:val="none" w:sz="0" w:space="0" w:color="auto"/>
        <w:left w:val="none" w:sz="0" w:space="0" w:color="auto"/>
        <w:bottom w:val="none" w:sz="0" w:space="0" w:color="auto"/>
        <w:right w:val="none" w:sz="0" w:space="0" w:color="auto"/>
      </w:divBdr>
    </w:div>
    <w:div w:id="1872835517">
      <w:marLeft w:val="0"/>
      <w:marRight w:val="0"/>
      <w:marTop w:val="160"/>
      <w:marBottom w:val="160"/>
      <w:divBdr>
        <w:top w:val="none" w:sz="0" w:space="0" w:color="auto"/>
        <w:left w:val="none" w:sz="0" w:space="0" w:color="auto"/>
        <w:bottom w:val="none" w:sz="0" w:space="0" w:color="auto"/>
        <w:right w:val="none" w:sz="0" w:space="0" w:color="auto"/>
      </w:divBdr>
    </w:div>
    <w:div w:id="1873300601">
      <w:marLeft w:val="0"/>
      <w:marRight w:val="0"/>
      <w:marTop w:val="160"/>
      <w:marBottom w:val="160"/>
      <w:divBdr>
        <w:top w:val="none" w:sz="0" w:space="0" w:color="auto"/>
        <w:left w:val="none" w:sz="0" w:space="0" w:color="auto"/>
        <w:bottom w:val="none" w:sz="0" w:space="0" w:color="auto"/>
        <w:right w:val="none" w:sz="0" w:space="0" w:color="auto"/>
      </w:divBdr>
    </w:div>
    <w:div w:id="1873954055">
      <w:marLeft w:val="0"/>
      <w:marRight w:val="0"/>
      <w:marTop w:val="160"/>
      <w:marBottom w:val="160"/>
      <w:divBdr>
        <w:top w:val="none" w:sz="0" w:space="0" w:color="auto"/>
        <w:left w:val="none" w:sz="0" w:space="0" w:color="auto"/>
        <w:bottom w:val="none" w:sz="0" w:space="0" w:color="auto"/>
        <w:right w:val="none" w:sz="0" w:space="0" w:color="auto"/>
      </w:divBdr>
    </w:div>
    <w:div w:id="1876581534">
      <w:marLeft w:val="0"/>
      <w:marRight w:val="0"/>
      <w:marTop w:val="160"/>
      <w:marBottom w:val="160"/>
      <w:divBdr>
        <w:top w:val="none" w:sz="0" w:space="0" w:color="auto"/>
        <w:left w:val="none" w:sz="0" w:space="0" w:color="auto"/>
        <w:bottom w:val="none" w:sz="0" w:space="0" w:color="auto"/>
        <w:right w:val="none" w:sz="0" w:space="0" w:color="auto"/>
      </w:divBdr>
    </w:div>
    <w:div w:id="1879317348">
      <w:marLeft w:val="0"/>
      <w:marRight w:val="0"/>
      <w:marTop w:val="160"/>
      <w:marBottom w:val="160"/>
      <w:divBdr>
        <w:top w:val="none" w:sz="0" w:space="0" w:color="auto"/>
        <w:left w:val="none" w:sz="0" w:space="0" w:color="auto"/>
        <w:bottom w:val="none" w:sz="0" w:space="0" w:color="auto"/>
        <w:right w:val="none" w:sz="0" w:space="0" w:color="auto"/>
      </w:divBdr>
    </w:div>
    <w:div w:id="1897811949">
      <w:marLeft w:val="0"/>
      <w:marRight w:val="0"/>
      <w:marTop w:val="160"/>
      <w:marBottom w:val="160"/>
      <w:divBdr>
        <w:top w:val="none" w:sz="0" w:space="0" w:color="auto"/>
        <w:left w:val="none" w:sz="0" w:space="0" w:color="auto"/>
        <w:bottom w:val="none" w:sz="0" w:space="0" w:color="auto"/>
        <w:right w:val="none" w:sz="0" w:space="0" w:color="auto"/>
      </w:divBdr>
    </w:div>
    <w:div w:id="1908954394">
      <w:marLeft w:val="0"/>
      <w:marRight w:val="0"/>
      <w:marTop w:val="160"/>
      <w:marBottom w:val="0"/>
      <w:divBdr>
        <w:top w:val="none" w:sz="0" w:space="0" w:color="auto"/>
        <w:left w:val="none" w:sz="0" w:space="0" w:color="auto"/>
        <w:bottom w:val="none" w:sz="0" w:space="0" w:color="auto"/>
        <w:right w:val="none" w:sz="0" w:space="0" w:color="auto"/>
      </w:divBdr>
    </w:div>
    <w:div w:id="1909268159">
      <w:marLeft w:val="0"/>
      <w:marRight w:val="0"/>
      <w:marTop w:val="160"/>
      <w:marBottom w:val="160"/>
      <w:divBdr>
        <w:top w:val="none" w:sz="0" w:space="0" w:color="auto"/>
        <w:left w:val="none" w:sz="0" w:space="0" w:color="auto"/>
        <w:bottom w:val="none" w:sz="0" w:space="0" w:color="auto"/>
        <w:right w:val="none" w:sz="0" w:space="0" w:color="auto"/>
      </w:divBdr>
    </w:div>
    <w:div w:id="1911232863">
      <w:marLeft w:val="0"/>
      <w:marRight w:val="0"/>
      <w:marTop w:val="60"/>
      <w:marBottom w:val="0"/>
      <w:divBdr>
        <w:top w:val="none" w:sz="0" w:space="0" w:color="auto"/>
        <w:left w:val="none" w:sz="0" w:space="0" w:color="auto"/>
        <w:bottom w:val="none" w:sz="0" w:space="0" w:color="auto"/>
        <w:right w:val="none" w:sz="0" w:space="0" w:color="auto"/>
      </w:divBdr>
    </w:div>
    <w:div w:id="1911966837">
      <w:marLeft w:val="0"/>
      <w:marRight w:val="0"/>
      <w:marTop w:val="160"/>
      <w:marBottom w:val="160"/>
      <w:divBdr>
        <w:top w:val="none" w:sz="0" w:space="0" w:color="auto"/>
        <w:left w:val="none" w:sz="0" w:space="0" w:color="auto"/>
        <w:bottom w:val="none" w:sz="0" w:space="0" w:color="auto"/>
        <w:right w:val="none" w:sz="0" w:space="0" w:color="auto"/>
      </w:divBdr>
    </w:div>
    <w:div w:id="1912228729">
      <w:marLeft w:val="0"/>
      <w:marRight w:val="0"/>
      <w:marTop w:val="160"/>
      <w:marBottom w:val="160"/>
      <w:divBdr>
        <w:top w:val="none" w:sz="0" w:space="0" w:color="auto"/>
        <w:left w:val="none" w:sz="0" w:space="0" w:color="auto"/>
        <w:bottom w:val="none" w:sz="0" w:space="0" w:color="auto"/>
        <w:right w:val="none" w:sz="0" w:space="0" w:color="auto"/>
      </w:divBdr>
    </w:div>
    <w:div w:id="1915434868">
      <w:marLeft w:val="0"/>
      <w:marRight w:val="0"/>
      <w:marTop w:val="160"/>
      <w:marBottom w:val="160"/>
      <w:divBdr>
        <w:top w:val="none" w:sz="0" w:space="0" w:color="auto"/>
        <w:left w:val="none" w:sz="0" w:space="0" w:color="auto"/>
        <w:bottom w:val="none" w:sz="0" w:space="0" w:color="auto"/>
        <w:right w:val="none" w:sz="0" w:space="0" w:color="auto"/>
      </w:divBdr>
    </w:div>
    <w:div w:id="1918436106">
      <w:marLeft w:val="0"/>
      <w:marRight w:val="0"/>
      <w:marTop w:val="160"/>
      <w:marBottom w:val="160"/>
      <w:divBdr>
        <w:top w:val="none" w:sz="0" w:space="0" w:color="auto"/>
        <w:left w:val="none" w:sz="0" w:space="0" w:color="auto"/>
        <w:bottom w:val="none" w:sz="0" w:space="0" w:color="auto"/>
        <w:right w:val="none" w:sz="0" w:space="0" w:color="auto"/>
      </w:divBdr>
    </w:div>
    <w:div w:id="1919242746">
      <w:marLeft w:val="0"/>
      <w:marRight w:val="0"/>
      <w:marTop w:val="0"/>
      <w:marBottom w:val="0"/>
      <w:divBdr>
        <w:top w:val="none" w:sz="0" w:space="0" w:color="auto"/>
        <w:left w:val="none" w:sz="0" w:space="0" w:color="auto"/>
        <w:bottom w:val="none" w:sz="0" w:space="0" w:color="auto"/>
        <w:right w:val="none" w:sz="0" w:space="0" w:color="auto"/>
      </w:divBdr>
      <w:divsChild>
        <w:div w:id="2145655086">
          <w:marLeft w:val="0"/>
          <w:marRight w:val="0"/>
          <w:marTop w:val="160"/>
          <w:marBottom w:val="160"/>
          <w:divBdr>
            <w:top w:val="none" w:sz="0" w:space="0" w:color="auto"/>
            <w:left w:val="none" w:sz="0" w:space="0" w:color="auto"/>
            <w:bottom w:val="none" w:sz="0" w:space="0" w:color="auto"/>
            <w:right w:val="none" w:sz="0" w:space="0" w:color="auto"/>
          </w:divBdr>
        </w:div>
        <w:div w:id="2898934">
          <w:marLeft w:val="0"/>
          <w:marRight w:val="0"/>
          <w:marTop w:val="160"/>
          <w:marBottom w:val="160"/>
          <w:divBdr>
            <w:top w:val="none" w:sz="0" w:space="0" w:color="auto"/>
            <w:left w:val="none" w:sz="0" w:space="0" w:color="auto"/>
            <w:bottom w:val="none" w:sz="0" w:space="0" w:color="auto"/>
            <w:right w:val="none" w:sz="0" w:space="0" w:color="auto"/>
          </w:divBdr>
        </w:div>
        <w:div w:id="2013407660">
          <w:marLeft w:val="0"/>
          <w:marRight w:val="0"/>
          <w:marTop w:val="160"/>
          <w:marBottom w:val="160"/>
          <w:divBdr>
            <w:top w:val="none" w:sz="0" w:space="0" w:color="auto"/>
            <w:left w:val="none" w:sz="0" w:space="0" w:color="auto"/>
            <w:bottom w:val="none" w:sz="0" w:space="0" w:color="auto"/>
            <w:right w:val="none" w:sz="0" w:space="0" w:color="auto"/>
          </w:divBdr>
        </w:div>
        <w:div w:id="1010983930">
          <w:marLeft w:val="0"/>
          <w:marRight w:val="0"/>
          <w:marTop w:val="160"/>
          <w:marBottom w:val="160"/>
          <w:divBdr>
            <w:top w:val="none" w:sz="0" w:space="0" w:color="auto"/>
            <w:left w:val="none" w:sz="0" w:space="0" w:color="auto"/>
            <w:bottom w:val="none" w:sz="0" w:space="0" w:color="auto"/>
            <w:right w:val="none" w:sz="0" w:space="0" w:color="auto"/>
          </w:divBdr>
        </w:div>
        <w:div w:id="524707560">
          <w:marLeft w:val="0"/>
          <w:marRight w:val="0"/>
          <w:marTop w:val="160"/>
          <w:marBottom w:val="160"/>
          <w:divBdr>
            <w:top w:val="none" w:sz="0" w:space="0" w:color="auto"/>
            <w:left w:val="none" w:sz="0" w:space="0" w:color="auto"/>
            <w:bottom w:val="none" w:sz="0" w:space="0" w:color="auto"/>
            <w:right w:val="none" w:sz="0" w:space="0" w:color="auto"/>
          </w:divBdr>
        </w:div>
        <w:div w:id="2005232247">
          <w:marLeft w:val="0"/>
          <w:marRight w:val="0"/>
          <w:marTop w:val="160"/>
          <w:marBottom w:val="160"/>
          <w:divBdr>
            <w:top w:val="none" w:sz="0" w:space="0" w:color="auto"/>
            <w:left w:val="none" w:sz="0" w:space="0" w:color="auto"/>
            <w:bottom w:val="none" w:sz="0" w:space="0" w:color="auto"/>
            <w:right w:val="none" w:sz="0" w:space="0" w:color="auto"/>
          </w:divBdr>
        </w:div>
      </w:divsChild>
    </w:div>
    <w:div w:id="1922330232">
      <w:marLeft w:val="0"/>
      <w:marRight w:val="0"/>
      <w:marTop w:val="0"/>
      <w:marBottom w:val="0"/>
      <w:divBdr>
        <w:top w:val="none" w:sz="0" w:space="0" w:color="auto"/>
        <w:left w:val="none" w:sz="0" w:space="0" w:color="auto"/>
        <w:bottom w:val="none" w:sz="0" w:space="0" w:color="auto"/>
        <w:right w:val="none" w:sz="0" w:space="0" w:color="auto"/>
      </w:divBdr>
      <w:divsChild>
        <w:div w:id="4669811">
          <w:marLeft w:val="0"/>
          <w:marRight w:val="0"/>
          <w:marTop w:val="0"/>
          <w:marBottom w:val="0"/>
          <w:divBdr>
            <w:top w:val="none" w:sz="0" w:space="0" w:color="auto"/>
            <w:left w:val="none" w:sz="0" w:space="0" w:color="auto"/>
            <w:bottom w:val="none" w:sz="0" w:space="0" w:color="auto"/>
            <w:right w:val="none" w:sz="0" w:space="0" w:color="auto"/>
          </w:divBdr>
        </w:div>
      </w:divsChild>
    </w:div>
    <w:div w:id="1925453401">
      <w:marLeft w:val="0"/>
      <w:marRight w:val="0"/>
      <w:marTop w:val="160"/>
      <w:marBottom w:val="160"/>
      <w:divBdr>
        <w:top w:val="none" w:sz="0" w:space="0" w:color="auto"/>
        <w:left w:val="none" w:sz="0" w:space="0" w:color="auto"/>
        <w:bottom w:val="none" w:sz="0" w:space="0" w:color="auto"/>
        <w:right w:val="none" w:sz="0" w:space="0" w:color="auto"/>
      </w:divBdr>
    </w:div>
    <w:div w:id="1927685668">
      <w:marLeft w:val="0"/>
      <w:marRight w:val="0"/>
      <w:marTop w:val="160"/>
      <w:marBottom w:val="160"/>
      <w:divBdr>
        <w:top w:val="none" w:sz="0" w:space="0" w:color="auto"/>
        <w:left w:val="none" w:sz="0" w:space="0" w:color="auto"/>
        <w:bottom w:val="none" w:sz="0" w:space="0" w:color="auto"/>
        <w:right w:val="none" w:sz="0" w:space="0" w:color="auto"/>
      </w:divBdr>
    </w:div>
    <w:div w:id="1933776276">
      <w:marLeft w:val="0"/>
      <w:marRight w:val="0"/>
      <w:marTop w:val="160"/>
      <w:marBottom w:val="160"/>
      <w:divBdr>
        <w:top w:val="none" w:sz="0" w:space="0" w:color="auto"/>
        <w:left w:val="none" w:sz="0" w:space="0" w:color="auto"/>
        <w:bottom w:val="none" w:sz="0" w:space="0" w:color="auto"/>
        <w:right w:val="none" w:sz="0" w:space="0" w:color="auto"/>
      </w:divBdr>
    </w:div>
    <w:div w:id="1941597702">
      <w:marLeft w:val="0"/>
      <w:marRight w:val="0"/>
      <w:marTop w:val="160"/>
      <w:marBottom w:val="160"/>
      <w:divBdr>
        <w:top w:val="none" w:sz="0" w:space="0" w:color="auto"/>
        <w:left w:val="none" w:sz="0" w:space="0" w:color="auto"/>
        <w:bottom w:val="none" w:sz="0" w:space="0" w:color="auto"/>
        <w:right w:val="none" w:sz="0" w:space="0" w:color="auto"/>
      </w:divBdr>
    </w:div>
    <w:div w:id="1950352538">
      <w:marLeft w:val="0"/>
      <w:marRight w:val="0"/>
      <w:marTop w:val="160"/>
      <w:marBottom w:val="160"/>
      <w:divBdr>
        <w:top w:val="none" w:sz="0" w:space="0" w:color="auto"/>
        <w:left w:val="none" w:sz="0" w:space="0" w:color="auto"/>
        <w:bottom w:val="none" w:sz="0" w:space="0" w:color="auto"/>
        <w:right w:val="none" w:sz="0" w:space="0" w:color="auto"/>
      </w:divBdr>
    </w:div>
    <w:div w:id="1950434077">
      <w:marLeft w:val="0"/>
      <w:marRight w:val="0"/>
      <w:marTop w:val="160"/>
      <w:marBottom w:val="160"/>
      <w:divBdr>
        <w:top w:val="none" w:sz="0" w:space="0" w:color="auto"/>
        <w:left w:val="none" w:sz="0" w:space="0" w:color="auto"/>
        <w:bottom w:val="none" w:sz="0" w:space="0" w:color="auto"/>
        <w:right w:val="none" w:sz="0" w:space="0" w:color="auto"/>
      </w:divBdr>
    </w:div>
    <w:div w:id="1958441271">
      <w:marLeft w:val="0"/>
      <w:marRight w:val="0"/>
      <w:marTop w:val="160"/>
      <w:marBottom w:val="160"/>
      <w:divBdr>
        <w:top w:val="none" w:sz="0" w:space="0" w:color="auto"/>
        <w:left w:val="none" w:sz="0" w:space="0" w:color="auto"/>
        <w:bottom w:val="none" w:sz="0" w:space="0" w:color="auto"/>
        <w:right w:val="none" w:sz="0" w:space="0" w:color="auto"/>
      </w:divBdr>
    </w:div>
    <w:div w:id="1959796245">
      <w:marLeft w:val="0"/>
      <w:marRight w:val="0"/>
      <w:marTop w:val="160"/>
      <w:marBottom w:val="160"/>
      <w:divBdr>
        <w:top w:val="none" w:sz="0" w:space="0" w:color="auto"/>
        <w:left w:val="none" w:sz="0" w:space="0" w:color="auto"/>
        <w:bottom w:val="none" w:sz="0" w:space="0" w:color="auto"/>
        <w:right w:val="none" w:sz="0" w:space="0" w:color="auto"/>
      </w:divBdr>
    </w:div>
    <w:div w:id="1961835851">
      <w:marLeft w:val="0"/>
      <w:marRight w:val="0"/>
      <w:marTop w:val="160"/>
      <w:marBottom w:val="160"/>
      <w:divBdr>
        <w:top w:val="none" w:sz="0" w:space="0" w:color="auto"/>
        <w:left w:val="none" w:sz="0" w:space="0" w:color="auto"/>
        <w:bottom w:val="none" w:sz="0" w:space="0" w:color="auto"/>
        <w:right w:val="none" w:sz="0" w:space="0" w:color="auto"/>
      </w:divBdr>
    </w:div>
    <w:div w:id="1962566633">
      <w:marLeft w:val="0"/>
      <w:marRight w:val="0"/>
      <w:marTop w:val="160"/>
      <w:marBottom w:val="160"/>
      <w:divBdr>
        <w:top w:val="none" w:sz="0" w:space="0" w:color="auto"/>
        <w:left w:val="none" w:sz="0" w:space="0" w:color="auto"/>
        <w:bottom w:val="none" w:sz="0" w:space="0" w:color="auto"/>
        <w:right w:val="none" w:sz="0" w:space="0" w:color="auto"/>
      </w:divBdr>
    </w:div>
    <w:div w:id="1964070766">
      <w:marLeft w:val="0"/>
      <w:marRight w:val="0"/>
      <w:marTop w:val="160"/>
      <w:marBottom w:val="160"/>
      <w:divBdr>
        <w:top w:val="none" w:sz="0" w:space="0" w:color="auto"/>
        <w:left w:val="none" w:sz="0" w:space="0" w:color="auto"/>
        <w:bottom w:val="none" w:sz="0" w:space="0" w:color="auto"/>
        <w:right w:val="none" w:sz="0" w:space="0" w:color="auto"/>
      </w:divBdr>
    </w:div>
    <w:div w:id="1964537648">
      <w:marLeft w:val="0"/>
      <w:marRight w:val="0"/>
      <w:marTop w:val="0"/>
      <w:marBottom w:val="0"/>
      <w:divBdr>
        <w:top w:val="none" w:sz="0" w:space="0" w:color="auto"/>
        <w:left w:val="none" w:sz="0" w:space="0" w:color="auto"/>
        <w:bottom w:val="none" w:sz="0" w:space="0" w:color="auto"/>
        <w:right w:val="none" w:sz="0" w:space="0" w:color="auto"/>
      </w:divBdr>
      <w:divsChild>
        <w:div w:id="1974941081">
          <w:marLeft w:val="0"/>
          <w:marRight w:val="0"/>
          <w:marTop w:val="160"/>
          <w:marBottom w:val="160"/>
          <w:divBdr>
            <w:top w:val="none" w:sz="0" w:space="0" w:color="auto"/>
            <w:left w:val="none" w:sz="0" w:space="0" w:color="auto"/>
            <w:bottom w:val="none" w:sz="0" w:space="0" w:color="auto"/>
            <w:right w:val="none" w:sz="0" w:space="0" w:color="auto"/>
          </w:divBdr>
        </w:div>
        <w:div w:id="1021010932">
          <w:marLeft w:val="0"/>
          <w:marRight w:val="0"/>
          <w:marTop w:val="160"/>
          <w:marBottom w:val="160"/>
          <w:divBdr>
            <w:top w:val="none" w:sz="0" w:space="0" w:color="auto"/>
            <w:left w:val="none" w:sz="0" w:space="0" w:color="auto"/>
            <w:bottom w:val="none" w:sz="0" w:space="0" w:color="auto"/>
            <w:right w:val="none" w:sz="0" w:space="0" w:color="auto"/>
          </w:divBdr>
        </w:div>
        <w:div w:id="996106930">
          <w:marLeft w:val="0"/>
          <w:marRight w:val="0"/>
          <w:marTop w:val="160"/>
          <w:marBottom w:val="160"/>
          <w:divBdr>
            <w:top w:val="none" w:sz="0" w:space="0" w:color="auto"/>
            <w:left w:val="none" w:sz="0" w:space="0" w:color="auto"/>
            <w:bottom w:val="none" w:sz="0" w:space="0" w:color="auto"/>
            <w:right w:val="none" w:sz="0" w:space="0" w:color="auto"/>
          </w:divBdr>
        </w:div>
        <w:div w:id="1966696850">
          <w:marLeft w:val="0"/>
          <w:marRight w:val="0"/>
          <w:marTop w:val="160"/>
          <w:marBottom w:val="160"/>
          <w:divBdr>
            <w:top w:val="none" w:sz="0" w:space="0" w:color="auto"/>
            <w:left w:val="none" w:sz="0" w:space="0" w:color="auto"/>
            <w:bottom w:val="none" w:sz="0" w:space="0" w:color="auto"/>
            <w:right w:val="none" w:sz="0" w:space="0" w:color="auto"/>
          </w:divBdr>
        </w:div>
        <w:div w:id="1028918319">
          <w:marLeft w:val="0"/>
          <w:marRight w:val="0"/>
          <w:marTop w:val="160"/>
          <w:marBottom w:val="160"/>
          <w:divBdr>
            <w:top w:val="none" w:sz="0" w:space="0" w:color="auto"/>
            <w:left w:val="none" w:sz="0" w:space="0" w:color="auto"/>
            <w:bottom w:val="none" w:sz="0" w:space="0" w:color="auto"/>
            <w:right w:val="none" w:sz="0" w:space="0" w:color="auto"/>
          </w:divBdr>
        </w:div>
      </w:divsChild>
    </w:div>
    <w:div w:id="1970015930">
      <w:marLeft w:val="0"/>
      <w:marRight w:val="0"/>
      <w:marTop w:val="160"/>
      <w:marBottom w:val="160"/>
      <w:divBdr>
        <w:top w:val="none" w:sz="0" w:space="0" w:color="auto"/>
        <w:left w:val="none" w:sz="0" w:space="0" w:color="auto"/>
        <w:bottom w:val="none" w:sz="0" w:space="0" w:color="auto"/>
        <w:right w:val="none" w:sz="0" w:space="0" w:color="auto"/>
      </w:divBdr>
    </w:div>
    <w:div w:id="1973364305">
      <w:marLeft w:val="0"/>
      <w:marRight w:val="0"/>
      <w:marTop w:val="160"/>
      <w:marBottom w:val="160"/>
      <w:divBdr>
        <w:top w:val="none" w:sz="0" w:space="0" w:color="auto"/>
        <w:left w:val="none" w:sz="0" w:space="0" w:color="auto"/>
        <w:bottom w:val="none" w:sz="0" w:space="0" w:color="auto"/>
        <w:right w:val="none" w:sz="0" w:space="0" w:color="auto"/>
      </w:divBdr>
    </w:div>
    <w:div w:id="1975285328">
      <w:marLeft w:val="0"/>
      <w:marRight w:val="0"/>
      <w:marTop w:val="160"/>
      <w:marBottom w:val="160"/>
      <w:divBdr>
        <w:top w:val="none" w:sz="0" w:space="0" w:color="auto"/>
        <w:left w:val="none" w:sz="0" w:space="0" w:color="auto"/>
        <w:bottom w:val="none" w:sz="0" w:space="0" w:color="auto"/>
        <w:right w:val="none" w:sz="0" w:space="0" w:color="auto"/>
      </w:divBdr>
    </w:div>
    <w:div w:id="1979797711">
      <w:marLeft w:val="0"/>
      <w:marRight w:val="0"/>
      <w:marTop w:val="160"/>
      <w:marBottom w:val="160"/>
      <w:divBdr>
        <w:top w:val="none" w:sz="0" w:space="0" w:color="auto"/>
        <w:left w:val="none" w:sz="0" w:space="0" w:color="auto"/>
        <w:bottom w:val="none" w:sz="0" w:space="0" w:color="auto"/>
        <w:right w:val="none" w:sz="0" w:space="0" w:color="auto"/>
      </w:divBdr>
    </w:div>
    <w:div w:id="1986157967">
      <w:marLeft w:val="0"/>
      <w:marRight w:val="0"/>
      <w:marTop w:val="0"/>
      <w:marBottom w:val="0"/>
      <w:divBdr>
        <w:top w:val="none" w:sz="0" w:space="0" w:color="auto"/>
        <w:left w:val="none" w:sz="0" w:space="0" w:color="auto"/>
        <w:bottom w:val="none" w:sz="0" w:space="0" w:color="auto"/>
        <w:right w:val="none" w:sz="0" w:space="0" w:color="auto"/>
      </w:divBdr>
    </w:div>
    <w:div w:id="1988120561">
      <w:marLeft w:val="0"/>
      <w:marRight w:val="0"/>
      <w:marTop w:val="160"/>
      <w:marBottom w:val="160"/>
      <w:divBdr>
        <w:top w:val="none" w:sz="0" w:space="0" w:color="auto"/>
        <w:left w:val="none" w:sz="0" w:space="0" w:color="auto"/>
        <w:bottom w:val="none" w:sz="0" w:space="0" w:color="auto"/>
        <w:right w:val="none" w:sz="0" w:space="0" w:color="auto"/>
      </w:divBdr>
    </w:div>
    <w:div w:id="1988969122">
      <w:marLeft w:val="0"/>
      <w:marRight w:val="0"/>
      <w:marTop w:val="0"/>
      <w:marBottom w:val="0"/>
      <w:divBdr>
        <w:top w:val="none" w:sz="0" w:space="0" w:color="auto"/>
        <w:left w:val="none" w:sz="0" w:space="0" w:color="auto"/>
        <w:bottom w:val="none" w:sz="0" w:space="0" w:color="auto"/>
        <w:right w:val="none" w:sz="0" w:space="0" w:color="auto"/>
      </w:divBdr>
    </w:div>
    <w:div w:id="1989048838">
      <w:marLeft w:val="0"/>
      <w:marRight w:val="0"/>
      <w:marTop w:val="0"/>
      <w:marBottom w:val="0"/>
      <w:divBdr>
        <w:top w:val="none" w:sz="0" w:space="0" w:color="auto"/>
        <w:left w:val="none" w:sz="0" w:space="0" w:color="auto"/>
        <w:bottom w:val="none" w:sz="0" w:space="0" w:color="auto"/>
        <w:right w:val="none" w:sz="0" w:space="0" w:color="auto"/>
      </w:divBdr>
    </w:div>
    <w:div w:id="1989090643">
      <w:marLeft w:val="0"/>
      <w:marRight w:val="0"/>
      <w:marTop w:val="0"/>
      <w:marBottom w:val="0"/>
      <w:divBdr>
        <w:top w:val="none" w:sz="0" w:space="0" w:color="auto"/>
        <w:left w:val="none" w:sz="0" w:space="0" w:color="auto"/>
        <w:bottom w:val="none" w:sz="0" w:space="0" w:color="auto"/>
        <w:right w:val="none" w:sz="0" w:space="0" w:color="auto"/>
      </w:divBdr>
    </w:div>
    <w:div w:id="1989243236">
      <w:marLeft w:val="0"/>
      <w:marRight w:val="0"/>
      <w:marTop w:val="160"/>
      <w:marBottom w:val="160"/>
      <w:divBdr>
        <w:top w:val="none" w:sz="0" w:space="0" w:color="auto"/>
        <w:left w:val="none" w:sz="0" w:space="0" w:color="auto"/>
        <w:bottom w:val="none" w:sz="0" w:space="0" w:color="auto"/>
        <w:right w:val="none" w:sz="0" w:space="0" w:color="auto"/>
      </w:divBdr>
    </w:div>
    <w:div w:id="1993605461">
      <w:marLeft w:val="0"/>
      <w:marRight w:val="0"/>
      <w:marTop w:val="160"/>
      <w:marBottom w:val="160"/>
      <w:divBdr>
        <w:top w:val="none" w:sz="0" w:space="0" w:color="auto"/>
        <w:left w:val="none" w:sz="0" w:space="0" w:color="auto"/>
        <w:bottom w:val="none" w:sz="0" w:space="0" w:color="auto"/>
        <w:right w:val="none" w:sz="0" w:space="0" w:color="auto"/>
      </w:divBdr>
    </w:div>
    <w:div w:id="1997413796">
      <w:marLeft w:val="0"/>
      <w:marRight w:val="0"/>
      <w:marTop w:val="160"/>
      <w:marBottom w:val="160"/>
      <w:divBdr>
        <w:top w:val="none" w:sz="0" w:space="0" w:color="auto"/>
        <w:left w:val="none" w:sz="0" w:space="0" w:color="auto"/>
        <w:bottom w:val="none" w:sz="0" w:space="0" w:color="auto"/>
        <w:right w:val="none" w:sz="0" w:space="0" w:color="auto"/>
      </w:divBdr>
    </w:div>
    <w:div w:id="1999839343">
      <w:marLeft w:val="0"/>
      <w:marRight w:val="0"/>
      <w:marTop w:val="0"/>
      <w:marBottom w:val="0"/>
      <w:divBdr>
        <w:top w:val="none" w:sz="0" w:space="0" w:color="auto"/>
        <w:left w:val="none" w:sz="0" w:space="0" w:color="auto"/>
        <w:bottom w:val="none" w:sz="0" w:space="0" w:color="auto"/>
        <w:right w:val="none" w:sz="0" w:space="0" w:color="auto"/>
      </w:divBdr>
    </w:div>
    <w:div w:id="2010055366">
      <w:marLeft w:val="0"/>
      <w:marRight w:val="0"/>
      <w:marTop w:val="160"/>
      <w:marBottom w:val="160"/>
      <w:divBdr>
        <w:top w:val="none" w:sz="0" w:space="0" w:color="auto"/>
        <w:left w:val="none" w:sz="0" w:space="0" w:color="auto"/>
        <w:bottom w:val="none" w:sz="0" w:space="0" w:color="auto"/>
        <w:right w:val="none" w:sz="0" w:space="0" w:color="auto"/>
      </w:divBdr>
    </w:div>
    <w:div w:id="2012950488">
      <w:marLeft w:val="0"/>
      <w:marRight w:val="0"/>
      <w:marTop w:val="160"/>
      <w:marBottom w:val="160"/>
      <w:divBdr>
        <w:top w:val="none" w:sz="0" w:space="0" w:color="auto"/>
        <w:left w:val="none" w:sz="0" w:space="0" w:color="auto"/>
        <w:bottom w:val="none" w:sz="0" w:space="0" w:color="auto"/>
        <w:right w:val="none" w:sz="0" w:space="0" w:color="auto"/>
      </w:divBdr>
    </w:div>
    <w:div w:id="2013993487">
      <w:marLeft w:val="0"/>
      <w:marRight w:val="0"/>
      <w:marTop w:val="160"/>
      <w:marBottom w:val="160"/>
      <w:divBdr>
        <w:top w:val="none" w:sz="0" w:space="0" w:color="auto"/>
        <w:left w:val="none" w:sz="0" w:space="0" w:color="auto"/>
        <w:bottom w:val="none" w:sz="0" w:space="0" w:color="auto"/>
        <w:right w:val="none" w:sz="0" w:space="0" w:color="auto"/>
      </w:divBdr>
    </w:div>
    <w:div w:id="2014448021">
      <w:marLeft w:val="0"/>
      <w:marRight w:val="0"/>
      <w:marTop w:val="160"/>
      <w:marBottom w:val="160"/>
      <w:divBdr>
        <w:top w:val="none" w:sz="0" w:space="0" w:color="auto"/>
        <w:left w:val="none" w:sz="0" w:space="0" w:color="auto"/>
        <w:bottom w:val="none" w:sz="0" w:space="0" w:color="auto"/>
        <w:right w:val="none" w:sz="0" w:space="0" w:color="auto"/>
      </w:divBdr>
    </w:div>
    <w:div w:id="2020618262">
      <w:marLeft w:val="0"/>
      <w:marRight w:val="0"/>
      <w:marTop w:val="160"/>
      <w:marBottom w:val="160"/>
      <w:divBdr>
        <w:top w:val="none" w:sz="0" w:space="0" w:color="auto"/>
        <w:left w:val="none" w:sz="0" w:space="0" w:color="auto"/>
        <w:bottom w:val="none" w:sz="0" w:space="0" w:color="auto"/>
        <w:right w:val="none" w:sz="0" w:space="0" w:color="auto"/>
      </w:divBdr>
    </w:div>
    <w:div w:id="2022127352">
      <w:marLeft w:val="0"/>
      <w:marRight w:val="0"/>
      <w:marTop w:val="160"/>
      <w:marBottom w:val="160"/>
      <w:divBdr>
        <w:top w:val="none" w:sz="0" w:space="0" w:color="auto"/>
        <w:left w:val="none" w:sz="0" w:space="0" w:color="auto"/>
        <w:bottom w:val="none" w:sz="0" w:space="0" w:color="auto"/>
        <w:right w:val="none" w:sz="0" w:space="0" w:color="auto"/>
      </w:divBdr>
    </w:div>
    <w:div w:id="2023781353">
      <w:marLeft w:val="0"/>
      <w:marRight w:val="0"/>
      <w:marTop w:val="0"/>
      <w:marBottom w:val="0"/>
      <w:divBdr>
        <w:top w:val="none" w:sz="0" w:space="0" w:color="auto"/>
        <w:left w:val="none" w:sz="0" w:space="0" w:color="auto"/>
        <w:bottom w:val="none" w:sz="0" w:space="0" w:color="auto"/>
        <w:right w:val="none" w:sz="0" w:space="0" w:color="auto"/>
      </w:divBdr>
    </w:div>
    <w:div w:id="2030639818">
      <w:marLeft w:val="0"/>
      <w:marRight w:val="0"/>
      <w:marTop w:val="0"/>
      <w:marBottom w:val="0"/>
      <w:divBdr>
        <w:top w:val="none" w:sz="0" w:space="0" w:color="auto"/>
        <w:left w:val="none" w:sz="0" w:space="0" w:color="auto"/>
        <w:bottom w:val="none" w:sz="0" w:space="0" w:color="auto"/>
        <w:right w:val="none" w:sz="0" w:space="0" w:color="auto"/>
      </w:divBdr>
    </w:div>
    <w:div w:id="2040427040">
      <w:marLeft w:val="0"/>
      <w:marRight w:val="0"/>
      <w:marTop w:val="160"/>
      <w:marBottom w:val="160"/>
      <w:divBdr>
        <w:top w:val="none" w:sz="0" w:space="0" w:color="auto"/>
        <w:left w:val="none" w:sz="0" w:space="0" w:color="auto"/>
        <w:bottom w:val="none" w:sz="0" w:space="0" w:color="auto"/>
        <w:right w:val="none" w:sz="0" w:space="0" w:color="auto"/>
      </w:divBdr>
    </w:div>
    <w:div w:id="2051151301">
      <w:marLeft w:val="0"/>
      <w:marRight w:val="0"/>
      <w:marTop w:val="160"/>
      <w:marBottom w:val="160"/>
      <w:divBdr>
        <w:top w:val="none" w:sz="0" w:space="0" w:color="auto"/>
        <w:left w:val="none" w:sz="0" w:space="0" w:color="auto"/>
        <w:bottom w:val="none" w:sz="0" w:space="0" w:color="auto"/>
        <w:right w:val="none" w:sz="0" w:space="0" w:color="auto"/>
      </w:divBdr>
    </w:div>
    <w:div w:id="2054422639">
      <w:marLeft w:val="0"/>
      <w:marRight w:val="0"/>
      <w:marTop w:val="160"/>
      <w:marBottom w:val="160"/>
      <w:divBdr>
        <w:top w:val="none" w:sz="0" w:space="0" w:color="auto"/>
        <w:left w:val="none" w:sz="0" w:space="0" w:color="auto"/>
        <w:bottom w:val="none" w:sz="0" w:space="0" w:color="auto"/>
        <w:right w:val="none" w:sz="0" w:space="0" w:color="auto"/>
      </w:divBdr>
    </w:div>
    <w:div w:id="2067995682">
      <w:marLeft w:val="0"/>
      <w:marRight w:val="0"/>
      <w:marTop w:val="160"/>
      <w:marBottom w:val="160"/>
      <w:divBdr>
        <w:top w:val="none" w:sz="0" w:space="0" w:color="auto"/>
        <w:left w:val="none" w:sz="0" w:space="0" w:color="auto"/>
        <w:bottom w:val="none" w:sz="0" w:space="0" w:color="auto"/>
        <w:right w:val="none" w:sz="0" w:space="0" w:color="auto"/>
      </w:divBdr>
    </w:div>
    <w:div w:id="2070376101">
      <w:marLeft w:val="0"/>
      <w:marRight w:val="0"/>
      <w:marTop w:val="160"/>
      <w:marBottom w:val="160"/>
      <w:divBdr>
        <w:top w:val="none" w:sz="0" w:space="0" w:color="auto"/>
        <w:left w:val="none" w:sz="0" w:space="0" w:color="auto"/>
        <w:bottom w:val="none" w:sz="0" w:space="0" w:color="auto"/>
        <w:right w:val="none" w:sz="0" w:space="0" w:color="auto"/>
      </w:divBdr>
    </w:div>
    <w:div w:id="2071225275">
      <w:marLeft w:val="0"/>
      <w:marRight w:val="0"/>
      <w:marTop w:val="160"/>
      <w:marBottom w:val="160"/>
      <w:divBdr>
        <w:top w:val="none" w:sz="0" w:space="0" w:color="auto"/>
        <w:left w:val="none" w:sz="0" w:space="0" w:color="auto"/>
        <w:bottom w:val="none" w:sz="0" w:space="0" w:color="auto"/>
        <w:right w:val="none" w:sz="0" w:space="0" w:color="auto"/>
      </w:divBdr>
    </w:div>
    <w:div w:id="2071540136">
      <w:marLeft w:val="0"/>
      <w:marRight w:val="0"/>
      <w:marTop w:val="0"/>
      <w:marBottom w:val="0"/>
      <w:divBdr>
        <w:top w:val="none" w:sz="0" w:space="0" w:color="auto"/>
        <w:left w:val="none" w:sz="0" w:space="0" w:color="auto"/>
        <w:bottom w:val="none" w:sz="0" w:space="0" w:color="auto"/>
        <w:right w:val="none" w:sz="0" w:space="0" w:color="auto"/>
      </w:divBdr>
      <w:divsChild>
        <w:div w:id="1330016744">
          <w:marLeft w:val="0"/>
          <w:marRight w:val="0"/>
          <w:marTop w:val="0"/>
          <w:marBottom w:val="0"/>
          <w:divBdr>
            <w:top w:val="none" w:sz="0" w:space="0" w:color="auto"/>
            <w:left w:val="none" w:sz="0" w:space="0" w:color="auto"/>
            <w:bottom w:val="none" w:sz="0" w:space="0" w:color="auto"/>
            <w:right w:val="none" w:sz="0" w:space="0" w:color="auto"/>
          </w:divBdr>
        </w:div>
      </w:divsChild>
    </w:div>
    <w:div w:id="2077433939">
      <w:marLeft w:val="0"/>
      <w:marRight w:val="0"/>
      <w:marTop w:val="160"/>
      <w:marBottom w:val="160"/>
      <w:divBdr>
        <w:top w:val="none" w:sz="0" w:space="0" w:color="auto"/>
        <w:left w:val="none" w:sz="0" w:space="0" w:color="auto"/>
        <w:bottom w:val="none" w:sz="0" w:space="0" w:color="auto"/>
        <w:right w:val="none" w:sz="0" w:space="0" w:color="auto"/>
      </w:divBdr>
    </w:div>
    <w:div w:id="2078938883">
      <w:marLeft w:val="0"/>
      <w:marRight w:val="0"/>
      <w:marTop w:val="160"/>
      <w:marBottom w:val="160"/>
      <w:divBdr>
        <w:top w:val="none" w:sz="0" w:space="0" w:color="auto"/>
        <w:left w:val="none" w:sz="0" w:space="0" w:color="auto"/>
        <w:bottom w:val="none" w:sz="0" w:space="0" w:color="auto"/>
        <w:right w:val="none" w:sz="0" w:space="0" w:color="auto"/>
      </w:divBdr>
      <w:divsChild>
        <w:div w:id="1220819778">
          <w:marLeft w:val="0"/>
          <w:marRight w:val="0"/>
          <w:marTop w:val="160"/>
          <w:marBottom w:val="160"/>
          <w:divBdr>
            <w:top w:val="none" w:sz="0" w:space="0" w:color="auto"/>
            <w:left w:val="none" w:sz="0" w:space="0" w:color="auto"/>
            <w:bottom w:val="none" w:sz="0" w:space="0" w:color="auto"/>
            <w:right w:val="none" w:sz="0" w:space="0" w:color="auto"/>
          </w:divBdr>
        </w:div>
      </w:divsChild>
    </w:div>
    <w:div w:id="2084066310">
      <w:marLeft w:val="0"/>
      <w:marRight w:val="0"/>
      <w:marTop w:val="160"/>
      <w:marBottom w:val="160"/>
      <w:divBdr>
        <w:top w:val="none" w:sz="0" w:space="0" w:color="auto"/>
        <w:left w:val="none" w:sz="0" w:space="0" w:color="auto"/>
        <w:bottom w:val="none" w:sz="0" w:space="0" w:color="auto"/>
        <w:right w:val="none" w:sz="0" w:space="0" w:color="auto"/>
      </w:divBdr>
    </w:div>
    <w:div w:id="2088653098">
      <w:marLeft w:val="0"/>
      <w:marRight w:val="0"/>
      <w:marTop w:val="0"/>
      <w:marBottom w:val="0"/>
      <w:divBdr>
        <w:top w:val="none" w:sz="0" w:space="0" w:color="auto"/>
        <w:left w:val="none" w:sz="0" w:space="0" w:color="auto"/>
        <w:bottom w:val="none" w:sz="0" w:space="0" w:color="auto"/>
        <w:right w:val="none" w:sz="0" w:space="0" w:color="auto"/>
      </w:divBdr>
    </w:div>
    <w:div w:id="2095586530">
      <w:marLeft w:val="0"/>
      <w:marRight w:val="0"/>
      <w:marTop w:val="160"/>
      <w:marBottom w:val="160"/>
      <w:divBdr>
        <w:top w:val="none" w:sz="0" w:space="0" w:color="auto"/>
        <w:left w:val="none" w:sz="0" w:space="0" w:color="auto"/>
        <w:bottom w:val="none" w:sz="0" w:space="0" w:color="auto"/>
        <w:right w:val="none" w:sz="0" w:space="0" w:color="auto"/>
      </w:divBdr>
    </w:div>
    <w:div w:id="2095660427">
      <w:marLeft w:val="0"/>
      <w:marRight w:val="0"/>
      <w:marTop w:val="160"/>
      <w:marBottom w:val="160"/>
      <w:divBdr>
        <w:top w:val="none" w:sz="0" w:space="0" w:color="auto"/>
        <w:left w:val="none" w:sz="0" w:space="0" w:color="auto"/>
        <w:bottom w:val="none" w:sz="0" w:space="0" w:color="auto"/>
        <w:right w:val="none" w:sz="0" w:space="0" w:color="auto"/>
      </w:divBdr>
    </w:div>
    <w:div w:id="2097969925">
      <w:marLeft w:val="0"/>
      <w:marRight w:val="0"/>
      <w:marTop w:val="160"/>
      <w:marBottom w:val="160"/>
      <w:divBdr>
        <w:top w:val="none" w:sz="0" w:space="0" w:color="auto"/>
        <w:left w:val="none" w:sz="0" w:space="0" w:color="auto"/>
        <w:bottom w:val="none" w:sz="0" w:space="0" w:color="auto"/>
        <w:right w:val="none" w:sz="0" w:space="0" w:color="auto"/>
      </w:divBdr>
    </w:div>
    <w:div w:id="2098161936">
      <w:marLeft w:val="0"/>
      <w:marRight w:val="0"/>
      <w:marTop w:val="0"/>
      <w:marBottom w:val="0"/>
      <w:divBdr>
        <w:top w:val="none" w:sz="0" w:space="0" w:color="auto"/>
        <w:left w:val="none" w:sz="0" w:space="0" w:color="auto"/>
        <w:bottom w:val="none" w:sz="0" w:space="0" w:color="auto"/>
        <w:right w:val="none" w:sz="0" w:space="0" w:color="auto"/>
      </w:divBdr>
      <w:divsChild>
        <w:div w:id="1258291675">
          <w:marLeft w:val="0"/>
          <w:marRight w:val="0"/>
          <w:marTop w:val="160"/>
          <w:marBottom w:val="160"/>
          <w:divBdr>
            <w:top w:val="none" w:sz="0" w:space="0" w:color="auto"/>
            <w:left w:val="none" w:sz="0" w:space="0" w:color="auto"/>
            <w:bottom w:val="none" w:sz="0" w:space="0" w:color="auto"/>
            <w:right w:val="none" w:sz="0" w:space="0" w:color="auto"/>
          </w:divBdr>
        </w:div>
        <w:div w:id="1005061739">
          <w:marLeft w:val="0"/>
          <w:marRight w:val="0"/>
          <w:marTop w:val="160"/>
          <w:marBottom w:val="160"/>
          <w:divBdr>
            <w:top w:val="none" w:sz="0" w:space="0" w:color="auto"/>
            <w:left w:val="none" w:sz="0" w:space="0" w:color="auto"/>
            <w:bottom w:val="none" w:sz="0" w:space="0" w:color="auto"/>
            <w:right w:val="none" w:sz="0" w:space="0" w:color="auto"/>
          </w:divBdr>
        </w:div>
        <w:div w:id="815225687">
          <w:marLeft w:val="0"/>
          <w:marRight w:val="0"/>
          <w:marTop w:val="160"/>
          <w:marBottom w:val="160"/>
          <w:divBdr>
            <w:top w:val="none" w:sz="0" w:space="0" w:color="auto"/>
            <w:left w:val="none" w:sz="0" w:space="0" w:color="auto"/>
            <w:bottom w:val="none" w:sz="0" w:space="0" w:color="auto"/>
            <w:right w:val="none" w:sz="0" w:space="0" w:color="auto"/>
          </w:divBdr>
        </w:div>
        <w:div w:id="880703094">
          <w:marLeft w:val="0"/>
          <w:marRight w:val="0"/>
          <w:marTop w:val="160"/>
          <w:marBottom w:val="160"/>
          <w:divBdr>
            <w:top w:val="none" w:sz="0" w:space="0" w:color="auto"/>
            <w:left w:val="none" w:sz="0" w:space="0" w:color="auto"/>
            <w:bottom w:val="none" w:sz="0" w:space="0" w:color="auto"/>
            <w:right w:val="none" w:sz="0" w:space="0" w:color="auto"/>
          </w:divBdr>
        </w:div>
        <w:div w:id="1088885721">
          <w:marLeft w:val="0"/>
          <w:marRight w:val="0"/>
          <w:marTop w:val="160"/>
          <w:marBottom w:val="160"/>
          <w:divBdr>
            <w:top w:val="none" w:sz="0" w:space="0" w:color="auto"/>
            <w:left w:val="none" w:sz="0" w:space="0" w:color="auto"/>
            <w:bottom w:val="none" w:sz="0" w:space="0" w:color="auto"/>
            <w:right w:val="none" w:sz="0" w:space="0" w:color="auto"/>
          </w:divBdr>
        </w:div>
        <w:div w:id="156044726">
          <w:marLeft w:val="0"/>
          <w:marRight w:val="0"/>
          <w:marTop w:val="160"/>
          <w:marBottom w:val="160"/>
          <w:divBdr>
            <w:top w:val="none" w:sz="0" w:space="0" w:color="auto"/>
            <w:left w:val="none" w:sz="0" w:space="0" w:color="auto"/>
            <w:bottom w:val="none" w:sz="0" w:space="0" w:color="auto"/>
            <w:right w:val="none" w:sz="0" w:space="0" w:color="auto"/>
          </w:divBdr>
        </w:div>
      </w:divsChild>
    </w:div>
    <w:div w:id="2099322838">
      <w:marLeft w:val="0"/>
      <w:marRight w:val="0"/>
      <w:marTop w:val="160"/>
      <w:marBottom w:val="160"/>
      <w:divBdr>
        <w:top w:val="none" w:sz="0" w:space="0" w:color="auto"/>
        <w:left w:val="none" w:sz="0" w:space="0" w:color="auto"/>
        <w:bottom w:val="none" w:sz="0" w:space="0" w:color="auto"/>
        <w:right w:val="none" w:sz="0" w:space="0" w:color="auto"/>
      </w:divBdr>
    </w:div>
    <w:div w:id="2101021473">
      <w:marLeft w:val="0"/>
      <w:marRight w:val="0"/>
      <w:marTop w:val="160"/>
      <w:marBottom w:val="160"/>
      <w:divBdr>
        <w:top w:val="none" w:sz="0" w:space="0" w:color="auto"/>
        <w:left w:val="none" w:sz="0" w:space="0" w:color="auto"/>
        <w:bottom w:val="none" w:sz="0" w:space="0" w:color="auto"/>
        <w:right w:val="none" w:sz="0" w:space="0" w:color="auto"/>
      </w:divBdr>
    </w:div>
    <w:div w:id="2107925155">
      <w:marLeft w:val="0"/>
      <w:marRight w:val="0"/>
      <w:marTop w:val="160"/>
      <w:marBottom w:val="160"/>
      <w:divBdr>
        <w:top w:val="none" w:sz="0" w:space="0" w:color="auto"/>
        <w:left w:val="none" w:sz="0" w:space="0" w:color="auto"/>
        <w:bottom w:val="none" w:sz="0" w:space="0" w:color="auto"/>
        <w:right w:val="none" w:sz="0" w:space="0" w:color="auto"/>
      </w:divBdr>
    </w:div>
    <w:div w:id="2108765026">
      <w:marLeft w:val="0"/>
      <w:marRight w:val="0"/>
      <w:marTop w:val="160"/>
      <w:marBottom w:val="160"/>
      <w:divBdr>
        <w:top w:val="none" w:sz="0" w:space="0" w:color="auto"/>
        <w:left w:val="none" w:sz="0" w:space="0" w:color="auto"/>
        <w:bottom w:val="none" w:sz="0" w:space="0" w:color="auto"/>
        <w:right w:val="none" w:sz="0" w:space="0" w:color="auto"/>
      </w:divBdr>
    </w:div>
    <w:div w:id="2108841945">
      <w:marLeft w:val="0"/>
      <w:marRight w:val="0"/>
      <w:marTop w:val="160"/>
      <w:marBottom w:val="160"/>
      <w:divBdr>
        <w:top w:val="none" w:sz="0" w:space="0" w:color="auto"/>
        <w:left w:val="none" w:sz="0" w:space="0" w:color="auto"/>
        <w:bottom w:val="none" w:sz="0" w:space="0" w:color="auto"/>
        <w:right w:val="none" w:sz="0" w:space="0" w:color="auto"/>
      </w:divBdr>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592977862">
          <w:marLeft w:val="0"/>
          <w:marRight w:val="0"/>
          <w:marTop w:val="0"/>
          <w:marBottom w:val="0"/>
          <w:divBdr>
            <w:top w:val="none" w:sz="0" w:space="0" w:color="auto"/>
            <w:left w:val="none" w:sz="0" w:space="0" w:color="auto"/>
            <w:bottom w:val="none" w:sz="0" w:space="0" w:color="auto"/>
            <w:right w:val="none" w:sz="0" w:space="0" w:color="auto"/>
          </w:divBdr>
        </w:div>
      </w:divsChild>
    </w:div>
    <w:div w:id="2109232857">
      <w:marLeft w:val="0"/>
      <w:marRight w:val="0"/>
      <w:marTop w:val="160"/>
      <w:marBottom w:val="160"/>
      <w:divBdr>
        <w:top w:val="none" w:sz="0" w:space="0" w:color="auto"/>
        <w:left w:val="none" w:sz="0" w:space="0" w:color="auto"/>
        <w:bottom w:val="none" w:sz="0" w:space="0" w:color="auto"/>
        <w:right w:val="none" w:sz="0" w:space="0" w:color="auto"/>
      </w:divBdr>
    </w:div>
    <w:div w:id="2113353287">
      <w:marLeft w:val="0"/>
      <w:marRight w:val="0"/>
      <w:marTop w:val="160"/>
      <w:marBottom w:val="160"/>
      <w:divBdr>
        <w:top w:val="none" w:sz="0" w:space="0" w:color="auto"/>
        <w:left w:val="none" w:sz="0" w:space="0" w:color="auto"/>
        <w:bottom w:val="none" w:sz="0" w:space="0" w:color="auto"/>
        <w:right w:val="none" w:sz="0" w:space="0" w:color="auto"/>
      </w:divBdr>
    </w:div>
    <w:div w:id="2117823955">
      <w:marLeft w:val="0"/>
      <w:marRight w:val="0"/>
      <w:marTop w:val="160"/>
      <w:marBottom w:val="160"/>
      <w:divBdr>
        <w:top w:val="none" w:sz="0" w:space="0" w:color="auto"/>
        <w:left w:val="none" w:sz="0" w:space="0" w:color="auto"/>
        <w:bottom w:val="none" w:sz="0" w:space="0" w:color="auto"/>
        <w:right w:val="none" w:sz="0" w:space="0" w:color="auto"/>
      </w:divBdr>
    </w:div>
    <w:div w:id="2132359337">
      <w:marLeft w:val="0"/>
      <w:marRight w:val="0"/>
      <w:marTop w:val="160"/>
      <w:marBottom w:val="160"/>
      <w:divBdr>
        <w:top w:val="none" w:sz="0" w:space="0" w:color="auto"/>
        <w:left w:val="none" w:sz="0" w:space="0" w:color="auto"/>
        <w:bottom w:val="none" w:sz="0" w:space="0" w:color="auto"/>
        <w:right w:val="none" w:sz="0" w:space="0" w:color="auto"/>
      </w:divBdr>
    </w:div>
    <w:div w:id="2133788737">
      <w:marLeft w:val="0"/>
      <w:marRight w:val="0"/>
      <w:marTop w:val="160"/>
      <w:marBottom w:val="160"/>
      <w:divBdr>
        <w:top w:val="none" w:sz="0" w:space="0" w:color="auto"/>
        <w:left w:val="none" w:sz="0" w:space="0" w:color="auto"/>
        <w:bottom w:val="none" w:sz="0" w:space="0" w:color="auto"/>
        <w:right w:val="none" w:sz="0" w:space="0" w:color="auto"/>
      </w:divBdr>
    </w:div>
    <w:div w:id="2136026319">
      <w:marLeft w:val="0"/>
      <w:marRight w:val="0"/>
      <w:marTop w:val="160"/>
      <w:marBottom w:val="160"/>
      <w:divBdr>
        <w:top w:val="none" w:sz="0" w:space="0" w:color="auto"/>
        <w:left w:val="none" w:sz="0" w:space="0" w:color="auto"/>
        <w:bottom w:val="none" w:sz="0" w:space="0" w:color="auto"/>
        <w:right w:val="none" w:sz="0" w:space="0" w:color="auto"/>
      </w:divBdr>
    </w:div>
    <w:div w:id="2140755083">
      <w:marLeft w:val="0"/>
      <w:marRight w:val="0"/>
      <w:marTop w:val="160"/>
      <w:marBottom w:val="160"/>
      <w:divBdr>
        <w:top w:val="none" w:sz="0" w:space="0" w:color="auto"/>
        <w:left w:val="none" w:sz="0" w:space="0" w:color="auto"/>
        <w:bottom w:val="none" w:sz="0" w:space="0" w:color="auto"/>
        <w:right w:val="none" w:sz="0" w:space="0" w:color="auto"/>
      </w:divBdr>
    </w:div>
    <w:div w:id="2140830594">
      <w:marLeft w:val="0"/>
      <w:marRight w:val="0"/>
      <w:marTop w:val="0"/>
      <w:marBottom w:val="0"/>
      <w:divBdr>
        <w:top w:val="none" w:sz="0" w:space="0" w:color="auto"/>
        <w:left w:val="none" w:sz="0" w:space="0" w:color="auto"/>
        <w:bottom w:val="none" w:sz="0" w:space="0" w:color="auto"/>
        <w:right w:val="none" w:sz="0" w:space="0" w:color="auto"/>
      </w:divBdr>
    </w:div>
    <w:div w:id="2147048043">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20220930x10qexhibit321.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20220930x10qexhibit311.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www.sec.gov/Archives/edgar/data/912242/000119312519129272/d731295dex32.htm" TargetMode="External"/><Relationship Id="rId37" Type="http://schemas.openxmlformats.org/officeDocument/2006/relationships/hyperlink" Target="mac-20220930x10qexhibit312.htm" TargetMode="External"/><Relationship Id="rId40" Type="http://schemas.openxmlformats.org/officeDocument/2006/relationships/fontTable" Target="fontTable.xm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20930x10qexhibit312.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s://www.sec.gov/Archives/edgar/data/912242/000119312521182973/d417870dex31.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s://www.sec.gov/Archives/edgar/data/912242/000119312521182973/d417870dex31.htm" TargetMode="External"/><Relationship Id="rId35" Type="http://schemas.openxmlformats.org/officeDocument/2006/relationships/hyperlink" Target="mac-20220930x10qexhibit31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mac-20220930x10q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29251</Words>
  <Characters>166735</Characters>
  <Application>Microsoft Office Word</Application>
  <DocSecurity>0</DocSecurity>
  <Lines>1389</Lines>
  <Paragraphs>391</Paragraphs>
  <ScaleCrop>false</ScaleCrop>
  <Company/>
  <LinksUpToDate>false</LinksUpToDate>
  <CharactersWithSpaces>195595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mac-20220930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